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2B43C4" w14:textId="6B782BB4" w:rsidR="0077216E" w:rsidRPr="0077216E" w:rsidRDefault="0077216E" w:rsidP="0077216E">
      <w:pPr>
        <w:pStyle w:val="Heading1"/>
        <w:jc w:val="center"/>
        <w:rPr>
          <w:rFonts w:ascii="Times New Roman" w:hAnsi="Times New Roman" w:cs="Times New Roman"/>
          <w:b/>
          <w:bCs/>
          <w:color w:val="auto"/>
          <w:sz w:val="24"/>
          <w:szCs w:val="24"/>
        </w:rPr>
      </w:pPr>
      <w:r w:rsidRPr="0077216E">
        <w:rPr>
          <w:rFonts w:ascii="Times New Roman" w:hAnsi="Times New Roman" w:cs="Times New Roman"/>
          <w:b/>
          <w:bCs/>
          <w:color w:val="auto"/>
          <w:sz w:val="24"/>
          <w:szCs w:val="24"/>
        </w:rPr>
        <w:t>Appendix</w:t>
      </w:r>
      <w:r>
        <w:rPr>
          <w:rFonts w:ascii="Times New Roman" w:hAnsi="Times New Roman" w:cs="Times New Roman"/>
          <w:b/>
          <w:bCs/>
          <w:color w:val="auto"/>
          <w:sz w:val="24"/>
          <w:szCs w:val="24"/>
        </w:rPr>
        <w:t xml:space="preserve"> (Supplementary Materials)</w:t>
      </w:r>
    </w:p>
    <w:p w14:paraId="4AD3986F" w14:textId="77777777" w:rsidR="0077216E" w:rsidRDefault="0077216E" w:rsidP="0077216E">
      <w:pPr>
        <w:rPr>
          <w:rFonts w:ascii="Times New Roman" w:hAnsi="Times New Roman" w:cs="Times New Roman"/>
          <w:b/>
          <w:bCs/>
          <w:sz w:val="24"/>
          <w:szCs w:val="24"/>
        </w:rPr>
      </w:pPr>
    </w:p>
    <w:p w14:paraId="328BB92F" w14:textId="77777777" w:rsidR="0077216E" w:rsidRPr="001C098B" w:rsidRDefault="0077216E" w:rsidP="0077216E">
      <w:pPr>
        <w:rPr>
          <w:rFonts w:ascii="Times New Roman" w:hAnsi="Times New Roman" w:cs="Times New Roman"/>
          <w:b/>
          <w:bCs/>
          <w:sz w:val="24"/>
          <w:szCs w:val="24"/>
        </w:rPr>
      </w:pPr>
      <w:r w:rsidRPr="001C098B">
        <w:rPr>
          <w:rFonts w:ascii="Times New Roman" w:hAnsi="Times New Roman" w:cs="Times New Roman"/>
          <w:b/>
          <w:bCs/>
          <w:sz w:val="24"/>
          <w:szCs w:val="24"/>
        </w:rPr>
        <w:t>Appendix 1. Analysis of Aquaculture Waste Load Estimates</w:t>
      </w:r>
    </w:p>
    <w:p w14:paraId="354C1844" w14:textId="77777777" w:rsidR="0077216E" w:rsidRPr="001C098B" w:rsidRDefault="0077216E" w:rsidP="0077216E">
      <w:pPr>
        <w:rPr>
          <w:rFonts w:ascii="Times New Roman" w:hAnsi="Times New Roman" w:cs="Times New Roman"/>
          <w:sz w:val="24"/>
          <w:szCs w:val="24"/>
        </w:rPr>
      </w:pPr>
      <w:r w:rsidRPr="001C098B">
        <w:rPr>
          <w:rFonts w:ascii="Times New Roman" w:hAnsi="Times New Roman" w:cs="Times New Roman"/>
          <w:sz w:val="24"/>
          <w:szCs w:val="24"/>
        </w:rPr>
        <w:t>Analysis of estimates of pollutant load from aquaculture activities was conducted using formulae from Gompi et al. (2023):</w:t>
      </w:r>
    </w:p>
    <w:p w14:paraId="434BBA86" w14:textId="77777777" w:rsidR="0077216E" w:rsidRPr="001C098B" w:rsidRDefault="0077216E" w:rsidP="0077216E">
      <w:pPr>
        <w:pStyle w:val="ListParagraph"/>
        <w:numPr>
          <w:ilvl w:val="0"/>
          <w:numId w:val="15"/>
        </w:numPr>
        <w:rPr>
          <w:rFonts w:ascii="Times New Roman" w:hAnsi="Times New Roman" w:cs="Times New Roman"/>
          <w:sz w:val="24"/>
          <w:szCs w:val="24"/>
        </w:rPr>
      </w:pPr>
      <w:r w:rsidRPr="001C098B">
        <w:rPr>
          <w:rFonts w:ascii="Times New Roman" w:hAnsi="Times New Roman" w:cs="Times New Roman"/>
          <w:sz w:val="24"/>
          <w:szCs w:val="24"/>
        </w:rPr>
        <w:t>Food conversion rate = 1.8</w:t>
      </w:r>
    </w:p>
    <w:p w14:paraId="4B3F8E01" w14:textId="77777777" w:rsidR="0077216E" w:rsidRPr="001C098B" w:rsidRDefault="0077216E" w:rsidP="0077216E">
      <w:pPr>
        <w:pStyle w:val="ListParagraph"/>
        <w:numPr>
          <w:ilvl w:val="0"/>
          <w:numId w:val="15"/>
        </w:numPr>
        <w:rPr>
          <w:rFonts w:ascii="Times New Roman" w:hAnsi="Times New Roman" w:cs="Times New Roman"/>
          <w:sz w:val="24"/>
          <w:szCs w:val="24"/>
        </w:rPr>
      </w:pPr>
      <w:r w:rsidRPr="001C098B">
        <w:rPr>
          <w:rFonts w:ascii="Times New Roman" w:hAnsi="Times New Roman" w:cs="Times New Roman"/>
          <w:sz w:val="24"/>
          <w:szCs w:val="24"/>
        </w:rPr>
        <w:t xml:space="preserve">Left uneaten food = 15% of the food  </w:t>
      </w:r>
    </w:p>
    <w:p w14:paraId="6037A8B5" w14:textId="77777777" w:rsidR="0077216E" w:rsidRPr="001C098B" w:rsidRDefault="0077216E" w:rsidP="0077216E">
      <w:pPr>
        <w:ind w:left="1440" w:firstLine="720"/>
        <w:rPr>
          <w:rFonts w:ascii="Times New Roman" w:hAnsi="Times New Roman" w:cs="Times New Roman"/>
          <w:sz w:val="24"/>
          <w:szCs w:val="24"/>
        </w:rPr>
      </w:pPr>
      <w:r w:rsidRPr="001C098B">
        <w:rPr>
          <w:rFonts w:ascii="Times New Roman" w:hAnsi="Times New Roman" w:cs="Times New Roman"/>
          <w:sz w:val="24"/>
          <w:szCs w:val="24"/>
        </w:rPr>
        <w:t>Food waste =  15%*(P/FCR)</w:t>
      </w:r>
    </w:p>
    <w:p w14:paraId="52501A9E" w14:textId="77777777" w:rsidR="0077216E" w:rsidRPr="001C098B" w:rsidRDefault="0077216E" w:rsidP="0077216E">
      <w:pPr>
        <w:rPr>
          <w:rFonts w:ascii="Times New Roman" w:hAnsi="Times New Roman" w:cs="Times New Roman"/>
          <w:sz w:val="24"/>
          <w:szCs w:val="24"/>
        </w:rPr>
      </w:pPr>
      <w:r w:rsidRPr="001C098B">
        <w:rPr>
          <w:rFonts w:ascii="Times New Roman" w:hAnsi="Times New Roman" w:cs="Times New Roman"/>
          <w:sz w:val="24"/>
          <w:szCs w:val="24"/>
        </w:rPr>
        <w:t>Where,</w:t>
      </w:r>
    </w:p>
    <w:p w14:paraId="661A0AB2" w14:textId="77777777" w:rsidR="0077216E" w:rsidRPr="001C098B" w:rsidRDefault="0077216E" w:rsidP="0077216E">
      <w:pPr>
        <w:rPr>
          <w:rFonts w:ascii="Times New Roman" w:hAnsi="Times New Roman" w:cs="Times New Roman"/>
          <w:sz w:val="24"/>
          <w:szCs w:val="24"/>
        </w:rPr>
      </w:pPr>
      <w:r w:rsidRPr="001C098B">
        <w:rPr>
          <w:rFonts w:ascii="Times New Roman" w:hAnsi="Times New Roman" w:cs="Times New Roman"/>
          <w:sz w:val="24"/>
          <w:szCs w:val="24"/>
        </w:rPr>
        <w:t>FCR = food conversion rate, 1.8</w:t>
      </w:r>
    </w:p>
    <w:p w14:paraId="10192CB4" w14:textId="77777777" w:rsidR="0077216E" w:rsidRPr="001C098B" w:rsidRDefault="0077216E" w:rsidP="0077216E">
      <w:pPr>
        <w:rPr>
          <w:rFonts w:ascii="Times New Roman" w:hAnsi="Times New Roman" w:cs="Times New Roman"/>
          <w:sz w:val="24"/>
          <w:szCs w:val="24"/>
        </w:rPr>
      </w:pPr>
      <w:r w:rsidRPr="001C098B">
        <w:rPr>
          <w:rFonts w:ascii="Times New Roman" w:hAnsi="Times New Roman" w:cs="Times New Roman"/>
          <w:sz w:val="24"/>
          <w:szCs w:val="24"/>
        </w:rPr>
        <w:t>P     = aquaculture production, tonnes/year</w:t>
      </w:r>
    </w:p>
    <w:p w14:paraId="30D4A74B" w14:textId="77777777" w:rsidR="0077216E" w:rsidRPr="001C098B" w:rsidRDefault="0077216E" w:rsidP="0077216E">
      <w:pPr>
        <w:rPr>
          <w:rFonts w:ascii="Times New Roman" w:hAnsi="Times New Roman" w:cs="Times New Roman"/>
          <w:b/>
          <w:bCs/>
          <w:sz w:val="24"/>
          <w:szCs w:val="24"/>
        </w:rPr>
      </w:pPr>
    </w:p>
    <w:p w14:paraId="6922C109" w14:textId="77777777" w:rsidR="0077216E" w:rsidRPr="001C098B" w:rsidRDefault="0077216E" w:rsidP="0077216E">
      <w:pPr>
        <w:rPr>
          <w:rFonts w:ascii="Times New Roman" w:hAnsi="Times New Roman" w:cs="Times New Roman"/>
          <w:b/>
          <w:bCs/>
          <w:sz w:val="24"/>
          <w:szCs w:val="24"/>
        </w:rPr>
      </w:pPr>
      <w:r w:rsidRPr="001C098B">
        <w:rPr>
          <w:rFonts w:ascii="Times New Roman" w:hAnsi="Times New Roman" w:cs="Times New Roman"/>
          <w:b/>
          <w:bCs/>
          <w:sz w:val="24"/>
          <w:szCs w:val="24"/>
        </w:rPr>
        <w:t>Appendix 2.   Analysis of Riverine Pollution Load Estimates</w:t>
      </w:r>
    </w:p>
    <w:p w14:paraId="75545979" w14:textId="77777777" w:rsidR="0077216E" w:rsidRPr="001C098B" w:rsidRDefault="0077216E" w:rsidP="0077216E">
      <w:pPr>
        <w:rPr>
          <w:rFonts w:ascii="Times New Roman" w:hAnsi="Times New Roman" w:cs="Times New Roman"/>
          <w:sz w:val="24"/>
          <w:szCs w:val="24"/>
        </w:rPr>
      </w:pPr>
      <w:r w:rsidRPr="001C098B">
        <w:rPr>
          <w:rFonts w:ascii="Times New Roman" w:hAnsi="Times New Roman" w:cs="Times New Roman"/>
          <w:sz w:val="24"/>
          <w:szCs w:val="24"/>
        </w:rPr>
        <w:t>The analysis of river pollution load estimates use the formulae of (Environmental Ministry Decree Number 28/2009 about Carrying Capacity and Assimilative Capacity):</w:t>
      </w:r>
    </w:p>
    <w:p w14:paraId="3FF963AE" w14:textId="77777777" w:rsidR="0077216E" w:rsidRPr="001C098B" w:rsidRDefault="0077216E" w:rsidP="0077216E">
      <w:pPr>
        <w:ind w:left="2160" w:firstLine="720"/>
        <w:rPr>
          <w:rFonts w:ascii="Times New Roman" w:hAnsi="Times New Roman" w:cs="Times New Roman"/>
          <w:sz w:val="24"/>
          <w:szCs w:val="24"/>
        </w:rPr>
      </w:pPr>
      <w:r w:rsidRPr="001C098B">
        <w:rPr>
          <w:rFonts w:ascii="Times New Roman" w:hAnsi="Times New Roman" w:cs="Times New Roman"/>
          <w:sz w:val="24"/>
          <w:szCs w:val="24"/>
        </w:rPr>
        <w:t>Pollution load</w:t>
      </w:r>
      <w:r w:rsidRPr="001C098B">
        <w:rPr>
          <w:rFonts w:ascii="Times New Roman" w:hAnsi="Times New Roman" w:cs="Times New Roman"/>
          <w:sz w:val="24"/>
          <w:szCs w:val="24"/>
          <w:vertAlign w:val="subscript"/>
        </w:rPr>
        <w:t>i</w:t>
      </w:r>
      <w:r w:rsidRPr="001C098B">
        <w:rPr>
          <w:rFonts w:ascii="Times New Roman" w:hAnsi="Times New Roman" w:cs="Times New Roman"/>
          <w:sz w:val="24"/>
          <w:szCs w:val="24"/>
        </w:rPr>
        <w:t xml:space="preserve"> = C</w:t>
      </w:r>
      <w:r w:rsidRPr="001C098B">
        <w:rPr>
          <w:rFonts w:ascii="Times New Roman" w:hAnsi="Times New Roman" w:cs="Times New Roman"/>
          <w:sz w:val="24"/>
          <w:szCs w:val="24"/>
          <w:vertAlign w:val="subscript"/>
        </w:rPr>
        <w:t>i</w:t>
      </w:r>
      <w:r w:rsidRPr="001C098B">
        <w:rPr>
          <w:rFonts w:ascii="Times New Roman" w:hAnsi="Times New Roman" w:cs="Times New Roman"/>
          <w:sz w:val="24"/>
          <w:szCs w:val="24"/>
        </w:rPr>
        <w:t xml:space="preserve"> x Q</w:t>
      </w:r>
    </w:p>
    <w:p w14:paraId="5D71D344" w14:textId="77777777" w:rsidR="0077216E" w:rsidRPr="001C098B" w:rsidRDefault="0077216E" w:rsidP="0077216E">
      <w:pPr>
        <w:rPr>
          <w:rFonts w:ascii="Times New Roman" w:hAnsi="Times New Roman" w:cs="Times New Roman"/>
          <w:sz w:val="24"/>
          <w:szCs w:val="24"/>
        </w:rPr>
      </w:pPr>
      <w:r w:rsidRPr="001C098B">
        <w:rPr>
          <w:rFonts w:ascii="Times New Roman" w:hAnsi="Times New Roman" w:cs="Times New Roman"/>
          <w:sz w:val="24"/>
          <w:szCs w:val="24"/>
        </w:rPr>
        <w:t>Where:</w:t>
      </w:r>
    </w:p>
    <w:p w14:paraId="72C2B55C" w14:textId="77777777" w:rsidR="0077216E" w:rsidRPr="001C098B" w:rsidRDefault="0077216E" w:rsidP="0077216E">
      <w:pPr>
        <w:numPr>
          <w:ilvl w:val="0"/>
          <w:numId w:val="17"/>
        </w:numPr>
        <w:rPr>
          <w:rFonts w:ascii="Times New Roman" w:hAnsi="Times New Roman" w:cs="Times New Roman"/>
          <w:sz w:val="24"/>
          <w:szCs w:val="24"/>
        </w:rPr>
      </w:pPr>
      <w:r w:rsidRPr="001C098B">
        <w:rPr>
          <w:rFonts w:ascii="Times New Roman" w:hAnsi="Times New Roman" w:cs="Times New Roman"/>
          <w:i/>
          <w:iCs/>
          <w:sz w:val="24"/>
          <w:szCs w:val="24"/>
        </w:rPr>
        <w:t>C</w:t>
      </w:r>
      <w:r w:rsidRPr="001C098B">
        <w:rPr>
          <w:rFonts w:ascii="Times New Roman" w:hAnsi="Times New Roman" w:cs="Times New Roman"/>
          <w:i/>
          <w:iCs/>
          <w:sz w:val="24"/>
          <w:szCs w:val="24"/>
          <w:vertAlign w:val="subscript"/>
        </w:rPr>
        <w:t>i</w:t>
      </w:r>
      <w:r w:rsidRPr="001C098B">
        <w:rPr>
          <w:rFonts w:ascii="Times New Roman" w:hAnsi="Times New Roman" w:cs="Times New Roman"/>
          <w:sz w:val="24"/>
          <w:szCs w:val="24"/>
          <w:vertAlign w:val="subscript"/>
        </w:rPr>
        <w:t xml:space="preserve"> </w:t>
      </w:r>
      <w:r w:rsidRPr="001C098B">
        <w:rPr>
          <w:rFonts w:ascii="Times New Roman" w:hAnsi="Times New Roman" w:cs="Times New Roman"/>
          <w:sz w:val="24"/>
          <w:szCs w:val="24"/>
        </w:rPr>
        <w:t xml:space="preserve">= Concentration of the </w:t>
      </w:r>
      <w:r w:rsidRPr="001C098B">
        <w:rPr>
          <w:rFonts w:ascii="Times New Roman" w:hAnsi="Times New Roman" w:cs="Times New Roman"/>
          <w:i/>
          <w:iCs/>
          <w:sz w:val="24"/>
          <w:szCs w:val="24"/>
        </w:rPr>
        <w:t>i</w:t>
      </w:r>
      <w:r w:rsidRPr="001C098B">
        <w:rPr>
          <w:rFonts w:ascii="Times New Roman" w:hAnsi="Times New Roman" w:cs="Times New Roman"/>
          <w:sz w:val="24"/>
          <w:szCs w:val="24"/>
        </w:rPr>
        <w:t xml:space="preserve">-pollutant (e.g., in </w:t>
      </w:r>
      <w:r w:rsidRPr="001C098B">
        <w:rPr>
          <w:rFonts w:ascii="Times New Roman" w:hAnsi="Times New Roman" w:cs="Times New Roman"/>
          <w:b/>
          <w:bCs/>
          <w:sz w:val="24"/>
          <w:szCs w:val="24"/>
        </w:rPr>
        <w:t>mg/L</w:t>
      </w:r>
      <w:r w:rsidRPr="001C098B">
        <w:rPr>
          <w:rFonts w:ascii="Times New Roman" w:hAnsi="Times New Roman" w:cs="Times New Roman"/>
          <w:sz w:val="24"/>
          <w:szCs w:val="24"/>
        </w:rPr>
        <w:t>)</w:t>
      </w:r>
    </w:p>
    <w:p w14:paraId="32B48C93" w14:textId="77777777" w:rsidR="0077216E" w:rsidRPr="001C098B" w:rsidRDefault="0077216E" w:rsidP="0077216E">
      <w:pPr>
        <w:numPr>
          <w:ilvl w:val="0"/>
          <w:numId w:val="17"/>
        </w:numPr>
        <w:rPr>
          <w:rFonts w:ascii="Times New Roman" w:hAnsi="Times New Roman" w:cs="Times New Roman"/>
          <w:sz w:val="24"/>
          <w:szCs w:val="24"/>
        </w:rPr>
      </w:pPr>
      <m:oMath>
        <m:r>
          <w:rPr>
            <w:rFonts w:ascii="Cambria Math" w:hAnsi="Cambria Math" w:cs="Times New Roman"/>
            <w:sz w:val="24"/>
            <w:szCs w:val="24"/>
          </w:rPr>
          <m:t>Q</m:t>
        </m:r>
      </m:oMath>
      <w:r w:rsidRPr="001C098B">
        <w:rPr>
          <w:rFonts w:ascii="Times New Roman" w:hAnsi="Times New Roman" w:cs="Times New Roman"/>
          <w:sz w:val="24"/>
          <w:szCs w:val="24"/>
        </w:rPr>
        <w:t xml:space="preserve">= Mean river flow rate or mean discharge (e.g., in </w:t>
      </w:r>
      <w:r w:rsidRPr="001C098B">
        <w:rPr>
          <w:rFonts w:ascii="Times New Roman" w:hAnsi="Times New Roman" w:cs="Times New Roman"/>
          <w:b/>
          <w:bCs/>
          <w:sz w:val="24"/>
          <w:szCs w:val="24"/>
        </w:rPr>
        <w:t>L/s</w:t>
      </w:r>
      <w:r w:rsidRPr="001C098B">
        <w:rPr>
          <w:rFonts w:ascii="Times New Roman" w:hAnsi="Times New Roman" w:cs="Times New Roman"/>
          <w:sz w:val="24"/>
          <w:szCs w:val="24"/>
        </w:rPr>
        <w:t xml:space="preserve"> or </w:t>
      </w:r>
      <w:r w:rsidRPr="001C098B">
        <w:rPr>
          <w:rFonts w:ascii="Times New Roman" w:hAnsi="Times New Roman" w:cs="Times New Roman"/>
          <w:b/>
          <w:bCs/>
          <w:sz w:val="24"/>
          <w:szCs w:val="24"/>
        </w:rPr>
        <w:t>m³/s</w:t>
      </w:r>
      <w:r w:rsidRPr="001C098B">
        <w:rPr>
          <w:rFonts w:ascii="Times New Roman" w:hAnsi="Times New Roman" w:cs="Times New Roman"/>
          <w:sz w:val="24"/>
          <w:szCs w:val="24"/>
        </w:rPr>
        <w:t>)</w:t>
      </w:r>
    </w:p>
    <w:p w14:paraId="5381AA82" w14:textId="77777777" w:rsidR="0077216E" w:rsidRPr="001C098B" w:rsidRDefault="0077216E" w:rsidP="0077216E">
      <w:pPr>
        <w:numPr>
          <w:ilvl w:val="0"/>
          <w:numId w:val="17"/>
        </w:numPr>
        <w:rPr>
          <w:rFonts w:ascii="Times New Roman" w:hAnsi="Times New Roman" w:cs="Times New Roman"/>
          <w:sz w:val="24"/>
          <w:szCs w:val="24"/>
        </w:rPr>
      </w:pPr>
      <m:oMath>
        <m:r>
          <m:rPr>
            <m:nor/>
          </m:rPr>
          <w:rPr>
            <w:rFonts w:ascii="Times New Roman" w:hAnsi="Times New Roman" w:cs="Times New Roman"/>
            <w:sz w:val="24"/>
            <w:szCs w:val="24"/>
          </w:rPr>
          <m:t>Pollution Load</m:t>
        </m:r>
        <m:r>
          <m:rPr>
            <m:nor/>
          </m:rPr>
          <w:rPr>
            <w:rFonts w:ascii="Times New Roman" w:hAnsi="Times New Roman" w:cs="Times New Roman"/>
            <w:sz w:val="24"/>
            <w:szCs w:val="24"/>
            <w:vertAlign w:val="subscript"/>
          </w:rPr>
          <m:t>i</m:t>
        </m:r>
      </m:oMath>
      <w:r w:rsidRPr="001C098B">
        <w:rPr>
          <w:rFonts w:ascii="Times New Roman" w:hAnsi="Times New Roman" w:cs="Times New Roman"/>
          <w:sz w:val="24"/>
          <w:szCs w:val="24"/>
          <w:vertAlign w:val="subscript"/>
        </w:rPr>
        <w:t xml:space="preserve"> </w:t>
      </w:r>
      <w:r w:rsidRPr="001C098B">
        <w:rPr>
          <w:rFonts w:ascii="Times New Roman" w:hAnsi="Times New Roman" w:cs="Times New Roman"/>
          <w:sz w:val="24"/>
          <w:szCs w:val="24"/>
        </w:rPr>
        <w:t xml:space="preserve">  (e.g., in </w:t>
      </w:r>
      <w:r w:rsidRPr="001C098B">
        <w:rPr>
          <w:rFonts w:ascii="Times New Roman" w:hAnsi="Times New Roman" w:cs="Times New Roman"/>
          <w:b/>
          <w:bCs/>
          <w:sz w:val="24"/>
          <w:szCs w:val="24"/>
        </w:rPr>
        <w:t>mg/s</w:t>
      </w:r>
      <w:r w:rsidRPr="001C098B">
        <w:rPr>
          <w:rFonts w:ascii="Times New Roman" w:hAnsi="Times New Roman" w:cs="Times New Roman"/>
          <w:sz w:val="24"/>
          <w:szCs w:val="24"/>
        </w:rPr>
        <w:t xml:space="preserve">, </w:t>
      </w:r>
      <w:r w:rsidRPr="001C098B">
        <w:rPr>
          <w:rFonts w:ascii="Times New Roman" w:hAnsi="Times New Roman" w:cs="Times New Roman"/>
          <w:b/>
          <w:bCs/>
          <w:sz w:val="24"/>
          <w:szCs w:val="24"/>
        </w:rPr>
        <w:t>kg/day</w:t>
      </w:r>
      <w:r w:rsidRPr="001C098B">
        <w:rPr>
          <w:rFonts w:ascii="Times New Roman" w:hAnsi="Times New Roman" w:cs="Times New Roman"/>
          <w:sz w:val="24"/>
          <w:szCs w:val="24"/>
        </w:rPr>
        <w:t>, depending on the unit conversion)</w:t>
      </w:r>
    </w:p>
    <w:p w14:paraId="30772587" w14:textId="77777777" w:rsidR="0077216E" w:rsidRPr="001C098B" w:rsidRDefault="0077216E" w:rsidP="0077216E">
      <w:pPr>
        <w:rPr>
          <w:rFonts w:ascii="Times New Roman" w:hAnsi="Times New Roman" w:cs="Times New Roman"/>
          <w:sz w:val="24"/>
          <w:szCs w:val="24"/>
        </w:rPr>
      </w:pPr>
      <w:r w:rsidRPr="001C098B">
        <w:rPr>
          <w:rFonts w:ascii="Times New Roman" w:hAnsi="Times New Roman" w:cs="Times New Roman"/>
          <w:sz w:val="24"/>
          <w:szCs w:val="24"/>
        </w:rPr>
        <w:t xml:space="preserve"> </w:t>
      </w:r>
    </w:p>
    <w:p w14:paraId="65E77FE3" w14:textId="77777777" w:rsidR="0077216E" w:rsidRPr="001C098B" w:rsidRDefault="0077216E" w:rsidP="0077216E">
      <w:pPr>
        <w:rPr>
          <w:rFonts w:ascii="Times New Roman" w:hAnsi="Times New Roman" w:cs="Times New Roman"/>
          <w:sz w:val="24"/>
          <w:szCs w:val="24"/>
        </w:rPr>
      </w:pPr>
      <w:r w:rsidRPr="001C098B">
        <w:rPr>
          <w:rFonts w:ascii="Times New Roman" w:hAnsi="Times New Roman" w:cs="Times New Roman"/>
          <w:sz w:val="24"/>
          <w:szCs w:val="24"/>
        </w:rPr>
        <w:t xml:space="preserve">Data on annual mean concentration of the I- water quality parameter and mean river discharge were collected from environmental statistics of Indonesia.    </w:t>
      </w:r>
    </w:p>
    <w:p w14:paraId="7D220B1E" w14:textId="77777777" w:rsidR="0077216E" w:rsidRPr="001C098B" w:rsidRDefault="0077216E" w:rsidP="0077216E">
      <w:pPr>
        <w:rPr>
          <w:rFonts w:ascii="Times New Roman" w:hAnsi="Times New Roman" w:cs="Times New Roman"/>
          <w:b/>
          <w:bCs/>
          <w:sz w:val="24"/>
          <w:szCs w:val="24"/>
        </w:rPr>
      </w:pPr>
      <w:r w:rsidRPr="001C098B">
        <w:rPr>
          <w:rFonts w:ascii="Times New Roman" w:hAnsi="Times New Roman" w:cs="Times New Roman"/>
          <w:b/>
          <w:bCs/>
          <w:sz w:val="24"/>
          <w:szCs w:val="24"/>
        </w:rPr>
        <w:t xml:space="preserve">Appendix 3. </w:t>
      </w:r>
      <w:r w:rsidRPr="001C098B">
        <w:rPr>
          <w:rFonts w:ascii="Times New Roman" w:hAnsi="Times New Roman" w:cs="Times New Roman"/>
          <w:sz w:val="24"/>
          <w:szCs w:val="24"/>
        </w:rPr>
        <w:t xml:space="preserve">Methods for calculating River Water Quality (WRQI-IKA) (Environment and Forestry </w:t>
      </w:r>
      <w:r w:rsidRPr="001C098B">
        <w:rPr>
          <w:rFonts w:ascii="Times New Roman" w:hAnsi="Times New Roman" w:cs="Times New Roman"/>
          <w:color w:val="000000" w:themeColor="text1"/>
          <w:sz w:val="24"/>
          <w:szCs w:val="24"/>
        </w:rPr>
        <w:t>Ministerial Regulation No. 27 of 2021)</w:t>
      </w:r>
      <w:r w:rsidRPr="001C098B">
        <w:rPr>
          <w:rFonts w:ascii="Times New Roman" w:hAnsi="Times New Roman" w:cs="Times New Roman"/>
          <w:sz w:val="24"/>
          <w:szCs w:val="24"/>
        </w:rPr>
        <w:t xml:space="preserve"> </w:t>
      </w:r>
    </w:p>
    <w:p w14:paraId="1E116E12" w14:textId="77777777" w:rsidR="0077216E" w:rsidRPr="001C098B" w:rsidRDefault="0077216E" w:rsidP="0077216E">
      <w:pPr>
        <w:jc w:val="both"/>
        <w:rPr>
          <w:rFonts w:ascii="Times New Roman" w:hAnsi="Times New Roman" w:cs="Times New Roman"/>
          <w:sz w:val="24"/>
          <w:szCs w:val="24"/>
        </w:rPr>
      </w:pPr>
      <w:r w:rsidRPr="001C098B">
        <w:rPr>
          <w:rFonts w:ascii="Times New Roman" w:hAnsi="Times New Roman" w:cs="Times New Roman"/>
          <w:sz w:val="24"/>
          <w:szCs w:val="24"/>
        </w:rPr>
        <w:t xml:space="preserve">The IKA is a composite index summarizing key water quality parameters—including </w:t>
      </w:r>
      <w:bookmarkStart w:id="0" w:name="_Hlk213549603"/>
      <w:r w:rsidRPr="001C098B">
        <w:rPr>
          <w:rFonts w:ascii="Times New Roman" w:hAnsi="Times New Roman" w:cs="Times New Roman"/>
          <w:sz w:val="24"/>
          <w:szCs w:val="24"/>
        </w:rPr>
        <w:t xml:space="preserve">pH, BOD, COD, TSS, DO, NO₃‑N, total phosphate, and fecal coliform </w:t>
      </w:r>
      <w:bookmarkEnd w:id="0"/>
      <w:r w:rsidRPr="001C098B">
        <w:rPr>
          <w:rFonts w:ascii="Times New Roman" w:hAnsi="Times New Roman" w:cs="Times New Roman"/>
          <w:sz w:val="24"/>
          <w:szCs w:val="24"/>
        </w:rPr>
        <w:t xml:space="preserve">counts—and is calculated using weighted sub‑indices on a 0–100 scale.  The classification thresholds used above are based on the standard national interpretation:  </w:t>
      </w:r>
    </w:p>
    <w:p w14:paraId="1DB858DF" w14:textId="77777777" w:rsidR="0077216E" w:rsidRPr="001C098B" w:rsidRDefault="0077216E" w:rsidP="0077216E">
      <w:pPr>
        <w:pStyle w:val="ListParagraph"/>
        <w:numPr>
          <w:ilvl w:val="0"/>
          <w:numId w:val="14"/>
        </w:numPr>
        <w:spacing w:after="0" w:line="240" w:lineRule="auto"/>
        <w:contextualSpacing w:val="0"/>
        <w:rPr>
          <w:rFonts w:ascii="Times New Roman" w:hAnsi="Times New Roman" w:cs="Times New Roman"/>
          <w:sz w:val="24"/>
          <w:szCs w:val="24"/>
        </w:rPr>
      </w:pPr>
      <w:r w:rsidRPr="001C098B">
        <w:rPr>
          <w:rFonts w:ascii="Times New Roman" w:hAnsi="Times New Roman" w:cs="Times New Roman"/>
          <w:sz w:val="24"/>
          <w:szCs w:val="24"/>
        </w:rPr>
        <w:t>Very Good: 90-100</w:t>
      </w:r>
    </w:p>
    <w:p w14:paraId="44361C8F" w14:textId="77777777" w:rsidR="0077216E" w:rsidRPr="001C098B" w:rsidRDefault="0077216E" w:rsidP="0077216E">
      <w:pPr>
        <w:pStyle w:val="ListParagraph"/>
        <w:numPr>
          <w:ilvl w:val="0"/>
          <w:numId w:val="14"/>
        </w:numPr>
        <w:spacing w:after="0" w:line="240" w:lineRule="auto"/>
        <w:contextualSpacing w:val="0"/>
        <w:rPr>
          <w:rFonts w:ascii="Times New Roman" w:hAnsi="Times New Roman" w:cs="Times New Roman"/>
          <w:sz w:val="24"/>
          <w:szCs w:val="24"/>
        </w:rPr>
      </w:pPr>
      <w:r w:rsidRPr="001C098B">
        <w:rPr>
          <w:rFonts w:ascii="Times New Roman" w:hAnsi="Times New Roman" w:cs="Times New Roman"/>
          <w:sz w:val="24"/>
          <w:szCs w:val="24"/>
        </w:rPr>
        <w:t>Good: 70-89</w:t>
      </w:r>
    </w:p>
    <w:p w14:paraId="6AF2609B" w14:textId="77777777" w:rsidR="0077216E" w:rsidRPr="001C098B" w:rsidRDefault="0077216E" w:rsidP="0077216E">
      <w:pPr>
        <w:pStyle w:val="ListParagraph"/>
        <w:numPr>
          <w:ilvl w:val="0"/>
          <w:numId w:val="14"/>
        </w:numPr>
        <w:spacing w:after="0" w:line="240" w:lineRule="auto"/>
        <w:contextualSpacing w:val="0"/>
        <w:rPr>
          <w:rFonts w:ascii="Times New Roman" w:hAnsi="Times New Roman" w:cs="Times New Roman"/>
          <w:sz w:val="24"/>
          <w:szCs w:val="24"/>
        </w:rPr>
      </w:pPr>
      <w:r w:rsidRPr="001C098B">
        <w:rPr>
          <w:rFonts w:ascii="Times New Roman" w:hAnsi="Times New Roman" w:cs="Times New Roman"/>
          <w:sz w:val="24"/>
          <w:szCs w:val="24"/>
        </w:rPr>
        <w:t>Moderate: 50-69</w:t>
      </w:r>
    </w:p>
    <w:p w14:paraId="6F70FF29" w14:textId="77777777" w:rsidR="0077216E" w:rsidRPr="001C098B" w:rsidRDefault="0077216E" w:rsidP="0077216E">
      <w:pPr>
        <w:pStyle w:val="ListParagraph"/>
        <w:numPr>
          <w:ilvl w:val="0"/>
          <w:numId w:val="14"/>
        </w:numPr>
        <w:spacing w:after="0" w:line="240" w:lineRule="auto"/>
        <w:contextualSpacing w:val="0"/>
        <w:rPr>
          <w:rFonts w:ascii="Times New Roman" w:hAnsi="Times New Roman" w:cs="Times New Roman"/>
          <w:sz w:val="24"/>
          <w:szCs w:val="24"/>
        </w:rPr>
      </w:pPr>
      <w:r w:rsidRPr="001C098B">
        <w:rPr>
          <w:rFonts w:ascii="Times New Roman" w:hAnsi="Times New Roman" w:cs="Times New Roman"/>
          <w:sz w:val="24"/>
          <w:szCs w:val="24"/>
        </w:rPr>
        <w:t>Poor: 25-49</w:t>
      </w:r>
    </w:p>
    <w:p w14:paraId="5CF9B49D" w14:textId="77777777" w:rsidR="0077216E" w:rsidRPr="001C098B" w:rsidRDefault="0077216E" w:rsidP="0077216E">
      <w:pPr>
        <w:pStyle w:val="ListParagraph"/>
        <w:numPr>
          <w:ilvl w:val="0"/>
          <w:numId w:val="14"/>
        </w:numPr>
        <w:spacing w:after="0" w:line="240" w:lineRule="auto"/>
        <w:contextualSpacing w:val="0"/>
        <w:rPr>
          <w:rFonts w:ascii="Times New Roman" w:hAnsi="Times New Roman" w:cs="Times New Roman"/>
          <w:sz w:val="24"/>
          <w:szCs w:val="24"/>
        </w:rPr>
      </w:pPr>
      <w:r w:rsidRPr="001C098B">
        <w:rPr>
          <w:rFonts w:ascii="Times New Roman" w:hAnsi="Times New Roman" w:cs="Times New Roman"/>
          <w:sz w:val="24"/>
          <w:szCs w:val="24"/>
        </w:rPr>
        <w:t>Very Poor: 10-24</w:t>
      </w:r>
    </w:p>
    <w:p w14:paraId="7292DA73" w14:textId="77777777" w:rsidR="0077216E" w:rsidRPr="001C098B" w:rsidRDefault="0077216E" w:rsidP="0077216E">
      <w:pPr>
        <w:spacing w:before="160" w:line="240" w:lineRule="auto"/>
        <w:ind w:firstLine="567"/>
        <w:jc w:val="both"/>
        <w:rPr>
          <w:rFonts w:ascii="Times New Roman" w:hAnsi="Times New Roman" w:cs="Times New Roman"/>
          <w:sz w:val="24"/>
          <w:szCs w:val="24"/>
        </w:rPr>
      </w:pPr>
      <w:r w:rsidRPr="001C098B">
        <w:rPr>
          <w:rFonts w:ascii="Times New Roman" w:hAnsi="Times New Roman" w:cs="Times New Roman"/>
          <w:sz w:val="24"/>
          <w:szCs w:val="24"/>
        </w:rPr>
        <w:t>For each water-use category </w:t>
      </w:r>
      <w:r w:rsidRPr="001C098B">
        <w:rPr>
          <w:rFonts w:ascii="Times New Roman" w:hAnsi="Times New Roman" w:cs="Times New Roman"/>
          <w:i/>
          <w:iCs/>
          <w:sz w:val="24"/>
          <w:szCs w:val="24"/>
        </w:rPr>
        <w:t>j</w:t>
      </w:r>
      <w:r w:rsidRPr="001C098B">
        <w:rPr>
          <w:rFonts w:ascii="Times New Roman" w:hAnsi="Times New Roman" w:cs="Times New Roman"/>
          <w:sz w:val="24"/>
          <w:szCs w:val="24"/>
        </w:rPr>
        <w:t xml:space="preserve"> (e.g. domestic use, aquatic life), a Pollution Index (IPₙ) is calculated using multiple water quality parameters:</w:t>
      </w:r>
    </w:p>
    <w:p w14:paraId="06D371CE" w14:textId="77777777" w:rsidR="0077216E" w:rsidRPr="001C098B" w:rsidRDefault="0077216E" w:rsidP="0077216E">
      <w:pPr>
        <w:spacing w:after="0" w:line="240" w:lineRule="auto"/>
        <w:jc w:val="center"/>
        <w:rPr>
          <w:rFonts w:ascii="Times New Roman" w:hAnsi="Times New Roman" w:cs="Times New Roman"/>
          <w:sz w:val="24"/>
          <w:szCs w:val="24"/>
        </w:rPr>
      </w:pPr>
      <w:r w:rsidRPr="001C098B">
        <w:rPr>
          <w:rFonts w:ascii="Times New Roman" w:hAnsi="Times New Roman" w:cs="Times New Roman"/>
          <w:sz w:val="24"/>
          <w:szCs w:val="24"/>
        </w:rPr>
        <w:t>IP</w:t>
      </w:r>
      <w:r w:rsidRPr="001C098B">
        <w:rPr>
          <w:rFonts w:ascii="Times New Roman" w:hAnsi="Times New Roman" w:cs="Times New Roman"/>
          <w:sz w:val="24"/>
          <w:szCs w:val="24"/>
          <w:vertAlign w:val="subscript"/>
        </w:rPr>
        <w:t>j</w:t>
      </w:r>
      <w:r w:rsidRPr="001C098B">
        <w:rPr>
          <w:rFonts w:ascii="Times New Roman" w:hAnsi="Times New Roman" w:cs="Times New Roman"/>
          <w:sz w:val="24"/>
          <w:szCs w:val="24"/>
        </w:rPr>
        <w:t xml:space="preserve"> = </w:t>
      </w:r>
      <m:oMath>
        <m:rad>
          <m:radPr>
            <m:degHide m:val="1"/>
            <m:ctrlPr>
              <w:rPr>
                <w:rFonts w:ascii="Cambria Math" w:hAnsi="Cambria Math" w:cs="Times New Roman"/>
                <w:i/>
                <w:sz w:val="24"/>
                <w:szCs w:val="24"/>
              </w:rPr>
            </m:ctrlPr>
          </m:radPr>
          <m:deg/>
          <m:e>
            <m:f>
              <m:fPr>
                <m:ctrlPr>
                  <w:rPr>
                    <w:rFonts w:ascii="Cambria Math" w:hAnsi="Cambria Math" w:cs="Times New Roman"/>
                    <w:i/>
                    <w:sz w:val="24"/>
                    <w:szCs w:val="24"/>
                  </w:rPr>
                </m:ctrlPr>
              </m:fPr>
              <m:num>
                <m:f>
                  <m:fPr>
                    <m:ctrlPr>
                      <w:rPr>
                        <w:rFonts w:ascii="Cambria Math" w:hAnsi="Cambria Math" w:cs="Times New Roman"/>
                        <w:sz w:val="24"/>
                        <w:szCs w:val="24"/>
                      </w:rPr>
                    </m:ctrlPr>
                  </m:fPr>
                  <m:num>
                    <m:r>
                      <w:rPr>
                        <w:rFonts w:ascii="Cambria Math" w:hAnsi="Cambria Math" w:cs="Times New Roman"/>
                        <w:sz w:val="24"/>
                        <w:szCs w:val="24"/>
                      </w:rPr>
                      <m:t>Ci</m:t>
                    </m:r>
                  </m:num>
                  <m:den>
                    <m:r>
                      <w:rPr>
                        <w:rFonts w:ascii="Cambria Math" w:hAnsi="Cambria Math" w:cs="Times New Roman"/>
                        <w:sz w:val="24"/>
                        <w:szCs w:val="24"/>
                      </w:rPr>
                      <m:t>Lij</m:t>
                    </m:r>
                  </m:den>
                </m:f>
                <m:r>
                  <w:rPr>
                    <w:rFonts w:ascii="Cambria Math" w:hAnsi="Cambria Math" w:cs="Times New Roman"/>
                    <w:sz w:val="24"/>
                    <w:szCs w:val="24"/>
                  </w:rPr>
                  <m:t xml:space="preserve"> </m:t>
                </m:r>
                <m:sSup>
                  <m:sSupPr>
                    <m:ctrlPr>
                      <w:rPr>
                        <w:rFonts w:ascii="Cambria Math" w:hAnsi="Cambria Math" w:cs="Times New Roman"/>
                        <w:i/>
                        <w:sz w:val="24"/>
                        <w:szCs w:val="24"/>
                      </w:rPr>
                    </m:ctrlPr>
                  </m:sSupPr>
                  <m:e>
                    <m:r>
                      <w:rPr>
                        <w:rFonts w:ascii="Cambria Math" w:hAnsi="Cambria Math" w:cs="Times New Roman"/>
                        <w:sz w:val="24"/>
                        <w:szCs w:val="24"/>
                      </w:rPr>
                      <m:t>M</m:t>
                    </m:r>
                  </m:e>
                  <m:sup>
                    <m:r>
                      <w:rPr>
                        <w:rFonts w:ascii="Cambria Math" w:hAnsi="Cambria Math" w:cs="Times New Roman"/>
                        <w:sz w:val="24"/>
                        <w:szCs w:val="24"/>
                      </w:rPr>
                      <m:t>2</m:t>
                    </m:r>
                  </m:sup>
                </m:sSup>
                <m:r>
                  <w:rPr>
                    <w:rFonts w:ascii="Cambria Math" w:hAnsi="Cambria Math" w:cs="Times New Roman"/>
                    <w:sz w:val="24"/>
                    <w:szCs w:val="24"/>
                  </w:rPr>
                  <m:t xml:space="preserve"> + </m:t>
                </m:r>
                <m:f>
                  <m:fPr>
                    <m:ctrlPr>
                      <w:rPr>
                        <w:rFonts w:ascii="Cambria Math" w:hAnsi="Cambria Math" w:cs="Times New Roman"/>
                        <w:sz w:val="24"/>
                        <w:szCs w:val="24"/>
                      </w:rPr>
                    </m:ctrlPr>
                  </m:fPr>
                  <m:num>
                    <m:r>
                      <w:rPr>
                        <w:rFonts w:ascii="Cambria Math" w:hAnsi="Cambria Math" w:cs="Times New Roman"/>
                        <w:sz w:val="24"/>
                        <w:szCs w:val="24"/>
                      </w:rPr>
                      <m:t>Ci</m:t>
                    </m:r>
                  </m:num>
                  <m:den>
                    <m:r>
                      <w:rPr>
                        <w:rFonts w:ascii="Cambria Math" w:hAnsi="Cambria Math" w:cs="Times New Roman"/>
                        <w:sz w:val="24"/>
                        <w:szCs w:val="24"/>
                      </w:rPr>
                      <m:t>Lij</m:t>
                    </m:r>
                  </m:den>
                </m:f>
                <m:sSup>
                  <m:sSupPr>
                    <m:ctrlPr>
                      <w:rPr>
                        <w:rFonts w:ascii="Cambria Math" w:hAnsi="Cambria Math" w:cs="Times New Roman"/>
                        <w:i/>
                        <w:sz w:val="24"/>
                        <w:szCs w:val="24"/>
                      </w:rPr>
                    </m:ctrlPr>
                  </m:sSupPr>
                  <m:e>
                    <m:r>
                      <w:rPr>
                        <w:rFonts w:ascii="Cambria Math" w:hAnsi="Cambria Math" w:cs="Times New Roman"/>
                        <w:sz w:val="24"/>
                        <w:szCs w:val="24"/>
                      </w:rPr>
                      <m:t>R</m:t>
                    </m:r>
                  </m:e>
                  <m:sup>
                    <m:r>
                      <w:rPr>
                        <w:rFonts w:ascii="Cambria Math" w:hAnsi="Cambria Math" w:cs="Times New Roman"/>
                        <w:sz w:val="24"/>
                        <w:szCs w:val="24"/>
                      </w:rPr>
                      <m:t>2</m:t>
                    </m:r>
                  </m:sup>
                </m:sSup>
              </m:num>
              <m:den>
                <m:r>
                  <w:rPr>
                    <w:rFonts w:ascii="Cambria Math" w:hAnsi="Cambria Math" w:cs="Times New Roman"/>
                    <w:sz w:val="24"/>
                    <w:szCs w:val="24"/>
                  </w:rPr>
                  <m:t>2</m:t>
                </m:r>
              </m:den>
            </m:f>
          </m:e>
        </m:rad>
      </m:oMath>
    </w:p>
    <w:p w14:paraId="78C1A168" w14:textId="77777777" w:rsidR="0077216E" w:rsidRPr="001C098B" w:rsidRDefault="0077216E" w:rsidP="0077216E">
      <w:pPr>
        <w:numPr>
          <w:ilvl w:val="0"/>
          <w:numId w:val="13"/>
        </w:numPr>
        <w:spacing w:before="160" w:after="0" w:line="240" w:lineRule="auto"/>
        <w:ind w:left="714" w:hanging="357"/>
        <w:jc w:val="both"/>
        <w:rPr>
          <w:rFonts w:ascii="Times New Roman" w:hAnsi="Times New Roman" w:cs="Times New Roman"/>
          <w:sz w:val="24"/>
          <w:szCs w:val="24"/>
        </w:rPr>
      </w:pPr>
      <w:r w:rsidRPr="001C098B">
        <w:rPr>
          <w:rFonts w:ascii="Times New Roman" w:hAnsi="Times New Roman" w:cs="Times New Roman"/>
          <w:sz w:val="24"/>
          <w:szCs w:val="24"/>
        </w:rPr>
        <w:t xml:space="preserve">Ci is the measured concentration of parameter </w:t>
      </w:r>
      <w:r w:rsidRPr="001C098B">
        <w:rPr>
          <w:rFonts w:ascii="Times New Roman" w:hAnsi="Times New Roman" w:cs="Times New Roman"/>
          <w:i/>
          <w:iCs/>
          <w:sz w:val="24"/>
          <w:szCs w:val="24"/>
        </w:rPr>
        <w:t>i</w:t>
      </w:r>
      <w:r w:rsidRPr="001C098B">
        <w:rPr>
          <w:rFonts w:ascii="Times New Roman" w:hAnsi="Times New Roman" w:cs="Times New Roman"/>
          <w:sz w:val="24"/>
          <w:szCs w:val="24"/>
        </w:rPr>
        <w:t xml:space="preserve"> (e.g. DO, BOD, COD, pH, TSS, total phosphate, nitrate, fecal coliform).</w:t>
      </w:r>
    </w:p>
    <w:p w14:paraId="375A0E1D" w14:textId="77777777" w:rsidR="0077216E" w:rsidRPr="001C098B" w:rsidRDefault="0077216E" w:rsidP="0077216E">
      <w:pPr>
        <w:numPr>
          <w:ilvl w:val="0"/>
          <w:numId w:val="13"/>
        </w:numPr>
        <w:spacing w:after="0" w:line="240" w:lineRule="auto"/>
        <w:ind w:left="714" w:hanging="357"/>
        <w:jc w:val="both"/>
        <w:rPr>
          <w:rFonts w:ascii="Times New Roman" w:hAnsi="Times New Roman" w:cs="Times New Roman"/>
          <w:sz w:val="24"/>
          <w:szCs w:val="24"/>
        </w:rPr>
      </w:pPr>
      <w:r w:rsidRPr="001C098B">
        <w:rPr>
          <w:rFonts w:ascii="Times New Roman" w:hAnsi="Times New Roman" w:cs="Times New Roman"/>
          <w:sz w:val="24"/>
          <w:szCs w:val="24"/>
        </w:rPr>
        <w:t xml:space="preserve">Lij​ is the regulatory standard (limit) for that parameter relative to water use </w:t>
      </w:r>
      <w:r w:rsidRPr="001C098B">
        <w:rPr>
          <w:rFonts w:ascii="Times New Roman" w:hAnsi="Times New Roman" w:cs="Times New Roman"/>
          <w:i/>
          <w:iCs/>
          <w:sz w:val="24"/>
          <w:szCs w:val="24"/>
        </w:rPr>
        <w:t>j</w:t>
      </w:r>
      <w:r w:rsidRPr="001C098B">
        <w:rPr>
          <w:rFonts w:ascii="Times New Roman" w:hAnsi="Times New Roman" w:cs="Times New Roman"/>
          <w:sz w:val="24"/>
          <w:szCs w:val="24"/>
        </w:rPr>
        <w:t xml:space="preserve"> (e.g. Class II river standard per PP 22/2021).</w:t>
      </w:r>
    </w:p>
    <w:p w14:paraId="14DC47C7" w14:textId="77777777" w:rsidR="0077216E" w:rsidRPr="001C098B" w:rsidRDefault="0077216E" w:rsidP="0077216E">
      <w:pPr>
        <w:rPr>
          <w:rFonts w:ascii="Times New Roman" w:hAnsi="Times New Roman" w:cs="Times New Roman"/>
          <w:sz w:val="24"/>
          <w:szCs w:val="24"/>
        </w:rPr>
      </w:pPr>
    </w:p>
    <w:p w14:paraId="61BA5D94" w14:textId="77777777" w:rsidR="0077216E" w:rsidRPr="001C098B" w:rsidRDefault="0077216E" w:rsidP="0077216E">
      <w:pPr>
        <w:rPr>
          <w:rFonts w:ascii="Times New Roman" w:hAnsi="Times New Roman" w:cs="Times New Roman"/>
          <w:sz w:val="24"/>
          <w:szCs w:val="24"/>
        </w:rPr>
      </w:pPr>
      <w:r w:rsidRPr="001C098B">
        <w:rPr>
          <w:rFonts w:ascii="Times New Roman" w:hAnsi="Times New Roman" w:cs="Times New Roman"/>
          <w:sz w:val="24"/>
          <w:szCs w:val="24"/>
        </w:rPr>
        <w:t>Commonly measured parameters for Indonesian river WQI include:</w:t>
      </w:r>
    </w:p>
    <w:p w14:paraId="45A4F120" w14:textId="77777777" w:rsidR="0077216E" w:rsidRPr="001C098B" w:rsidRDefault="0077216E" w:rsidP="0077216E">
      <w:pPr>
        <w:numPr>
          <w:ilvl w:val="0"/>
          <w:numId w:val="12"/>
        </w:numPr>
        <w:spacing w:after="0"/>
        <w:ind w:left="714" w:hanging="357"/>
        <w:rPr>
          <w:rFonts w:ascii="Times New Roman" w:hAnsi="Times New Roman" w:cs="Times New Roman"/>
          <w:sz w:val="24"/>
          <w:szCs w:val="24"/>
        </w:rPr>
      </w:pPr>
      <w:r w:rsidRPr="001C098B">
        <w:rPr>
          <w:rFonts w:ascii="Times New Roman" w:hAnsi="Times New Roman" w:cs="Times New Roman"/>
          <w:sz w:val="24"/>
          <w:szCs w:val="24"/>
        </w:rPr>
        <w:t>pH</w:t>
      </w:r>
    </w:p>
    <w:p w14:paraId="63C323DA" w14:textId="77777777" w:rsidR="0077216E" w:rsidRPr="001C098B" w:rsidRDefault="0077216E" w:rsidP="0077216E">
      <w:pPr>
        <w:numPr>
          <w:ilvl w:val="0"/>
          <w:numId w:val="12"/>
        </w:numPr>
        <w:spacing w:after="0"/>
        <w:ind w:left="714" w:hanging="357"/>
        <w:rPr>
          <w:rFonts w:ascii="Times New Roman" w:hAnsi="Times New Roman" w:cs="Times New Roman"/>
          <w:sz w:val="24"/>
          <w:szCs w:val="24"/>
        </w:rPr>
      </w:pPr>
      <w:r w:rsidRPr="001C098B">
        <w:rPr>
          <w:rFonts w:ascii="Times New Roman" w:hAnsi="Times New Roman" w:cs="Times New Roman"/>
          <w:sz w:val="24"/>
          <w:szCs w:val="24"/>
        </w:rPr>
        <w:t>Dissolved Oxygen (DO)</w:t>
      </w:r>
    </w:p>
    <w:p w14:paraId="50434A1F" w14:textId="77777777" w:rsidR="0077216E" w:rsidRPr="001C098B" w:rsidRDefault="0077216E" w:rsidP="0077216E">
      <w:pPr>
        <w:numPr>
          <w:ilvl w:val="0"/>
          <w:numId w:val="12"/>
        </w:numPr>
        <w:spacing w:after="0"/>
        <w:ind w:left="714" w:hanging="357"/>
        <w:rPr>
          <w:rFonts w:ascii="Times New Roman" w:hAnsi="Times New Roman" w:cs="Times New Roman"/>
          <w:sz w:val="24"/>
          <w:szCs w:val="24"/>
        </w:rPr>
      </w:pPr>
      <w:r w:rsidRPr="001C098B">
        <w:rPr>
          <w:rFonts w:ascii="Times New Roman" w:hAnsi="Times New Roman" w:cs="Times New Roman"/>
          <w:sz w:val="24"/>
          <w:szCs w:val="24"/>
        </w:rPr>
        <w:t>Biochemical Oxygen Demand (BOD₅)</w:t>
      </w:r>
    </w:p>
    <w:p w14:paraId="407F5EA1" w14:textId="77777777" w:rsidR="0077216E" w:rsidRPr="001C098B" w:rsidRDefault="0077216E" w:rsidP="0077216E">
      <w:pPr>
        <w:numPr>
          <w:ilvl w:val="0"/>
          <w:numId w:val="12"/>
        </w:numPr>
        <w:spacing w:after="0"/>
        <w:ind w:left="714" w:hanging="357"/>
        <w:rPr>
          <w:rFonts w:ascii="Times New Roman" w:hAnsi="Times New Roman" w:cs="Times New Roman"/>
          <w:sz w:val="24"/>
          <w:szCs w:val="24"/>
        </w:rPr>
      </w:pPr>
      <w:r w:rsidRPr="001C098B">
        <w:rPr>
          <w:rFonts w:ascii="Times New Roman" w:hAnsi="Times New Roman" w:cs="Times New Roman"/>
          <w:sz w:val="24"/>
          <w:szCs w:val="24"/>
        </w:rPr>
        <w:t>Chemical Oxygen Demand (COD)</w:t>
      </w:r>
    </w:p>
    <w:p w14:paraId="715E1862" w14:textId="77777777" w:rsidR="0077216E" w:rsidRPr="001C098B" w:rsidRDefault="0077216E" w:rsidP="0077216E">
      <w:pPr>
        <w:numPr>
          <w:ilvl w:val="0"/>
          <w:numId w:val="12"/>
        </w:numPr>
        <w:spacing w:after="0"/>
        <w:ind w:left="714" w:hanging="357"/>
        <w:rPr>
          <w:rFonts w:ascii="Times New Roman" w:hAnsi="Times New Roman" w:cs="Times New Roman"/>
          <w:sz w:val="24"/>
          <w:szCs w:val="24"/>
        </w:rPr>
      </w:pPr>
      <w:r w:rsidRPr="001C098B">
        <w:rPr>
          <w:rFonts w:ascii="Times New Roman" w:hAnsi="Times New Roman" w:cs="Times New Roman"/>
          <w:sz w:val="24"/>
          <w:szCs w:val="24"/>
        </w:rPr>
        <w:t>Total Suspended Solids (TSS)</w:t>
      </w:r>
    </w:p>
    <w:p w14:paraId="41DA55E5" w14:textId="77777777" w:rsidR="0077216E" w:rsidRPr="001C098B" w:rsidRDefault="0077216E" w:rsidP="0077216E">
      <w:pPr>
        <w:numPr>
          <w:ilvl w:val="0"/>
          <w:numId w:val="12"/>
        </w:numPr>
        <w:spacing w:after="0"/>
        <w:ind w:left="714" w:hanging="357"/>
        <w:rPr>
          <w:rFonts w:ascii="Times New Roman" w:hAnsi="Times New Roman" w:cs="Times New Roman"/>
          <w:sz w:val="24"/>
          <w:szCs w:val="24"/>
        </w:rPr>
      </w:pPr>
      <w:r w:rsidRPr="001C098B">
        <w:rPr>
          <w:rFonts w:ascii="Times New Roman" w:hAnsi="Times New Roman" w:cs="Times New Roman"/>
          <w:sz w:val="24"/>
          <w:szCs w:val="24"/>
        </w:rPr>
        <w:t>Nitrate (NO₃</w:t>
      </w:r>
      <w:r w:rsidRPr="001C098B">
        <w:rPr>
          <w:rFonts w:ascii="Times New Roman" w:hAnsi="Times New Roman" w:cs="Times New Roman"/>
          <w:sz w:val="24"/>
          <w:szCs w:val="24"/>
        </w:rPr>
        <w:noBreakHyphen/>
        <w:t>N)</w:t>
      </w:r>
    </w:p>
    <w:p w14:paraId="701E1A6A" w14:textId="77777777" w:rsidR="0077216E" w:rsidRPr="001C098B" w:rsidRDefault="0077216E" w:rsidP="0077216E">
      <w:pPr>
        <w:numPr>
          <w:ilvl w:val="0"/>
          <w:numId w:val="12"/>
        </w:numPr>
        <w:spacing w:after="0"/>
        <w:ind w:left="714" w:hanging="357"/>
        <w:rPr>
          <w:rFonts w:ascii="Times New Roman" w:hAnsi="Times New Roman" w:cs="Times New Roman"/>
          <w:sz w:val="24"/>
          <w:szCs w:val="24"/>
        </w:rPr>
      </w:pPr>
      <w:r w:rsidRPr="001C098B">
        <w:rPr>
          <w:rFonts w:ascii="Times New Roman" w:hAnsi="Times New Roman" w:cs="Times New Roman"/>
          <w:sz w:val="24"/>
          <w:szCs w:val="24"/>
        </w:rPr>
        <w:t>Total Phosphate (T</w:t>
      </w:r>
      <w:r w:rsidRPr="001C098B">
        <w:rPr>
          <w:rFonts w:ascii="Times New Roman" w:hAnsi="Times New Roman" w:cs="Times New Roman"/>
          <w:sz w:val="24"/>
          <w:szCs w:val="24"/>
        </w:rPr>
        <w:noBreakHyphen/>
        <w:t>Phosphate)</w:t>
      </w:r>
    </w:p>
    <w:p w14:paraId="4DE847BF" w14:textId="77777777" w:rsidR="0077216E" w:rsidRPr="001C098B" w:rsidRDefault="0077216E" w:rsidP="0077216E">
      <w:pPr>
        <w:numPr>
          <w:ilvl w:val="0"/>
          <w:numId w:val="12"/>
        </w:numPr>
        <w:ind w:left="714" w:hanging="357"/>
        <w:rPr>
          <w:rFonts w:ascii="Times New Roman" w:hAnsi="Times New Roman" w:cs="Times New Roman"/>
          <w:sz w:val="24"/>
          <w:szCs w:val="24"/>
        </w:rPr>
      </w:pPr>
      <w:r w:rsidRPr="001C098B">
        <w:rPr>
          <w:rFonts w:ascii="Times New Roman" w:hAnsi="Times New Roman" w:cs="Times New Roman"/>
          <w:sz w:val="24"/>
          <w:szCs w:val="24"/>
        </w:rPr>
        <w:t>Fecal Coliform (or Total Coliform)</w:t>
      </w:r>
    </w:p>
    <w:p w14:paraId="6315524F" w14:textId="77777777" w:rsidR="0077216E" w:rsidRPr="001C098B" w:rsidRDefault="0077216E" w:rsidP="0077216E">
      <w:pPr>
        <w:rPr>
          <w:rFonts w:ascii="Times New Roman" w:hAnsi="Times New Roman" w:cs="Times New Roman"/>
          <w:b/>
          <w:bCs/>
          <w:sz w:val="24"/>
          <w:szCs w:val="24"/>
        </w:rPr>
      </w:pPr>
      <w:r w:rsidRPr="001C098B">
        <w:rPr>
          <w:rFonts w:ascii="Times New Roman" w:hAnsi="Times New Roman" w:cs="Times New Roman"/>
          <w:b/>
          <w:bCs/>
          <w:sz w:val="24"/>
          <w:szCs w:val="24"/>
        </w:rPr>
        <w:t>Appendix 4. Methods for calculating Sea Water Quality Index (SWQI-IKAL)</w:t>
      </w:r>
    </w:p>
    <w:p w14:paraId="44039E6E" w14:textId="77777777" w:rsidR="0077216E" w:rsidRPr="001C098B" w:rsidRDefault="0077216E" w:rsidP="0077216E">
      <w:pPr>
        <w:rPr>
          <w:rFonts w:ascii="Times New Roman" w:hAnsi="Times New Roman" w:cs="Times New Roman"/>
          <w:color w:val="000000" w:themeColor="text1"/>
          <w:sz w:val="24"/>
          <w:szCs w:val="24"/>
        </w:rPr>
      </w:pPr>
      <w:r w:rsidRPr="001C098B">
        <w:rPr>
          <w:rFonts w:ascii="Times New Roman" w:hAnsi="Times New Roman" w:cs="Times New Roman"/>
          <w:color w:val="000000" w:themeColor="text1"/>
          <w:sz w:val="24"/>
          <w:szCs w:val="24"/>
        </w:rPr>
        <w:t>Under Indonesia’s Ministerial Regulation No. 27 of 2021, the IKAL is calculated using five key parameters, based on the NSF‑WQI model adapted for marine waters:</w:t>
      </w:r>
    </w:p>
    <w:p w14:paraId="59E1B3DB" w14:textId="77777777" w:rsidR="0077216E" w:rsidRPr="001C098B" w:rsidRDefault="0077216E" w:rsidP="0077216E">
      <w:pPr>
        <w:pStyle w:val="ListParagraph"/>
        <w:numPr>
          <w:ilvl w:val="0"/>
          <w:numId w:val="18"/>
        </w:numPr>
        <w:rPr>
          <w:rFonts w:ascii="Times New Roman" w:hAnsi="Times New Roman" w:cs="Times New Roman"/>
          <w:color w:val="000000" w:themeColor="text1"/>
          <w:sz w:val="24"/>
          <w:szCs w:val="24"/>
        </w:rPr>
      </w:pPr>
      <w:bookmarkStart w:id="1" w:name="_Hlk213549320"/>
      <w:r w:rsidRPr="001C098B">
        <w:rPr>
          <w:rFonts w:ascii="Times New Roman" w:hAnsi="Times New Roman" w:cs="Times New Roman"/>
          <w:color w:val="000000" w:themeColor="text1"/>
          <w:sz w:val="24"/>
          <w:szCs w:val="24"/>
        </w:rPr>
        <w:t>Total Suspended Solids (TSS)</w:t>
      </w:r>
    </w:p>
    <w:p w14:paraId="42BDC6DA" w14:textId="77777777" w:rsidR="0077216E" w:rsidRPr="001C098B" w:rsidRDefault="0077216E" w:rsidP="0077216E">
      <w:pPr>
        <w:pStyle w:val="ListParagraph"/>
        <w:numPr>
          <w:ilvl w:val="0"/>
          <w:numId w:val="18"/>
        </w:numPr>
        <w:rPr>
          <w:rFonts w:ascii="Times New Roman" w:hAnsi="Times New Roman" w:cs="Times New Roman"/>
          <w:color w:val="000000" w:themeColor="text1"/>
          <w:sz w:val="24"/>
          <w:szCs w:val="24"/>
        </w:rPr>
      </w:pPr>
      <w:r w:rsidRPr="001C098B">
        <w:rPr>
          <w:rFonts w:ascii="Times New Roman" w:hAnsi="Times New Roman" w:cs="Times New Roman"/>
          <w:color w:val="000000" w:themeColor="text1"/>
          <w:sz w:val="24"/>
          <w:szCs w:val="24"/>
        </w:rPr>
        <w:t>Dissolved Oxygen (DO)</w:t>
      </w:r>
    </w:p>
    <w:p w14:paraId="0582816D" w14:textId="77777777" w:rsidR="0077216E" w:rsidRPr="001C098B" w:rsidRDefault="0077216E" w:rsidP="0077216E">
      <w:pPr>
        <w:pStyle w:val="ListParagraph"/>
        <w:numPr>
          <w:ilvl w:val="0"/>
          <w:numId w:val="18"/>
        </w:numPr>
        <w:rPr>
          <w:rFonts w:ascii="Times New Roman" w:hAnsi="Times New Roman" w:cs="Times New Roman"/>
          <w:color w:val="000000" w:themeColor="text1"/>
          <w:sz w:val="24"/>
          <w:szCs w:val="24"/>
        </w:rPr>
      </w:pPr>
      <w:r w:rsidRPr="001C098B">
        <w:rPr>
          <w:rFonts w:ascii="Times New Roman" w:hAnsi="Times New Roman" w:cs="Times New Roman"/>
          <w:color w:val="000000" w:themeColor="text1"/>
          <w:sz w:val="24"/>
          <w:szCs w:val="24"/>
        </w:rPr>
        <w:t>Oil and Grease</w:t>
      </w:r>
    </w:p>
    <w:p w14:paraId="7AABD91C" w14:textId="77777777" w:rsidR="0077216E" w:rsidRPr="001C098B" w:rsidRDefault="0077216E" w:rsidP="0077216E">
      <w:pPr>
        <w:pStyle w:val="ListParagraph"/>
        <w:numPr>
          <w:ilvl w:val="0"/>
          <w:numId w:val="18"/>
        </w:numPr>
        <w:rPr>
          <w:rFonts w:ascii="Times New Roman" w:hAnsi="Times New Roman" w:cs="Times New Roman"/>
          <w:color w:val="000000" w:themeColor="text1"/>
          <w:sz w:val="24"/>
          <w:szCs w:val="24"/>
        </w:rPr>
      </w:pPr>
      <w:r w:rsidRPr="001C098B">
        <w:rPr>
          <w:rFonts w:ascii="Times New Roman" w:hAnsi="Times New Roman" w:cs="Times New Roman"/>
          <w:color w:val="000000" w:themeColor="text1"/>
          <w:sz w:val="24"/>
          <w:szCs w:val="24"/>
        </w:rPr>
        <w:t>Total Ammonia (NH₃‑N)</w:t>
      </w:r>
    </w:p>
    <w:p w14:paraId="2DB4EEF3" w14:textId="77777777" w:rsidR="0077216E" w:rsidRPr="001C098B" w:rsidRDefault="0077216E" w:rsidP="0077216E">
      <w:pPr>
        <w:pStyle w:val="ListParagraph"/>
        <w:numPr>
          <w:ilvl w:val="0"/>
          <w:numId w:val="18"/>
        </w:numPr>
        <w:rPr>
          <w:rFonts w:ascii="Times New Roman" w:hAnsi="Times New Roman" w:cs="Times New Roman"/>
          <w:sz w:val="24"/>
          <w:szCs w:val="24"/>
        </w:rPr>
      </w:pPr>
      <w:r w:rsidRPr="001C098B">
        <w:rPr>
          <w:rFonts w:ascii="Times New Roman" w:hAnsi="Times New Roman" w:cs="Times New Roman"/>
          <w:color w:val="000000" w:themeColor="text1"/>
          <w:sz w:val="24"/>
          <w:szCs w:val="24"/>
        </w:rPr>
        <w:t>Ortho‑Phosphate (PO₄‑P)</w:t>
      </w:r>
    </w:p>
    <w:bookmarkEnd w:id="1"/>
    <w:p w14:paraId="113FA9C9" w14:textId="77777777" w:rsidR="0077216E" w:rsidRPr="001C098B" w:rsidRDefault="0077216E" w:rsidP="0077216E">
      <w:pPr>
        <w:rPr>
          <w:rFonts w:ascii="Times New Roman" w:hAnsi="Times New Roman" w:cs="Times New Roman"/>
          <w:sz w:val="24"/>
          <w:szCs w:val="24"/>
        </w:rPr>
      </w:pPr>
      <w:r w:rsidRPr="001C098B">
        <w:rPr>
          <w:rFonts w:ascii="Times New Roman" w:hAnsi="Times New Roman" w:cs="Times New Roman"/>
          <w:color w:val="000000" w:themeColor="text1"/>
          <w:sz w:val="24"/>
          <w:szCs w:val="24"/>
        </w:rPr>
        <w:t>These parameters were selected for their relevance to marine pollution sources and ecological impact, including turbidity, hypoxia, toxicity, and eutrophication potential.</w:t>
      </w:r>
    </w:p>
    <w:p w14:paraId="52613EC3" w14:textId="77777777" w:rsidR="0077216E" w:rsidRPr="001C098B" w:rsidRDefault="0077216E" w:rsidP="0077216E">
      <w:pPr>
        <w:rPr>
          <w:rFonts w:ascii="Times New Roman" w:hAnsi="Times New Roman" w:cs="Times New Roman"/>
          <w:sz w:val="24"/>
          <w:szCs w:val="24"/>
        </w:rPr>
      </w:pPr>
      <w:r w:rsidRPr="001C098B">
        <w:rPr>
          <w:rFonts w:ascii="Times New Roman" w:hAnsi="Times New Roman" w:cs="Times New Roman"/>
          <w:sz w:val="24"/>
          <w:szCs w:val="24"/>
        </w:rPr>
        <w:t>The Marine Water Quality Index (IKAL) is calculated as the sum of the sub-indices of each seawater parameter, multiplied by the weight of each parameter</w:t>
      </w:r>
    </w:p>
    <w:p w14:paraId="77B1A843" w14:textId="77777777" w:rsidR="0077216E" w:rsidRPr="001C098B" w:rsidRDefault="0077216E" w:rsidP="0077216E">
      <w:pPr>
        <w:rPr>
          <w:rFonts w:ascii="Times New Roman" w:hAnsi="Times New Roman" w:cs="Times New Roman"/>
          <w:sz w:val="24"/>
          <w:szCs w:val="24"/>
        </w:rPr>
      </w:pPr>
      <m:oMathPara>
        <m:oMath>
          <m:r>
            <m:rPr>
              <m:nor/>
            </m:rPr>
            <w:rPr>
              <w:rFonts w:ascii="Times New Roman" w:hAnsi="Times New Roman" w:cs="Times New Roman"/>
              <w:sz w:val="24"/>
              <w:szCs w:val="24"/>
            </w:rPr>
            <m:t>IKAL</m:t>
          </m:r>
          <m:r>
            <w:rPr>
              <w:rFonts w:ascii="Cambria Math" w:hAnsi="Cambria Math" w:cs="Times New Roman"/>
              <w:sz w:val="24"/>
              <w:szCs w:val="24"/>
            </w:rPr>
            <m:t>=</m:t>
          </m:r>
          <m:nary>
            <m:naryPr>
              <m:chr m:val="∑"/>
              <m:limLoc m:val="undOvr"/>
              <m:grow m:val="1"/>
              <m:ctrlPr>
                <w:rPr>
                  <w:rFonts w:ascii="Cambria Math" w:hAnsi="Cambria Math" w:cs="Times New Roman"/>
                  <w:sz w:val="24"/>
                  <w:szCs w:val="24"/>
                </w:rPr>
              </m:ctrlPr>
            </m:naryPr>
            <m:sub>
              <m:r>
                <w:rPr>
                  <w:rFonts w:ascii="Cambria Math" w:hAnsi="Cambria Math" w:cs="Times New Roman"/>
                  <w:sz w:val="24"/>
                  <w:szCs w:val="24"/>
                </w:rPr>
                <m:t>i=1</m:t>
              </m:r>
            </m:sub>
            <m:sup>
              <m:r>
                <w:rPr>
                  <w:rFonts w:ascii="Cambria Math" w:hAnsi="Cambria Math" w:cs="Times New Roman"/>
                  <w:sz w:val="24"/>
                  <w:szCs w:val="24"/>
                </w:rPr>
                <m:t>n</m:t>
              </m:r>
            </m:sup>
            <m:e/>
          </m:nary>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W</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r>
            <w:rPr>
              <w:rFonts w:ascii="Cambria Math" w:hAnsi="Cambria Math" w:cs="Times New Roman"/>
              <w:sz w:val="24"/>
              <w:szCs w:val="24"/>
            </w:rPr>
            <m:t>)</m:t>
          </m:r>
          <m:r>
            <m:rPr>
              <m:sty m:val="p"/>
            </m:rPr>
            <w:rPr>
              <w:rFonts w:ascii="Cambria Math" w:hAnsi="Cambria Math" w:cs="Times New Roman"/>
              <w:sz w:val="24"/>
              <w:szCs w:val="24"/>
            </w:rPr>
            <w:br/>
          </m:r>
        </m:oMath>
      </m:oMathPara>
      <w:r w:rsidRPr="001C098B">
        <w:rPr>
          <w:rFonts w:ascii="Times New Roman" w:hAnsi="Times New Roman" w:cs="Times New Roman"/>
          <w:sz w:val="24"/>
          <w:szCs w:val="24"/>
        </w:rPr>
        <w:t>where mana:</w:t>
      </w:r>
    </w:p>
    <w:p w14:paraId="759101FB" w14:textId="77777777" w:rsidR="0077216E" w:rsidRPr="001C098B" w:rsidRDefault="00A71269" w:rsidP="0077216E">
      <w:pPr>
        <w:numPr>
          <w:ilvl w:val="0"/>
          <w:numId w:val="16"/>
        </w:numPr>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oMath>
      <w:r w:rsidR="0077216E" w:rsidRPr="001C098B">
        <w:rPr>
          <w:rFonts w:ascii="Times New Roman" w:hAnsi="Times New Roman" w:cs="Times New Roman"/>
          <w:sz w:val="24"/>
          <w:szCs w:val="24"/>
        </w:rPr>
        <w:t>= sub</w:t>
      </w:r>
      <w:r w:rsidR="0077216E" w:rsidRPr="001C098B">
        <w:rPr>
          <w:rFonts w:ascii="Times New Roman" w:hAnsi="Times New Roman" w:cs="Times New Roman"/>
          <w:sz w:val="24"/>
          <w:szCs w:val="24"/>
        </w:rPr>
        <w:noBreakHyphen/>
        <w:t>index of i-parameter ke</w:t>
      </w:r>
      <w:r w:rsidR="0077216E" w:rsidRPr="001C098B">
        <w:rPr>
          <w:rFonts w:ascii="Times New Roman" w:hAnsi="Times New Roman" w:cs="Times New Roman"/>
          <w:sz w:val="24"/>
          <w:szCs w:val="24"/>
        </w:rPr>
        <w:noBreakHyphen/>
      </w:r>
      <m:oMath>
        <m:r>
          <w:rPr>
            <w:rFonts w:ascii="Cambria Math" w:hAnsi="Cambria Math" w:cs="Times New Roman"/>
            <w:sz w:val="24"/>
            <w:szCs w:val="24"/>
          </w:rPr>
          <m:t>i</m:t>
        </m:r>
      </m:oMath>
      <w:r w:rsidR="0077216E" w:rsidRPr="001C098B">
        <w:rPr>
          <w:rFonts w:ascii="Times New Roman" w:hAnsi="Times New Roman" w:cs="Times New Roman"/>
          <w:sz w:val="24"/>
          <w:szCs w:val="24"/>
        </w:rPr>
        <w:t xml:space="preserve"> </w:t>
      </w:r>
    </w:p>
    <w:p w14:paraId="5705ECE6" w14:textId="77777777" w:rsidR="0077216E" w:rsidRPr="001C098B" w:rsidRDefault="00A71269" w:rsidP="0077216E">
      <w:pPr>
        <w:numPr>
          <w:ilvl w:val="0"/>
          <w:numId w:val="16"/>
        </w:numPr>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W</m:t>
            </m:r>
          </m:e>
          <m:sub>
            <m:r>
              <w:rPr>
                <w:rFonts w:ascii="Cambria Math" w:hAnsi="Cambria Math" w:cs="Times New Roman"/>
                <w:sz w:val="24"/>
                <w:szCs w:val="24"/>
              </w:rPr>
              <m:t>i</m:t>
            </m:r>
          </m:sub>
        </m:sSub>
      </m:oMath>
      <w:r w:rsidR="0077216E" w:rsidRPr="001C098B">
        <w:rPr>
          <w:rFonts w:ascii="Times New Roman" w:hAnsi="Times New Roman" w:cs="Times New Roman"/>
          <w:sz w:val="24"/>
          <w:szCs w:val="24"/>
        </w:rPr>
        <w:t>= weighted score of i-parameter</w:t>
      </w:r>
    </w:p>
    <w:p w14:paraId="195E10FE" w14:textId="77777777" w:rsidR="0077216E" w:rsidRPr="001C098B" w:rsidRDefault="0077216E" w:rsidP="0077216E">
      <w:pPr>
        <w:numPr>
          <w:ilvl w:val="0"/>
          <w:numId w:val="16"/>
        </w:numPr>
        <w:rPr>
          <w:rFonts w:ascii="Times New Roman" w:hAnsi="Times New Roman" w:cs="Times New Roman"/>
          <w:sz w:val="24"/>
          <w:szCs w:val="24"/>
        </w:rPr>
      </w:pPr>
      <m:oMath>
        <m:r>
          <w:rPr>
            <w:rFonts w:ascii="Cambria Math" w:hAnsi="Cambria Math" w:cs="Times New Roman"/>
            <w:sz w:val="24"/>
            <w:szCs w:val="24"/>
          </w:rPr>
          <m:t>n</m:t>
        </m:r>
      </m:oMath>
      <w:r w:rsidRPr="001C098B">
        <w:rPr>
          <w:rFonts w:ascii="Times New Roman" w:hAnsi="Times New Roman" w:cs="Times New Roman"/>
          <w:sz w:val="24"/>
          <w:szCs w:val="24"/>
        </w:rPr>
        <w:t xml:space="preserve">=  number of  parameter  </w:t>
      </w:r>
    </w:p>
    <w:p w14:paraId="48BEA728" w14:textId="77777777" w:rsidR="0077216E" w:rsidRPr="001C098B" w:rsidRDefault="0077216E" w:rsidP="0077216E">
      <w:pPr>
        <w:rPr>
          <w:rFonts w:ascii="Times New Roman" w:hAnsi="Times New Roman" w:cs="Times New Roman"/>
          <w:sz w:val="24"/>
          <w:szCs w:val="24"/>
        </w:rPr>
      </w:pPr>
    </w:p>
    <w:p w14:paraId="551F7CED" w14:textId="77777777" w:rsidR="0077216E" w:rsidRPr="001C098B" w:rsidRDefault="0077216E" w:rsidP="0077216E">
      <w:pPr>
        <w:rPr>
          <w:rFonts w:ascii="Times New Roman" w:hAnsi="Times New Roman" w:cs="Times New Roman"/>
          <w:b/>
          <w:bCs/>
          <w:sz w:val="24"/>
          <w:szCs w:val="24"/>
        </w:rPr>
      </w:pPr>
      <w:r w:rsidRPr="001C098B">
        <w:rPr>
          <w:rFonts w:ascii="Times New Roman" w:hAnsi="Times New Roman" w:cs="Times New Roman"/>
          <w:b/>
          <w:bCs/>
          <w:sz w:val="24"/>
          <w:szCs w:val="24"/>
        </w:rPr>
        <w:t xml:space="preserve">Appendix 5.  Analysis of Risk Assessment </w:t>
      </w:r>
    </w:p>
    <w:p w14:paraId="3408704E" w14:textId="77777777" w:rsidR="0077216E" w:rsidRPr="001C098B" w:rsidRDefault="0077216E" w:rsidP="0077216E">
      <w:pPr>
        <w:jc w:val="both"/>
        <w:rPr>
          <w:rFonts w:ascii="Times New Roman" w:hAnsi="Times New Roman" w:cs="Times New Roman"/>
          <w:sz w:val="24"/>
          <w:szCs w:val="24"/>
        </w:rPr>
      </w:pPr>
      <w:r w:rsidRPr="001C098B">
        <w:rPr>
          <w:rFonts w:ascii="Times New Roman" w:hAnsi="Times New Roman" w:cs="Times New Roman"/>
          <w:sz w:val="24"/>
          <w:szCs w:val="24"/>
        </w:rPr>
        <w:t xml:space="preserve">Risk assessment is conducted using a risk analysis approach based on a simple formula that incorporates three key variables: probability, impacts, and adaptive capacity, within the context of a specific pollution scenario </w:t>
      </w:r>
      <w:bookmarkStart w:id="2" w:name="_Hlk211754032"/>
      <w:r w:rsidRPr="001C098B">
        <w:rPr>
          <w:rFonts w:ascii="Times New Roman" w:hAnsi="Times New Roman" w:cs="Times New Roman"/>
          <w:sz w:val="24"/>
          <w:szCs w:val="24"/>
        </w:rPr>
        <w:t>(Cornelly et al., 2018; Ortega et al., 2014).</w:t>
      </w:r>
      <w:bookmarkEnd w:id="2"/>
    </w:p>
    <w:p w14:paraId="42C942DE" w14:textId="77777777" w:rsidR="0077216E" w:rsidRPr="001C098B" w:rsidRDefault="0077216E" w:rsidP="0077216E">
      <w:pPr>
        <w:jc w:val="both"/>
        <w:rPr>
          <w:rFonts w:ascii="Times New Roman" w:hAnsi="Times New Roman" w:cs="Times New Roman"/>
          <w:sz w:val="24"/>
          <w:szCs w:val="24"/>
        </w:rPr>
      </w:pPr>
      <w:r w:rsidRPr="001C098B">
        <w:rPr>
          <w:rFonts w:ascii="Times New Roman" w:hAnsi="Times New Roman" w:cs="Times New Roman"/>
          <w:sz w:val="24"/>
          <w:szCs w:val="24"/>
        </w:rPr>
        <w:t>The variables probability and impacts are positively correlated with the level of risk—meaning that as their values increase, the overall risk also increases. Conversely, adaptive capacity is negatively correlated to risk value.</w:t>
      </w:r>
    </w:p>
    <w:p w14:paraId="3E171305" w14:textId="77777777" w:rsidR="0077216E" w:rsidRPr="001C098B" w:rsidRDefault="0077216E" w:rsidP="0077216E">
      <w:pPr>
        <w:jc w:val="both"/>
        <w:rPr>
          <w:rFonts w:ascii="Times New Roman" w:hAnsi="Times New Roman" w:cs="Times New Roman"/>
          <w:sz w:val="24"/>
          <w:szCs w:val="24"/>
        </w:rPr>
      </w:pPr>
      <w:r w:rsidRPr="001C098B">
        <w:rPr>
          <w:rFonts w:ascii="Times New Roman" w:hAnsi="Times New Roman" w:cs="Times New Roman"/>
          <w:sz w:val="24"/>
          <w:szCs w:val="24"/>
        </w:rPr>
        <w:t>Probability refers to the likelihood or potential for a specific pollution event to occur, which in this context is represented by the magnitude of pollution sources within a given area. Higher probability values indicate a greater risk. The probability is measured on a scale from 1 to 5.   The data for this variable represents the likelihood of a specific type of pollution occurring, based on its pollution source. The data was collected through discussions during focus group discussions (FGDs) as well as from available secondary data, such as environmental statistics from a given region. FGD participants were asked to assign a probability score ranging from 1 to 5, where a score of 1 indicates low probability, and a score of 5 indicates high probability.</w:t>
      </w:r>
    </w:p>
    <w:p w14:paraId="16416E87" w14:textId="77777777" w:rsidR="0077216E" w:rsidRPr="001C098B" w:rsidRDefault="0077216E" w:rsidP="0077216E">
      <w:pPr>
        <w:jc w:val="both"/>
        <w:rPr>
          <w:rFonts w:ascii="Times New Roman" w:hAnsi="Times New Roman" w:cs="Times New Roman"/>
          <w:sz w:val="24"/>
          <w:szCs w:val="24"/>
        </w:rPr>
      </w:pPr>
      <w:r w:rsidRPr="001C098B">
        <w:rPr>
          <w:rFonts w:ascii="Times New Roman" w:hAnsi="Times New Roman" w:cs="Times New Roman"/>
          <w:sz w:val="24"/>
          <w:szCs w:val="24"/>
        </w:rPr>
        <w:t>The next variable, impacts, comprises several sub-variables, including the existing water quality in the relevant coastal or marine waters, the deviation of parameter values from quality standards, social impacts, and ecological impacts. This variable is also positively correlated with the risk value—greater impacts are associated with higher levels of risk. Impacts are also scored on a scale from 1 to 5.   Impact data represents the severity of the consequences resulting from a specific pollution contamination event in a given area. The impact data consists of the following variables: (1) sea water quality index (IPAL), (2) water quality status relative to standards, (3) social impacts, and (4) ecological impacts. Each variable is assigned a score ranging from 1 to 5. FGD participants were asked to determine the score, where a score of 1 indicates low impact and a score of 5 indicates high impact.</w:t>
      </w:r>
    </w:p>
    <w:p w14:paraId="6739DDFF" w14:textId="77777777" w:rsidR="0077216E" w:rsidRPr="001C098B" w:rsidRDefault="0077216E" w:rsidP="0077216E">
      <w:pPr>
        <w:jc w:val="both"/>
        <w:rPr>
          <w:rFonts w:ascii="Times New Roman" w:hAnsi="Times New Roman" w:cs="Times New Roman"/>
          <w:sz w:val="24"/>
          <w:szCs w:val="24"/>
        </w:rPr>
      </w:pPr>
      <w:r w:rsidRPr="001C098B">
        <w:rPr>
          <w:rFonts w:ascii="Times New Roman" w:hAnsi="Times New Roman" w:cs="Times New Roman"/>
          <w:sz w:val="24"/>
          <w:szCs w:val="24"/>
        </w:rPr>
        <w:t>The final variable, adaptive capacity, represents the ability of a management unit to effectively manage a specific type of pollution within its administrative area. A higher adaptive capacity indicates stronger management capability, and therefore, is negatively correlated with risk. Adaptive capacity is also rated on a scale from 1 to 5.  Based on this assessment, adaptive capacity consists of the following variables: (1) the level of existing pollution management, (2) availability of financial allocation, and (3) availability of regulations. The higher the aggregate capacity of a unit to manage pollution, the lower the resulting pollution risk. The formula for risk calculation is as follows:</w:t>
      </w:r>
    </w:p>
    <w:p w14:paraId="32067F3E" w14:textId="77777777" w:rsidR="0077216E" w:rsidRPr="001C098B" w:rsidRDefault="0077216E" w:rsidP="0077216E">
      <w:pPr>
        <w:rPr>
          <w:rFonts w:ascii="Times New Roman" w:hAnsi="Times New Roman" w:cs="Times New Roman"/>
          <w:sz w:val="24"/>
          <w:szCs w:val="24"/>
        </w:rPr>
      </w:pPr>
      <w:r w:rsidRPr="001C098B">
        <w:rPr>
          <w:rFonts w:ascii="Times New Roman" w:hAnsi="Times New Roman" w:cs="Times New Roman"/>
          <w:sz w:val="24"/>
          <w:szCs w:val="24"/>
        </w:rPr>
        <w:t>Risk = (P * I)/AC, where:</w:t>
      </w:r>
    </w:p>
    <w:p w14:paraId="3E4C2DD0" w14:textId="77777777" w:rsidR="0077216E" w:rsidRPr="001C098B" w:rsidRDefault="0077216E" w:rsidP="0077216E">
      <w:pPr>
        <w:pStyle w:val="ListParagraph"/>
        <w:numPr>
          <w:ilvl w:val="0"/>
          <w:numId w:val="11"/>
        </w:numPr>
        <w:spacing w:after="0" w:line="240" w:lineRule="auto"/>
        <w:ind w:left="714" w:hanging="357"/>
        <w:contextualSpacing w:val="0"/>
        <w:rPr>
          <w:rFonts w:ascii="Times New Roman" w:hAnsi="Times New Roman" w:cs="Times New Roman"/>
          <w:sz w:val="24"/>
          <w:szCs w:val="24"/>
        </w:rPr>
      </w:pPr>
      <w:r w:rsidRPr="001C098B">
        <w:rPr>
          <w:rFonts w:ascii="Times New Roman" w:hAnsi="Times New Roman" w:cs="Times New Roman"/>
          <w:sz w:val="24"/>
          <w:szCs w:val="24"/>
        </w:rPr>
        <w:t xml:space="preserve">P </w:t>
      </w:r>
      <w:r w:rsidRPr="001C098B">
        <w:rPr>
          <w:rFonts w:ascii="Times New Roman" w:hAnsi="Times New Roman" w:cs="Times New Roman"/>
          <w:sz w:val="24"/>
          <w:szCs w:val="24"/>
        </w:rPr>
        <w:tab/>
        <w:t xml:space="preserve">= probability </w:t>
      </w:r>
    </w:p>
    <w:p w14:paraId="0B865890" w14:textId="77777777" w:rsidR="0077216E" w:rsidRPr="001C098B" w:rsidRDefault="0077216E" w:rsidP="0077216E">
      <w:pPr>
        <w:pStyle w:val="ListParagraph"/>
        <w:numPr>
          <w:ilvl w:val="0"/>
          <w:numId w:val="11"/>
        </w:numPr>
        <w:spacing w:after="0" w:line="240" w:lineRule="auto"/>
        <w:ind w:left="714" w:hanging="357"/>
        <w:contextualSpacing w:val="0"/>
        <w:rPr>
          <w:rFonts w:ascii="Times New Roman" w:hAnsi="Times New Roman" w:cs="Times New Roman"/>
          <w:sz w:val="24"/>
          <w:szCs w:val="24"/>
        </w:rPr>
      </w:pPr>
      <w:r w:rsidRPr="001C098B">
        <w:rPr>
          <w:rFonts w:ascii="Times New Roman" w:hAnsi="Times New Roman" w:cs="Times New Roman"/>
          <w:sz w:val="24"/>
          <w:szCs w:val="24"/>
        </w:rPr>
        <w:t xml:space="preserve">I </w:t>
      </w:r>
      <w:r w:rsidRPr="001C098B">
        <w:rPr>
          <w:rFonts w:ascii="Times New Roman" w:hAnsi="Times New Roman" w:cs="Times New Roman"/>
          <w:sz w:val="24"/>
          <w:szCs w:val="24"/>
        </w:rPr>
        <w:tab/>
        <w:t>= Impacts</w:t>
      </w:r>
    </w:p>
    <w:p w14:paraId="3C00312E" w14:textId="77777777" w:rsidR="0077216E" w:rsidRPr="001C098B" w:rsidRDefault="0077216E" w:rsidP="0077216E">
      <w:pPr>
        <w:pStyle w:val="ListParagraph"/>
        <w:numPr>
          <w:ilvl w:val="0"/>
          <w:numId w:val="11"/>
        </w:numPr>
        <w:spacing w:after="0" w:line="240" w:lineRule="auto"/>
        <w:ind w:left="714" w:hanging="357"/>
        <w:contextualSpacing w:val="0"/>
        <w:rPr>
          <w:rFonts w:ascii="Times New Roman" w:hAnsi="Times New Roman" w:cs="Times New Roman"/>
          <w:sz w:val="24"/>
          <w:szCs w:val="24"/>
        </w:rPr>
      </w:pPr>
      <w:r w:rsidRPr="001C098B">
        <w:rPr>
          <w:rFonts w:ascii="Times New Roman" w:hAnsi="Times New Roman" w:cs="Times New Roman"/>
          <w:sz w:val="24"/>
          <w:szCs w:val="24"/>
        </w:rPr>
        <w:t xml:space="preserve">AC </w:t>
      </w:r>
      <w:r w:rsidRPr="001C098B">
        <w:rPr>
          <w:rFonts w:ascii="Times New Roman" w:hAnsi="Times New Roman" w:cs="Times New Roman"/>
          <w:sz w:val="24"/>
          <w:szCs w:val="24"/>
        </w:rPr>
        <w:tab/>
        <w:t>= Adaptive Capacity</w:t>
      </w:r>
    </w:p>
    <w:p w14:paraId="6E6B7345" w14:textId="77777777" w:rsidR="0077216E" w:rsidRPr="001C098B" w:rsidRDefault="0077216E" w:rsidP="0077216E">
      <w:pPr>
        <w:spacing w:before="160"/>
        <w:rPr>
          <w:rFonts w:ascii="Times New Roman" w:hAnsi="Times New Roman" w:cs="Times New Roman"/>
          <w:sz w:val="24"/>
          <w:szCs w:val="24"/>
        </w:rPr>
      </w:pPr>
      <w:r w:rsidRPr="001C098B">
        <w:rPr>
          <w:rFonts w:ascii="Times New Roman" w:hAnsi="Times New Roman" w:cs="Times New Roman"/>
          <w:sz w:val="24"/>
          <w:szCs w:val="24"/>
        </w:rPr>
        <w:t>The risk value, ranges from 0.2 to 25, with the following risk classification levels:</w:t>
      </w:r>
    </w:p>
    <w:p w14:paraId="2B321BCC" w14:textId="77777777" w:rsidR="0077216E" w:rsidRPr="001C098B" w:rsidRDefault="0077216E" w:rsidP="0077216E">
      <w:pPr>
        <w:pStyle w:val="ListParagraph"/>
        <w:numPr>
          <w:ilvl w:val="0"/>
          <w:numId w:val="11"/>
        </w:numPr>
        <w:spacing w:after="0" w:line="240" w:lineRule="auto"/>
        <w:ind w:left="714" w:hanging="357"/>
        <w:contextualSpacing w:val="0"/>
        <w:rPr>
          <w:rFonts w:ascii="Times New Roman" w:hAnsi="Times New Roman" w:cs="Times New Roman"/>
          <w:sz w:val="24"/>
          <w:szCs w:val="24"/>
        </w:rPr>
      </w:pPr>
      <w:r w:rsidRPr="001C098B">
        <w:rPr>
          <w:rFonts w:ascii="Times New Roman" w:hAnsi="Times New Roman" w:cs="Times New Roman"/>
          <w:sz w:val="24"/>
          <w:szCs w:val="24"/>
        </w:rPr>
        <w:t xml:space="preserve">Very low </w:t>
      </w:r>
      <w:r w:rsidRPr="001C098B">
        <w:rPr>
          <w:rFonts w:ascii="Times New Roman" w:hAnsi="Times New Roman" w:cs="Times New Roman"/>
          <w:sz w:val="24"/>
          <w:szCs w:val="24"/>
        </w:rPr>
        <w:tab/>
        <w:t>= 0.2 - 1.0</w:t>
      </w:r>
    </w:p>
    <w:p w14:paraId="3C613328" w14:textId="77777777" w:rsidR="0077216E" w:rsidRPr="001C098B" w:rsidRDefault="0077216E" w:rsidP="0077216E">
      <w:pPr>
        <w:pStyle w:val="ListParagraph"/>
        <w:numPr>
          <w:ilvl w:val="0"/>
          <w:numId w:val="11"/>
        </w:numPr>
        <w:spacing w:after="0" w:line="240" w:lineRule="auto"/>
        <w:ind w:left="714" w:hanging="357"/>
        <w:contextualSpacing w:val="0"/>
        <w:rPr>
          <w:rFonts w:ascii="Times New Roman" w:hAnsi="Times New Roman" w:cs="Times New Roman"/>
          <w:sz w:val="24"/>
          <w:szCs w:val="24"/>
        </w:rPr>
      </w:pPr>
      <w:r w:rsidRPr="001C098B">
        <w:rPr>
          <w:rFonts w:ascii="Times New Roman" w:hAnsi="Times New Roman" w:cs="Times New Roman"/>
          <w:sz w:val="24"/>
          <w:szCs w:val="24"/>
        </w:rPr>
        <w:t xml:space="preserve">Low </w:t>
      </w:r>
      <w:r w:rsidRPr="001C098B">
        <w:rPr>
          <w:rFonts w:ascii="Times New Roman" w:hAnsi="Times New Roman" w:cs="Times New Roman"/>
          <w:sz w:val="24"/>
          <w:szCs w:val="24"/>
        </w:rPr>
        <w:tab/>
      </w:r>
      <w:r w:rsidRPr="001C098B">
        <w:rPr>
          <w:rFonts w:ascii="Times New Roman" w:hAnsi="Times New Roman" w:cs="Times New Roman"/>
          <w:sz w:val="24"/>
          <w:szCs w:val="24"/>
        </w:rPr>
        <w:tab/>
        <w:t>= 1.0 - 3.0</w:t>
      </w:r>
    </w:p>
    <w:p w14:paraId="77F45B65" w14:textId="77777777" w:rsidR="0077216E" w:rsidRPr="001C098B" w:rsidRDefault="0077216E" w:rsidP="0077216E">
      <w:pPr>
        <w:pStyle w:val="ListParagraph"/>
        <w:numPr>
          <w:ilvl w:val="0"/>
          <w:numId w:val="11"/>
        </w:numPr>
        <w:spacing w:after="0" w:line="240" w:lineRule="auto"/>
        <w:ind w:left="714" w:hanging="357"/>
        <w:contextualSpacing w:val="0"/>
        <w:rPr>
          <w:rFonts w:ascii="Times New Roman" w:hAnsi="Times New Roman" w:cs="Times New Roman"/>
          <w:sz w:val="24"/>
          <w:szCs w:val="24"/>
        </w:rPr>
      </w:pPr>
      <w:r w:rsidRPr="001C098B">
        <w:rPr>
          <w:rFonts w:ascii="Times New Roman" w:hAnsi="Times New Roman" w:cs="Times New Roman"/>
          <w:sz w:val="24"/>
          <w:szCs w:val="24"/>
        </w:rPr>
        <w:t xml:space="preserve">Moderate </w:t>
      </w:r>
      <w:r w:rsidRPr="001C098B">
        <w:rPr>
          <w:rFonts w:ascii="Times New Roman" w:hAnsi="Times New Roman" w:cs="Times New Roman"/>
          <w:sz w:val="24"/>
          <w:szCs w:val="24"/>
        </w:rPr>
        <w:tab/>
        <w:t>= 3.0 - 8.0</w:t>
      </w:r>
    </w:p>
    <w:p w14:paraId="74633809" w14:textId="77777777" w:rsidR="0077216E" w:rsidRPr="001C098B" w:rsidRDefault="0077216E" w:rsidP="0077216E">
      <w:pPr>
        <w:pStyle w:val="ListParagraph"/>
        <w:numPr>
          <w:ilvl w:val="0"/>
          <w:numId w:val="11"/>
        </w:numPr>
        <w:spacing w:after="0" w:line="240" w:lineRule="auto"/>
        <w:ind w:left="714" w:hanging="357"/>
        <w:contextualSpacing w:val="0"/>
        <w:rPr>
          <w:rFonts w:ascii="Times New Roman" w:hAnsi="Times New Roman" w:cs="Times New Roman"/>
          <w:sz w:val="24"/>
          <w:szCs w:val="24"/>
        </w:rPr>
      </w:pPr>
      <w:r w:rsidRPr="001C098B">
        <w:rPr>
          <w:rFonts w:ascii="Times New Roman" w:hAnsi="Times New Roman" w:cs="Times New Roman"/>
          <w:sz w:val="24"/>
          <w:szCs w:val="24"/>
        </w:rPr>
        <w:t>High</w:t>
      </w:r>
      <w:r w:rsidRPr="001C098B">
        <w:rPr>
          <w:rFonts w:ascii="Times New Roman" w:hAnsi="Times New Roman" w:cs="Times New Roman"/>
          <w:sz w:val="24"/>
          <w:szCs w:val="24"/>
        </w:rPr>
        <w:tab/>
      </w:r>
      <w:r w:rsidRPr="001C098B">
        <w:rPr>
          <w:rFonts w:ascii="Times New Roman" w:hAnsi="Times New Roman" w:cs="Times New Roman"/>
          <w:sz w:val="24"/>
          <w:szCs w:val="24"/>
        </w:rPr>
        <w:tab/>
        <w:t>= 8.0 - 12.5</w:t>
      </w:r>
    </w:p>
    <w:p w14:paraId="1D69A556" w14:textId="77777777" w:rsidR="0077216E" w:rsidRPr="001C098B" w:rsidRDefault="0077216E" w:rsidP="0077216E">
      <w:pPr>
        <w:pStyle w:val="ListParagraph"/>
        <w:numPr>
          <w:ilvl w:val="0"/>
          <w:numId w:val="11"/>
        </w:numPr>
        <w:spacing w:after="0" w:line="240" w:lineRule="auto"/>
        <w:ind w:left="714" w:hanging="357"/>
        <w:contextualSpacing w:val="0"/>
        <w:rPr>
          <w:rFonts w:ascii="Times New Roman" w:hAnsi="Times New Roman" w:cs="Times New Roman"/>
          <w:sz w:val="24"/>
          <w:szCs w:val="24"/>
        </w:rPr>
      </w:pPr>
      <w:r w:rsidRPr="001C098B">
        <w:rPr>
          <w:rFonts w:ascii="Times New Roman" w:hAnsi="Times New Roman" w:cs="Times New Roman"/>
          <w:sz w:val="24"/>
          <w:szCs w:val="24"/>
        </w:rPr>
        <w:t xml:space="preserve">Very High </w:t>
      </w:r>
      <w:r w:rsidRPr="001C098B">
        <w:rPr>
          <w:rFonts w:ascii="Times New Roman" w:hAnsi="Times New Roman" w:cs="Times New Roman"/>
          <w:sz w:val="24"/>
          <w:szCs w:val="24"/>
        </w:rPr>
        <w:tab/>
        <w:t>= 12.5 - 25</w:t>
      </w:r>
    </w:p>
    <w:p w14:paraId="78F895A7" w14:textId="77777777" w:rsidR="0077216E" w:rsidRDefault="0077216E" w:rsidP="0077216E">
      <w:pPr>
        <w:rPr>
          <w:rFonts w:ascii="Times New Roman" w:hAnsi="Times New Roman" w:cs="Times New Roman"/>
          <w:b/>
          <w:bCs/>
          <w:sz w:val="24"/>
          <w:szCs w:val="24"/>
        </w:rPr>
        <w:sectPr w:rsidR="0077216E" w:rsidSect="0077216E">
          <w:pgSz w:w="11906" w:h="16838"/>
          <w:pgMar w:top="1440" w:right="1440" w:bottom="1440" w:left="1440" w:header="709" w:footer="709" w:gutter="0"/>
          <w:cols w:space="708"/>
          <w:docGrid w:linePitch="360"/>
        </w:sectPr>
      </w:pPr>
    </w:p>
    <w:p w14:paraId="73921775" w14:textId="77777777" w:rsidR="0077216E" w:rsidRPr="001C098B" w:rsidRDefault="0077216E" w:rsidP="0077216E">
      <w:pPr>
        <w:rPr>
          <w:rFonts w:ascii="Times New Roman" w:hAnsi="Times New Roman" w:cs="Times New Roman"/>
          <w:b/>
          <w:bCs/>
          <w:sz w:val="24"/>
          <w:szCs w:val="24"/>
        </w:rPr>
      </w:pPr>
    </w:p>
    <w:p w14:paraId="469AE401" w14:textId="77777777" w:rsidR="0077216E" w:rsidRPr="00000009" w:rsidRDefault="0077216E" w:rsidP="0077216E">
      <w:pPr>
        <w:pStyle w:val="Caption"/>
        <w:keepNext/>
        <w:rPr>
          <w:rFonts w:ascii="Times New Roman" w:hAnsi="Times New Roman" w:cs="Times New Roman"/>
          <w:i w:val="0"/>
          <w:iCs w:val="0"/>
          <w:color w:val="auto"/>
          <w:sz w:val="24"/>
          <w:szCs w:val="24"/>
        </w:rPr>
      </w:pPr>
      <w:bookmarkStart w:id="3" w:name="_Toc211871436"/>
      <w:r w:rsidRPr="00330FB0">
        <w:rPr>
          <w:rFonts w:ascii="Times New Roman" w:hAnsi="Times New Roman" w:cs="Times New Roman"/>
          <w:b/>
          <w:bCs/>
          <w:i w:val="0"/>
          <w:iCs w:val="0"/>
          <w:color w:val="auto"/>
          <w:sz w:val="24"/>
          <w:szCs w:val="24"/>
        </w:rPr>
        <w:t>Appendix 6</w:t>
      </w:r>
      <w:r w:rsidRPr="00000009">
        <w:rPr>
          <w:rFonts w:ascii="Times New Roman" w:hAnsi="Times New Roman" w:cs="Times New Roman"/>
          <w:i w:val="0"/>
          <w:iCs w:val="0"/>
          <w:color w:val="auto"/>
          <w:sz w:val="24"/>
          <w:szCs w:val="24"/>
        </w:rPr>
        <w:t>.  Results of the risk assessment analysis for each type of pollution and administrative region (source: data analysis 2025)</w:t>
      </w:r>
      <w:bookmarkEnd w:id="3"/>
    </w:p>
    <w:tbl>
      <w:tblPr>
        <w:tblW w:w="15891" w:type="dxa"/>
        <w:jc w:val="center"/>
        <w:tblLook w:val="04A0" w:firstRow="1" w:lastRow="0" w:firstColumn="1" w:lastColumn="0" w:noHBand="0" w:noVBand="1"/>
      </w:tblPr>
      <w:tblGrid>
        <w:gridCol w:w="1341"/>
        <w:gridCol w:w="1677"/>
        <w:gridCol w:w="1165"/>
        <w:gridCol w:w="922"/>
        <w:gridCol w:w="1050"/>
        <w:gridCol w:w="774"/>
        <w:gridCol w:w="929"/>
        <w:gridCol w:w="762"/>
        <w:gridCol w:w="1024"/>
        <w:gridCol w:w="837"/>
        <w:gridCol w:w="1248"/>
        <w:gridCol w:w="1048"/>
        <w:gridCol w:w="1050"/>
        <w:gridCol w:w="837"/>
        <w:gridCol w:w="568"/>
        <w:gridCol w:w="6"/>
        <w:gridCol w:w="653"/>
      </w:tblGrid>
      <w:tr w:rsidR="0077216E" w:rsidRPr="00A803B9" w14:paraId="250A06FC" w14:textId="77777777" w:rsidTr="00745BDB">
        <w:trPr>
          <w:trHeight w:val="480"/>
          <w:tblHeader/>
          <w:jc w:val="center"/>
        </w:trPr>
        <w:tc>
          <w:tcPr>
            <w:tcW w:w="1341" w:type="dxa"/>
            <w:vMerge w:val="restart"/>
            <w:tcBorders>
              <w:top w:val="single" w:sz="8" w:space="0" w:color="auto"/>
              <w:left w:val="single" w:sz="8" w:space="0" w:color="auto"/>
              <w:right w:val="single" w:sz="4" w:space="0" w:color="auto"/>
            </w:tcBorders>
            <w:vAlign w:val="center"/>
            <w:hideMark/>
          </w:tcPr>
          <w:p w14:paraId="3F29E7F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Administrative Area</w:t>
            </w:r>
          </w:p>
          <w:p w14:paraId="45B57E6C"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tc>
        <w:tc>
          <w:tcPr>
            <w:tcW w:w="1677" w:type="dxa"/>
            <w:vMerge w:val="restart"/>
            <w:tcBorders>
              <w:top w:val="single" w:sz="8" w:space="0" w:color="auto"/>
              <w:left w:val="nil"/>
              <w:right w:val="single" w:sz="4" w:space="0" w:color="auto"/>
            </w:tcBorders>
            <w:vAlign w:val="center"/>
            <w:hideMark/>
          </w:tcPr>
          <w:p w14:paraId="5EBFC0D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Type of pollution</w:t>
            </w:r>
          </w:p>
          <w:p w14:paraId="7D55B625"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tc>
        <w:tc>
          <w:tcPr>
            <w:tcW w:w="1165" w:type="dxa"/>
            <w:vMerge w:val="restart"/>
            <w:tcBorders>
              <w:top w:val="single" w:sz="8" w:space="0" w:color="auto"/>
              <w:left w:val="nil"/>
              <w:right w:val="single" w:sz="4" w:space="0" w:color="auto"/>
            </w:tcBorders>
            <w:vAlign w:val="center"/>
            <w:hideMark/>
          </w:tcPr>
          <w:p w14:paraId="5C39929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Source of pollution</w:t>
            </w:r>
          </w:p>
          <w:p w14:paraId="27B89886"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tc>
        <w:tc>
          <w:tcPr>
            <w:tcW w:w="1972" w:type="dxa"/>
            <w:gridSpan w:val="2"/>
            <w:tcBorders>
              <w:top w:val="single" w:sz="8" w:space="0" w:color="auto"/>
              <w:left w:val="nil"/>
              <w:bottom w:val="single" w:sz="4" w:space="0" w:color="auto"/>
              <w:right w:val="single" w:sz="4" w:space="0" w:color="auto"/>
            </w:tcBorders>
            <w:vAlign w:val="center"/>
            <w:hideMark/>
          </w:tcPr>
          <w:p w14:paraId="6FC009F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Probability</w:t>
            </w:r>
          </w:p>
        </w:tc>
        <w:tc>
          <w:tcPr>
            <w:tcW w:w="4326" w:type="dxa"/>
            <w:gridSpan w:val="5"/>
            <w:tcBorders>
              <w:top w:val="single" w:sz="8" w:space="0" w:color="auto"/>
              <w:left w:val="nil"/>
              <w:bottom w:val="single" w:sz="4" w:space="0" w:color="auto"/>
              <w:right w:val="single" w:sz="4" w:space="0" w:color="auto"/>
            </w:tcBorders>
            <w:vAlign w:val="center"/>
            <w:hideMark/>
          </w:tcPr>
          <w:p w14:paraId="354B5F43"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Impact</w:t>
            </w:r>
          </w:p>
        </w:tc>
        <w:tc>
          <w:tcPr>
            <w:tcW w:w="4183" w:type="dxa"/>
            <w:gridSpan w:val="4"/>
            <w:tcBorders>
              <w:top w:val="single" w:sz="8" w:space="0" w:color="auto"/>
              <w:left w:val="nil"/>
              <w:bottom w:val="single" w:sz="4" w:space="0" w:color="auto"/>
              <w:right w:val="single" w:sz="4" w:space="0" w:color="auto"/>
            </w:tcBorders>
            <w:vAlign w:val="center"/>
            <w:hideMark/>
          </w:tcPr>
          <w:p w14:paraId="2792640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Adaptive Capacity</w:t>
            </w:r>
          </w:p>
        </w:tc>
        <w:tc>
          <w:tcPr>
            <w:tcW w:w="568" w:type="dxa"/>
            <w:tcBorders>
              <w:top w:val="single" w:sz="8" w:space="0" w:color="auto"/>
              <w:left w:val="nil"/>
              <w:bottom w:val="single" w:sz="4" w:space="0" w:color="auto"/>
              <w:right w:val="single" w:sz="8" w:space="0" w:color="auto"/>
            </w:tcBorders>
            <w:vAlign w:val="center"/>
            <w:hideMark/>
          </w:tcPr>
          <w:p w14:paraId="361466D1"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Risk</w:t>
            </w:r>
          </w:p>
        </w:tc>
        <w:tc>
          <w:tcPr>
            <w:tcW w:w="659" w:type="dxa"/>
            <w:gridSpan w:val="2"/>
            <w:tcBorders>
              <w:top w:val="single" w:sz="8" w:space="0" w:color="auto"/>
              <w:left w:val="nil"/>
              <w:bottom w:val="single" w:sz="4" w:space="0" w:color="auto"/>
              <w:right w:val="single" w:sz="8" w:space="0" w:color="auto"/>
            </w:tcBorders>
            <w:vAlign w:val="center"/>
          </w:tcPr>
          <w:p w14:paraId="47B92695"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Class</w:t>
            </w:r>
          </w:p>
        </w:tc>
      </w:tr>
      <w:tr w:rsidR="0077216E" w:rsidRPr="00A803B9" w14:paraId="79BECAE4" w14:textId="77777777" w:rsidTr="00745BDB">
        <w:trPr>
          <w:trHeight w:val="1200"/>
          <w:tblHeader/>
          <w:jc w:val="center"/>
        </w:trPr>
        <w:tc>
          <w:tcPr>
            <w:tcW w:w="1341" w:type="dxa"/>
            <w:vMerge/>
            <w:tcBorders>
              <w:left w:val="single" w:sz="8" w:space="0" w:color="auto"/>
              <w:bottom w:val="single" w:sz="4" w:space="0" w:color="auto"/>
              <w:right w:val="single" w:sz="4" w:space="0" w:color="auto"/>
            </w:tcBorders>
            <w:vAlign w:val="center"/>
            <w:hideMark/>
          </w:tcPr>
          <w:p w14:paraId="0CBAB7C2"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p>
        </w:tc>
        <w:tc>
          <w:tcPr>
            <w:tcW w:w="1677" w:type="dxa"/>
            <w:vMerge/>
            <w:tcBorders>
              <w:left w:val="nil"/>
              <w:bottom w:val="single" w:sz="4" w:space="0" w:color="auto"/>
              <w:right w:val="single" w:sz="4" w:space="0" w:color="auto"/>
            </w:tcBorders>
            <w:vAlign w:val="center"/>
            <w:hideMark/>
          </w:tcPr>
          <w:p w14:paraId="72284884"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p>
        </w:tc>
        <w:tc>
          <w:tcPr>
            <w:tcW w:w="1165" w:type="dxa"/>
            <w:vMerge/>
            <w:tcBorders>
              <w:left w:val="nil"/>
              <w:bottom w:val="single" w:sz="4" w:space="0" w:color="auto"/>
              <w:right w:val="single" w:sz="4" w:space="0" w:color="auto"/>
            </w:tcBorders>
            <w:vAlign w:val="center"/>
            <w:hideMark/>
          </w:tcPr>
          <w:p w14:paraId="0E72F541"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p>
        </w:tc>
        <w:tc>
          <w:tcPr>
            <w:tcW w:w="922" w:type="dxa"/>
            <w:tcBorders>
              <w:top w:val="nil"/>
              <w:left w:val="nil"/>
              <w:bottom w:val="single" w:sz="4" w:space="0" w:color="auto"/>
              <w:right w:val="single" w:sz="4" w:space="0" w:color="auto"/>
            </w:tcBorders>
            <w:vAlign w:val="center"/>
            <w:hideMark/>
          </w:tcPr>
          <w:p w14:paraId="6B37777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Source of pollutant (1-5)</w:t>
            </w:r>
          </w:p>
        </w:tc>
        <w:tc>
          <w:tcPr>
            <w:tcW w:w="1050" w:type="dxa"/>
            <w:tcBorders>
              <w:top w:val="nil"/>
              <w:left w:val="nil"/>
              <w:bottom w:val="single" w:sz="4" w:space="0" w:color="auto"/>
              <w:right w:val="single" w:sz="4" w:space="0" w:color="auto"/>
            </w:tcBorders>
            <w:vAlign w:val="center"/>
            <w:hideMark/>
          </w:tcPr>
          <w:p w14:paraId="49EFA4B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Average Probability (1-5)</w:t>
            </w:r>
          </w:p>
        </w:tc>
        <w:tc>
          <w:tcPr>
            <w:tcW w:w="774" w:type="dxa"/>
            <w:tcBorders>
              <w:top w:val="nil"/>
              <w:left w:val="nil"/>
              <w:bottom w:val="single" w:sz="4" w:space="0" w:color="auto"/>
              <w:right w:val="single" w:sz="4" w:space="0" w:color="auto"/>
            </w:tcBorders>
            <w:vAlign w:val="center"/>
            <w:hideMark/>
          </w:tcPr>
          <w:p w14:paraId="098EE43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Sea Water Quality Index (1-5)</w:t>
            </w:r>
          </w:p>
        </w:tc>
        <w:tc>
          <w:tcPr>
            <w:tcW w:w="929" w:type="dxa"/>
            <w:tcBorders>
              <w:top w:val="nil"/>
              <w:left w:val="nil"/>
              <w:bottom w:val="single" w:sz="4" w:space="0" w:color="auto"/>
              <w:right w:val="single" w:sz="4" w:space="0" w:color="auto"/>
            </w:tcBorders>
            <w:vAlign w:val="center"/>
            <w:hideMark/>
          </w:tcPr>
          <w:p w14:paraId="49D5BC64"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Status towards Standard (1-5)</w:t>
            </w:r>
          </w:p>
        </w:tc>
        <w:tc>
          <w:tcPr>
            <w:tcW w:w="762" w:type="dxa"/>
            <w:tcBorders>
              <w:top w:val="nil"/>
              <w:left w:val="nil"/>
              <w:bottom w:val="single" w:sz="4" w:space="0" w:color="auto"/>
              <w:right w:val="single" w:sz="4" w:space="0" w:color="auto"/>
            </w:tcBorders>
            <w:vAlign w:val="center"/>
            <w:hideMark/>
          </w:tcPr>
          <w:p w14:paraId="27A91AD3"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Social impact (1-5)</w:t>
            </w:r>
          </w:p>
        </w:tc>
        <w:tc>
          <w:tcPr>
            <w:tcW w:w="1024" w:type="dxa"/>
            <w:tcBorders>
              <w:top w:val="nil"/>
              <w:left w:val="nil"/>
              <w:bottom w:val="single" w:sz="4" w:space="0" w:color="auto"/>
              <w:right w:val="single" w:sz="4" w:space="0" w:color="auto"/>
            </w:tcBorders>
            <w:vAlign w:val="center"/>
            <w:hideMark/>
          </w:tcPr>
          <w:p w14:paraId="1D76E9F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Ecological Impact (1-5)</w:t>
            </w:r>
          </w:p>
        </w:tc>
        <w:tc>
          <w:tcPr>
            <w:tcW w:w="837" w:type="dxa"/>
            <w:tcBorders>
              <w:top w:val="nil"/>
              <w:left w:val="nil"/>
              <w:bottom w:val="single" w:sz="4" w:space="0" w:color="auto"/>
              <w:right w:val="single" w:sz="4" w:space="0" w:color="auto"/>
            </w:tcBorders>
            <w:vAlign w:val="center"/>
            <w:hideMark/>
          </w:tcPr>
          <w:p w14:paraId="75FA965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Average Impact (1-5)</w:t>
            </w:r>
          </w:p>
        </w:tc>
        <w:tc>
          <w:tcPr>
            <w:tcW w:w="1248" w:type="dxa"/>
            <w:tcBorders>
              <w:top w:val="nil"/>
              <w:left w:val="nil"/>
              <w:bottom w:val="single" w:sz="4" w:space="0" w:color="auto"/>
              <w:right w:val="single" w:sz="4" w:space="0" w:color="auto"/>
            </w:tcBorders>
            <w:vAlign w:val="center"/>
            <w:hideMark/>
          </w:tcPr>
          <w:p w14:paraId="2966CA9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Existing pollution management level (1-5)</w:t>
            </w:r>
          </w:p>
        </w:tc>
        <w:tc>
          <w:tcPr>
            <w:tcW w:w="1048" w:type="dxa"/>
            <w:tcBorders>
              <w:top w:val="nil"/>
              <w:left w:val="nil"/>
              <w:bottom w:val="single" w:sz="4" w:space="0" w:color="auto"/>
              <w:right w:val="single" w:sz="4" w:space="0" w:color="auto"/>
            </w:tcBorders>
            <w:vAlign w:val="center"/>
            <w:hideMark/>
          </w:tcPr>
          <w:p w14:paraId="67760ECA"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Financial allocation availability (1-5)</w:t>
            </w:r>
          </w:p>
        </w:tc>
        <w:tc>
          <w:tcPr>
            <w:tcW w:w="1050" w:type="dxa"/>
            <w:tcBorders>
              <w:top w:val="nil"/>
              <w:left w:val="nil"/>
              <w:bottom w:val="single" w:sz="4" w:space="0" w:color="auto"/>
              <w:right w:val="single" w:sz="4" w:space="0" w:color="auto"/>
            </w:tcBorders>
            <w:vAlign w:val="center"/>
            <w:hideMark/>
          </w:tcPr>
          <w:p w14:paraId="37224DB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Regulation availability (1-5)</w:t>
            </w:r>
          </w:p>
        </w:tc>
        <w:tc>
          <w:tcPr>
            <w:tcW w:w="837" w:type="dxa"/>
            <w:tcBorders>
              <w:top w:val="nil"/>
              <w:left w:val="nil"/>
              <w:bottom w:val="single" w:sz="4" w:space="0" w:color="auto"/>
              <w:right w:val="single" w:sz="4" w:space="0" w:color="auto"/>
            </w:tcBorders>
            <w:vAlign w:val="center"/>
            <w:hideMark/>
          </w:tcPr>
          <w:p w14:paraId="3A0C931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Average AC</w:t>
            </w:r>
          </w:p>
        </w:tc>
        <w:tc>
          <w:tcPr>
            <w:tcW w:w="574" w:type="dxa"/>
            <w:gridSpan w:val="2"/>
            <w:tcBorders>
              <w:top w:val="nil"/>
              <w:left w:val="nil"/>
              <w:bottom w:val="single" w:sz="4" w:space="0" w:color="auto"/>
              <w:right w:val="single" w:sz="8" w:space="0" w:color="auto"/>
            </w:tcBorders>
            <w:vAlign w:val="center"/>
            <w:hideMark/>
          </w:tcPr>
          <w:p w14:paraId="0F73ADE1"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(0.2-25)</w:t>
            </w:r>
          </w:p>
        </w:tc>
        <w:tc>
          <w:tcPr>
            <w:tcW w:w="653" w:type="dxa"/>
            <w:tcBorders>
              <w:top w:val="nil"/>
              <w:left w:val="nil"/>
              <w:bottom w:val="single" w:sz="4" w:space="0" w:color="auto"/>
              <w:right w:val="single" w:sz="8" w:space="0" w:color="auto"/>
            </w:tcBorders>
          </w:tcPr>
          <w:p w14:paraId="63E24004"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p>
        </w:tc>
      </w:tr>
      <w:tr w:rsidR="0077216E" w:rsidRPr="00A803B9" w14:paraId="2386FD65" w14:textId="77777777" w:rsidTr="00745BDB">
        <w:trPr>
          <w:trHeight w:val="375"/>
          <w:jc w:val="center"/>
        </w:trPr>
        <w:tc>
          <w:tcPr>
            <w:tcW w:w="15891" w:type="dxa"/>
            <w:gridSpan w:val="17"/>
            <w:tcBorders>
              <w:top w:val="nil"/>
              <w:left w:val="single" w:sz="8" w:space="0" w:color="auto"/>
              <w:bottom w:val="single" w:sz="4" w:space="0" w:color="auto"/>
              <w:right w:val="single" w:sz="8" w:space="0" w:color="auto"/>
            </w:tcBorders>
            <w:vAlign w:val="center"/>
          </w:tcPr>
          <w:p w14:paraId="277A8D2F"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Riau Archipelago Province</w:t>
            </w:r>
          </w:p>
        </w:tc>
      </w:tr>
      <w:tr w:rsidR="0077216E" w:rsidRPr="00A803B9" w14:paraId="69F3138F" w14:textId="77777777" w:rsidTr="00745BDB">
        <w:trPr>
          <w:trHeight w:val="480"/>
          <w:jc w:val="center"/>
        </w:trPr>
        <w:tc>
          <w:tcPr>
            <w:tcW w:w="1341" w:type="dxa"/>
            <w:vMerge w:val="restart"/>
            <w:tcBorders>
              <w:top w:val="nil"/>
              <w:left w:val="single" w:sz="8" w:space="0" w:color="auto"/>
              <w:right w:val="single" w:sz="4" w:space="0" w:color="auto"/>
            </w:tcBorders>
            <w:vAlign w:val="center"/>
            <w:hideMark/>
          </w:tcPr>
          <w:p w14:paraId="0CB3E3CF"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Batam City and Bintan</w:t>
            </w:r>
          </w:p>
          <w:p w14:paraId="6C37470D"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p w14:paraId="1FADA92C"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p w14:paraId="643FC2BE"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p w14:paraId="7D1ED0FB"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p w14:paraId="224424D9"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p w14:paraId="2B464F75"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tc>
        <w:tc>
          <w:tcPr>
            <w:tcW w:w="1677" w:type="dxa"/>
            <w:tcBorders>
              <w:top w:val="nil"/>
              <w:left w:val="nil"/>
              <w:bottom w:val="single" w:sz="4" w:space="0" w:color="auto"/>
              <w:right w:val="single" w:sz="4" w:space="0" w:color="auto"/>
            </w:tcBorders>
            <w:vAlign w:val="center"/>
            <w:hideMark/>
          </w:tcPr>
          <w:p w14:paraId="4362FEF1"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Oil</w:t>
            </w:r>
          </w:p>
        </w:tc>
        <w:tc>
          <w:tcPr>
            <w:tcW w:w="1165" w:type="dxa"/>
            <w:tcBorders>
              <w:top w:val="nil"/>
              <w:left w:val="nil"/>
              <w:bottom w:val="single" w:sz="4" w:space="0" w:color="auto"/>
              <w:right w:val="single" w:sz="4" w:space="0" w:color="auto"/>
            </w:tcBorders>
            <w:vAlign w:val="center"/>
            <w:hideMark/>
          </w:tcPr>
          <w:p w14:paraId="47DB294F"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seaport, oil facility, shipping activity</w:t>
            </w:r>
          </w:p>
        </w:tc>
        <w:tc>
          <w:tcPr>
            <w:tcW w:w="922" w:type="dxa"/>
            <w:tcBorders>
              <w:top w:val="nil"/>
              <w:left w:val="nil"/>
              <w:bottom w:val="single" w:sz="4" w:space="0" w:color="auto"/>
              <w:right w:val="single" w:sz="4" w:space="0" w:color="auto"/>
            </w:tcBorders>
            <w:vAlign w:val="center"/>
            <w:hideMark/>
          </w:tcPr>
          <w:p w14:paraId="3DCC99A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1050" w:type="dxa"/>
            <w:tcBorders>
              <w:top w:val="nil"/>
              <w:left w:val="nil"/>
              <w:bottom w:val="single" w:sz="4" w:space="0" w:color="auto"/>
              <w:right w:val="single" w:sz="4" w:space="0" w:color="auto"/>
            </w:tcBorders>
            <w:vAlign w:val="center"/>
            <w:hideMark/>
          </w:tcPr>
          <w:p w14:paraId="6D2FB9B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74" w:type="dxa"/>
            <w:tcBorders>
              <w:top w:val="nil"/>
              <w:left w:val="nil"/>
              <w:bottom w:val="single" w:sz="4" w:space="0" w:color="auto"/>
              <w:right w:val="single" w:sz="4" w:space="0" w:color="auto"/>
            </w:tcBorders>
            <w:vAlign w:val="center"/>
            <w:hideMark/>
          </w:tcPr>
          <w:p w14:paraId="5AF3983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929" w:type="dxa"/>
            <w:tcBorders>
              <w:top w:val="nil"/>
              <w:left w:val="nil"/>
              <w:bottom w:val="single" w:sz="4" w:space="0" w:color="auto"/>
              <w:right w:val="single" w:sz="4" w:space="0" w:color="auto"/>
            </w:tcBorders>
            <w:vAlign w:val="center"/>
            <w:hideMark/>
          </w:tcPr>
          <w:p w14:paraId="4E23327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62" w:type="dxa"/>
            <w:tcBorders>
              <w:top w:val="nil"/>
              <w:left w:val="nil"/>
              <w:bottom w:val="single" w:sz="4" w:space="0" w:color="auto"/>
              <w:right w:val="single" w:sz="4" w:space="0" w:color="auto"/>
            </w:tcBorders>
            <w:vAlign w:val="center"/>
            <w:hideMark/>
          </w:tcPr>
          <w:p w14:paraId="37532FA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1024" w:type="dxa"/>
            <w:tcBorders>
              <w:top w:val="nil"/>
              <w:left w:val="nil"/>
              <w:bottom w:val="single" w:sz="4" w:space="0" w:color="auto"/>
              <w:right w:val="single" w:sz="4" w:space="0" w:color="auto"/>
            </w:tcBorders>
            <w:vAlign w:val="center"/>
            <w:hideMark/>
          </w:tcPr>
          <w:p w14:paraId="0D581D9F"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837" w:type="dxa"/>
            <w:tcBorders>
              <w:top w:val="nil"/>
              <w:left w:val="nil"/>
              <w:bottom w:val="single" w:sz="4" w:space="0" w:color="auto"/>
              <w:right w:val="single" w:sz="4" w:space="0" w:color="auto"/>
            </w:tcBorders>
            <w:vAlign w:val="center"/>
            <w:hideMark/>
          </w:tcPr>
          <w:p w14:paraId="08750B3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5.0</w:t>
            </w:r>
          </w:p>
        </w:tc>
        <w:tc>
          <w:tcPr>
            <w:tcW w:w="1248" w:type="dxa"/>
            <w:tcBorders>
              <w:top w:val="nil"/>
              <w:left w:val="nil"/>
              <w:bottom w:val="single" w:sz="4" w:space="0" w:color="auto"/>
              <w:right w:val="single" w:sz="4" w:space="0" w:color="auto"/>
            </w:tcBorders>
            <w:vAlign w:val="center"/>
            <w:hideMark/>
          </w:tcPr>
          <w:p w14:paraId="0D3C2E8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2</w:t>
            </w:r>
          </w:p>
        </w:tc>
        <w:tc>
          <w:tcPr>
            <w:tcW w:w="1048" w:type="dxa"/>
            <w:tcBorders>
              <w:top w:val="nil"/>
              <w:left w:val="nil"/>
              <w:bottom w:val="single" w:sz="4" w:space="0" w:color="auto"/>
              <w:right w:val="single" w:sz="4" w:space="0" w:color="auto"/>
            </w:tcBorders>
            <w:vAlign w:val="center"/>
            <w:hideMark/>
          </w:tcPr>
          <w:p w14:paraId="58D09F1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56743735"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4376BDC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3.0</w:t>
            </w:r>
          </w:p>
        </w:tc>
        <w:tc>
          <w:tcPr>
            <w:tcW w:w="574" w:type="dxa"/>
            <w:gridSpan w:val="2"/>
            <w:tcBorders>
              <w:top w:val="nil"/>
              <w:left w:val="nil"/>
              <w:bottom w:val="single" w:sz="4" w:space="0" w:color="auto"/>
              <w:right w:val="single" w:sz="8" w:space="0" w:color="auto"/>
            </w:tcBorders>
            <w:vAlign w:val="center"/>
            <w:hideMark/>
          </w:tcPr>
          <w:p w14:paraId="3D5B46BF"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8.3</w:t>
            </w:r>
          </w:p>
        </w:tc>
        <w:tc>
          <w:tcPr>
            <w:tcW w:w="653" w:type="dxa"/>
            <w:tcBorders>
              <w:top w:val="nil"/>
              <w:left w:val="nil"/>
              <w:bottom w:val="single" w:sz="4" w:space="0" w:color="auto"/>
              <w:right w:val="single" w:sz="8" w:space="0" w:color="auto"/>
            </w:tcBorders>
          </w:tcPr>
          <w:p w14:paraId="71B5E3DA"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H</w:t>
            </w:r>
          </w:p>
        </w:tc>
      </w:tr>
      <w:tr w:rsidR="0077216E" w:rsidRPr="00A803B9" w14:paraId="24D00CF0" w14:textId="77777777" w:rsidTr="00745BDB">
        <w:trPr>
          <w:trHeight w:val="480"/>
          <w:jc w:val="center"/>
        </w:trPr>
        <w:tc>
          <w:tcPr>
            <w:tcW w:w="1341" w:type="dxa"/>
            <w:vMerge/>
            <w:tcBorders>
              <w:left w:val="single" w:sz="8" w:space="0" w:color="auto"/>
              <w:right w:val="single" w:sz="4" w:space="0" w:color="auto"/>
            </w:tcBorders>
            <w:vAlign w:val="center"/>
            <w:hideMark/>
          </w:tcPr>
          <w:p w14:paraId="2D424E69"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p>
        </w:tc>
        <w:tc>
          <w:tcPr>
            <w:tcW w:w="1677" w:type="dxa"/>
            <w:tcBorders>
              <w:top w:val="nil"/>
              <w:left w:val="nil"/>
              <w:bottom w:val="single" w:sz="4" w:space="0" w:color="auto"/>
              <w:right w:val="single" w:sz="4" w:space="0" w:color="auto"/>
            </w:tcBorders>
            <w:vAlign w:val="center"/>
            <w:hideMark/>
          </w:tcPr>
          <w:p w14:paraId="63C6D67A"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Hazardous waste and heavy metals</w:t>
            </w:r>
          </w:p>
        </w:tc>
        <w:tc>
          <w:tcPr>
            <w:tcW w:w="1165" w:type="dxa"/>
            <w:tcBorders>
              <w:top w:val="nil"/>
              <w:left w:val="nil"/>
              <w:bottom w:val="single" w:sz="4" w:space="0" w:color="auto"/>
              <w:right w:val="single" w:sz="4" w:space="0" w:color="auto"/>
            </w:tcBorders>
            <w:vAlign w:val="center"/>
            <w:hideMark/>
          </w:tcPr>
          <w:p w14:paraId="5E1EF955"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industry</w:t>
            </w:r>
          </w:p>
        </w:tc>
        <w:tc>
          <w:tcPr>
            <w:tcW w:w="922" w:type="dxa"/>
            <w:tcBorders>
              <w:top w:val="nil"/>
              <w:left w:val="nil"/>
              <w:bottom w:val="single" w:sz="4" w:space="0" w:color="auto"/>
              <w:right w:val="single" w:sz="4" w:space="0" w:color="auto"/>
            </w:tcBorders>
            <w:vAlign w:val="center"/>
            <w:hideMark/>
          </w:tcPr>
          <w:p w14:paraId="65502B1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1050" w:type="dxa"/>
            <w:tcBorders>
              <w:top w:val="nil"/>
              <w:left w:val="nil"/>
              <w:bottom w:val="single" w:sz="4" w:space="0" w:color="auto"/>
              <w:right w:val="single" w:sz="4" w:space="0" w:color="auto"/>
            </w:tcBorders>
            <w:vAlign w:val="center"/>
            <w:hideMark/>
          </w:tcPr>
          <w:p w14:paraId="4F92CD54"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74" w:type="dxa"/>
            <w:tcBorders>
              <w:top w:val="nil"/>
              <w:left w:val="nil"/>
              <w:bottom w:val="single" w:sz="4" w:space="0" w:color="auto"/>
              <w:right w:val="single" w:sz="4" w:space="0" w:color="auto"/>
            </w:tcBorders>
            <w:vAlign w:val="center"/>
            <w:hideMark/>
          </w:tcPr>
          <w:p w14:paraId="4DDBE88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929" w:type="dxa"/>
            <w:tcBorders>
              <w:top w:val="nil"/>
              <w:left w:val="nil"/>
              <w:bottom w:val="single" w:sz="4" w:space="0" w:color="auto"/>
              <w:right w:val="single" w:sz="4" w:space="0" w:color="auto"/>
            </w:tcBorders>
            <w:vAlign w:val="center"/>
            <w:hideMark/>
          </w:tcPr>
          <w:p w14:paraId="08747B2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762" w:type="dxa"/>
            <w:tcBorders>
              <w:top w:val="nil"/>
              <w:left w:val="nil"/>
              <w:bottom w:val="single" w:sz="4" w:space="0" w:color="auto"/>
              <w:right w:val="single" w:sz="4" w:space="0" w:color="auto"/>
            </w:tcBorders>
            <w:vAlign w:val="center"/>
            <w:hideMark/>
          </w:tcPr>
          <w:p w14:paraId="77A5678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24" w:type="dxa"/>
            <w:tcBorders>
              <w:top w:val="nil"/>
              <w:left w:val="nil"/>
              <w:bottom w:val="single" w:sz="4" w:space="0" w:color="auto"/>
              <w:right w:val="single" w:sz="4" w:space="0" w:color="auto"/>
            </w:tcBorders>
            <w:vAlign w:val="center"/>
            <w:hideMark/>
          </w:tcPr>
          <w:p w14:paraId="1F81702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43B82E0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3.8</w:t>
            </w:r>
          </w:p>
        </w:tc>
        <w:tc>
          <w:tcPr>
            <w:tcW w:w="1248" w:type="dxa"/>
            <w:tcBorders>
              <w:top w:val="nil"/>
              <w:left w:val="nil"/>
              <w:bottom w:val="single" w:sz="4" w:space="0" w:color="auto"/>
              <w:right w:val="single" w:sz="4" w:space="0" w:color="auto"/>
            </w:tcBorders>
            <w:vAlign w:val="center"/>
            <w:hideMark/>
          </w:tcPr>
          <w:p w14:paraId="0BC9D22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4" w:space="0" w:color="auto"/>
              <w:right w:val="single" w:sz="4" w:space="0" w:color="auto"/>
            </w:tcBorders>
            <w:vAlign w:val="center"/>
            <w:hideMark/>
          </w:tcPr>
          <w:p w14:paraId="588FEA53"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241D48E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1283464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3.3</w:t>
            </w:r>
          </w:p>
        </w:tc>
        <w:tc>
          <w:tcPr>
            <w:tcW w:w="574" w:type="dxa"/>
            <w:gridSpan w:val="2"/>
            <w:tcBorders>
              <w:top w:val="nil"/>
              <w:left w:val="nil"/>
              <w:bottom w:val="single" w:sz="4" w:space="0" w:color="auto"/>
              <w:right w:val="single" w:sz="8" w:space="0" w:color="auto"/>
            </w:tcBorders>
            <w:vAlign w:val="center"/>
            <w:hideMark/>
          </w:tcPr>
          <w:p w14:paraId="512AC7C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5.6</w:t>
            </w:r>
          </w:p>
        </w:tc>
        <w:tc>
          <w:tcPr>
            <w:tcW w:w="653" w:type="dxa"/>
            <w:tcBorders>
              <w:top w:val="nil"/>
              <w:left w:val="nil"/>
              <w:bottom w:val="single" w:sz="4" w:space="0" w:color="auto"/>
              <w:right w:val="single" w:sz="8" w:space="0" w:color="auto"/>
            </w:tcBorders>
          </w:tcPr>
          <w:p w14:paraId="713F4F3F"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w:t>
            </w:r>
          </w:p>
        </w:tc>
      </w:tr>
      <w:tr w:rsidR="0077216E" w:rsidRPr="00A803B9" w14:paraId="5E03BC36" w14:textId="77777777" w:rsidTr="00745BDB">
        <w:trPr>
          <w:trHeight w:val="288"/>
          <w:jc w:val="center"/>
        </w:trPr>
        <w:tc>
          <w:tcPr>
            <w:tcW w:w="1341" w:type="dxa"/>
            <w:vMerge/>
            <w:tcBorders>
              <w:left w:val="single" w:sz="8" w:space="0" w:color="auto"/>
              <w:right w:val="single" w:sz="4" w:space="0" w:color="auto"/>
            </w:tcBorders>
            <w:vAlign w:val="center"/>
            <w:hideMark/>
          </w:tcPr>
          <w:p w14:paraId="5C8D2023"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p>
        </w:tc>
        <w:tc>
          <w:tcPr>
            <w:tcW w:w="1677" w:type="dxa"/>
            <w:tcBorders>
              <w:top w:val="nil"/>
              <w:left w:val="nil"/>
              <w:bottom w:val="single" w:sz="4" w:space="0" w:color="auto"/>
              <w:right w:val="single" w:sz="4" w:space="0" w:color="auto"/>
            </w:tcBorders>
            <w:vAlign w:val="center"/>
            <w:hideMark/>
          </w:tcPr>
          <w:p w14:paraId="2D16CD76"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Plastic-marine debris</w:t>
            </w:r>
          </w:p>
        </w:tc>
        <w:tc>
          <w:tcPr>
            <w:tcW w:w="1165" w:type="dxa"/>
            <w:tcBorders>
              <w:top w:val="nil"/>
              <w:left w:val="nil"/>
              <w:bottom w:val="single" w:sz="4" w:space="0" w:color="auto"/>
              <w:right w:val="single" w:sz="4" w:space="0" w:color="auto"/>
            </w:tcBorders>
            <w:vAlign w:val="center"/>
            <w:hideMark/>
          </w:tcPr>
          <w:p w14:paraId="5ED4ED2D"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Domestics</w:t>
            </w:r>
          </w:p>
        </w:tc>
        <w:tc>
          <w:tcPr>
            <w:tcW w:w="922" w:type="dxa"/>
            <w:tcBorders>
              <w:top w:val="nil"/>
              <w:left w:val="nil"/>
              <w:bottom w:val="single" w:sz="4" w:space="0" w:color="auto"/>
              <w:right w:val="single" w:sz="4" w:space="0" w:color="auto"/>
            </w:tcBorders>
            <w:vAlign w:val="center"/>
            <w:hideMark/>
          </w:tcPr>
          <w:p w14:paraId="299BB1DD"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1050" w:type="dxa"/>
            <w:tcBorders>
              <w:top w:val="nil"/>
              <w:left w:val="nil"/>
              <w:bottom w:val="single" w:sz="4" w:space="0" w:color="auto"/>
              <w:right w:val="single" w:sz="4" w:space="0" w:color="auto"/>
            </w:tcBorders>
            <w:vAlign w:val="center"/>
            <w:hideMark/>
          </w:tcPr>
          <w:p w14:paraId="55032EF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774" w:type="dxa"/>
            <w:tcBorders>
              <w:top w:val="nil"/>
              <w:left w:val="nil"/>
              <w:bottom w:val="single" w:sz="4" w:space="0" w:color="auto"/>
              <w:right w:val="single" w:sz="4" w:space="0" w:color="auto"/>
            </w:tcBorders>
            <w:vAlign w:val="center"/>
            <w:hideMark/>
          </w:tcPr>
          <w:p w14:paraId="762CD493"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929" w:type="dxa"/>
            <w:tcBorders>
              <w:top w:val="nil"/>
              <w:left w:val="nil"/>
              <w:bottom w:val="single" w:sz="4" w:space="0" w:color="auto"/>
              <w:right w:val="single" w:sz="4" w:space="0" w:color="auto"/>
            </w:tcBorders>
            <w:vAlign w:val="center"/>
            <w:hideMark/>
          </w:tcPr>
          <w:p w14:paraId="30E4035D"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762" w:type="dxa"/>
            <w:tcBorders>
              <w:top w:val="nil"/>
              <w:left w:val="nil"/>
              <w:bottom w:val="single" w:sz="4" w:space="0" w:color="auto"/>
              <w:right w:val="single" w:sz="4" w:space="0" w:color="auto"/>
            </w:tcBorders>
            <w:vAlign w:val="center"/>
            <w:hideMark/>
          </w:tcPr>
          <w:p w14:paraId="3661D94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1024" w:type="dxa"/>
            <w:tcBorders>
              <w:top w:val="nil"/>
              <w:left w:val="nil"/>
              <w:bottom w:val="single" w:sz="4" w:space="0" w:color="auto"/>
              <w:right w:val="single" w:sz="4" w:space="0" w:color="auto"/>
            </w:tcBorders>
            <w:vAlign w:val="center"/>
            <w:hideMark/>
          </w:tcPr>
          <w:p w14:paraId="62D9787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4BEF813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3.5</w:t>
            </w:r>
          </w:p>
        </w:tc>
        <w:tc>
          <w:tcPr>
            <w:tcW w:w="1248" w:type="dxa"/>
            <w:tcBorders>
              <w:top w:val="nil"/>
              <w:left w:val="nil"/>
              <w:bottom w:val="single" w:sz="4" w:space="0" w:color="auto"/>
              <w:right w:val="single" w:sz="4" w:space="0" w:color="auto"/>
            </w:tcBorders>
            <w:vAlign w:val="center"/>
            <w:hideMark/>
          </w:tcPr>
          <w:p w14:paraId="3E3CEAD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4" w:space="0" w:color="auto"/>
              <w:right w:val="single" w:sz="4" w:space="0" w:color="auto"/>
            </w:tcBorders>
            <w:vAlign w:val="center"/>
            <w:hideMark/>
          </w:tcPr>
          <w:p w14:paraId="420A9F2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2C88CC4D"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171268BD"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3.3</w:t>
            </w:r>
          </w:p>
        </w:tc>
        <w:tc>
          <w:tcPr>
            <w:tcW w:w="574" w:type="dxa"/>
            <w:gridSpan w:val="2"/>
            <w:tcBorders>
              <w:top w:val="nil"/>
              <w:left w:val="nil"/>
              <w:bottom w:val="single" w:sz="4" w:space="0" w:color="auto"/>
              <w:right w:val="single" w:sz="8" w:space="0" w:color="auto"/>
            </w:tcBorders>
            <w:vAlign w:val="center"/>
            <w:hideMark/>
          </w:tcPr>
          <w:p w14:paraId="3848C811"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4.2</w:t>
            </w:r>
          </w:p>
        </w:tc>
        <w:tc>
          <w:tcPr>
            <w:tcW w:w="653" w:type="dxa"/>
            <w:tcBorders>
              <w:top w:val="nil"/>
              <w:left w:val="nil"/>
              <w:bottom w:val="single" w:sz="4" w:space="0" w:color="auto"/>
              <w:right w:val="single" w:sz="8" w:space="0" w:color="auto"/>
            </w:tcBorders>
          </w:tcPr>
          <w:p w14:paraId="5B3010D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w:t>
            </w:r>
          </w:p>
        </w:tc>
      </w:tr>
      <w:tr w:rsidR="0077216E" w:rsidRPr="00A803B9" w14:paraId="55C1F30E" w14:textId="77777777" w:rsidTr="00745BDB">
        <w:trPr>
          <w:trHeight w:val="288"/>
          <w:jc w:val="center"/>
        </w:trPr>
        <w:tc>
          <w:tcPr>
            <w:tcW w:w="1341" w:type="dxa"/>
            <w:vMerge/>
            <w:tcBorders>
              <w:left w:val="single" w:sz="8" w:space="0" w:color="auto"/>
              <w:right w:val="single" w:sz="4" w:space="0" w:color="auto"/>
            </w:tcBorders>
            <w:vAlign w:val="center"/>
            <w:hideMark/>
          </w:tcPr>
          <w:p w14:paraId="505839DC"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p>
        </w:tc>
        <w:tc>
          <w:tcPr>
            <w:tcW w:w="1677" w:type="dxa"/>
            <w:tcBorders>
              <w:top w:val="nil"/>
              <w:left w:val="nil"/>
              <w:bottom w:val="single" w:sz="4" w:space="0" w:color="auto"/>
              <w:right w:val="single" w:sz="4" w:space="0" w:color="auto"/>
            </w:tcBorders>
            <w:vAlign w:val="center"/>
            <w:hideMark/>
          </w:tcPr>
          <w:p w14:paraId="63B08962"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Organics/nutrients</w:t>
            </w:r>
          </w:p>
        </w:tc>
        <w:tc>
          <w:tcPr>
            <w:tcW w:w="1165" w:type="dxa"/>
            <w:tcBorders>
              <w:top w:val="nil"/>
              <w:left w:val="nil"/>
              <w:bottom w:val="single" w:sz="4" w:space="0" w:color="auto"/>
              <w:right w:val="single" w:sz="4" w:space="0" w:color="auto"/>
            </w:tcBorders>
            <w:vAlign w:val="center"/>
            <w:hideMark/>
          </w:tcPr>
          <w:p w14:paraId="069353FD"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Domestic, agriculture, aquaculture</w:t>
            </w:r>
          </w:p>
        </w:tc>
        <w:tc>
          <w:tcPr>
            <w:tcW w:w="922" w:type="dxa"/>
            <w:tcBorders>
              <w:top w:val="nil"/>
              <w:left w:val="nil"/>
              <w:bottom w:val="single" w:sz="4" w:space="0" w:color="auto"/>
              <w:right w:val="single" w:sz="4" w:space="0" w:color="auto"/>
            </w:tcBorders>
            <w:vAlign w:val="center"/>
            <w:hideMark/>
          </w:tcPr>
          <w:p w14:paraId="5D09CD2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1050" w:type="dxa"/>
            <w:tcBorders>
              <w:top w:val="nil"/>
              <w:left w:val="nil"/>
              <w:bottom w:val="single" w:sz="4" w:space="0" w:color="auto"/>
              <w:right w:val="single" w:sz="4" w:space="0" w:color="auto"/>
            </w:tcBorders>
            <w:vAlign w:val="center"/>
            <w:hideMark/>
          </w:tcPr>
          <w:p w14:paraId="5C102C81"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74" w:type="dxa"/>
            <w:tcBorders>
              <w:top w:val="nil"/>
              <w:left w:val="nil"/>
              <w:bottom w:val="single" w:sz="4" w:space="0" w:color="auto"/>
              <w:right w:val="single" w:sz="4" w:space="0" w:color="auto"/>
            </w:tcBorders>
            <w:vAlign w:val="center"/>
            <w:hideMark/>
          </w:tcPr>
          <w:p w14:paraId="73883ACF"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929" w:type="dxa"/>
            <w:tcBorders>
              <w:top w:val="nil"/>
              <w:left w:val="nil"/>
              <w:bottom w:val="single" w:sz="4" w:space="0" w:color="auto"/>
              <w:right w:val="single" w:sz="4" w:space="0" w:color="auto"/>
            </w:tcBorders>
            <w:vAlign w:val="center"/>
            <w:hideMark/>
          </w:tcPr>
          <w:p w14:paraId="4C45114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62" w:type="dxa"/>
            <w:tcBorders>
              <w:top w:val="nil"/>
              <w:left w:val="nil"/>
              <w:bottom w:val="single" w:sz="4" w:space="0" w:color="auto"/>
              <w:right w:val="single" w:sz="4" w:space="0" w:color="auto"/>
            </w:tcBorders>
            <w:vAlign w:val="center"/>
            <w:hideMark/>
          </w:tcPr>
          <w:p w14:paraId="10B3E6C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1024" w:type="dxa"/>
            <w:tcBorders>
              <w:top w:val="nil"/>
              <w:left w:val="nil"/>
              <w:bottom w:val="single" w:sz="4" w:space="0" w:color="auto"/>
              <w:right w:val="single" w:sz="4" w:space="0" w:color="auto"/>
            </w:tcBorders>
            <w:vAlign w:val="center"/>
            <w:hideMark/>
          </w:tcPr>
          <w:p w14:paraId="60A8EC94"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4B88E1E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4.5</w:t>
            </w:r>
          </w:p>
        </w:tc>
        <w:tc>
          <w:tcPr>
            <w:tcW w:w="1248" w:type="dxa"/>
            <w:tcBorders>
              <w:top w:val="nil"/>
              <w:left w:val="nil"/>
              <w:bottom w:val="single" w:sz="4" w:space="0" w:color="auto"/>
              <w:right w:val="single" w:sz="4" w:space="0" w:color="auto"/>
            </w:tcBorders>
            <w:vAlign w:val="center"/>
            <w:hideMark/>
          </w:tcPr>
          <w:p w14:paraId="5D4E2EB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4" w:space="0" w:color="auto"/>
              <w:right w:val="single" w:sz="4" w:space="0" w:color="auto"/>
            </w:tcBorders>
            <w:vAlign w:val="center"/>
            <w:hideMark/>
          </w:tcPr>
          <w:p w14:paraId="1B63AC6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59D9B78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10633E51"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3.3</w:t>
            </w:r>
          </w:p>
        </w:tc>
        <w:tc>
          <w:tcPr>
            <w:tcW w:w="574" w:type="dxa"/>
            <w:gridSpan w:val="2"/>
            <w:tcBorders>
              <w:top w:val="nil"/>
              <w:left w:val="nil"/>
              <w:bottom w:val="single" w:sz="4" w:space="0" w:color="auto"/>
              <w:right w:val="single" w:sz="8" w:space="0" w:color="auto"/>
            </w:tcBorders>
            <w:vAlign w:val="center"/>
            <w:hideMark/>
          </w:tcPr>
          <w:p w14:paraId="4A5A75B4"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6.8</w:t>
            </w:r>
          </w:p>
        </w:tc>
        <w:tc>
          <w:tcPr>
            <w:tcW w:w="653" w:type="dxa"/>
            <w:tcBorders>
              <w:top w:val="nil"/>
              <w:left w:val="nil"/>
              <w:bottom w:val="single" w:sz="4" w:space="0" w:color="auto"/>
              <w:right w:val="single" w:sz="8" w:space="0" w:color="auto"/>
            </w:tcBorders>
          </w:tcPr>
          <w:p w14:paraId="0B6250C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w:t>
            </w:r>
          </w:p>
        </w:tc>
      </w:tr>
      <w:tr w:rsidR="0077216E" w:rsidRPr="00A803B9" w14:paraId="4D63E40C" w14:textId="77777777" w:rsidTr="00745BDB">
        <w:trPr>
          <w:trHeight w:val="288"/>
          <w:jc w:val="center"/>
        </w:trPr>
        <w:tc>
          <w:tcPr>
            <w:tcW w:w="1341" w:type="dxa"/>
            <w:vMerge/>
            <w:tcBorders>
              <w:left w:val="single" w:sz="8" w:space="0" w:color="auto"/>
              <w:right w:val="single" w:sz="4" w:space="0" w:color="auto"/>
            </w:tcBorders>
            <w:vAlign w:val="center"/>
            <w:hideMark/>
          </w:tcPr>
          <w:p w14:paraId="0C96373B"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p>
        </w:tc>
        <w:tc>
          <w:tcPr>
            <w:tcW w:w="1677" w:type="dxa"/>
            <w:tcBorders>
              <w:top w:val="nil"/>
              <w:left w:val="nil"/>
              <w:bottom w:val="single" w:sz="4" w:space="0" w:color="auto"/>
              <w:right w:val="single" w:sz="4" w:space="0" w:color="auto"/>
            </w:tcBorders>
            <w:vAlign w:val="center"/>
            <w:hideMark/>
          </w:tcPr>
          <w:p w14:paraId="79D18F6C"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E-Coli and bacteria</w:t>
            </w:r>
          </w:p>
        </w:tc>
        <w:tc>
          <w:tcPr>
            <w:tcW w:w="1165" w:type="dxa"/>
            <w:tcBorders>
              <w:top w:val="nil"/>
              <w:left w:val="nil"/>
              <w:bottom w:val="single" w:sz="4" w:space="0" w:color="auto"/>
              <w:right w:val="single" w:sz="4" w:space="0" w:color="auto"/>
            </w:tcBorders>
            <w:vAlign w:val="center"/>
            <w:hideMark/>
          </w:tcPr>
          <w:p w14:paraId="77781CE4"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Domestics</w:t>
            </w:r>
          </w:p>
        </w:tc>
        <w:tc>
          <w:tcPr>
            <w:tcW w:w="922" w:type="dxa"/>
            <w:tcBorders>
              <w:top w:val="nil"/>
              <w:left w:val="nil"/>
              <w:bottom w:val="single" w:sz="4" w:space="0" w:color="auto"/>
              <w:right w:val="single" w:sz="4" w:space="0" w:color="auto"/>
            </w:tcBorders>
            <w:vAlign w:val="center"/>
            <w:hideMark/>
          </w:tcPr>
          <w:p w14:paraId="55F93E01"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1050" w:type="dxa"/>
            <w:tcBorders>
              <w:top w:val="nil"/>
              <w:left w:val="nil"/>
              <w:bottom w:val="single" w:sz="4" w:space="0" w:color="auto"/>
              <w:right w:val="single" w:sz="4" w:space="0" w:color="auto"/>
            </w:tcBorders>
            <w:vAlign w:val="center"/>
            <w:hideMark/>
          </w:tcPr>
          <w:p w14:paraId="55CC8AD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74" w:type="dxa"/>
            <w:tcBorders>
              <w:top w:val="nil"/>
              <w:left w:val="nil"/>
              <w:bottom w:val="single" w:sz="4" w:space="0" w:color="auto"/>
              <w:right w:val="single" w:sz="4" w:space="0" w:color="auto"/>
            </w:tcBorders>
            <w:vAlign w:val="center"/>
            <w:hideMark/>
          </w:tcPr>
          <w:p w14:paraId="22F7828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929" w:type="dxa"/>
            <w:tcBorders>
              <w:top w:val="nil"/>
              <w:left w:val="nil"/>
              <w:bottom w:val="single" w:sz="4" w:space="0" w:color="auto"/>
              <w:right w:val="single" w:sz="4" w:space="0" w:color="auto"/>
            </w:tcBorders>
            <w:vAlign w:val="center"/>
            <w:hideMark/>
          </w:tcPr>
          <w:p w14:paraId="0C57F4ED"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62" w:type="dxa"/>
            <w:tcBorders>
              <w:top w:val="nil"/>
              <w:left w:val="nil"/>
              <w:bottom w:val="single" w:sz="4" w:space="0" w:color="auto"/>
              <w:right w:val="single" w:sz="4" w:space="0" w:color="auto"/>
            </w:tcBorders>
            <w:vAlign w:val="center"/>
            <w:hideMark/>
          </w:tcPr>
          <w:p w14:paraId="255BE73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1024" w:type="dxa"/>
            <w:tcBorders>
              <w:top w:val="nil"/>
              <w:left w:val="nil"/>
              <w:bottom w:val="single" w:sz="4" w:space="0" w:color="auto"/>
              <w:right w:val="single" w:sz="4" w:space="0" w:color="auto"/>
            </w:tcBorders>
            <w:vAlign w:val="center"/>
            <w:hideMark/>
          </w:tcPr>
          <w:p w14:paraId="51C0F40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837" w:type="dxa"/>
            <w:tcBorders>
              <w:top w:val="nil"/>
              <w:left w:val="nil"/>
              <w:bottom w:val="single" w:sz="4" w:space="0" w:color="auto"/>
              <w:right w:val="single" w:sz="4" w:space="0" w:color="auto"/>
            </w:tcBorders>
            <w:vAlign w:val="center"/>
            <w:hideMark/>
          </w:tcPr>
          <w:p w14:paraId="725E975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4.3</w:t>
            </w:r>
          </w:p>
        </w:tc>
        <w:tc>
          <w:tcPr>
            <w:tcW w:w="1248" w:type="dxa"/>
            <w:tcBorders>
              <w:top w:val="nil"/>
              <w:left w:val="nil"/>
              <w:bottom w:val="single" w:sz="4" w:space="0" w:color="auto"/>
              <w:right w:val="single" w:sz="4" w:space="0" w:color="auto"/>
            </w:tcBorders>
            <w:vAlign w:val="center"/>
            <w:hideMark/>
          </w:tcPr>
          <w:p w14:paraId="31E0ECE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4" w:space="0" w:color="auto"/>
              <w:right w:val="single" w:sz="4" w:space="0" w:color="auto"/>
            </w:tcBorders>
            <w:vAlign w:val="center"/>
            <w:hideMark/>
          </w:tcPr>
          <w:p w14:paraId="1CED1CF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4F7D927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1F68AB6F"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3.3</w:t>
            </w:r>
          </w:p>
        </w:tc>
        <w:tc>
          <w:tcPr>
            <w:tcW w:w="574" w:type="dxa"/>
            <w:gridSpan w:val="2"/>
            <w:tcBorders>
              <w:top w:val="nil"/>
              <w:left w:val="nil"/>
              <w:bottom w:val="single" w:sz="4" w:space="0" w:color="auto"/>
              <w:right w:val="single" w:sz="8" w:space="0" w:color="auto"/>
            </w:tcBorders>
            <w:vAlign w:val="center"/>
            <w:hideMark/>
          </w:tcPr>
          <w:p w14:paraId="0D8590C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6.4</w:t>
            </w:r>
          </w:p>
        </w:tc>
        <w:tc>
          <w:tcPr>
            <w:tcW w:w="653" w:type="dxa"/>
            <w:tcBorders>
              <w:top w:val="nil"/>
              <w:left w:val="nil"/>
              <w:bottom w:val="single" w:sz="4" w:space="0" w:color="auto"/>
              <w:right w:val="single" w:sz="8" w:space="0" w:color="auto"/>
            </w:tcBorders>
          </w:tcPr>
          <w:p w14:paraId="580EDDE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w:t>
            </w:r>
          </w:p>
        </w:tc>
      </w:tr>
      <w:tr w:rsidR="0077216E" w:rsidRPr="00A803B9" w14:paraId="256AE553" w14:textId="77777777" w:rsidTr="00745BDB">
        <w:trPr>
          <w:trHeight w:val="288"/>
          <w:jc w:val="center"/>
        </w:trPr>
        <w:tc>
          <w:tcPr>
            <w:tcW w:w="1341" w:type="dxa"/>
            <w:vMerge/>
            <w:tcBorders>
              <w:left w:val="single" w:sz="8" w:space="0" w:color="auto"/>
              <w:right w:val="single" w:sz="4" w:space="0" w:color="auto"/>
            </w:tcBorders>
            <w:vAlign w:val="center"/>
            <w:hideMark/>
          </w:tcPr>
          <w:p w14:paraId="0C30873D"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p>
        </w:tc>
        <w:tc>
          <w:tcPr>
            <w:tcW w:w="1677" w:type="dxa"/>
            <w:tcBorders>
              <w:top w:val="nil"/>
              <w:left w:val="nil"/>
              <w:bottom w:val="single" w:sz="4" w:space="0" w:color="auto"/>
              <w:right w:val="single" w:sz="4" w:space="0" w:color="auto"/>
            </w:tcBorders>
            <w:vAlign w:val="center"/>
            <w:hideMark/>
          </w:tcPr>
          <w:p w14:paraId="3CC0F1B2"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Pesticides</w:t>
            </w:r>
          </w:p>
        </w:tc>
        <w:tc>
          <w:tcPr>
            <w:tcW w:w="1165" w:type="dxa"/>
            <w:tcBorders>
              <w:top w:val="nil"/>
              <w:left w:val="nil"/>
              <w:bottom w:val="single" w:sz="4" w:space="0" w:color="auto"/>
              <w:right w:val="single" w:sz="4" w:space="0" w:color="auto"/>
            </w:tcBorders>
            <w:vAlign w:val="center"/>
            <w:hideMark/>
          </w:tcPr>
          <w:p w14:paraId="51051EE4"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Agriculture</w:t>
            </w:r>
          </w:p>
        </w:tc>
        <w:tc>
          <w:tcPr>
            <w:tcW w:w="922" w:type="dxa"/>
            <w:tcBorders>
              <w:top w:val="nil"/>
              <w:left w:val="nil"/>
              <w:bottom w:val="single" w:sz="4" w:space="0" w:color="auto"/>
              <w:right w:val="single" w:sz="4" w:space="0" w:color="auto"/>
            </w:tcBorders>
            <w:vAlign w:val="center"/>
            <w:hideMark/>
          </w:tcPr>
          <w:p w14:paraId="4C7EF9E1"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3E44F98A"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774" w:type="dxa"/>
            <w:tcBorders>
              <w:top w:val="nil"/>
              <w:left w:val="nil"/>
              <w:bottom w:val="single" w:sz="4" w:space="0" w:color="auto"/>
              <w:right w:val="single" w:sz="4" w:space="0" w:color="auto"/>
            </w:tcBorders>
            <w:vAlign w:val="center"/>
            <w:hideMark/>
          </w:tcPr>
          <w:p w14:paraId="772603F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2</w:t>
            </w:r>
          </w:p>
        </w:tc>
        <w:tc>
          <w:tcPr>
            <w:tcW w:w="929" w:type="dxa"/>
            <w:tcBorders>
              <w:top w:val="nil"/>
              <w:left w:val="nil"/>
              <w:bottom w:val="single" w:sz="4" w:space="0" w:color="auto"/>
              <w:right w:val="single" w:sz="4" w:space="0" w:color="auto"/>
            </w:tcBorders>
            <w:vAlign w:val="center"/>
            <w:hideMark/>
          </w:tcPr>
          <w:p w14:paraId="0872021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2</w:t>
            </w:r>
          </w:p>
        </w:tc>
        <w:tc>
          <w:tcPr>
            <w:tcW w:w="762" w:type="dxa"/>
            <w:tcBorders>
              <w:top w:val="nil"/>
              <w:left w:val="nil"/>
              <w:bottom w:val="single" w:sz="4" w:space="0" w:color="auto"/>
              <w:right w:val="single" w:sz="4" w:space="0" w:color="auto"/>
            </w:tcBorders>
            <w:vAlign w:val="center"/>
            <w:hideMark/>
          </w:tcPr>
          <w:p w14:paraId="18C7794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2</w:t>
            </w:r>
          </w:p>
        </w:tc>
        <w:tc>
          <w:tcPr>
            <w:tcW w:w="1024" w:type="dxa"/>
            <w:tcBorders>
              <w:top w:val="nil"/>
              <w:left w:val="nil"/>
              <w:bottom w:val="single" w:sz="4" w:space="0" w:color="auto"/>
              <w:right w:val="single" w:sz="4" w:space="0" w:color="auto"/>
            </w:tcBorders>
            <w:vAlign w:val="center"/>
            <w:hideMark/>
          </w:tcPr>
          <w:p w14:paraId="3784B731"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2</w:t>
            </w:r>
          </w:p>
        </w:tc>
        <w:tc>
          <w:tcPr>
            <w:tcW w:w="837" w:type="dxa"/>
            <w:tcBorders>
              <w:top w:val="nil"/>
              <w:left w:val="nil"/>
              <w:bottom w:val="single" w:sz="4" w:space="0" w:color="auto"/>
              <w:right w:val="single" w:sz="4" w:space="0" w:color="auto"/>
            </w:tcBorders>
            <w:vAlign w:val="center"/>
            <w:hideMark/>
          </w:tcPr>
          <w:p w14:paraId="7974AC3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2.0</w:t>
            </w:r>
          </w:p>
        </w:tc>
        <w:tc>
          <w:tcPr>
            <w:tcW w:w="1248" w:type="dxa"/>
            <w:tcBorders>
              <w:top w:val="nil"/>
              <w:left w:val="nil"/>
              <w:bottom w:val="single" w:sz="4" w:space="0" w:color="auto"/>
              <w:right w:val="single" w:sz="4" w:space="0" w:color="auto"/>
            </w:tcBorders>
            <w:vAlign w:val="center"/>
            <w:hideMark/>
          </w:tcPr>
          <w:p w14:paraId="0BFEA20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4" w:space="0" w:color="auto"/>
              <w:right w:val="single" w:sz="4" w:space="0" w:color="auto"/>
            </w:tcBorders>
            <w:vAlign w:val="center"/>
            <w:hideMark/>
          </w:tcPr>
          <w:p w14:paraId="429AB24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43B6D99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837" w:type="dxa"/>
            <w:tcBorders>
              <w:top w:val="nil"/>
              <w:left w:val="nil"/>
              <w:bottom w:val="single" w:sz="4" w:space="0" w:color="auto"/>
              <w:right w:val="single" w:sz="4" w:space="0" w:color="auto"/>
            </w:tcBorders>
            <w:vAlign w:val="center"/>
            <w:hideMark/>
          </w:tcPr>
          <w:p w14:paraId="58C6306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3.0</w:t>
            </w:r>
          </w:p>
        </w:tc>
        <w:tc>
          <w:tcPr>
            <w:tcW w:w="574" w:type="dxa"/>
            <w:gridSpan w:val="2"/>
            <w:tcBorders>
              <w:top w:val="nil"/>
              <w:left w:val="nil"/>
              <w:bottom w:val="single" w:sz="4" w:space="0" w:color="auto"/>
              <w:right w:val="single" w:sz="8" w:space="0" w:color="auto"/>
            </w:tcBorders>
            <w:vAlign w:val="center"/>
            <w:hideMark/>
          </w:tcPr>
          <w:p w14:paraId="463AA765"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2.0</w:t>
            </w:r>
          </w:p>
        </w:tc>
        <w:tc>
          <w:tcPr>
            <w:tcW w:w="653" w:type="dxa"/>
            <w:tcBorders>
              <w:top w:val="nil"/>
              <w:left w:val="nil"/>
              <w:bottom w:val="single" w:sz="4" w:space="0" w:color="auto"/>
              <w:right w:val="single" w:sz="8" w:space="0" w:color="auto"/>
            </w:tcBorders>
          </w:tcPr>
          <w:p w14:paraId="5334A355"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L</w:t>
            </w:r>
          </w:p>
        </w:tc>
      </w:tr>
      <w:tr w:rsidR="0077216E" w:rsidRPr="00A803B9" w14:paraId="3F38860A" w14:textId="77777777" w:rsidTr="00745BDB">
        <w:trPr>
          <w:trHeight w:val="288"/>
          <w:jc w:val="center"/>
        </w:trPr>
        <w:tc>
          <w:tcPr>
            <w:tcW w:w="1341" w:type="dxa"/>
            <w:vMerge/>
            <w:tcBorders>
              <w:left w:val="single" w:sz="8" w:space="0" w:color="auto"/>
              <w:bottom w:val="single" w:sz="4" w:space="0" w:color="auto"/>
              <w:right w:val="single" w:sz="4" w:space="0" w:color="auto"/>
            </w:tcBorders>
            <w:vAlign w:val="center"/>
            <w:hideMark/>
          </w:tcPr>
          <w:p w14:paraId="10EC54C8"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p>
        </w:tc>
        <w:tc>
          <w:tcPr>
            <w:tcW w:w="1677" w:type="dxa"/>
            <w:tcBorders>
              <w:top w:val="nil"/>
              <w:left w:val="nil"/>
              <w:bottom w:val="single" w:sz="4" w:space="0" w:color="auto"/>
              <w:right w:val="single" w:sz="4" w:space="0" w:color="auto"/>
            </w:tcBorders>
            <w:vAlign w:val="center"/>
            <w:hideMark/>
          </w:tcPr>
          <w:p w14:paraId="557D35E7"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TSS</w:t>
            </w:r>
          </w:p>
        </w:tc>
        <w:tc>
          <w:tcPr>
            <w:tcW w:w="1165" w:type="dxa"/>
            <w:tcBorders>
              <w:top w:val="nil"/>
              <w:left w:val="nil"/>
              <w:bottom w:val="single" w:sz="4" w:space="0" w:color="auto"/>
              <w:right w:val="single" w:sz="4" w:space="0" w:color="auto"/>
            </w:tcBorders>
            <w:vAlign w:val="center"/>
            <w:hideMark/>
          </w:tcPr>
          <w:p w14:paraId="3F89B011"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Mineral Mining and sand mining</w:t>
            </w:r>
          </w:p>
        </w:tc>
        <w:tc>
          <w:tcPr>
            <w:tcW w:w="922" w:type="dxa"/>
            <w:tcBorders>
              <w:top w:val="nil"/>
              <w:left w:val="nil"/>
              <w:bottom w:val="single" w:sz="4" w:space="0" w:color="auto"/>
              <w:right w:val="single" w:sz="4" w:space="0" w:color="auto"/>
            </w:tcBorders>
            <w:vAlign w:val="center"/>
            <w:hideMark/>
          </w:tcPr>
          <w:p w14:paraId="20344B2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1050" w:type="dxa"/>
            <w:tcBorders>
              <w:top w:val="nil"/>
              <w:left w:val="nil"/>
              <w:bottom w:val="single" w:sz="4" w:space="0" w:color="auto"/>
              <w:right w:val="single" w:sz="4" w:space="0" w:color="auto"/>
            </w:tcBorders>
            <w:vAlign w:val="center"/>
            <w:hideMark/>
          </w:tcPr>
          <w:p w14:paraId="1133DBE1"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74" w:type="dxa"/>
            <w:tcBorders>
              <w:top w:val="nil"/>
              <w:left w:val="nil"/>
              <w:bottom w:val="single" w:sz="4" w:space="0" w:color="auto"/>
              <w:right w:val="single" w:sz="4" w:space="0" w:color="auto"/>
            </w:tcBorders>
            <w:vAlign w:val="center"/>
            <w:hideMark/>
          </w:tcPr>
          <w:p w14:paraId="0D870FDF"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929" w:type="dxa"/>
            <w:tcBorders>
              <w:top w:val="nil"/>
              <w:left w:val="nil"/>
              <w:bottom w:val="single" w:sz="4" w:space="0" w:color="auto"/>
              <w:right w:val="single" w:sz="4" w:space="0" w:color="auto"/>
            </w:tcBorders>
            <w:vAlign w:val="center"/>
            <w:hideMark/>
          </w:tcPr>
          <w:p w14:paraId="11789C4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62" w:type="dxa"/>
            <w:tcBorders>
              <w:top w:val="nil"/>
              <w:left w:val="nil"/>
              <w:bottom w:val="single" w:sz="4" w:space="0" w:color="auto"/>
              <w:right w:val="single" w:sz="4" w:space="0" w:color="auto"/>
            </w:tcBorders>
            <w:vAlign w:val="center"/>
            <w:hideMark/>
          </w:tcPr>
          <w:p w14:paraId="5B102775"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1024" w:type="dxa"/>
            <w:tcBorders>
              <w:top w:val="nil"/>
              <w:left w:val="nil"/>
              <w:bottom w:val="single" w:sz="4" w:space="0" w:color="auto"/>
              <w:right w:val="single" w:sz="4" w:space="0" w:color="auto"/>
            </w:tcBorders>
            <w:vAlign w:val="center"/>
            <w:hideMark/>
          </w:tcPr>
          <w:p w14:paraId="15C6A14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837" w:type="dxa"/>
            <w:tcBorders>
              <w:top w:val="nil"/>
              <w:left w:val="nil"/>
              <w:bottom w:val="single" w:sz="4" w:space="0" w:color="auto"/>
              <w:right w:val="single" w:sz="4" w:space="0" w:color="auto"/>
            </w:tcBorders>
            <w:vAlign w:val="center"/>
            <w:hideMark/>
          </w:tcPr>
          <w:p w14:paraId="0025D83E"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4.5</w:t>
            </w:r>
          </w:p>
        </w:tc>
        <w:tc>
          <w:tcPr>
            <w:tcW w:w="1248" w:type="dxa"/>
            <w:tcBorders>
              <w:top w:val="nil"/>
              <w:left w:val="nil"/>
              <w:bottom w:val="single" w:sz="4" w:space="0" w:color="auto"/>
              <w:right w:val="single" w:sz="4" w:space="0" w:color="auto"/>
            </w:tcBorders>
            <w:vAlign w:val="center"/>
            <w:hideMark/>
          </w:tcPr>
          <w:p w14:paraId="46E585E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2</w:t>
            </w:r>
          </w:p>
        </w:tc>
        <w:tc>
          <w:tcPr>
            <w:tcW w:w="1048" w:type="dxa"/>
            <w:tcBorders>
              <w:top w:val="nil"/>
              <w:left w:val="nil"/>
              <w:bottom w:val="single" w:sz="4" w:space="0" w:color="auto"/>
              <w:right w:val="single" w:sz="4" w:space="0" w:color="auto"/>
            </w:tcBorders>
            <w:vAlign w:val="center"/>
            <w:hideMark/>
          </w:tcPr>
          <w:p w14:paraId="6E4E1441"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446BF215"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7C32DBD4"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3.0</w:t>
            </w:r>
          </w:p>
        </w:tc>
        <w:tc>
          <w:tcPr>
            <w:tcW w:w="574" w:type="dxa"/>
            <w:gridSpan w:val="2"/>
            <w:tcBorders>
              <w:top w:val="nil"/>
              <w:left w:val="nil"/>
              <w:bottom w:val="single" w:sz="4" w:space="0" w:color="auto"/>
              <w:right w:val="single" w:sz="8" w:space="0" w:color="auto"/>
            </w:tcBorders>
            <w:vAlign w:val="center"/>
            <w:hideMark/>
          </w:tcPr>
          <w:p w14:paraId="462849CE"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7.5</w:t>
            </w:r>
          </w:p>
        </w:tc>
        <w:tc>
          <w:tcPr>
            <w:tcW w:w="653" w:type="dxa"/>
            <w:tcBorders>
              <w:top w:val="nil"/>
              <w:left w:val="nil"/>
              <w:bottom w:val="single" w:sz="4" w:space="0" w:color="auto"/>
              <w:right w:val="single" w:sz="8" w:space="0" w:color="auto"/>
            </w:tcBorders>
          </w:tcPr>
          <w:p w14:paraId="12A42BFF"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w:t>
            </w:r>
          </w:p>
        </w:tc>
      </w:tr>
      <w:tr w:rsidR="0077216E" w:rsidRPr="00A803B9" w14:paraId="6ACEA820" w14:textId="77777777" w:rsidTr="00745BDB">
        <w:trPr>
          <w:trHeight w:val="252"/>
          <w:jc w:val="center"/>
        </w:trPr>
        <w:tc>
          <w:tcPr>
            <w:tcW w:w="15891" w:type="dxa"/>
            <w:gridSpan w:val="17"/>
            <w:tcBorders>
              <w:top w:val="nil"/>
              <w:left w:val="single" w:sz="8" w:space="0" w:color="auto"/>
              <w:bottom w:val="single" w:sz="4" w:space="0" w:color="auto"/>
              <w:right w:val="single" w:sz="8" w:space="0" w:color="auto"/>
            </w:tcBorders>
            <w:vAlign w:val="center"/>
          </w:tcPr>
          <w:p w14:paraId="767B1482"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Bangka Belitung Province</w:t>
            </w:r>
          </w:p>
        </w:tc>
      </w:tr>
      <w:tr w:rsidR="0077216E" w:rsidRPr="00A803B9" w14:paraId="3D4D8B16" w14:textId="77777777" w:rsidTr="00745BDB">
        <w:trPr>
          <w:trHeight w:val="480"/>
          <w:jc w:val="center"/>
        </w:trPr>
        <w:tc>
          <w:tcPr>
            <w:tcW w:w="1341" w:type="dxa"/>
            <w:tcBorders>
              <w:top w:val="nil"/>
              <w:left w:val="single" w:sz="8" w:space="0" w:color="auto"/>
              <w:bottom w:val="single" w:sz="4" w:space="0" w:color="auto"/>
              <w:right w:val="single" w:sz="4" w:space="0" w:color="auto"/>
            </w:tcBorders>
            <w:vAlign w:val="center"/>
            <w:hideMark/>
          </w:tcPr>
          <w:p w14:paraId="1514B8DB"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xml:space="preserve"> </w:t>
            </w:r>
          </w:p>
        </w:tc>
        <w:tc>
          <w:tcPr>
            <w:tcW w:w="1677" w:type="dxa"/>
            <w:tcBorders>
              <w:top w:val="nil"/>
              <w:left w:val="nil"/>
              <w:bottom w:val="single" w:sz="4" w:space="0" w:color="auto"/>
              <w:right w:val="single" w:sz="4" w:space="0" w:color="auto"/>
            </w:tcBorders>
            <w:vAlign w:val="center"/>
            <w:hideMark/>
          </w:tcPr>
          <w:p w14:paraId="57046C52"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Oil</w:t>
            </w:r>
          </w:p>
        </w:tc>
        <w:tc>
          <w:tcPr>
            <w:tcW w:w="1165" w:type="dxa"/>
            <w:tcBorders>
              <w:top w:val="nil"/>
              <w:left w:val="nil"/>
              <w:bottom w:val="single" w:sz="4" w:space="0" w:color="auto"/>
              <w:right w:val="single" w:sz="4" w:space="0" w:color="auto"/>
            </w:tcBorders>
            <w:vAlign w:val="center"/>
            <w:hideMark/>
          </w:tcPr>
          <w:p w14:paraId="5FBC598F"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seaport, oil facility, shipping activity</w:t>
            </w:r>
          </w:p>
        </w:tc>
        <w:tc>
          <w:tcPr>
            <w:tcW w:w="922" w:type="dxa"/>
            <w:tcBorders>
              <w:top w:val="nil"/>
              <w:left w:val="nil"/>
              <w:bottom w:val="single" w:sz="4" w:space="0" w:color="auto"/>
              <w:right w:val="single" w:sz="4" w:space="0" w:color="auto"/>
            </w:tcBorders>
            <w:vAlign w:val="center"/>
            <w:hideMark/>
          </w:tcPr>
          <w:p w14:paraId="57C49FA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1050" w:type="dxa"/>
            <w:tcBorders>
              <w:top w:val="nil"/>
              <w:left w:val="nil"/>
              <w:bottom w:val="single" w:sz="4" w:space="0" w:color="auto"/>
              <w:right w:val="single" w:sz="4" w:space="0" w:color="auto"/>
            </w:tcBorders>
            <w:vAlign w:val="center"/>
            <w:hideMark/>
          </w:tcPr>
          <w:p w14:paraId="2D2CFE24"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774" w:type="dxa"/>
            <w:tcBorders>
              <w:top w:val="nil"/>
              <w:left w:val="nil"/>
              <w:bottom w:val="single" w:sz="4" w:space="0" w:color="auto"/>
              <w:right w:val="single" w:sz="4" w:space="0" w:color="auto"/>
            </w:tcBorders>
            <w:vAlign w:val="center"/>
            <w:hideMark/>
          </w:tcPr>
          <w:p w14:paraId="321E815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929" w:type="dxa"/>
            <w:tcBorders>
              <w:top w:val="nil"/>
              <w:left w:val="nil"/>
              <w:bottom w:val="single" w:sz="4" w:space="0" w:color="auto"/>
              <w:right w:val="single" w:sz="4" w:space="0" w:color="auto"/>
            </w:tcBorders>
            <w:vAlign w:val="center"/>
            <w:hideMark/>
          </w:tcPr>
          <w:p w14:paraId="5754034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762" w:type="dxa"/>
            <w:tcBorders>
              <w:top w:val="nil"/>
              <w:left w:val="nil"/>
              <w:bottom w:val="single" w:sz="4" w:space="0" w:color="auto"/>
              <w:right w:val="single" w:sz="4" w:space="0" w:color="auto"/>
            </w:tcBorders>
            <w:vAlign w:val="center"/>
            <w:hideMark/>
          </w:tcPr>
          <w:p w14:paraId="4D0D8DA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24" w:type="dxa"/>
            <w:tcBorders>
              <w:top w:val="nil"/>
              <w:left w:val="nil"/>
              <w:bottom w:val="single" w:sz="4" w:space="0" w:color="auto"/>
              <w:right w:val="single" w:sz="4" w:space="0" w:color="auto"/>
            </w:tcBorders>
            <w:vAlign w:val="center"/>
            <w:hideMark/>
          </w:tcPr>
          <w:p w14:paraId="1BFF627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837" w:type="dxa"/>
            <w:tcBorders>
              <w:top w:val="nil"/>
              <w:left w:val="nil"/>
              <w:bottom w:val="single" w:sz="4" w:space="0" w:color="auto"/>
              <w:right w:val="single" w:sz="4" w:space="0" w:color="auto"/>
            </w:tcBorders>
            <w:vAlign w:val="center"/>
            <w:hideMark/>
          </w:tcPr>
          <w:p w14:paraId="2F70FDD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3.0</w:t>
            </w:r>
          </w:p>
        </w:tc>
        <w:tc>
          <w:tcPr>
            <w:tcW w:w="1248" w:type="dxa"/>
            <w:tcBorders>
              <w:top w:val="nil"/>
              <w:left w:val="nil"/>
              <w:bottom w:val="single" w:sz="4" w:space="0" w:color="auto"/>
              <w:right w:val="single" w:sz="4" w:space="0" w:color="auto"/>
            </w:tcBorders>
            <w:vAlign w:val="center"/>
            <w:hideMark/>
          </w:tcPr>
          <w:p w14:paraId="1CC70B0E"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2</w:t>
            </w:r>
          </w:p>
        </w:tc>
        <w:tc>
          <w:tcPr>
            <w:tcW w:w="1048" w:type="dxa"/>
            <w:tcBorders>
              <w:top w:val="nil"/>
              <w:left w:val="nil"/>
              <w:bottom w:val="single" w:sz="4" w:space="0" w:color="auto"/>
              <w:right w:val="single" w:sz="4" w:space="0" w:color="auto"/>
            </w:tcBorders>
            <w:vAlign w:val="center"/>
            <w:hideMark/>
          </w:tcPr>
          <w:p w14:paraId="1AFFEBC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67052D5F"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4CAA8DE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3.0</w:t>
            </w:r>
          </w:p>
        </w:tc>
        <w:tc>
          <w:tcPr>
            <w:tcW w:w="574" w:type="dxa"/>
            <w:gridSpan w:val="2"/>
            <w:tcBorders>
              <w:top w:val="nil"/>
              <w:left w:val="nil"/>
              <w:bottom w:val="single" w:sz="4" w:space="0" w:color="auto"/>
              <w:right w:val="single" w:sz="8" w:space="0" w:color="auto"/>
            </w:tcBorders>
            <w:vAlign w:val="center"/>
            <w:hideMark/>
          </w:tcPr>
          <w:p w14:paraId="46136C9A"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4.0</w:t>
            </w:r>
          </w:p>
        </w:tc>
        <w:tc>
          <w:tcPr>
            <w:tcW w:w="653" w:type="dxa"/>
            <w:tcBorders>
              <w:top w:val="nil"/>
              <w:left w:val="nil"/>
              <w:bottom w:val="single" w:sz="4" w:space="0" w:color="auto"/>
              <w:right w:val="single" w:sz="8" w:space="0" w:color="auto"/>
            </w:tcBorders>
          </w:tcPr>
          <w:p w14:paraId="723A2FED"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w:t>
            </w:r>
          </w:p>
        </w:tc>
      </w:tr>
      <w:tr w:rsidR="0077216E" w:rsidRPr="00A803B9" w14:paraId="32B50C8D" w14:textId="77777777" w:rsidTr="00745BDB">
        <w:trPr>
          <w:trHeight w:val="480"/>
          <w:jc w:val="center"/>
        </w:trPr>
        <w:tc>
          <w:tcPr>
            <w:tcW w:w="1341" w:type="dxa"/>
            <w:tcBorders>
              <w:top w:val="nil"/>
              <w:left w:val="single" w:sz="8" w:space="0" w:color="auto"/>
              <w:bottom w:val="single" w:sz="4" w:space="0" w:color="auto"/>
              <w:right w:val="single" w:sz="4" w:space="0" w:color="auto"/>
            </w:tcBorders>
            <w:vAlign w:val="center"/>
            <w:hideMark/>
          </w:tcPr>
          <w:p w14:paraId="62DDABB9"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tc>
        <w:tc>
          <w:tcPr>
            <w:tcW w:w="1677" w:type="dxa"/>
            <w:tcBorders>
              <w:top w:val="nil"/>
              <w:left w:val="nil"/>
              <w:bottom w:val="single" w:sz="4" w:space="0" w:color="auto"/>
              <w:right w:val="single" w:sz="4" w:space="0" w:color="auto"/>
            </w:tcBorders>
            <w:vAlign w:val="center"/>
            <w:hideMark/>
          </w:tcPr>
          <w:p w14:paraId="6D11C526"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Hazardous waste and heavy metals</w:t>
            </w:r>
          </w:p>
        </w:tc>
        <w:tc>
          <w:tcPr>
            <w:tcW w:w="1165" w:type="dxa"/>
            <w:tcBorders>
              <w:top w:val="nil"/>
              <w:left w:val="nil"/>
              <w:bottom w:val="single" w:sz="4" w:space="0" w:color="auto"/>
              <w:right w:val="single" w:sz="4" w:space="0" w:color="auto"/>
            </w:tcBorders>
            <w:vAlign w:val="center"/>
            <w:hideMark/>
          </w:tcPr>
          <w:p w14:paraId="5DC5470D"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industry, mineral mining</w:t>
            </w:r>
          </w:p>
        </w:tc>
        <w:tc>
          <w:tcPr>
            <w:tcW w:w="922" w:type="dxa"/>
            <w:tcBorders>
              <w:top w:val="nil"/>
              <w:left w:val="nil"/>
              <w:bottom w:val="single" w:sz="4" w:space="0" w:color="auto"/>
              <w:right w:val="single" w:sz="4" w:space="0" w:color="auto"/>
            </w:tcBorders>
            <w:vAlign w:val="center"/>
            <w:hideMark/>
          </w:tcPr>
          <w:p w14:paraId="7443AE7D"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6389D96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774" w:type="dxa"/>
            <w:tcBorders>
              <w:top w:val="nil"/>
              <w:left w:val="nil"/>
              <w:bottom w:val="single" w:sz="4" w:space="0" w:color="auto"/>
              <w:right w:val="single" w:sz="4" w:space="0" w:color="auto"/>
            </w:tcBorders>
            <w:vAlign w:val="center"/>
            <w:hideMark/>
          </w:tcPr>
          <w:p w14:paraId="3A666F7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929" w:type="dxa"/>
            <w:tcBorders>
              <w:top w:val="nil"/>
              <w:left w:val="nil"/>
              <w:bottom w:val="single" w:sz="4" w:space="0" w:color="auto"/>
              <w:right w:val="single" w:sz="4" w:space="0" w:color="auto"/>
            </w:tcBorders>
            <w:vAlign w:val="center"/>
            <w:hideMark/>
          </w:tcPr>
          <w:p w14:paraId="06CF8F7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762" w:type="dxa"/>
            <w:tcBorders>
              <w:top w:val="nil"/>
              <w:left w:val="nil"/>
              <w:bottom w:val="single" w:sz="4" w:space="0" w:color="auto"/>
              <w:right w:val="single" w:sz="4" w:space="0" w:color="auto"/>
            </w:tcBorders>
            <w:vAlign w:val="center"/>
            <w:hideMark/>
          </w:tcPr>
          <w:p w14:paraId="63BF6A2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24" w:type="dxa"/>
            <w:tcBorders>
              <w:top w:val="nil"/>
              <w:left w:val="nil"/>
              <w:bottom w:val="single" w:sz="4" w:space="0" w:color="auto"/>
              <w:right w:val="single" w:sz="4" w:space="0" w:color="auto"/>
            </w:tcBorders>
            <w:vAlign w:val="center"/>
            <w:hideMark/>
          </w:tcPr>
          <w:p w14:paraId="4158FEB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837" w:type="dxa"/>
            <w:tcBorders>
              <w:top w:val="nil"/>
              <w:left w:val="nil"/>
              <w:bottom w:val="single" w:sz="4" w:space="0" w:color="auto"/>
              <w:right w:val="single" w:sz="4" w:space="0" w:color="auto"/>
            </w:tcBorders>
            <w:vAlign w:val="center"/>
            <w:hideMark/>
          </w:tcPr>
          <w:p w14:paraId="0E2F8493"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3.0</w:t>
            </w:r>
          </w:p>
        </w:tc>
        <w:tc>
          <w:tcPr>
            <w:tcW w:w="1248" w:type="dxa"/>
            <w:tcBorders>
              <w:top w:val="nil"/>
              <w:left w:val="nil"/>
              <w:bottom w:val="single" w:sz="4" w:space="0" w:color="auto"/>
              <w:right w:val="single" w:sz="4" w:space="0" w:color="auto"/>
            </w:tcBorders>
            <w:vAlign w:val="center"/>
            <w:hideMark/>
          </w:tcPr>
          <w:p w14:paraId="4FFDBEB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4" w:space="0" w:color="auto"/>
              <w:right w:val="single" w:sz="4" w:space="0" w:color="auto"/>
            </w:tcBorders>
            <w:vAlign w:val="center"/>
            <w:hideMark/>
          </w:tcPr>
          <w:p w14:paraId="5489441F"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31073F7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7E1A88C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3.3</w:t>
            </w:r>
          </w:p>
        </w:tc>
        <w:tc>
          <w:tcPr>
            <w:tcW w:w="574" w:type="dxa"/>
            <w:gridSpan w:val="2"/>
            <w:tcBorders>
              <w:top w:val="nil"/>
              <w:left w:val="nil"/>
              <w:bottom w:val="single" w:sz="4" w:space="0" w:color="auto"/>
              <w:right w:val="single" w:sz="8" w:space="0" w:color="auto"/>
            </w:tcBorders>
            <w:vAlign w:val="center"/>
            <w:hideMark/>
          </w:tcPr>
          <w:p w14:paraId="5AFE1E3F"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2.7</w:t>
            </w:r>
          </w:p>
        </w:tc>
        <w:tc>
          <w:tcPr>
            <w:tcW w:w="653" w:type="dxa"/>
            <w:tcBorders>
              <w:top w:val="nil"/>
              <w:left w:val="nil"/>
              <w:bottom w:val="single" w:sz="4" w:space="0" w:color="auto"/>
              <w:right w:val="single" w:sz="8" w:space="0" w:color="auto"/>
            </w:tcBorders>
          </w:tcPr>
          <w:p w14:paraId="61DB3CB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L</w:t>
            </w:r>
          </w:p>
        </w:tc>
      </w:tr>
      <w:tr w:rsidR="0077216E" w:rsidRPr="00A803B9" w14:paraId="57EAB7F0" w14:textId="77777777" w:rsidTr="00745BDB">
        <w:trPr>
          <w:trHeight w:val="288"/>
          <w:jc w:val="center"/>
        </w:trPr>
        <w:tc>
          <w:tcPr>
            <w:tcW w:w="1341" w:type="dxa"/>
            <w:tcBorders>
              <w:top w:val="nil"/>
              <w:left w:val="single" w:sz="8" w:space="0" w:color="auto"/>
              <w:bottom w:val="single" w:sz="4" w:space="0" w:color="auto"/>
              <w:right w:val="single" w:sz="4" w:space="0" w:color="auto"/>
            </w:tcBorders>
            <w:vAlign w:val="center"/>
            <w:hideMark/>
          </w:tcPr>
          <w:p w14:paraId="66AF4F6B"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tc>
        <w:tc>
          <w:tcPr>
            <w:tcW w:w="1677" w:type="dxa"/>
            <w:tcBorders>
              <w:top w:val="nil"/>
              <w:left w:val="nil"/>
              <w:bottom w:val="single" w:sz="4" w:space="0" w:color="auto"/>
              <w:right w:val="single" w:sz="4" w:space="0" w:color="auto"/>
            </w:tcBorders>
            <w:vAlign w:val="center"/>
            <w:hideMark/>
          </w:tcPr>
          <w:p w14:paraId="6E869FAC"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Plastic-marine debris</w:t>
            </w:r>
          </w:p>
        </w:tc>
        <w:tc>
          <w:tcPr>
            <w:tcW w:w="1165" w:type="dxa"/>
            <w:tcBorders>
              <w:top w:val="nil"/>
              <w:left w:val="nil"/>
              <w:bottom w:val="single" w:sz="4" w:space="0" w:color="auto"/>
              <w:right w:val="single" w:sz="4" w:space="0" w:color="auto"/>
            </w:tcBorders>
            <w:vAlign w:val="center"/>
            <w:hideMark/>
          </w:tcPr>
          <w:p w14:paraId="3DA88797"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Domestics</w:t>
            </w:r>
          </w:p>
        </w:tc>
        <w:tc>
          <w:tcPr>
            <w:tcW w:w="922" w:type="dxa"/>
            <w:tcBorders>
              <w:top w:val="nil"/>
              <w:left w:val="nil"/>
              <w:bottom w:val="single" w:sz="4" w:space="0" w:color="auto"/>
              <w:right w:val="single" w:sz="4" w:space="0" w:color="auto"/>
            </w:tcBorders>
            <w:vAlign w:val="center"/>
            <w:hideMark/>
          </w:tcPr>
          <w:p w14:paraId="05667A4F"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1050" w:type="dxa"/>
            <w:tcBorders>
              <w:top w:val="nil"/>
              <w:left w:val="nil"/>
              <w:bottom w:val="single" w:sz="4" w:space="0" w:color="auto"/>
              <w:right w:val="single" w:sz="4" w:space="0" w:color="auto"/>
            </w:tcBorders>
            <w:vAlign w:val="center"/>
            <w:hideMark/>
          </w:tcPr>
          <w:p w14:paraId="476EE2FE"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74" w:type="dxa"/>
            <w:tcBorders>
              <w:top w:val="nil"/>
              <w:left w:val="nil"/>
              <w:bottom w:val="single" w:sz="4" w:space="0" w:color="auto"/>
              <w:right w:val="single" w:sz="4" w:space="0" w:color="auto"/>
            </w:tcBorders>
            <w:vAlign w:val="center"/>
            <w:hideMark/>
          </w:tcPr>
          <w:p w14:paraId="04071041"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929" w:type="dxa"/>
            <w:tcBorders>
              <w:top w:val="nil"/>
              <w:left w:val="nil"/>
              <w:bottom w:val="single" w:sz="4" w:space="0" w:color="auto"/>
              <w:right w:val="single" w:sz="4" w:space="0" w:color="auto"/>
            </w:tcBorders>
            <w:vAlign w:val="center"/>
            <w:hideMark/>
          </w:tcPr>
          <w:p w14:paraId="1E07494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762" w:type="dxa"/>
            <w:tcBorders>
              <w:top w:val="nil"/>
              <w:left w:val="nil"/>
              <w:bottom w:val="single" w:sz="4" w:space="0" w:color="auto"/>
              <w:right w:val="single" w:sz="4" w:space="0" w:color="auto"/>
            </w:tcBorders>
            <w:vAlign w:val="center"/>
            <w:hideMark/>
          </w:tcPr>
          <w:p w14:paraId="189232EF"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1024" w:type="dxa"/>
            <w:tcBorders>
              <w:top w:val="nil"/>
              <w:left w:val="nil"/>
              <w:bottom w:val="single" w:sz="4" w:space="0" w:color="auto"/>
              <w:right w:val="single" w:sz="4" w:space="0" w:color="auto"/>
            </w:tcBorders>
            <w:vAlign w:val="center"/>
            <w:hideMark/>
          </w:tcPr>
          <w:p w14:paraId="3BB8B904"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837" w:type="dxa"/>
            <w:tcBorders>
              <w:top w:val="nil"/>
              <w:left w:val="nil"/>
              <w:bottom w:val="single" w:sz="4" w:space="0" w:color="auto"/>
              <w:right w:val="single" w:sz="4" w:space="0" w:color="auto"/>
            </w:tcBorders>
            <w:vAlign w:val="center"/>
            <w:hideMark/>
          </w:tcPr>
          <w:p w14:paraId="389E9F2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3.8</w:t>
            </w:r>
          </w:p>
        </w:tc>
        <w:tc>
          <w:tcPr>
            <w:tcW w:w="1248" w:type="dxa"/>
            <w:tcBorders>
              <w:top w:val="nil"/>
              <w:left w:val="nil"/>
              <w:bottom w:val="single" w:sz="4" w:space="0" w:color="auto"/>
              <w:right w:val="single" w:sz="4" w:space="0" w:color="auto"/>
            </w:tcBorders>
            <w:vAlign w:val="center"/>
            <w:hideMark/>
          </w:tcPr>
          <w:p w14:paraId="384C66B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4" w:space="0" w:color="auto"/>
              <w:right w:val="single" w:sz="4" w:space="0" w:color="auto"/>
            </w:tcBorders>
            <w:vAlign w:val="center"/>
            <w:hideMark/>
          </w:tcPr>
          <w:p w14:paraId="660C981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0C33E455"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3DCB3DE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3.3</w:t>
            </w:r>
          </w:p>
        </w:tc>
        <w:tc>
          <w:tcPr>
            <w:tcW w:w="574" w:type="dxa"/>
            <w:gridSpan w:val="2"/>
            <w:tcBorders>
              <w:top w:val="nil"/>
              <w:left w:val="nil"/>
              <w:bottom w:val="single" w:sz="4" w:space="0" w:color="auto"/>
              <w:right w:val="single" w:sz="8" w:space="0" w:color="auto"/>
            </w:tcBorders>
            <w:vAlign w:val="center"/>
            <w:hideMark/>
          </w:tcPr>
          <w:p w14:paraId="3912F3DA"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5.6</w:t>
            </w:r>
          </w:p>
        </w:tc>
        <w:tc>
          <w:tcPr>
            <w:tcW w:w="653" w:type="dxa"/>
            <w:tcBorders>
              <w:top w:val="nil"/>
              <w:left w:val="nil"/>
              <w:bottom w:val="single" w:sz="4" w:space="0" w:color="auto"/>
              <w:right w:val="single" w:sz="8" w:space="0" w:color="auto"/>
            </w:tcBorders>
          </w:tcPr>
          <w:p w14:paraId="2721D4BA"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w:t>
            </w:r>
          </w:p>
        </w:tc>
      </w:tr>
      <w:tr w:rsidR="0077216E" w:rsidRPr="00A803B9" w14:paraId="40F451E4" w14:textId="77777777" w:rsidTr="00745BDB">
        <w:trPr>
          <w:trHeight w:val="288"/>
          <w:jc w:val="center"/>
        </w:trPr>
        <w:tc>
          <w:tcPr>
            <w:tcW w:w="1341" w:type="dxa"/>
            <w:tcBorders>
              <w:top w:val="nil"/>
              <w:left w:val="single" w:sz="8" w:space="0" w:color="auto"/>
              <w:bottom w:val="single" w:sz="4" w:space="0" w:color="auto"/>
              <w:right w:val="single" w:sz="4" w:space="0" w:color="auto"/>
            </w:tcBorders>
            <w:vAlign w:val="center"/>
            <w:hideMark/>
          </w:tcPr>
          <w:p w14:paraId="629F6041"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tc>
        <w:tc>
          <w:tcPr>
            <w:tcW w:w="1677" w:type="dxa"/>
            <w:tcBorders>
              <w:top w:val="nil"/>
              <w:left w:val="nil"/>
              <w:bottom w:val="single" w:sz="4" w:space="0" w:color="auto"/>
              <w:right w:val="single" w:sz="4" w:space="0" w:color="auto"/>
            </w:tcBorders>
            <w:vAlign w:val="center"/>
            <w:hideMark/>
          </w:tcPr>
          <w:p w14:paraId="173C974D"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Organics/nutrients</w:t>
            </w:r>
          </w:p>
        </w:tc>
        <w:tc>
          <w:tcPr>
            <w:tcW w:w="1165" w:type="dxa"/>
            <w:tcBorders>
              <w:top w:val="nil"/>
              <w:left w:val="nil"/>
              <w:bottom w:val="single" w:sz="4" w:space="0" w:color="auto"/>
              <w:right w:val="single" w:sz="4" w:space="0" w:color="auto"/>
            </w:tcBorders>
            <w:vAlign w:val="center"/>
            <w:hideMark/>
          </w:tcPr>
          <w:p w14:paraId="0A8517DA"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Domestic, agriculture, aquaculture</w:t>
            </w:r>
          </w:p>
        </w:tc>
        <w:tc>
          <w:tcPr>
            <w:tcW w:w="922" w:type="dxa"/>
            <w:tcBorders>
              <w:top w:val="nil"/>
              <w:left w:val="nil"/>
              <w:bottom w:val="single" w:sz="4" w:space="0" w:color="auto"/>
              <w:right w:val="single" w:sz="4" w:space="0" w:color="auto"/>
            </w:tcBorders>
            <w:vAlign w:val="center"/>
            <w:hideMark/>
          </w:tcPr>
          <w:p w14:paraId="2EF0C67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1050" w:type="dxa"/>
            <w:tcBorders>
              <w:top w:val="nil"/>
              <w:left w:val="nil"/>
              <w:bottom w:val="single" w:sz="4" w:space="0" w:color="auto"/>
              <w:right w:val="single" w:sz="4" w:space="0" w:color="auto"/>
            </w:tcBorders>
            <w:vAlign w:val="center"/>
            <w:hideMark/>
          </w:tcPr>
          <w:p w14:paraId="65FB570A"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74" w:type="dxa"/>
            <w:tcBorders>
              <w:top w:val="nil"/>
              <w:left w:val="nil"/>
              <w:bottom w:val="single" w:sz="4" w:space="0" w:color="auto"/>
              <w:right w:val="single" w:sz="4" w:space="0" w:color="auto"/>
            </w:tcBorders>
            <w:vAlign w:val="center"/>
            <w:hideMark/>
          </w:tcPr>
          <w:p w14:paraId="76470C3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929" w:type="dxa"/>
            <w:tcBorders>
              <w:top w:val="nil"/>
              <w:left w:val="nil"/>
              <w:bottom w:val="single" w:sz="4" w:space="0" w:color="auto"/>
              <w:right w:val="single" w:sz="4" w:space="0" w:color="auto"/>
            </w:tcBorders>
            <w:vAlign w:val="center"/>
            <w:hideMark/>
          </w:tcPr>
          <w:p w14:paraId="1EACCEA3"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762" w:type="dxa"/>
            <w:tcBorders>
              <w:top w:val="nil"/>
              <w:left w:val="nil"/>
              <w:bottom w:val="single" w:sz="4" w:space="0" w:color="auto"/>
              <w:right w:val="single" w:sz="4" w:space="0" w:color="auto"/>
            </w:tcBorders>
            <w:vAlign w:val="center"/>
            <w:hideMark/>
          </w:tcPr>
          <w:p w14:paraId="667FF44A"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24" w:type="dxa"/>
            <w:tcBorders>
              <w:top w:val="nil"/>
              <w:left w:val="nil"/>
              <w:bottom w:val="single" w:sz="4" w:space="0" w:color="auto"/>
              <w:right w:val="single" w:sz="4" w:space="0" w:color="auto"/>
            </w:tcBorders>
            <w:vAlign w:val="center"/>
            <w:hideMark/>
          </w:tcPr>
          <w:p w14:paraId="55CBBA1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837" w:type="dxa"/>
            <w:tcBorders>
              <w:top w:val="nil"/>
              <w:left w:val="nil"/>
              <w:bottom w:val="single" w:sz="4" w:space="0" w:color="auto"/>
              <w:right w:val="single" w:sz="4" w:space="0" w:color="auto"/>
            </w:tcBorders>
            <w:vAlign w:val="center"/>
            <w:hideMark/>
          </w:tcPr>
          <w:p w14:paraId="03AFAE5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3.5</w:t>
            </w:r>
          </w:p>
        </w:tc>
        <w:tc>
          <w:tcPr>
            <w:tcW w:w="1248" w:type="dxa"/>
            <w:tcBorders>
              <w:top w:val="nil"/>
              <w:left w:val="nil"/>
              <w:bottom w:val="single" w:sz="4" w:space="0" w:color="auto"/>
              <w:right w:val="single" w:sz="4" w:space="0" w:color="auto"/>
            </w:tcBorders>
            <w:vAlign w:val="center"/>
            <w:hideMark/>
          </w:tcPr>
          <w:p w14:paraId="05C04E93"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4" w:space="0" w:color="auto"/>
              <w:right w:val="single" w:sz="4" w:space="0" w:color="auto"/>
            </w:tcBorders>
            <w:vAlign w:val="center"/>
            <w:hideMark/>
          </w:tcPr>
          <w:p w14:paraId="3D930065"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4B82F5DD"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7A1EEA9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3.3</w:t>
            </w:r>
          </w:p>
        </w:tc>
        <w:tc>
          <w:tcPr>
            <w:tcW w:w="574" w:type="dxa"/>
            <w:gridSpan w:val="2"/>
            <w:tcBorders>
              <w:top w:val="nil"/>
              <w:left w:val="nil"/>
              <w:bottom w:val="single" w:sz="4" w:space="0" w:color="auto"/>
              <w:right w:val="single" w:sz="8" w:space="0" w:color="auto"/>
            </w:tcBorders>
            <w:vAlign w:val="center"/>
            <w:hideMark/>
          </w:tcPr>
          <w:p w14:paraId="0F1A6B64"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5.3</w:t>
            </w:r>
          </w:p>
        </w:tc>
        <w:tc>
          <w:tcPr>
            <w:tcW w:w="653" w:type="dxa"/>
            <w:tcBorders>
              <w:top w:val="nil"/>
              <w:left w:val="nil"/>
              <w:bottom w:val="single" w:sz="4" w:space="0" w:color="auto"/>
              <w:right w:val="single" w:sz="8" w:space="0" w:color="auto"/>
            </w:tcBorders>
          </w:tcPr>
          <w:p w14:paraId="0396883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w:t>
            </w:r>
          </w:p>
        </w:tc>
      </w:tr>
      <w:tr w:rsidR="0077216E" w:rsidRPr="00A803B9" w14:paraId="6BE720E0" w14:textId="77777777" w:rsidTr="00745BDB">
        <w:trPr>
          <w:trHeight w:val="288"/>
          <w:jc w:val="center"/>
        </w:trPr>
        <w:tc>
          <w:tcPr>
            <w:tcW w:w="1341" w:type="dxa"/>
            <w:tcBorders>
              <w:top w:val="nil"/>
              <w:left w:val="single" w:sz="8" w:space="0" w:color="auto"/>
              <w:bottom w:val="single" w:sz="4" w:space="0" w:color="auto"/>
              <w:right w:val="single" w:sz="4" w:space="0" w:color="auto"/>
            </w:tcBorders>
            <w:vAlign w:val="center"/>
            <w:hideMark/>
          </w:tcPr>
          <w:p w14:paraId="77F65C3C"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tc>
        <w:tc>
          <w:tcPr>
            <w:tcW w:w="1677" w:type="dxa"/>
            <w:tcBorders>
              <w:top w:val="nil"/>
              <w:left w:val="nil"/>
              <w:bottom w:val="single" w:sz="4" w:space="0" w:color="auto"/>
              <w:right w:val="single" w:sz="4" w:space="0" w:color="auto"/>
            </w:tcBorders>
            <w:vAlign w:val="center"/>
            <w:hideMark/>
          </w:tcPr>
          <w:p w14:paraId="413D63C8"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E-Coli and bacteria</w:t>
            </w:r>
          </w:p>
        </w:tc>
        <w:tc>
          <w:tcPr>
            <w:tcW w:w="1165" w:type="dxa"/>
            <w:tcBorders>
              <w:top w:val="nil"/>
              <w:left w:val="nil"/>
              <w:bottom w:val="single" w:sz="4" w:space="0" w:color="auto"/>
              <w:right w:val="single" w:sz="4" w:space="0" w:color="auto"/>
            </w:tcBorders>
            <w:vAlign w:val="center"/>
            <w:hideMark/>
          </w:tcPr>
          <w:p w14:paraId="6B29BE67"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Domestics</w:t>
            </w:r>
          </w:p>
        </w:tc>
        <w:tc>
          <w:tcPr>
            <w:tcW w:w="922" w:type="dxa"/>
            <w:tcBorders>
              <w:top w:val="nil"/>
              <w:left w:val="nil"/>
              <w:bottom w:val="single" w:sz="4" w:space="0" w:color="auto"/>
              <w:right w:val="single" w:sz="4" w:space="0" w:color="auto"/>
            </w:tcBorders>
            <w:vAlign w:val="center"/>
            <w:hideMark/>
          </w:tcPr>
          <w:p w14:paraId="3B7A71F3"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1050" w:type="dxa"/>
            <w:tcBorders>
              <w:top w:val="nil"/>
              <w:left w:val="nil"/>
              <w:bottom w:val="single" w:sz="4" w:space="0" w:color="auto"/>
              <w:right w:val="single" w:sz="4" w:space="0" w:color="auto"/>
            </w:tcBorders>
            <w:vAlign w:val="center"/>
            <w:hideMark/>
          </w:tcPr>
          <w:p w14:paraId="63724CE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74" w:type="dxa"/>
            <w:tcBorders>
              <w:top w:val="nil"/>
              <w:left w:val="nil"/>
              <w:bottom w:val="single" w:sz="4" w:space="0" w:color="auto"/>
              <w:right w:val="single" w:sz="4" w:space="0" w:color="auto"/>
            </w:tcBorders>
            <w:vAlign w:val="center"/>
            <w:hideMark/>
          </w:tcPr>
          <w:p w14:paraId="32FDC4D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929" w:type="dxa"/>
            <w:tcBorders>
              <w:top w:val="nil"/>
              <w:left w:val="nil"/>
              <w:bottom w:val="single" w:sz="4" w:space="0" w:color="auto"/>
              <w:right w:val="single" w:sz="4" w:space="0" w:color="auto"/>
            </w:tcBorders>
            <w:vAlign w:val="center"/>
            <w:hideMark/>
          </w:tcPr>
          <w:p w14:paraId="4C74398D"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62" w:type="dxa"/>
            <w:tcBorders>
              <w:top w:val="nil"/>
              <w:left w:val="nil"/>
              <w:bottom w:val="single" w:sz="4" w:space="0" w:color="auto"/>
              <w:right w:val="single" w:sz="4" w:space="0" w:color="auto"/>
            </w:tcBorders>
            <w:vAlign w:val="center"/>
            <w:hideMark/>
          </w:tcPr>
          <w:p w14:paraId="21D0B5D5"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1024" w:type="dxa"/>
            <w:tcBorders>
              <w:top w:val="nil"/>
              <w:left w:val="nil"/>
              <w:bottom w:val="single" w:sz="4" w:space="0" w:color="auto"/>
              <w:right w:val="single" w:sz="4" w:space="0" w:color="auto"/>
            </w:tcBorders>
            <w:vAlign w:val="center"/>
            <w:hideMark/>
          </w:tcPr>
          <w:p w14:paraId="5EDC7D8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837" w:type="dxa"/>
            <w:tcBorders>
              <w:top w:val="nil"/>
              <w:left w:val="nil"/>
              <w:bottom w:val="single" w:sz="4" w:space="0" w:color="auto"/>
              <w:right w:val="single" w:sz="4" w:space="0" w:color="auto"/>
            </w:tcBorders>
            <w:vAlign w:val="center"/>
            <w:hideMark/>
          </w:tcPr>
          <w:p w14:paraId="4BC87304"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4.3</w:t>
            </w:r>
          </w:p>
        </w:tc>
        <w:tc>
          <w:tcPr>
            <w:tcW w:w="1248" w:type="dxa"/>
            <w:tcBorders>
              <w:top w:val="nil"/>
              <w:left w:val="nil"/>
              <w:bottom w:val="single" w:sz="4" w:space="0" w:color="auto"/>
              <w:right w:val="single" w:sz="4" w:space="0" w:color="auto"/>
            </w:tcBorders>
            <w:vAlign w:val="center"/>
            <w:hideMark/>
          </w:tcPr>
          <w:p w14:paraId="63F14B8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4" w:space="0" w:color="auto"/>
              <w:right w:val="single" w:sz="4" w:space="0" w:color="auto"/>
            </w:tcBorders>
            <w:vAlign w:val="center"/>
            <w:hideMark/>
          </w:tcPr>
          <w:p w14:paraId="3AEB432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6E7CD39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45CF05B4"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3.3</w:t>
            </w:r>
          </w:p>
        </w:tc>
        <w:tc>
          <w:tcPr>
            <w:tcW w:w="574" w:type="dxa"/>
            <w:gridSpan w:val="2"/>
            <w:tcBorders>
              <w:top w:val="nil"/>
              <w:left w:val="nil"/>
              <w:bottom w:val="single" w:sz="4" w:space="0" w:color="auto"/>
              <w:right w:val="single" w:sz="8" w:space="0" w:color="auto"/>
            </w:tcBorders>
            <w:vAlign w:val="center"/>
            <w:hideMark/>
          </w:tcPr>
          <w:p w14:paraId="321A91F3"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6.4</w:t>
            </w:r>
          </w:p>
        </w:tc>
        <w:tc>
          <w:tcPr>
            <w:tcW w:w="653" w:type="dxa"/>
            <w:tcBorders>
              <w:top w:val="nil"/>
              <w:left w:val="nil"/>
              <w:bottom w:val="single" w:sz="4" w:space="0" w:color="auto"/>
              <w:right w:val="single" w:sz="8" w:space="0" w:color="auto"/>
            </w:tcBorders>
          </w:tcPr>
          <w:p w14:paraId="405DDCA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w:t>
            </w:r>
          </w:p>
        </w:tc>
      </w:tr>
      <w:tr w:rsidR="0077216E" w:rsidRPr="00A803B9" w14:paraId="3877CAE9" w14:textId="77777777" w:rsidTr="00745BDB">
        <w:trPr>
          <w:trHeight w:val="288"/>
          <w:jc w:val="center"/>
        </w:trPr>
        <w:tc>
          <w:tcPr>
            <w:tcW w:w="1341" w:type="dxa"/>
            <w:tcBorders>
              <w:top w:val="nil"/>
              <w:left w:val="single" w:sz="8" w:space="0" w:color="auto"/>
              <w:bottom w:val="single" w:sz="4" w:space="0" w:color="auto"/>
              <w:right w:val="single" w:sz="4" w:space="0" w:color="auto"/>
            </w:tcBorders>
            <w:vAlign w:val="center"/>
            <w:hideMark/>
          </w:tcPr>
          <w:p w14:paraId="1CE51748"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tc>
        <w:tc>
          <w:tcPr>
            <w:tcW w:w="1677" w:type="dxa"/>
            <w:tcBorders>
              <w:top w:val="nil"/>
              <w:left w:val="nil"/>
              <w:bottom w:val="single" w:sz="4" w:space="0" w:color="auto"/>
              <w:right w:val="single" w:sz="4" w:space="0" w:color="auto"/>
            </w:tcBorders>
            <w:vAlign w:val="center"/>
            <w:hideMark/>
          </w:tcPr>
          <w:p w14:paraId="1BBAD9D5"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Pesticides</w:t>
            </w:r>
          </w:p>
        </w:tc>
        <w:tc>
          <w:tcPr>
            <w:tcW w:w="1165" w:type="dxa"/>
            <w:tcBorders>
              <w:top w:val="nil"/>
              <w:left w:val="nil"/>
              <w:bottom w:val="single" w:sz="4" w:space="0" w:color="auto"/>
              <w:right w:val="single" w:sz="4" w:space="0" w:color="auto"/>
            </w:tcBorders>
            <w:vAlign w:val="center"/>
            <w:hideMark/>
          </w:tcPr>
          <w:p w14:paraId="6A438E74"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Agriculture</w:t>
            </w:r>
          </w:p>
        </w:tc>
        <w:tc>
          <w:tcPr>
            <w:tcW w:w="922" w:type="dxa"/>
            <w:tcBorders>
              <w:top w:val="nil"/>
              <w:left w:val="nil"/>
              <w:bottom w:val="single" w:sz="4" w:space="0" w:color="auto"/>
              <w:right w:val="single" w:sz="4" w:space="0" w:color="auto"/>
            </w:tcBorders>
            <w:vAlign w:val="center"/>
            <w:hideMark/>
          </w:tcPr>
          <w:p w14:paraId="3CBCDC5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345D0A0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774" w:type="dxa"/>
            <w:tcBorders>
              <w:top w:val="nil"/>
              <w:left w:val="nil"/>
              <w:bottom w:val="single" w:sz="4" w:space="0" w:color="auto"/>
              <w:right w:val="single" w:sz="4" w:space="0" w:color="auto"/>
            </w:tcBorders>
            <w:vAlign w:val="center"/>
            <w:hideMark/>
          </w:tcPr>
          <w:p w14:paraId="7055CED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2</w:t>
            </w:r>
          </w:p>
        </w:tc>
        <w:tc>
          <w:tcPr>
            <w:tcW w:w="929" w:type="dxa"/>
            <w:tcBorders>
              <w:top w:val="nil"/>
              <w:left w:val="nil"/>
              <w:bottom w:val="single" w:sz="4" w:space="0" w:color="auto"/>
              <w:right w:val="single" w:sz="4" w:space="0" w:color="auto"/>
            </w:tcBorders>
            <w:vAlign w:val="center"/>
            <w:hideMark/>
          </w:tcPr>
          <w:p w14:paraId="26EDA97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762" w:type="dxa"/>
            <w:tcBorders>
              <w:top w:val="nil"/>
              <w:left w:val="nil"/>
              <w:bottom w:val="single" w:sz="4" w:space="0" w:color="auto"/>
              <w:right w:val="single" w:sz="4" w:space="0" w:color="auto"/>
            </w:tcBorders>
            <w:vAlign w:val="center"/>
            <w:hideMark/>
          </w:tcPr>
          <w:p w14:paraId="068BD2B1"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2</w:t>
            </w:r>
          </w:p>
        </w:tc>
        <w:tc>
          <w:tcPr>
            <w:tcW w:w="1024" w:type="dxa"/>
            <w:tcBorders>
              <w:top w:val="nil"/>
              <w:left w:val="nil"/>
              <w:bottom w:val="single" w:sz="4" w:space="0" w:color="auto"/>
              <w:right w:val="single" w:sz="4" w:space="0" w:color="auto"/>
            </w:tcBorders>
            <w:vAlign w:val="center"/>
            <w:hideMark/>
          </w:tcPr>
          <w:p w14:paraId="3D1E7F35"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2</w:t>
            </w:r>
          </w:p>
        </w:tc>
        <w:tc>
          <w:tcPr>
            <w:tcW w:w="837" w:type="dxa"/>
            <w:tcBorders>
              <w:top w:val="nil"/>
              <w:left w:val="nil"/>
              <w:bottom w:val="single" w:sz="4" w:space="0" w:color="auto"/>
              <w:right w:val="single" w:sz="4" w:space="0" w:color="auto"/>
            </w:tcBorders>
            <w:vAlign w:val="center"/>
            <w:hideMark/>
          </w:tcPr>
          <w:p w14:paraId="5602E2DA"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2.3</w:t>
            </w:r>
          </w:p>
        </w:tc>
        <w:tc>
          <w:tcPr>
            <w:tcW w:w="1248" w:type="dxa"/>
            <w:tcBorders>
              <w:top w:val="nil"/>
              <w:left w:val="nil"/>
              <w:bottom w:val="single" w:sz="4" w:space="0" w:color="auto"/>
              <w:right w:val="single" w:sz="4" w:space="0" w:color="auto"/>
            </w:tcBorders>
            <w:vAlign w:val="center"/>
            <w:hideMark/>
          </w:tcPr>
          <w:p w14:paraId="47C5B3CA"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4" w:space="0" w:color="auto"/>
              <w:right w:val="single" w:sz="4" w:space="0" w:color="auto"/>
            </w:tcBorders>
            <w:vAlign w:val="center"/>
            <w:hideMark/>
          </w:tcPr>
          <w:p w14:paraId="068F2A1F"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3D4FA3A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334626F1"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3.3</w:t>
            </w:r>
          </w:p>
        </w:tc>
        <w:tc>
          <w:tcPr>
            <w:tcW w:w="574" w:type="dxa"/>
            <w:gridSpan w:val="2"/>
            <w:tcBorders>
              <w:top w:val="nil"/>
              <w:left w:val="nil"/>
              <w:bottom w:val="single" w:sz="4" w:space="0" w:color="auto"/>
              <w:right w:val="single" w:sz="8" w:space="0" w:color="auto"/>
            </w:tcBorders>
            <w:vAlign w:val="center"/>
            <w:hideMark/>
          </w:tcPr>
          <w:p w14:paraId="2550CD4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2.0</w:t>
            </w:r>
          </w:p>
        </w:tc>
        <w:tc>
          <w:tcPr>
            <w:tcW w:w="653" w:type="dxa"/>
            <w:tcBorders>
              <w:top w:val="nil"/>
              <w:left w:val="nil"/>
              <w:bottom w:val="single" w:sz="4" w:space="0" w:color="auto"/>
              <w:right w:val="single" w:sz="8" w:space="0" w:color="auto"/>
            </w:tcBorders>
          </w:tcPr>
          <w:p w14:paraId="27DF316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L</w:t>
            </w:r>
          </w:p>
        </w:tc>
      </w:tr>
      <w:tr w:rsidR="0077216E" w:rsidRPr="00A803B9" w14:paraId="0B84093D" w14:textId="77777777" w:rsidTr="00745BDB">
        <w:trPr>
          <w:trHeight w:val="288"/>
          <w:jc w:val="center"/>
        </w:trPr>
        <w:tc>
          <w:tcPr>
            <w:tcW w:w="1341" w:type="dxa"/>
            <w:tcBorders>
              <w:top w:val="nil"/>
              <w:left w:val="single" w:sz="8" w:space="0" w:color="auto"/>
              <w:bottom w:val="single" w:sz="4" w:space="0" w:color="auto"/>
              <w:right w:val="single" w:sz="4" w:space="0" w:color="auto"/>
            </w:tcBorders>
            <w:vAlign w:val="center"/>
            <w:hideMark/>
          </w:tcPr>
          <w:p w14:paraId="66B01BD7"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tc>
        <w:tc>
          <w:tcPr>
            <w:tcW w:w="1677" w:type="dxa"/>
            <w:tcBorders>
              <w:top w:val="nil"/>
              <w:left w:val="nil"/>
              <w:bottom w:val="single" w:sz="4" w:space="0" w:color="auto"/>
              <w:right w:val="single" w:sz="4" w:space="0" w:color="auto"/>
            </w:tcBorders>
            <w:vAlign w:val="center"/>
            <w:hideMark/>
          </w:tcPr>
          <w:p w14:paraId="0D290716"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TSS</w:t>
            </w:r>
          </w:p>
        </w:tc>
        <w:tc>
          <w:tcPr>
            <w:tcW w:w="1165" w:type="dxa"/>
            <w:tcBorders>
              <w:top w:val="nil"/>
              <w:left w:val="nil"/>
              <w:bottom w:val="single" w:sz="4" w:space="0" w:color="auto"/>
              <w:right w:val="single" w:sz="4" w:space="0" w:color="auto"/>
            </w:tcBorders>
            <w:vAlign w:val="center"/>
            <w:hideMark/>
          </w:tcPr>
          <w:p w14:paraId="7A0193C1"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Mineral Mining and sand mining</w:t>
            </w:r>
          </w:p>
        </w:tc>
        <w:tc>
          <w:tcPr>
            <w:tcW w:w="922" w:type="dxa"/>
            <w:tcBorders>
              <w:top w:val="nil"/>
              <w:left w:val="nil"/>
              <w:bottom w:val="single" w:sz="4" w:space="0" w:color="auto"/>
              <w:right w:val="single" w:sz="4" w:space="0" w:color="auto"/>
            </w:tcBorders>
            <w:vAlign w:val="center"/>
            <w:hideMark/>
          </w:tcPr>
          <w:p w14:paraId="298E5F3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1050" w:type="dxa"/>
            <w:tcBorders>
              <w:top w:val="nil"/>
              <w:left w:val="nil"/>
              <w:bottom w:val="single" w:sz="4" w:space="0" w:color="auto"/>
              <w:right w:val="single" w:sz="4" w:space="0" w:color="auto"/>
            </w:tcBorders>
            <w:vAlign w:val="center"/>
            <w:hideMark/>
          </w:tcPr>
          <w:p w14:paraId="55E827AF"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74" w:type="dxa"/>
            <w:tcBorders>
              <w:top w:val="nil"/>
              <w:left w:val="nil"/>
              <w:bottom w:val="single" w:sz="4" w:space="0" w:color="auto"/>
              <w:right w:val="single" w:sz="4" w:space="0" w:color="auto"/>
            </w:tcBorders>
            <w:vAlign w:val="center"/>
            <w:hideMark/>
          </w:tcPr>
          <w:p w14:paraId="464748D4"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929" w:type="dxa"/>
            <w:tcBorders>
              <w:top w:val="nil"/>
              <w:left w:val="nil"/>
              <w:bottom w:val="single" w:sz="4" w:space="0" w:color="auto"/>
              <w:right w:val="single" w:sz="4" w:space="0" w:color="auto"/>
            </w:tcBorders>
            <w:vAlign w:val="center"/>
            <w:hideMark/>
          </w:tcPr>
          <w:p w14:paraId="37C1C834"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62" w:type="dxa"/>
            <w:tcBorders>
              <w:top w:val="nil"/>
              <w:left w:val="nil"/>
              <w:bottom w:val="single" w:sz="4" w:space="0" w:color="auto"/>
              <w:right w:val="single" w:sz="4" w:space="0" w:color="auto"/>
            </w:tcBorders>
            <w:vAlign w:val="center"/>
            <w:hideMark/>
          </w:tcPr>
          <w:p w14:paraId="202A4EE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1024" w:type="dxa"/>
            <w:tcBorders>
              <w:top w:val="nil"/>
              <w:left w:val="nil"/>
              <w:bottom w:val="single" w:sz="4" w:space="0" w:color="auto"/>
              <w:right w:val="single" w:sz="4" w:space="0" w:color="auto"/>
            </w:tcBorders>
            <w:vAlign w:val="center"/>
            <w:hideMark/>
          </w:tcPr>
          <w:p w14:paraId="1221CFD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837" w:type="dxa"/>
            <w:tcBorders>
              <w:top w:val="nil"/>
              <w:left w:val="nil"/>
              <w:bottom w:val="single" w:sz="4" w:space="0" w:color="auto"/>
              <w:right w:val="single" w:sz="4" w:space="0" w:color="auto"/>
            </w:tcBorders>
            <w:vAlign w:val="center"/>
            <w:hideMark/>
          </w:tcPr>
          <w:p w14:paraId="362FD98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4.8</w:t>
            </w:r>
          </w:p>
        </w:tc>
        <w:tc>
          <w:tcPr>
            <w:tcW w:w="1248" w:type="dxa"/>
            <w:tcBorders>
              <w:top w:val="nil"/>
              <w:left w:val="nil"/>
              <w:bottom w:val="single" w:sz="4" w:space="0" w:color="auto"/>
              <w:right w:val="single" w:sz="4" w:space="0" w:color="auto"/>
            </w:tcBorders>
            <w:vAlign w:val="center"/>
            <w:hideMark/>
          </w:tcPr>
          <w:p w14:paraId="64B8E921"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4" w:space="0" w:color="auto"/>
              <w:right w:val="single" w:sz="4" w:space="0" w:color="auto"/>
            </w:tcBorders>
            <w:vAlign w:val="center"/>
            <w:hideMark/>
          </w:tcPr>
          <w:p w14:paraId="24D4961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0A8DE66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00CD3AFE"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3.3</w:t>
            </w:r>
          </w:p>
        </w:tc>
        <w:tc>
          <w:tcPr>
            <w:tcW w:w="574" w:type="dxa"/>
            <w:gridSpan w:val="2"/>
            <w:tcBorders>
              <w:top w:val="nil"/>
              <w:left w:val="nil"/>
              <w:bottom w:val="single" w:sz="4" w:space="0" w:color="auto"/>
              <w:right w:val="single" w:sz="8" w:space="0" w:color="auto"/>
            </w:tcBorders>
            <w:vAlign w:val="center"/>
            <w:hideMark/>
          </w:tcPr>
          <w:p w14:paraId="5C5CC484"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7.1</w:t>
            </w:r>
          </w:p>
        </w:tc>
        <w:tc>
          <w:tcPr>
            <w:tcW w:w="653" w:type="dxa"/>
            <w:tcBorders>
              <w:top w:val="nil"/>
              <w:left w:val="nil"/>
              <w:bottom w:val="single" w:sz="4" w:space="0" w:color="auto"/>
              <w:right w:val="single" w:sz="8" w:space="0" w:color="auto"/>
            </w:tcBorders>
          </w:tcPr>
          <w:p w14:paraId="6DEBD62A"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H</w:t>
            </w:r>
          </w:p>
        </w:tc>
      </w:tr>
      <w:tr w:rsidR="0077216E" w:rsidRPr="00A803B9" w14:paraId="6DB2DAD9" w14:textId="77777777" w:rsidTr="00745BDB">
        <w:trPr>
          <w:trHeight w:val="288"/>
          <w:jc w:val="center"/>
        </w:trPr>
        <w:tc>
          <w:tcPr>
            <w:tcW w:w="15891" w:type="dxa"/>
            <w:gridSpan w:val="17"/>
            <w:tcBorders>
              <w:top w:val="nil"/>
              <w:left w:val="single" w:sz="8" w:space="0" w:color="auto"/>
              <w:bottom w:val="single" w:sz="4" w:space="0" w:color="auto"/>
              <w:right w:val="single" w:sz="8" w:space="0" w:color="auto"/>
            </w:tcBorders>
            <w:vAlign w:val="center"/>
          </w:tcPr>
          <w:p w14:paraId="636325ED"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West Kalimantan</w:t>
            </w:r>
          </w:p>
        </w:tc>
      </w:tr>
      <w:tr w:rsidR="0077216E" w:rsidRPr="00A803B9" w14:paraId="6C81117B" w14:textId="77777777" w:rsidTr="00745BDB">
        <w:trPr>
          <w:trHeight w:val="480"/>
          <w:jc w:val="center"/>
        </w:trPr>
        <w:tc>
          <w:tcPr>
            <w:tcW w:w="1341" w:type="dxa"/>
            <w:tcBorders>
              <w:top w:val="nil"/>
              <w:left w:val="single" w:sz="8" w:space="0" w:color="auto"/>
              <w:bottom w:val="single" w:sz="4" w:space="0" w:color="auto"/>
              <w:right w:val="single" w:sz="4" w:space="0" w:color="auto"/>
            </w:tcBorders>
            <w:noWrap/>
            <w:vAlign w:val="bottom"/>
            <w:hideMark/>
          </w:tcPr>
          <w:p w14:paraId="0182AA4D"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tc>
        <w:tc>
          <w:tcPr>
            <w:tcW w:w="1677" w:type="dxa"/>
            <w:tcBorders>
              <w:top w:val="nil"/>
              <w:left w:val="nil"/>
              <w:bottom w:val="single" w:sz="4" w:space="0" w:color="auto"/>
              <w:right w:val="single" w:sz="4" w:space="0" w:color="auto"/>
            </w:tcBorders>
            <w:vAlign w:val="center"/>
            <w:hideMark/>
          </w:tcPr>
          <w:p w14:paraId="0CCBFC01"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Oil</w:t>
            </w:r>
          </w:p>
        </w:tc>
        <w:tc>
          <w:tcPr>
            <w:tcW w:w="1165" w:type="dxa"/>
            <w:tcBorders>
              <w:top w:val="nil"/>
              <w:left w:val="nil"/>
              <w:bottom w:val="single" w:sz="4" w:space="0" w:color="auto"/>
              <w:right w:val="single" w:sz="4" w:space="0" w:color="auto"/>
            </w:tcBorders>
            <w:vAlign w:val="center"/>
            <w:hideMark/>
          </w:tcPr>
          <w:p w14:paraId="088F7667"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seaport, oil facility, shipping activity</w:t>
            </w:r>
          </w:p>
        </w:tc>
        <w:tc>
          <w:tcPr>
            <w:tcW w:w="922" w:type="dxa"/>
            <w:tcBorders>
              <w:top w:val="nil"/>
              <w:left w:val="nil"/>
              <w:bottom w:val="single" w:sz="4" w:space="0" w:color="auto"/>
              <w:right w:val="single" w:sz="4" w:space="0" w:color="auto"/>
            </w:tcBorders>
            <w:noWrap/>
            <w:vAlign w:val="bottom"/>
            <w:hideMark/>
          </w:tcPr>
          <w:p w14:paraId="02BE09B4"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vAlign w:val="center"/>
            <w:hideMark/>
          </w:tcPr>
          <w:p w14:paraId="4F86E3A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774" w:type="dxa"/>
            <w:tcBorders>
              <w:top w:val="nil"/>
              <w:left w:val="nil"/>
              <w:bottom w:val="single" w:sz="4" w:space="0" w:color="auto"/>
              <w:right w:val="single" w:sz="4" w:space="0" w:color="auto"/>
            </w:tcBorders>
            <w:noWrap/>
            <w:vAlign w:val="bottom"/>
            <w:hideMark/>
          </w:tcPr>
          <w:p w14:paraId="04D8EBD5"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929" w:type="dxa"/>
            <w:tcBorders>
              <w:top w:val="nil"/>
              <w:left w:val="nil"/>
              <w:bottom w:val="single" w:sz="4" w:space="0" w:color="auto"/>
              <w:right w:val="single" w:sz="4" w:space="0" w:color="auto"/>
            </w:tcBorders>
            <w:noWrap/>
            <w:vAlign w:val="bottom"/>
            <w:hideMark/>
          </w:tcPr>
          <w:p w14:paraId="10DC0EDE"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762" w:type="dxa"/>
            <w:tcBorders>
              <w:top w:val="nil"/>
              <w:left w:val="nil"/>
              <w:bottom w:val="single" w:sz="4" w:space="0" w:color="auto"/>
              <w:right w:val="single" w:sz="4" w:space="0" w:color="auto"/>
            </w:tcBorders>
            <w:noWrap/>
            <w:vAlign w:val="bottom"/>
            <w:hideMark/>
          </w:tcPr>
          <w:p w14:paraId="65330EDF"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24" w:type="dxa"/>
            <w:tcBorders>
              <w:top w:val="nil"/>
              <w:left w:val="nil"/>
              <w:bottom w:val="single" w:sz="4" w:space="0" w:color="auto"/>
              <w:right w:val="single" w:sz="4" w:space="0" w:color="auto"/>
            </w:tcBorders>
            <w:noWrap/>
            <w:vAlign w:val="bottom"/>
            <w:hideMark/>
          </w:tcPr>
          <w:p w14:paraId="72CE720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837" w:type="dxa"/>
            <w:tcBorders>
              <w:top w:val="nil"/>
              <w:left w:val="nil"/>
              <w:bottom w:val="single" w:sz="4" w:space="0" w:color="auto"/>
              <w:right w:val="single" w:sz="4" w:space="0" w:color="auto"/>
            </w:tcBorders>
            <w:vAlign w:val="center"/>
            <w:hideMark/>
          </w:tcPr>
          <w:p w14:paraId="74F866E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3.0</w:t>
            </w:r>
          </w:p>
        </w:tc>
        <w:tc>
          <w:tcPr>
            <w:tcW w:w="1248" w:type="dxa"/>
            <w:tcBorders>
              <w:top w:val="nil"/>
              <w:left w:val="nil"/>
              <w:bottom w:val="single" w:sz="4" w:space="0" w:color="auto"/>
              <w:right w:val="single" w:sz="4" w:space="0" w:color="auto"/>
            </w:tcBorders>
            <w:noWrap/>
            <w:vAlign w:val="bottom"/>
            <w:hideMark/>
          </w:tcPr>
          <w:p w14:paraId="7890A453"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4" w:space="0" w:color="auto"/>
              <w:right w:val="single" w:sz="4" w:space="0" w:color="auto"/>
            </w:tcBorders>
            <w:noWrap/>
            <w:vAlign w:val="bottom"/>
            <w:hideMark/>
          </w:tcPr>
          <w:p w14:paraId="5FFD0075"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noWrap/>
            <w:vAlign w:val="bottom"/>
            <w:hideMark/>
          </w:tcPr>
          <w:p w14:paraId="08076F8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204E84E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3.3</w:t>
            </w:r>
          </w:p>
        </w:tc>
        <w:tc>
          <w:tcPr>
            <w:tcW w:w="574" w:type="dxa"/>
            <w:gridSpan w:val="2"/>
            <w:tcBorders>
              <w:top w:val="nil"/>
              <w:left w:val="nil"/>
              <w:bottom w:val="single" w:sz="4" w:space="0" w:color="auto"/>
              <w:right w:val="single" w:sz="8" w:space="0" w:color="auto"/>
            </w:tcBorders>
            <w:vAlign w:val="center"/>
            <w:hideMark/>
          </w:tcPr>
          <w:p w14:paraId="7F4C88B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2.7</w:t>
            </w:r>
          </w:p>
        </w:tc>
        <w:tc>
          <w:tcPr>
            <w:tcW w:w="653" w:type="dxa"/>
            <w:tcBorders>
              <w:top w:val="nil"/>
              <w:left w:val="nil"/>
              <w:bottom w:val="single" w:sz="4" w:space="0" w:color="auto"/>
              <w:right w:val="single" w:sz="8" w:space="0" w:color="auto"/>
            </w:tcBorders>
          </w:tcPr>
          <w:p w14:paraId="36260B0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L</w:t>
            </w:r>
          </w:p>
        </w:tc>
      </w:tr>
      <w:tr w:rsidR="0077216E" w:rsidRPr="00A803B9" w14:paraId="62955723" w14:textId="77777777" w:rsidTr="00745BDB">
        <w:trPr>
          <w:trHeight w:val="480"/>
          <w:jc w:val="center"/>
        </w:trPr>
        <w:tc>
          <w:tcPr>
            <w:tcW w:w="1341" w:type="dxa"/>
            <w:tcBorders>
              <w:top w:val="nil"/>
              <w:left w:val="single" w:sz="8" w:space="0" w:color="auto"/>
              <w:bottom w:val="single" w:sz="4" w:space="0" w:color="auto"/>
              <w:right w:val="single" w:sz="4" w:space="0" w:color="auto"/>
            </w:tcBorders>
            <w:noWrap/>
            <w:vAlign w:val="bottom"/>
            <w:hideMark/>
          </w:tcPr>
          <w:p w14:paraId="2E88A002"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tc>
        <w:tc>
          <w:tcPr>
            <w:tcW w:w="1677" w:type="dxa"/>
            <w:tcBorders>
              <w:top w:val="nil"/>
              <w:left w:val="nil"/>
              <w:bottom w:val="single" w:sz="4" w:space="0" w:color="auto"/>
              <w:right w:val="single" w:sz="4" w:space="0" w:color="auto"/>
            </w:tcBorders>
            <w:vAlign w:val="center"/>
            <w:hideMark/>
          </w:tcPr>
          <w:p w14:paraId="4A6F3E2C"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Hazardous waste and heavy metals</w:t>
            </w:r>
          </w:p>
        </w:tc>
        <w:tc>
          <w:tcPr>
            <w:tcW w:w="1165" w:type="dxa"/>
            <w:tcBorders>
              <w:top w:val="nil"/>
              <w:left w:val="nil"/>
              <w:bottom w:val="single" w:sz="4" w:space="0" w:color="auto"/>
              <w:right w:val="single" w:sz="4" w:space="0" w:color="auto"/>
            </w:tcBorders>
            <w:vAlign w:val="center"/>
            <w:hideMark/>
          </w:tcPr>
          <w:p w14:paraId="28B108D5"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industry, mineral mining</w:t>
            </w:r>
          </w:p>
        </w:tc>
        <w:tc>
          <w:tcPr>
            <w:tcW w:w="922" w:type="dxa"/>
            <w:tcBorders>
              <w:top w:val="nil"/>
              <w:left w:val="nil"/>
              <w:bottom w:val="single" w:sz="4" w:space="0" w:color="auto"/>
              <w:right w:val="single" w:sz="4" w:space="0" w:color="auto"/>
            </w:tcBorders>
            <w:noWrap/>
            <w:vAlign w:val="bottom"/>
            <w:hideMark/>
          </w:tcPr>
          <w:p w14:paraId="2AACADF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1050" w:type="dxa"/>
            <w:tcBorders>
              <w:top w:val="nil"/>
              <w:left w:val="nil"/>
              <w:bottom w:val="single" w:sz="4" w:space="0" w:color="auto"/>
              <w:right w:val="single" w:sz="4" w:space="0" w:color="auto"/>
            </w:tcBorders>
            <w:vAlign w:val="center"/>
            <w:hideMark/>
          </w:tcPr>
          <w:p w14:paraId="3D9ACDB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774" w:type="dxa"/>
            <w:tcBorders>
              <w:top w:val="nil"/>
              <w:left w:val="nil"/>
              <w:bottom w:val="single" w:sz="4" w:space="0" w:color="auto"/>
              <w:right w:val="single" w:sz="4" w:space="0" w:color="auto"/>
            </w:tcBorders>
            <w:noWrap/>
            <w:vAlign w:val="bottom"/>
            <w:hideMark/>
          </w:tcPr>
          <w:p w14:paraId="76D308BF"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929" w:type="dxa"/>
            <w:tcBorders>
              <w:top w:val="nil"/>
              <w:left w:val="nil"/>
              <w:bottom w:val="single" w:sz="4" w:space="0" w:color="auto"/>
              <w:right w:val="single" w:sz="4" w:space="0" w:color="auto"/>
            </w:tcBorders>
            <w:noWrap/>
            <w:vAlign w:val="bottom"/>
            <w:hideMark/>
          </w:tcPr>
          <w:p w14:paraId="19037FB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762" w:type="dxa"/>
            <w:tcBorders>
              <w:top w:val="nil"/>
              <w:left w:val="nil"/>
              <w:bottom w:val="single" w:sz="4" w:space="0" w:color="auto"/>
              <w:right w:val="single" w:sz="4" w:space="0" w:color="auto"/>
            </w:tcBorders>
            <w:noWrap/>
            <w:vAlign w:val="bottom"/>
            <w:hideMark/>
          </w:tcPr>
          <w:p w14:paraId="3647AB4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24" w:type="dxa"/>
            <w:tcBorders>
              <w:top w:val="nil"/>
              <w:left w:val="nil"/>
              <w:bottom w:val="single" w:sz="4" w:space="0" w:color="auto"/>
              <w:right w:val="single" w:sz="4" w:space="0" w:color="auto"/>
            </w:tcBorders>
            <w:noWrap/>
            <w:vAlign w:val="bottom"/>
            <w:hideMark/>
          </w:tcPr>
          <w:p w14:paraId="7681CEA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6CE1C80A"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3.5</w:t>
            </w:r>
          </w:p>
        </w:tc>
        <w:tc>
          <w:tcPr>
            <w:tcW w:w="1248" w:type="dxa"/>
            <w:tcBorders>
              <w:top w:val="nil"/>
              <w:left w:val="nil"/>
              <w:bottom w:val="single" w:sz="4" w:space="0" w:color="auto"/>
              <w:right w:val="single" w:sz="4" w:space="0" w:color="auto"/>
            </w:tcBorders>
            <w:noWrap/>
            <w:vAlign w:val="bottom"/>
            <w:hideMark/>
          </w:tcPr>
          <w:p w14:paraId="2CC40CB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4" w:space="0" w:color="auto"/>
              <w:right w:val="single" w:sz="4" w:space="0" w:color="auto"/>
            </w:tcBorders>
            <w:noWrap/>
            <w:vAlign w:val="bottom"/>
            <w:hideMark/>
          </w:tcPr>
          <w:p w14:paraId="78287D4D"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noWrap/>
            <w:vAlign w:val="bottom"/>
            <w:hideMark/>
          </w:tcPr>
          <w:p w14:paraId="445BF55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16E0334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3.3</w:t>
            </w:r>
          </w:p>
        </w:tc>
        <w:tc>
          <w:tcPr>
            <w:tcW w:w="574" w:type="dxa"/>
            <w:gridSpan w:val="2"/>
            <w:tcBorders>
              <w:top w:val="nil"/>
              <w:left w:val="nil"/>
              <w:bottom w:val="single" w:sz="4" w:space="0" w:color="auto"/>
              <w:right w:val="single" w:sz="8" w:space="0" w:color="auto"/>
            </w:tcBorders>
            <w:vAlign w:val="center"/>
            <w:hideMark/>
          </w:tcPr>
          <w:p w14:paraId="321BB30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4.2</w:t>
            </w:r>
          </w:p>
        </w:tc>
        <w:tc>
          <w:tcPr>
            <w:tcW w:w="653" w:type="dxa"/>
            <w:tcBorders>
              <w:top w:val="nil"/>
              <w:left w:val="nil"/>
              <w:bottom w:val="single" w:sz="4" w:space="0" w:color="auto"/>
              <w:right w:val="single" w:sz="8" w:space="0" w:color="auto"/>
            </w:tcBorders>
          </w:tcPr>
          <w:p w14:paraId="6BB0395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w:t>
            </w:r>
          </w:p>
        </w:tc>
      </w:tr>
      <w:tr w:rsidR="0077216E" w:rsidRPr="00A803B9" w14:paraId="46E360F4" w14:textId="77777777" w:rsidTr="00745BDB">
        <w:trPr>
          <w:trHeight w:val="288"/>
          <w:jc w:val="center"/>
        </w:trPr>
        <w:tc>
          <w:tcPr>
            <w:tcW w:w="1341" w:type="dxa"/>
            <w:tcBorders>
              <w:top w:val="nil"/>
              <w:left w:val="single" w:sz="8" w:space="0" w:color="auto"/>
              <w:bottom w:val="single" w:sz="4" w:space="0" w:color="auto"/>
              <w:right w:val="single" w:sz="4" w:space="0" w:color="auto"/>
            </w:tcBorders>
            <w:noWrap/>
            <w:vAlign w:val="bottom"/>
            <w:hideMark/>
          </w:tcPr>
          <w:p w14:paraId="163CB5F4"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tc>
        <w:tc>
          <w:tcPr>
            <w:tcW w:w="1677" w:type="dxa"/>
            <w:tcBorders>
              <w:top w:val="nil"/>
              <w:left w:val="nil"/>
              <w:bottom w:val="single" w:sz="4" w:space="0" w:color="auto"/>
              <w:right w:val="single" w:sz="4" w:space="0" w:color="auto"/>
            </w:tcBorders>
            <w:vAlign w:val="center"/>
            <w:hideMark/>
          </w:tcPr>
          <w:p w14:paraId="321D1C1F"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Plastic-marine debris</w:t>
            </w:r>
          </w:p>
        </w:tc>
        <w:tc>
          <w:tcPr>
            <w:tcW w:w="1165" w:type="dxa"/>
            <w:tcBorders>
              <w:top w:val="nil"/>
              <w:left w:val="nil"/>
              <w:bottom w:val="single" w:sz="4" w:space="0" w:color="auto"/>
              <w:right w:val="single" w:sz="4" w:space="0" w:color="auto"/>
            </w:tcBorders>
            <w:vAlign w:val="center"/>
            <w:hideMark/>
          </w:tcPr>
          <w:p w14:paraId="21CC99DF"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Domestics</w:t>
            </w:r>
          </w:p>
        </w:tc>
        <w:tc>
          <w:tcPr>
            <w:tcW w:w="922" w:type="dxa"/>
            <w:tcBorders>
              <w:top w:val="nil"/>
              <w:left w:val="nil"/>
              <w:bottom w:val="single" w:sz="4" w:space="0" w:color="auto"/>
              <w:right w:val="single" w:sz="4" w:space="0" w:color="auto"/>
            </w:tcBorders>
            <w:noWrap/>
            <w:vAlign w:val="bottom"/>
            <w:hideMark/>
          </w:tcPr>
          <w:p w14:paraId="4137B3DD"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1050" w:type="dxa"/>
            <w:tcBorders>
              <w:top w:val="nil"/>
              <w:left w:val="nil"/>
              <w:bottom w:val="single" w:sz="4" w:space="0" w:color="auto"/>
              <w:right w:val="single" w:sz="4" w:space="0" w:color="auto"/>
            </w:tcBorders>
            <w:vAlign w:val="center"/>
            <w:hideMark/>
          </w:tcPr>
          <w:p w14:paraId="10FBF37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774" w:type="dxa"/>
            <w:tcBorders>
              <w:top w:val="nil"/>
              <w:left w:val="nil"/>
              <w:bottom w:val="single" w:sz="4" w:space="0" w:color="auto"/>
              <w:right w:val="single" w:sz="4" w:space="0" w:color="auto"/>
            </w:tcBorders>
            <w:noWrap/>
            <w:vAlign w:val="bottom"/>
            <w:hideMark/>
          </w:tcPr>
          <w:p w14:paraId="2CB6D47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929" w:type="dxa"/>
            <w:tcBorders>
              <w:top w:val="nil"/>
              <w:left w:val="nil"/>
              <w:bottom w:val="single" w:sz="4" w:space="0" w:color="auto"/>
              <w:right w:val="single" w:sz="4" w:space="0" w:color="auto"/>
            </w:tcBorders>
            <w:noWrap/>
            <w:vAlign w:val="bottom"/>
            <w:hideMark/>
          </w:tcPr>
          <w:p w14:paraId="7D01F60D"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762" w:type="dxa"/>
            <w:tcBorders>
              <w:top w:val="nil"/>
              <w:left w:val="nil"/>
              <w:bottom w:val="single" w:sz="4" w:space="0" w:color="auto"/>
              <w:right w:val="single" w:sz="4" w:space="0" w:color="auto"/>
            </w:tcBorders>
            <w:noWrap/>
            <w:vAlign w:val="bottom"/>
            <w:hideMark/>
          </w:tcPr>
          <w:p w14:paraId="4F49579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1024" w:type="dxa"/>
            <w:tcBorders>
              <w:top w:val="nil"/>
              <w:left w:val="nil"/>
              <w:bottom w:val="single" w:sz="4" w:space="0" w:color="auto"/>
              <w:right w:val="single" w:sz="4" w:space="0" w:color="auto"/>
            </w:tcBorders>
            <w:noWrap/>
            <w:vAlign w:val="bottom"/>
            <w:hideMark/>
          </w:tcPr>
          <w:p w14:paraId="4BB23A4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0F71E03A"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4.0</w:t>
            </w:r>
          </w:p>
        </w:tc>
        <w:tc>
          <w:tcPr>
            <w:tcW w:w="1248" w:type="dxa"/>
            <w:tcBorders>
              <w:top w:val="nil"/>
              <w:left w:val="nil"/>
              <w:bottom w:val="single" w:sz="4" w:space="0" w:color="auto"/>
              <w:right w:val="single" w:sz="4" w:space="0" w:color="auto"/>
            </w:tcBorders>
            <w:noWrap/>
            <w:vAlign w:val="bottom"/>
            <w:hideMark/>
          </w:tcPr>
          <w:p w14:paraId="1EB3DA4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4" w:space="0" w:color="auto"/>
              <w:right w:val="single" w:sz="4" w:space="0" w:color="auto"/>
            </w:tcBorders>
            <w:noWrap/>
            <w:vAlign w:val="bottom"/>
            <w:hideMark/>
          </w:tcPr>
          <w:p w14:paraId="74C99B0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noWrap/>
            <w:vAlign w:val="bottom"/>
            <w:hideMark/>
          </w:tcPr>
          <w:p w14:paraId="754D2F1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2D144D3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3.3</w:t>
            </w:r>
          </w:p>
        </w:tc>
        <w:tc>
          <w:tcPr>
            <w:tcW w:w="574" w:type="dxa"/>
            <w:gridSpan w:val="2"/>
            <w:tcBorders>
              <w:top w:val="nil"/>
              <w:left w:val="nil"/>
              <w:bottom w:val="single" w:sz="4" w:space="0" w:color="auto"/>
              <w:right w:val="single" w:sz="8" w:space="0" w:color="auto"/>
            </w:tcBorders>
            <w:vAlign w:val="center"/>
            <w:hideMark/>
          </w:tcPr>
          <w:p w14:paraId="7EE2F1F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4.8</w:t>
            </w:r>
          </w:p>
        </w:tc>
        <w:tc>
          <w:tcPr>
            <w:tcW w:w="653" w:type="dxa"/>
            <w:tcBorders>
              <w:top w:val="nil"/>
              <w:left w:val="nil"/>
              <w:bottom w:val="single" w:sz="4" w:space="0" w:color="auto"/>
              <w:right w:val="single" w:sz="8" w:space="0" w:color="auto"/>
            </w:tcBorders>
          </w:tcPr>
          <w:p w14:paraId="6368CF3E"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w:t>
            </w:r>
          </w:p>
        </w:tc>
      </w:tr>
      <w:tr w:rsidR="0077216E" w:rsidRPr="00A803B9" w14:paraId="1E0859C7" w14:textId="77777777" w:rsidTr="00745BDB">
        <w:trPr>
          <w:trHeight w:val="288"/>
          <w:jc w:val="center"/>
        </w:trPr>
        <w:tc>
          <w:tcPr>
            <w:tcW w:w="1341" w:type="dxa"/>
            <w:tcBorders>
              <w:top w:val="nil"/>
              <w:left w:val="single" w:sz="8" w:space="0" w:color="auto"/>
              <w:bottom w:val="single" w:sz="4" w:space="0" w:color="auto"/>
              <w:right w:val="single" w:sz="4" w:space="0" w:color="auto"/>
            </w:tcBorders>
            <w:noWrap/>
            <w:vAlign w:val="bottom"/>
            <w:hideMark/>
          </w:tcPr>
          <w:p w14:paraId="1C0B4BE8"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tc>
        <w:tc>
          <w:tcPr>
            <w:tcW w:w="1677" w:type="dxa"/>
            <w:tcBorders>
              <w:top w:val="nil"/>
              <w:left w:val="nil"/>
              <w:bottom w:val="single" w:sz="4" w:space="0" w:color="auto"/>
              <w:right w:val="single" w:sz="4" w:space="0" w:color="auto"/>
            </w:tcBorders>
            <w:vAlign w:val="center"/>
            <w:hideMark/>
          </w:tcPr>
          <w:p w14:paraId="786BBFE5"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Organics/nutrients</w:t>
            </w:r>
          </w:p>
        </w:tc>
        <w:tc>
          <w:tcPr>
            <w:tcW w:w="1165" w:type="dxa"/>
            <w:tcBorders>
              <w:top w:val="nil"/>
              <w:left w:val="nil"/>
              <w:bottom w:val="single" w:sz="4" w:space="0" w:color="auto"/>
              <w:right w:val="single" w:sz="4" w:space="0" w:color="auto"/>
            </w:tcBorders>
            <w:vAlign w:val="center"/>
            <w:hideMark/>
          </w:tcPr>
          <w:p w14:paraId="58ADB25F"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Domestic, agriculture, aquaculture</w:t>
            </w:r>
          </w:p>
        </w:tc>
        <w:tc>
          <w:tcPr>
            <w:tcW w:w="922" w:type="dxa"/>
            <w:tcBorders>
              <w:top w:val="nil"/>
              <w:left w:val="nil"/>
              <w:bottom w:val="single" w:sz="4" w:space="0" w:color="auto"/>
              <w:right w:val="single" w:sz="4" w:space="0" w:color="auto"/>
            </w:tcBorders>
            <w:noWrap/>
            <w:vAlign w:val="bottom"/>
            <w:hideMark/>
          </w:tcPr>
          <w:p w14:paraId="1AA0BBD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1050" w:type="dxa"/>
            <w:tcBorders>
              <w:top w:val="nil"/>
              <w:left w:val="nil"/>
              <w:bottom w:val="single" w:sz="4" w:space="0" w:color="auto"/>
              <w:right w:val="single" w:sz="4" w:space="0" w:color="auto"/>
            </w:tcBorders>
            <w:vAlign w:val="center"/>
            <w:hideMark/>
          </w:tcPr>
          <w:p w14:paraId="23539621"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74" w:type="dxa"/>
            <w:tcBorders>
              <w:top w:val="nil"/>
              <w:left w:val="nil"/>
              <w:bottom w:val="single" w:sz="4" w:space="0" w:color="auto"/>
              <w:right w:val="single" w:sz="4" w:space="0" w:color="auto"/>
            </w:tcBorders>
            <w:noWrap/>
            <w:vAlign w:val="bottom"/>
            <w:hideMark/>
          </w:tcPr>
          <w:p w14:paraId="58B3341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929" w:type="dxa"/>
            <w:tcBorders>
              <w:top w:val="nil"/>
              <w:left w:val="nil"/>
              <w:bottom w:val="single" w:sz="4" w:space="0" w:color="auto"/>
              <w:right w:val="single" w:sz="4" w:space="0" w:color="auto"/>
            </w:tcBorders>
            <w:noWrap/>
            <w:vAlign w:val="bottom"/>
            <w:hideMark/>
          </w:tcPr>
          <w:p w14:paraId="6DE28131"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62" w:type="dxa"/>
            <w:tcBorders>
              <w:top w:val="nil"/>
              <w:left w:val="nil"/>
              <w:bottom w:val="single" w:sz="4" w:space="0" w:color="auto"/>
              <w:right w:val="single" w:sz="4" w:space="0" w:color="auto"/>
            </w:tcBorders>
            <w:noWrap/>
            <w:vAlign w:val="bottom"/>
            <w:hideMark/>
          </w:tcPr>
          <w:p w14:paraId="2583140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24" w:type="dxa"/>
            <w:tcBorders>
              <w:top w:val="nil"/>
              <w:left w:val="nil"/>
              <w:bottom w:val="single" w:sz="4" w:space="0" w:color="auto"/>
              <w:right w:val="single" w:sz="4" w:space="0" w:color="auto"/>
            </w:tcBorders>
            <w:noWrap/>
            <w:vAlign w:val="bottom"/>
            <w:hideMark/>
          </w:tcPr>
          <w:p w14:paraId="30A47204"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837" w:type="dxa"/>
            <w:tcBorders>
              <w:top w:val="nil"/>
              <w:left w:val="nil"/>
              <w:bottom w:val="single" w:sz="4" w:space="0" w:color="auto"/>
              <w:right w:val="single" w:sz="4" w:space="0" w:color="auto"/>
            </w:tcBorders>
            <w:vAlign w:val="center"/>
            <w:hideMark/>
          </w:tcPr>
          <w:p w14:paraId="2FB6C7A4"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4.0</w:t>
            </w:r>
          </w:p>
        </w:tc>
        <w:tc>
          <w:tcPr>
            <w:tcW w:w="1248" w:type="dxa"/>
            <w:tcBorders>
              <w:top w:val="nil"/>
              <w:left w:val="nil"/>
              <w:bottom w:val="single" w:sz="4" w:space="0" w:color="auto"/>
              <w:right w:val="single" w:sz="4" w:space="0" w:color="auto"/>
            </w:tcBorders>
            <w:noWrap/>
            <w:vAlign w:val="bottom"/>
            <w:hideMark/>
          </w:tcPr>
          <w:p w14:paraId="12159D4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4" w:space="0" w:color="auto"/>
              <w:right w:val="single" w:sz="4" w:space="0" w:color="auto"/>
            </w:tcBorders>
            <w:noWrap/>
            <w:vAlign w:val="bottom"/>
            <w:hideMark/>
          </w:tcPr>
          <w:p w14:paraId="6240215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noWrap/>
            <w:vAlign w:val="bottom"/>
            <w:hideMark/>
          </w:tcPr>
          <w:p w14:paraId="514C9B7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02F5044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3.3</w:t>
            </w:r>
          </w:p>
        </w:tc>
        <w:tc>
          <w:tcPr>
            <w:tcW w:w="574" w:type="dxa"/>
            <w:gridSpan w:val="2"/>
            <w:tcBorders>
              <w:top w:val="nil"/>
              <w:left w:val="nil"/>
              <w:bottom w:val="single" w:sz="4" w:space="0" w:color="auto"/>
              <w:right w:val="single" w:sz="8" w:space="0" w:color="auto"/>
            </w:tcBorders>
            <w:vAlign w:val="center"/>
            <w:hideMark/>
          </w:tcPr>
          <w:p w14:paraId="0CB25F7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6.0</w:t>
            </w:r>
          </w:p>
        </w:tc>
        <w:tc>
          <w:tcPr>
            <w:tcW w:w="653" w:type="dxa"/>
            <w:tcBorders>
              <w:top w:val="nil"/>
              <w:left w:val="nil"/>
              <w:bottom w:val="single" w:sz="4" w:space="0" w:color="auto"/>
              <w:right w:val="single" w:sz="8" w:space="0" w:color="auto"/>
            </w:tcBorders>
          </w:tcPr>
          <w:p w14:paraId="3205A7EF"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w:t>
            </w:r>
          </w:p>
        </w:tc>
      </w:tr>
      <w:tr w:rsidR="0077216E" w:rsidRPr="00A803B9" w14:paraId="372C33F5" w14:textId="77777777" w:rsidTr="00745BDB">
        <w:trPr>
          <w:trHeight w:val="288"/>
          <w:jc w:val="center"/>
        </w:trPr>
        <w:tc>
          <w:tcPr>
            <w:tcW w:w="1341" w:type="dxa"/>
            <w:tcBorders>
              <w:top w:val="nil"/>
              <w:left w:val="single" w:sz="8" w:space="0" w:color="auto"/>
              <w:bottom w:val="single" w:sz="4" w:space="0" w:color="auto"/>
              <w:right w:val="single" w:sz="4" w:space="0" w:color="auto"/>
            </w:tcBorders>
            <w:noWrap/>
            <w:vAlign w:val="bottom"/>
            <w:hideMark/>
          </w:tcPr>
          <w:p w14:paraId="4168E958"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tc>
        <w:tc>
          <w:tcPr>
            <w:tcW w:w="1677" w:type="dxa"/>
            <w:tcBorders>
              <w:top w:val="nil"/>
              <w:left w:val="nil"/>
              <w:bottom w:val="single" w:sz="4" w:space="0" w:color="auto"/>
              <w:right w:val="single" w:sz="4" w:space="0" w:color="auto"/>
            </w:tcBorders>
            <w:vAlign w:val="center"/>
            <w:hideMark/>
          </w:tcPr>
          <w:p w14:paraId="70CCA015"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E-Coli and bacteria</w:t>
            </w:r>
          </w:p>
        </w:tc>
        <w:tc>
          <w:tcPr>
            <w:tcW w:w="1165" w:type="dxa"/>
            <w:tcBorders>
              <w:top w:val="nil"/>
              <w:left w:val="nil"/>
              <w:bottom w:val="single" w:sz="4" w:space="0" w:color="auto"/>
              <w:right w:val="single" w:sz="4" w:space="0" w:color="auto"/>
            </w:tcBorders>
            <w:vAlign w:val="center"/>
            <w:hideMark/>
          </w:tcPr>
          <w:p w14:paraId="75263651"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Domestics</w:t>
            </w:r>
          </w:p>
        </w:tc>
        <w:tc>
          <w:tcPr>
            <w:tcW w:w="922" w:type="dxa"/>
            <w:tcBorders>
              <w:top w:val="nil"/>
              <w:left w:val="nil"/>
              <w:bottom w:val="single" w:sz="4" w:space="0" w:color="auto"/>
              <w:right w:val="single" w:sz="4" w:space="0" w:color="auto"/>
            </w:tcBorders>
            <w:noWrap/>
            <w:vAlign w:val="bottom"/>
            <w:hideMark/>
          </w:tcPr>
          <w:p w14:paraId="55FEC8D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1050" w:type="dxa"/>
            <w:tcBorders>
              <w:top w:val="nil"/>
              <w:left w:val="nil"/>
              <w:bottom w:val="single" w:sz="4" w:space="0" w:color="auto"/>
              <w:right w:val="single" w:sz="4" w:space="0" w:color="auto"/>
            </w:tcBorders>
            <w:vAlign w:val="center"/>
            <w:hideMark/>
          </w:tcPr>
          <w:p w14:paraId="2A6B02D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74" w:type="dxa"/>
            <w:tcBorders>
              <w:top w:val="nil"/>
              <w:left w:val="nil"/>
              <w:bottom w:val="single" w:sz="4" w:space="0" w:color="auto"/>
              <w:right w:val="single" w:sz="4" w:space="0" w:color="auto"/>
            </w:tcBorders>
            <w:noWrap/>
            <w:vAlign w:val="bottom"/>
            <w:hideMark/>
          </w:tcPr>
          <w:p w14:paraId="665806A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929" w:type="dxa"/>
            <w:tcBorders>
              <w:top w:val="nil"/>
              <w:left w:val="nil"/>
              <w:bottom w:val="single" w:sz="4" w:space="0" w:color="auto"/>
              <w:right w:val="single" w:sz="4" w:space="0" w:color="auto"/>
            </w:tcBorders>
            <w:noWrap/>
            <w:vAlign w:val="bottom"/>
            <w:hideMark/>
          </w:tcPr>
          <w:p w14:paraId="5A04491A"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5</w:t>
            </w:r>
          </w:p>
        </w:tc>
        <w:tc>
          <w:tcPr>
            <w:tcW w:w="762" w:type="dxa"/>
            <w:tcBorders>
              <w:top w:val="nil"/>
              <w:left w:val="nil"/>
              <w:bottom w:val="single" w:sz="4" w:space="0" w:color="auto"/>
              <w:right w:val="single" w:sz="4" w:space="0" w:color="auto"/>
            </w:tcBorders>
            <w:noWrap/>
            <w:vAlign w:val="bottom"/>
            <w:hideMark/>
          </w:tcPr>
          <w:p w14:paraId="71753DC3"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24" w:type="dxa"/>
            <w:tcBorders>
              <w:top w:val="nil"/>
              <w:left w:val="nil"/>
              <w:bottom w:val="single" w:sz="4" w:space="0" w:color="auto"/>
              <w:right w:val="single" w:sz="4" w:space="0" w:color="auto"/>
            </w:tcBorders>
            <w:noWrap/>
            <w:vAlign w:val="bottom"/>
            <w:hideMark/>
          </w:tcPr>
          <w:p w14:paraId="39CF617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837" w:type="dxa"/>
            <w:tcBorders>
              <w:top w:val="nil"/>
              <w:left w:val="nil"/>
              <w:bottom w:val="single" w:sz="4" w:space="0" w:color="auto"/>
              <w:right w:val="single" w:sz="4" w:space="0" w:color="auto"/>
            </w:tcBorders>
            <w:vAlign w:val="center"/>
            <w:hideMark/>
          </w:tcPr>
          <w:p w14:paraId="63DA12C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4.0</w:t>
            </w:r>
          </w:p>
        </w:tc>
        <w:tc>
          <w:tcPr>
            <w:tcW w:w="1248" w:type="dxa"/>
            <w:tcBorders>
              <w:top w:val="nil"/>
              <w:left w:val="nil"/>
              <w:bottom w:val="single" w:sz="4" w:space="0" w:color="auto"/>
              <w:right w:val="single" w:sz="4" w:space="0" w:color="auto"/>
            </w:tcBorders>
            <w:noWrap/>
            <w:vAlign w:val="bottom"/>
            <w:hideMark/>
          </w:tcPr>
          <w:p w14:paraId="400F3742"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4" w:space="0" w:color="auto"/>
              <w:right w:val="single" w:sz="4" w:space="0" w:color="auto"/>
            </w:tcBorders>
            <w:noWrap/>
            <w:vAlign w:val="bottom"/>
            <w:hideMark/>
          </w:tcPr>
          <w:p w14:paraId="22C7A61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noWrap/>
            <w:vAlign w:val="bottom"/>
            <w:hideMark/>
          </w:tcPr>
          <w:p w14:paraId="603B5BED"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60428D4E"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3.3</w:t>
            </w:r>
          </w:p>
        </w:tc>
        <w:tc>
          <w:tcPr>
            <w:tcW w:w="574" w:type="dxa"/>
            <w:gridSpan w:val="2"/>
            <w:tcBorders>
              <w:top w:val="nil"/>
              <w:left w:val="nil"/>
              <w:bottom w:val="single" w:sz="4" w:space="0" w:color="auto"/>
              <w:right w:val="single" w:sz="8" w:space="0" w:color="auto"/>
            </w:tcBorders>
            <w:vAlign w:val="center"/>
            <w:hideMark/>
          </w:tcPr>
          <w:p w14:paraId="7433CCFD"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6.0</w:t>
            </w:r>
          </w:p>
        </w:tc>
        <w:tc>
          <w:tcPr>
            <w:tcW w:w="653" w:type="dxa"/>
            <w:tcBorders>
              <w:top w:val="nil"/>
              <w:left w:val="nil"/>
              <w:bottom w:val="single" w:sz="4" w:space="0" w:color="auto"/>
              <w:right w:val="single" w:sz="8" w:space="0" w:color="auto"/>
            </w:tcBorders>
          </w:tcPr>
          <w:p w14:paraId="024BF615"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w:t>
            </w:r>
          </w:p>
        </w:tc>
      </w:tr>
      <w:tr w:rsidR="0077216E" w:rsidRPr="00A803B9" w14:paraId="0CE3F1CD" w14:textId="77777777" w:rsidTr="00745BDB">
        <w:trPr>
          <w:trHeight w:val="288"/>
          <w:jc w:val="center"/>
        </w:trPr>
        <w:tc>
          <w:tcPr>
            <w:tcW w:w="1341" w:type="dxa"/>
            <w:tcBorders>
              <w:top w:val="nil"/>
              <w:left w:val="single" w:sz="8" w:space="0" w:color="auto"/>
              <w:bottom w:val="single" w:sz="4" w:space="0" w:color="auto"/>
              <w:right w:val="single" w:sz="4" w:space="0" w:color="auto"/>
            </w:tcBorders>
            <w:noWrap/>
            <w:vAlign w:val="bottom"/>
            <w:hideMark/>
          </w:tcPr>
          <w:p w14:paraId="35D21DEA"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tc>
        <w:tc>
          <w:tcPr>
            <w:tcW w:w="1677" w:type="dxa"/>
            <w:tcBorders>
              <w:top w:val="nil"/>
              <w:left w:val="nil"/>
              <w:bottom w:val="single" w:sz="4" w:space="0" w:color="auto"/>
              <w:right w:val="single" w:sz="4" w:space="0" w:color="auto"/>
            </w:tcBorders>
            <w:vAlign w:val="center"/>
            <w:hideMark/>
          </w:tcPr>
          <w:p w14:paraId="58D277AB"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Pesticides</w:t>
            </w:r>
          </w:p>
        </w:tc>
        <w:tc>
          <w:tcPr>
            <w:tcW w:w="1165" w:type="dxa"/>
            <w:tcBorders>
              <w:top w:val="nil"/>
              <w:left w:val="nil"/>
              <w:bottom w:val="single" w:sz="4" w:space="0" w:color="auto"/>
              <w:right w:val="single" w:sz="4" w:space="0" w:color="auto"/>
            </w:tcBorders>
            <w:vAlign w:val="center"/>
            <w:hideMark/>
          </w:tcPr>
          <w:p w14:paraId="1D45B6E9"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Agriculture</w:t>
            </w:r>
          </w:p>
        </w:tc>
        <w:tc>
          <w:tcPr>
            <w:tcW w:w="922" w:type="dxa"/>
            <w:tcBorders>
              <w:top w:val="nil"/>
              <w:left w:val="nil"/>
              <w:bottom w:val="single" w:sz="4" w:space="0" w:color="auto"/>
              <w:right w:val="single" w:sz="4" w:space="0" w:color="auto"/>
            </w:tcBorders>
            <w:noWrap/>
            <w:vAlign w:val="bottom"/>
            <w:hideMark/>
          </w:tcPr>
          <w:p w14:paraId="1686CFAE"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1050" w:type="dxa"/>
            <w:tcBorders>
              <w:top w:val="nil"/>
              <w:left w:val="nil"/>
              <w:bottom w:val="single" w:sz="4" w:space="0" w:color="auto"/>
              <w:right w:val="single" w:sz="4" w:space="0" w:color="auto"/>
            </w:tcBorders>
            <w:vAlign w:val="center"/>
            <w:hideMark/>
          </w:tcPr>
          <w:p w14:paraId="4CDA012E"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774" w:type="dxa"/>
            <w:tcBorders>
              <w:top w:val="nil"/>
              <w:left w:val="nil"/>
              <w:bottom w:val="single" w:sz="4" w:space="0" w:color="auto"/>
              <w:right w:val="single" w:sz="4" w:space="0" w:color="auto"/>
            </w:tcBorders>
            <w:noWrap/>
            <w:vAlign w:val="bottom"/>
            <w:hideMark/>
          </w:tcPr>
          <w:p w14:paraId="626C19AD"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929" w:type="dxa"/>
            <w:tcBorders>
              <w:top w:val="nil"/>
              <w:left w:val="nil"/>
              <w:bottom w:val="single" w:sz="4" w:space="0" w:color="auto"/>
              <w:right w:val="single" w:sz="4" w:space="0" w:color="auto"/>
            </w:tcBorders>
            <w:noWrap/>
            <w:vAlign w:val="bottom"/>
            <w:hideMark/>
          </w:tcPr>
          <w:p w14:paraId="6821E52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762" w:type="dxa"/>
            <w:tcBorders>
              <w:top w:val="nil"/>
              <w:left w:val="nil"/>
              <w:bottom w:val="single" w:sz="4" w:space="0" w:color="auto"/>
              <w:right w:val="single" w:sz="4" w:space="0" w:color="auto"/>
            </w:tcBorders>
            <w:noWrap/>
            <w:vAlign w:val="bottom"/>
            <w:hideMark/>
          </w:tcPr>
          <w:p w14:paraId="775FF05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24" w:type="dxa"/>
            <w:tcBorders>
              <w:top w:val="nil"/>
              <w:left w:val="nil"/>
              <w:bottom w:val="single" w:sz="4" w:space="0" w:color="auto"/>
              <w:right w:val="single" w:sz="4" w:space="0" w:color="auto"/>
            </w:tcBorders>
            <w:noWrap/>
            <w:vAlign w:val="bottom"/>
            <w:hideMark/>
          </w:tcPr>
          <w:p w14:paraId="3693184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837" w:type="dxa"/>
            <w:tcBorders>
              <w:top w:val="nil"/>
              <w:left w:val="nil"/>
              <w:bottom w:val="single" w:sz="4" w:space="0" w:color="auto"/>
              <w:right w:val="single" w:sz="4" w:space="0" w:color="auto"/>
            </w:tcBorders>
            <w:vAlign w:val="center"/>
            <w:hideMark/>
          </w:tcPr>
          <w:p w14:paraId="44177FA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3.0</w:t>
            </w:r>
          </w:p>
        </w:tc>
        <w:tc>
          <w:tcPr>
            <w:tcW w:w="1248" w:type="dxa"/>
            <w:tcBorders>
              <w:top w:val="nil"/>
              <w:left w:val="nil"/>
              <w:bottom w:val="single" w:sz="4" w:space="0" w:color="auto"/>
              <w:right w:val="single" w:sz="4" w:space="0" w:color="auto"/>
            </w:tcBorders>
            <w:noWrap/>
            <w:vAlign w:val="bottom"/>
            <w:hideMark/>
          </w:tcPr>
          <w:p w14:paraId="548959C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4" w:space="0" w:color="auto"/>
              <w:right w:val="single" w:sz="4" w:space="0" w:color="auto"/>
            </w:tcBorders>
            <w:noWrap/>
            <w:vAlign w:val="bottom"/>
            <w:hideMark/>
          </w:tcPr>
          <w:p w14:paraId="3444EF0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4" w:space="0" w:color="auto"/>
              <w:right w:val="single" w:sz="4" w:space="0" w:color="auto"/>
            </w:tcBorders>
            <w:noWrap/>
            <w:vAlign w:val="bottom"/>
            <w:hideMark/>
          </w:tcPr>
          <w:p w14:paraId="53936019"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4" w:space="0" w:color="auto"/>
              <w:right w:val="single" w:sz="4" w:space="0" w:color="auto"/>
            </w:tcBorders>
            <w:vAlign w:val="center"/>
            <w:hideMark/>
          </w:tcPr>
          <w:p w14:paraId="57DA7686"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3.3</w:t>
            </w:r>
          </w:p>
        </w:tc>
        <w:tc>
          <w:tcPr>
            <w:tcW w:w="574" w:type="dxa"/>
            <w:gridSpan w:val="2"/>
            <w:tcBorders>
              <w:top w:val="nil"/>
              <w:left w:val="nil"/>
              <w:bottom w:val="single" w:sz="4" w:space="0" w:color="auto"/>
              <w:right w:val="single" w:sz="8" w:space="0" w:color="auto"/>
            </w:tcBorders>
            <w:vAlign w:val="center"/>
            <w:hideMark/>
          </w:tcPr>
          <w:p w14:paraId="7301CB8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3.6</w:t>
            </w:r>
          </w:p>
        </w:tc>
        <w:tc>
          <w:tcPr>
            <w:tcW w:w="653" w:type="dxa"/>
            <w:tcBorders>
              <w:top w:val="nil"/>
              <w:left w:val="nil"/>
              <w:bottom w:val="single" w:sz="4" w:space="0" w:color="auto"/>
              <w:right w:val="single" w:sz="8" w:space="0" w:color="auto"/>
            </w:tcBorders>
          </w:tcPr>
          <w:p w14:paraId="26EA7DA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w:t>
            </w:r>
          </w:p>
        </w:tc>
      </w:tr>
      <w:tr w:rsidR="0077216E" w:rsidRPr="00A803B9" w14:paraId="15BD754B" w14:textId="77777777" w:rsidTr="00745BDB">
        <w:trPr>
          <w:trHeight w:val="300"/>
          <w:jc w:val="center"/>
        </w:trPr>
        <w:tc>
          <w:tcPr>
            <w:tcW w:w="1341" w:type="dxa"/>
            <w:tcBorders>
              <w:top w:val="nil"/>
              <w:left w:val="single" w:sz="8" w:space="0" w:color="auto"/>
              <w:bottom w:val="single" w:sz="8" w:space="0" w:color="auto"/>
              <w:right w:val="single" w:sz="4" w:space="0" w:color="auto"/>
            </w:tcBorders>
            <w:noWrap/>
            <w:vAlign w:val="bottom"/>
            <w:hideMark/>
          </w:tcPr>
          <w:p w14:paraId="1FBFEF6F"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 </w:t>
            </w:r>
          </w:p>
        </w:tc>
        <w:tc>
          <w:tcPr>
            <w:tcW w:w="1677" w:type="dxa"/>
            <w:tcBorders>
              <w:top w:val="nil"/>
              <w:left w:val="nil"/>
              <w:bottom w:val="single" w:sz="8" w:space="0" w:color="auto"/>
              <w:right w:val="single" w:sz="4" w:space="0" w:color="auto"/>
            </w:tcBorders>
            <w:vAlign w:val="center"/>
            <w:hideMark/>
          </w:tcPr>
          <w:p w14:paraId="21514460"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TSS</w:t>
            </w:r>
          </w:p>
        </w:tc>
        <w:tc>
          <w:tcPr>
            <w:tcW w:w="1165" w:type="dxa"/>
            <w:tcBorders>
              <w:top w:val="nil"/>
              <w:left w:val="nil"/>
              <w:bottom w:val="single" w:sz="8" w:space="0" w:color="auto"/>
              <w:right w:val="single" w:sz="4" w:space="0" w:color="auto"/>
            </w:tcBorders>
            <w:vAlign w:val="center"/>
            <w:hideMark/>
          </w:tcPr>
          <w:p w14:paraId="45B8E28D" w14:textId="77777777" w:rsidR="0077216E" w:rsidRPr="00A803B9" w:rsidRDefault="0077216E" w:rsidP="00745BDB">
            <w:pPr>
              <w:spacing w:after="0" w:line="240" w:lineRule="auto"/>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Mineral Mining and sand mining</w:t>
            </w:r>
          </w:p>
        </w:tc>
        <w:tc>
          <w:tcPr>
            <w:tcW w:w="922" w:type="dxa"/>
            <w:tcBorders>
              <w:top w:val="nil"/>
              <w:left w:val="nil"/>
              <w:bottom w:val="single" w:sz="8" w:space="0" w:color="auto"/>
              <w:right w:val="single" w:sz="4" w:space="0" w:color="auto"/>
            </w:tcBorders>
            <w:noWrap/>
            <w:vAlign w:val="bottom"/>
            <w:hideMark/>
          </w:tcPr>
          <w:p w14:paraId="60D8269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1050" w:type="dxa"/>
            <w:tcBorders>
              <w:top w:val="nil"/>
              <w:left w:val="nil"/>
              <w:bottom w:val="single" w:sz="8" w:space="0" w:color="auto"/>
              <w:right w:val="single" w:sz="4" w:space="0" w:color="auto"/>
            </w:tcBorders>
            <w:vAlign w:val="center"/>
            <w:hideMark/>
          </w:tcPr>
          <w:p w14:paraId="5F4D7A38"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774" w:type="dxa"/>
            <w:tcBorders>
              <w:top w:val="nil"/>
              <w:left w:val="nil"/>
              <w:bottom w:val="single" w:sz="8" w:space="0" w:color="auto"/>
              <w:right w:val="single" w:sz="4" w:space="0" w:color="auto"/>
            </w:tcBorders>
            <w:noWrap/>
            <w:vAlign w:val="bottom"/>
            <w:hideMark/>
          </w:tcPr>
          <w:p w14:paraId="3A56B0DA"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929" w:type="dxa"/>
            <w:tcBorders>
              <w:top w:val="nil"/>
              <w:left w:val="nil"/>
              <w:bottom w:val="single" w:sz="8" w:space="0" w:color="auto"/>
              <w:right w:val="single" w:sz="4" w:space="0" w:color="auto"/>
            </w:tcBorders>
            <w:noWrap/>
            <w:vAlign w:val="bottom"/>
            <w:hideMark/>
          </w:tcPr>
          <w:p w14:paraId="2ACB745D"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762" w:type="dxa"/>
            <w:tcBorders>
              <w:top w:val="nil"/>
              <w:left w:val="nil"/>
              <w:bottom w:val="single" w:sz="8" w:space="0" w:color="auto"/>
              <w:right w:val="single" w:sz="4" w:space="0" w:color="auto"/>
            </w:tcBorders>
            <w:noWrap/>
            <w:vAlign w:val="bottom"/>
            <w:hideMark/>
          </w:tcPr>
          <w:p w14:paraId="5A3BCD1B"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24" w:type="dxa"/>
            <w:tcBorders>
              <w:top w:val="nil"/>
              <w:left w:val="nil"/>
              <w:bottom w:val="single" w:sz="8" w:space="0" w:color="auto"/>
              <w:right w:val="single" w:sz="4" w:space="0" w:color="auto"/>
            </w:tcBorders>
            <w:noWrap/>
            <w:vAlign w:val="bottom"/>
            <w:hideMark/>
          </w:tcPr>
          <w:p w14:paraId="43385CED"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8" w:space="0" w:color="auto"/>
              <w:right w:val="single" w:sz="4" w:space="0" w:color="auto"/>
            </w:tcBorders>
            <w:vAlign w:val="center"/>
            <w:hideMark/>
          </w:tcPr>
          <w:p w14:paraId="6451BAF3"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3.8</w:t>
            </w:r>
          </w:p>
        </w:tc>
        <w:tc>
          <w:tcPr>
            <w:tcW w:w="1248" w:type="dxa"/>
            <w:tcBorders>
              <w:top w:val="nil"/>
              <w:left w:val="nil"/>
              <w:bottom w:val="single" w:sz="8" w:space="0" w:color="auto"/>
              <w:right w:val="single" w:sz="4" w:space="0" w:color="auto"/>
            </w:tcBorders>
            <w:noWrap/>
            <w:vAlign w:val="bottom"/>
            <w:hideMark/>
          </w:tcPr>
          <w:p w14:paraId="2E7DE7BA"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48" w:type="dxa"/>
            <w:tcBorders>
              <w:top w:val="nil"/>
              <w:left w:val="nil"/>
              <w:bottom w:val="single" w:sz="8" w:space="0" w:color="auto"/>
              <w:right w:val="single" w:sz="4" w:space="0" w:color="auto"/>
            </w:tcBorders>
            <w:noWrap/>
            <w:vAlign w:val="bottom"/>
            <w:hideMark/>
          </w:tcPr>
          <w:p w14:paraId="2F2F902E"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w:t>
            </w:r>
          </w:p>
        </w:tc>
        <w:tc>
          <w:tcPr>
            <w:tcW w:w="1050" w:type="dxa"/>
            <w:tcBorders>
              <w:top w:val="nil"/>
              <w:left w:val="nil"/>
              <w:bottom w:val="single" w:sz="8" w:space="0" w:color="auto"/>
              <w:right w:val="single" w:sz="4" w:space="0" w:color="auto"/>
            </w:tcBorders>
            <w:noWrap/>
            <w:vAlign w:val="bottom"/>
            <w:hideMark/>
          </w:tcPr>
          <w:p w14:paraId="4EBB04BC"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w:t>
            </w:r>
          </w:p>
        </w:tc>
        <w:tc>
          <w:tcPr>
            <w:tcW w:w="837" w:type="dxa"/>
            <w:tcBorders>
              <w:top w:val="nil"/>
              <w:left w:val="nil"/>
              <w:bottom w:val="single" w:sz="8" w:space="0" w:color="auto"/>
              <w:right w:val="single" w:sz="4" w:space="0" w:color="auto"/>
            </w:tcBorders>
            <w:vAlign w:val="center"/>
            <w:hideMark/>
          </w:tcPr>
          <w:p w14:paraId="77B179D5"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3.3</w:t>
            </w:r>
          </w:p>
        </w:tc>
        <w:tc>
          <w:tcPr>
            <w:tcW w:w="574" w:type="dxa"/>
            <w:gridSpan w:val="2"/>
            <w:tcBorders>
              <w:top w:val="nil"/>
              <w:left w:val="nil"/>
              <w:bottom w:val="single" w:sz="8" w:space="0" w:color="auto"/>
              <w:right w:val="single" w:sz="8" w:space="0" w:color="auto"/>
            </w:tcBorders>
            <w:vAlign w:val="center"/>
            <w:hideMark/>
          </w:tcPr>
          <w:p w14:paraId="6E9BE2E7"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4.5</w:t>
            </w:r>
          </w:p>
        </w:tc>
        <w:tc>
          <w:tcPr>
            <w:tcW w:w="653" w:type="dxa"/>
            <w:tcBorders>
              <w:top w:val="nil"/>
              <w:left w:val="nil"/>
              <w:bottom w:val="single" w:sz="8" w:space="0" w:color="auto"/>
              <w:right w:val="single" w:sz="8" w:space="0" w:color="auto"/>
            </w:tcBorders>
          </w:tcPr>
          <w:p w14:paraId="6D5CA1F0" w14:textId="77777777" w:rsidR="0077216E" w:rsidRPr="00A803B9" w:rsidRDefault="0077216E" w:rsidP="00745BDB">
            <w:pPr>
              <w:spacing w:after="0" w:line="240" w:lineRule="auto"/>
              <w:jc w:val="center"/>
              <w:rPr>
                <w:rFonts w:ascii="Aptos" w:eastAsia="Times New Roman" w:hAnsi="Aptos" w:cs="Calibri"/>
                <w:color w:val="000000"/>
                <w:kern w:val="0"/>
                <w:sz w:val="18"/>
                <w:szCs w:val="18"/>
                <w:lang w:val="en-ID" w:eastAsia="en-ID"/>
                <w14:ligatures w14:val="none"/>
              </w:rPr>
            </w:pPr>
            <w:r w:rsidRPr="00A803B9">
              <w:rPr>
                <w:rFonts w:ascii="Aptos" w:eastAsia="Times New Roman" w:hAnsi="Aptos" w:cs="Calibri"/>
                <w:color w:val="000000"/>
                <w:kern w:val="0"/>
                <w:sz w:val="18"/>
                <w:szCs w:val="18"/>
                <w:lang w:val="en-ID" w:eastAsia="en-ID"/>
                <w14:ligatures w14:val="none"/>
              </w:rPr>
              <w:t>M</w:t>
            </w:r>
          </w:p>
        </w:tc>
      </w:tr>
    </w:tbl>
    <w:p w14:paraId="20497086" w14:textId="77777777" w:rsidR="0077216E" w:rsidRPr="00A803B9" w:rsidRDefault="0077216E" w:rsidP="0077216E">
      <w:pPr>
        <w:rPr>
          <w:rFonts w:ascii="Aptos" w:hAnsi="Aptos"/>
        </w:rPr>
      </w:pPr>
    </w:p>
    <w:p w14:paraId="3C6E99F3" w14:textId="77777777" w:rsidR="0077216E" w:rsidRPr="00A803B9" w:rsidRDefault="0077216E" w:rsidP="0077216E">
      <w:pPr>
        <w:rPr>
          <w:rFonts w:ascii="Aptos" w:hAnsi="Aptos"/>
        </w:rPr>
        <w:sectPr w:rsidR="0077216E" w:rsidRPr="00A803B9" w:rsidSect="0077216E">
          <w:pgSz w:w="16838" w:h="11906" w:orient="landscape"/>
          <w:pgMar w:top="1440" w:right="1440" w:bottom="1440" w:left="1440" w:header="709" w:footer="709" w:gutter="0"/>
          <w:cols w:space="708"/>
          <w:docGrid w:linePitch="360"/>
        </w:sectPr>
      </w:pPr>
    </w:p>
    <w:p w14:paraId="7A14CDE0" w14:textId="77777777" w:rsidR="0077216E" w:rsidRPr="001C098B" w:rsidRDefault="0077216E" w:rsidP="0077216E">
      <w:pPr>
        <w:rPr>
          <w:rFonts w:ascii="Times New Roman" w:hAnsi="Times New Roman" w:cs="Times New Roman"/>
          <w:b/>
          <w:bCs/>
          <w:sz w:val="24"/>
          <w:szCs w:val="24"/>
        </w:rPr>
      </w:pPr>
      <w:r w:rsidRPr="001C098B">
        <w:rPr>
          <w:rFonts w:ascii="Times New Roman" w:hAnsi="Times New Roman" w:cs="Times New Roman"/>
          <w:b/>
          <w:bCs/>
          <w:sz w:val="24"/>
          <w:szCs w:val="24"/>
        </w:rPr>
        <w:t xml:space="preserve">Appendix </w:t>
      </w:r>
      <w:r>
        <w:rPr>
          <w:rFonts w:ascii="Times New Roman" w:hAnsi="Times New Roman" w:cs="Times New Roman"/>
          <w:b/>
          <w:bCs/>
          <w:sz w:val="24"/>
          <w:szCs w:val="24"/>
        </w:rPr>
        <w:t>7</w:t>
      </w:r>
      <w:r w:rsidRPr="001C098B">
        <w:rPr>
          <w:rFonts w:ascii="Times New Roman" w:hAnsi="Times New Roman" w:cs="Times New Roman"/>
          <w:b/>
          <w:bCs/>
          <w:sz w:val="24"/>
          <w:szCs w:val="24"/>
        </w:rPr>
        <w:t>.  Types of pollution and government actions against marine pollution</w:t>
      </w:r>
    </w:p>
    <w:tbl>
      <w:tblPr>
        <w:tblW w:w="141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1835"/>
        <w:gridCol w:w="1352"/>
        <w:gridCol w:w="2549"/>
        <w:gridCol w:w="7924"/>
      </w:tblGrid>
      <w:tr w:rsidR="0077216E" w:rsidRPr="001C098B" w14:paraId="1EB4E4E1" w14:textId="77777777" w:rsidTr="00745BDB">
        <w:trPr>
          <w:tblHeader/>
          <w:jc w:val="center"/>
        </w:trPr>
        <w:tc>
          <w:tcPr>
            <w:tcW w:w="510" w:type="dxa"/>
          </w:tcPr>
          <w:p w14:paraId="0B2AF8F9" w14:textId="77777777" w:rsidR="0077216E" w:rsidRPr="001C098B" w:rsidRDefault="0077216E" w:rsidP="00745BDB">
            <w:pPr>
              <w:spacing w:after="0" w:line="240" w:lineRule="auto"/>
              <w:jc w:val="center"/>
              <w:rPr>
                <w:rFonts w:ascii="Times New Roman" w:hAnsi="Times New Roman" w:cs="Times New Roman"/>
                <w:sz w:val="24"/>
                <w:szCs w:val="24"/>
              </w:rPr>
            </w:pPr>
            <w:r w:rsidRPr="001C098B">
              <w:rPr>
                <w:rFonts w:ascii="Times New Roman" w:hAnsi="Times New Roman" w:cs="Times New Roman"/>
                <w:sz w:val="24"/>
                <w:szCs w:val="24"/>
              </w:rPr>
              <w:t>No</w:t>
            </w:r>
          </w:p>
        </w:tc>
        <w:tc>
          <w:tcPr>
            <w:tcW w:w="1835" w:type="dxa"/>
            <w:vAlign w:val="bottom"/>
          </w:tcPr>
          <w:p w14:paraId="0A9E1FD5" w14:textId="77777777" w:rsidR="0077216E" w:rsidRPr="001C098B" w:rsidRDefault="0077216E" w:rsidP="00745BDB">
            <w:pPr>
              <w:spacing w:after="0" w:line="240" w:lineRule="auto"/>
              <w:jc w:val="center"/>
              <w:rPr>
                <w:rFonts w:ascii="Times New Roman" w:hAnsi="Times New Roman" w:cs="Times New Roman"/>
                <w:sz w:val="24"/>
                <w:szCs w:val="24"/>
              </w:rPr>
            </w:pPr>
            <w:r w:rsidRPr="001C098B">
              <w:rPr>
                <w:rFonts w:ascii="Times New Roman" w:hAnsi="Times New Roman" w:cs="Times New Roman"/>
                <w:sz w:val="24"/>
                <w:szCs w:val="24"/>
              </w:rPr>
              <w:t>Type of Pollution</w:t>
            </w:r>
          </w:p>
        </w:tc>
        <w:tc>
          <w:tcPr>
            <w:tcW w:w="1352" w:type="dxa"/>
            <w:vAlign w:val="bottom"/>
          </w:tcPr>
          <w:p w14:paraId="6F37EAC5" w14:textId="77777777" w:rsidR="0077216E" w:rsidRPr="001C098B" w:rsidRDefault="0077216E" w:rsidP="00745BDB">
            <w:pPr>
              <w:spacing w:after="0" w:line="240" w:lineRule="auto"/>
              <w:jc w:val="center"/>
              <w:rPr>
                <w:rFonts w:ascii="Times New Roman" w:hAnsi="Times New Roman" w:cs="Times New Roman"/>
                <w:sz w:val="24"/>
                <w:szCs w:val="24"/>
              </w:rPr>
            </w:pPr>
            <w:r w:rsidRPr="001C098B">
              <w:rPr>
                <w:rFonts w:ascii="Times New Roman" w:hAnsi="Times New Roman" w:cs="Times New Roman"/>
                <w:sz w:val="24"/>
                <w:szCs w:val="24"/>
              </w:rPr>
              <w:t>Location</w:t>
            </w:r>
          </w:p>
        </w:tc>
        <w:tc>
          <w:tcPr>
            <w:tcW w:w="2549" w:type="dxa"/>
            <w:vAlign w:val="bottom"/>
          </w:tcPr>
          <w:p w14:paraId="4F3670D7" w14:textId="77777777" w:rsidR="0077216E" w:rsidRPr="001C098B" w:rsidRDefault="0077216E" w:rsidP="00745BDB">
            <w:pPr>
              <w:spacing w:after="0" w:line="240" w:lineRule="auto"/>
              <w:jc w:val="center"/>
              <w:rPr>
                <w:rFonts w:ascii="Times New Roman" w:hAnsi="Times New Roman" w:cs="Times New Roman"/>
                <w:sz w:val="24"/>
                <w:szCs w:val="24"/>
              </w:rPr>
            </w:pPr>
            <w:r w:rsidRPr="001C098B">
              <w:rPr>
                <w:rFonts w:ascii="Times New Roman" w:hAnsi="Times New Roman" w:cs="Times New Roman"/>
                <w:sz w:val="24"/>
                <w:szCs w:val="24"/>
              </w:rPr>
              <w:t>Pollution Status</w:t>
            </w:r>
          </w:p>
        </w:tc>
        <w:tc>
          <w:tcPr>
            <w:tcW w:w="7924" w:type="dxa"/>
            <w:vAlign w:val="bottom"/>
          </w:tcPr>
          <w:p w14:paraId="7693C9E2" w14:textId="77777777" w:rsidR="0077216E" w:rsidRPr="001C098B" w:rsidRDefault="0077216E" w:rsidP="00745BDB">
            <w:pPr>
              <w:spacing w:after="0" w:line="240" w:lineRule="auto"/>
              <w:jc w:val="center"/>
              <w:rPr>
                <w:rFonts w:ascii="Times New Roman" w:hAnsi="Times New Roman" w:cs="Times New Roman"/>
                <w:sz w:val="24"/>
                <w:szCs w:val="24"/>
              </w:rPr>
            </w:pPr>
            <w:r w:rsidRPr="001C098B">
              <w:rPr>
                <w:rFonts w:ascii="Times New Roman" w:hAnsi="Times New Roman" w:cs="Times New Roman"/>
                <w:sz w:val="24"/>
                <w:szCs w:val="24"/>
              </w:rPr>
              <w:t>Mitigation and Prevention Measures/ Efforts</w:t>
            </w:r>
          </w:p>
        </w:tc>
      </w:tr>
      <w:tr w:rsidR="0077216E" w:rsidRPr="001C098B" w14:paraId="3E453D61" w14:textId="77777777" w:rsidTr="00745BDB">
        <w:trPr>
          <w:jc w:val="center"/>
        </w:trPr>
        <w:tc>
          <w:tcPr>
            <w:tcW w:w="510" w:type="dxa"/>
            <w:vMerge w:val="restart"/>
          </w:tcPr>
          <w:p w14:paraId="1CBD564B" w14:textId="77777777" w:rsidR="0077216E" w:rsidRPr="001C098B" w:rsidRDefault="0077216E" w:rsidP="00745BDB">
            <w:pPr>
              <w:spacing w:after="0" w:line="240" w:lineRule="auto"/>
              <w:jc w:val="center"/>
              <w:rPr>
                <w:rFonts w:ascii="Times New Roman" w:hAnsi="Times New Roman" w:cs="Times New Roman"/>
                <w:sz w:val="24"/>
                <w:szCs w:val="24"/>
              </w:rPr>
            </w:pPr>
            <w:r w:rsidRPr="001C098B">
              <w:rPr>
                <w:rFonts w:ascii="Times New Roman" w:hAnsi="Times New Roman" w:cs="Times New Roman"/>
                <w:sz w:val="24"/>
                <w:szCs w:val="24"/>
              </w:rPr>
              <w:t>1</w:t>
            </w:r>
          </w:p>
        </w:tc>
        <w:tc>
          <w:tcPr>
            <w:tcW w:w="1835" w:type="dxa"/>
          </w:tcPr>
          <w:p w14:paraId="26A44AD2"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Oil Pollution</w:t>
            </w:r>
          </w:p>
        </w:tc>
        <w:tc>
          <w:tcPr>
            <w:tcW w:w="1352" w:type="dxa"/>
          </w:tcPr>
          <w:p w14:paraId="07D73063"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Riau Islands Province</w:t>
            </w:r>
          </w:p>
        </w:tc>
        <w:tc>
          <w:tcPr>
            <w:tcW w:w="2549" w:type="dxa"/>
          </w:tcPr>
          <w:p w14:paraId="6567EE20"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Moderate (2020) and Good (2021) (source: 2020-2021 Performance Report DLHK/ Environmental and Forestry Agency of Riau Islands Province)</w:t>
            </w:r>
          </w:p>
          <w:p w14:paraId="5F272940"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Good (source: Q1 2025 Performance Report DLHK/ Environmental and Forestry Agency of Riau Islands Province)</w:t>
            </w:r>
          </w:p>
        </w:tc>
        <w:tc>
          <w:tcPr>
            <w:tcW w:w="7924" w:type="dxa"/>
          </w:tcPr>
          <w:p w14:paraId="7C665E1A" w14:textId="77777777" w:rsidR="0077216E" w:rsidRPr="001C098B" w:rsidRDefault="0077216E" w:rsidP="0077216E">
            <w:pPr>
              <w:pStyle w:val="ListParagraph"/>
              <w:numPr>
                <w:ilvl w:val="0"/>
                <w:numId w:val="1"/>
              </w:numPr>
              <w:spacing w:after="0" w:line="240" w:lineRule="auto"/>
              <w:ind w:left="306" w:hanging="306"/>
              <w:contextualSpacing w:val="0"/>
              <w:rPr>
                <w:rFonts w:ascii="Times New Roman" w:hAnsi="Times New Roman" w:cs="Times New Roman"/>
                <w:sz w:val="24"/>
                <w:szCs w:val="24"/>
              </w:rPr>
            </w:pPr>
            <w:r w:rsidRPr="001C098B">
              <w:rPr>
                <w:rFonts w:ascii="Times New Roman" w:hAnsi="Times New Roman" w:cs="Times New Roman"/>
                <w:sz w:val="24"/>
                <w:szCs w:val="24"/>
              </w:rPr>
              <w:t>Environmental Pollution and/or Damage Control Program: Coordination, Synchronization, and Implementation of Greenhouse Gas Emission Control, Climate Change Mitigation and Adaptation</w:t>
            </w:r>
          </w:p>
          <w:p w14:paraId="7E351430" w14:textId="77777777" w:rsidR="0077216E" w:rsidRPr="001C098B" w:rsidRDefault="0077216E" w:rsidP="0077216E">
            <w:pPr>
              <w:pStyle w:val="ListParagraph"/>
              <w:numPr>
                <w:ilvl w:val="0"/>
                <w:numId w:val="1"/>
              </w:numPr>
              <w:spacing w:after="0" w:line="240" w:lineRule="auto"/>
              <w:ind w:left="306" w:hanging="306"/>
              <w:contextualSpacing w:val="0"/>
              <w:rPr>
                <w:rFonts w:ascii="Times New Roman" w:hAnsi="Times New Roman" w:cs="Times New Roman"/>
                <w:sz w:val="24"/>
                <w:szCs w:val="24"/>
              </w:rPr>
            </w:pPr>
            <w:r w:rsidRPr="001C098B">
              <w:rPr>
                <w:rFonts w:ascii="Times New Roman" w:hAnsi="Times New Roman" w:cs="Times New Roman"/>
                <w:sz w:val="24"/>
                <w:szCs w:val="24"/>
              </w:rPr>
              <w:t>Environmental Complaint Handling Program</w:t>
            </w:r>
          </w:p>
          <w:p w14:paraId="5554624F" w14:textId="77777777" w:rsidR="0077216E" w:rsidRPr="001C098B" w:rsidRDefault="0077216E" w:rsidP="0077216E">
            <w:pPr>
              <w:pStyle w:val="ListParagraph"/>
              <w:numPr>
                <w:ilvl w:val="0"/>
                <w:numId w:val="1"/>
              </w:numPr>
              <w:spacing w:after="0" w:line="240" w:lineRule="auto"/>
              <w:ind w:left="306" w:hanging="306"/>
              <w:contextualSpacing w:val="0"/>
              <w:rPr>
                <w:rFonts w:ascii="Times New Roman" w:hAnsi="Times New Roman" w:cs="Times New Roman"/>
                <w:sz w:val="24"/>
                <w:szCs w:val="24"/>
              </w:rPr>
            </w:pPr>
            <w:r w:rsidRPr="001C098B">
              <w:rPr>
                <w:rFonts w:ascii="Times New Roman" w:hAnsi="Times New Roman" w:cs="Times New Roman"/>
                <w:sz w:val="24"/>
                <w:szCs w:val="24"/>
              </w:rPr>
              <w:t>Hazardous and Toxic Materials (B3) and Hazardous Waste (B3 Waste) Control Program</w:t>
            </w:r>
          </w:p>
          <w:p w14:paraId="214C47B1" w14:textId="77777777" w:rsidR="0077216E" w:rsidRPr="001C098B" w:rsidRDefault="0077216E" w:rsidP="00745BDB">
            <w:pPr>
              <w:spacing w:after="0" w:line="240" w:lineRule="auto"/>
              <w:rPr>
                <w:rFonts w:ascii="Times New Roman" w:hAnsi="Times New Roman" w:cs="Times New Roman"/>
                <w:sz w:val="24"/>
                <w:szCs w:val="24"/>
              </w:rPr>
            </w:pPr>
          </w:p>
          <w:p w14:paraId="066726B9"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(source: 2024 Work Agreement, 2024 Government Agency Performance Report, 2025 Annual Work Plan, 2021-2026 Strategic Plan DLHK/ Environmental and Forestry Agency of Riau Islands Province)</w:t>
            </w:r>
          </w:p>
        </w:tc>
      </w:tr>
      <w:tr w:rsidR="0077216E" w:rsidRPr="001C098B" w14:paraId="631C9B46" w14:textId="77777777" w:rsidTr="00745BDB">
        <w:trPr>
          <w:jc w:val="center"/>
        </w:trPr>
        <w:tc>
          <w:tcPr>
            <w:tcW w:w="510" w:type="dxa"/>
            <w:vMerge/>
          </w:tcPr>
          <w:p w14:paraId="01509898" w14:textId="77777777" w:rsidR="0077216E" w:rsidRPr="001C098B" w:rsidRDefault="0077216E" w:rsidP="00745BDB">
            <w:pPr>
              <w:spacing w:after="0" w:line="240" w:lineRule="auto"/>
              <w:jc w:val="center"/>
              <w:rPr>
                <w:rFonts w:ascii="Times New Roman" w:hAnsi="Times New Roman" w:cs="Times New Roman"/>
                <w:sz w:val="24"/>
                <w:szCs w:val="24"/>
              </w:rPr>
            </w:pPr>
          </w:p>
        </w:tc>
        <w:tc>
          <w:tcPr>
            <w:tcW w:w="1835" w:type="dxa"/>
          </w:tcPr>
          <w:p w14:paraId="0BFAB758"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Oil Pollution</w:t>
            </w:r>
          </w:p>
        </w:tc>
        <w:tc>
          <w:tcPr>
            <w:tcW w:w="1352" w:type="dxa"/>
          </w:tcPr>
          <w:p w14:paraId="2C586052"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Batam City</w:t>
            </w:r>
          </w:p>
        </w:tc>
        <w:tc>
          <w:tcPr>
            <w:tcW w:w="2549" w:type="dxa"/>
          </w:tcPr>
          <w:p w14:paraId="5573F55A"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Moderate (source: Executive Summary of 2024 Environmental Management Performance Information DLH/ Environmental Agency of Batam City)</w:t>
            </w:r>
          </w:p>
        </w:tc>
        <w:tc>
          <w:tcPr>
            <w:tcW w:w="7924" w:type="dxa"/>
          </w:tcPr>
          <w:p w14:paraId="5C9871CC" w14:textId="77777777" w:rsidR="0077216E" w:rsidRPr="001C098B" w:rsidRDefault="0077216E" w:rsidP="0077216E">
            <w:pPr>
              <w:pStyle w:val="ListParagraph"/>
              <w:numPr>
                <w:ilvl w:val="0"/>
                <w:numId w:val="2"/>
              </w:numPr>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Environmental Planning Program</w:t>
            </w:r>
          </w:p>
          <w:p w14:paraId="5F527713" w14:textId="77777777" w:rsidR="0077216E" w:rsidRPr="001C098B" w:rsidRDefault="0077216E" w:rsidP="0077216E">
            <w:pPr>
              <w:pStyle w:val="ListParagraph"/>
              <w:numPr>
                <w:ilvl w:val="0"/>
                <w:numId w:val="2"/>
              </w:numPr>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Environmental Pollution and/or Damage Control Program</w:t>
            </w:r>
          </w:p>
          <w:p w14:paraId="79AEF72E" w14:textId="77777777" w:rsidR="0077216E" w:rsidRPr="001C098B" w:rsidRDefault="0077216E" w:rsidP="0077216E">
            <w:pPr>
              <w:pStyle w:val="ListParagraph"/>
              <w:numPr>
                <w:ilvl w:val="0"/>
                <w:numId w:val="2"/>
              </w:numPr>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Environmental Education, Training, and Community Outreach Program</w:t>
            </w:r>
          </w:p>
          <w:p w14:paraId="484D9366"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(source: Executive Summary of 2024 Environmental Management Performance Information DLH/ Environmental Agency of Batam City)</w:t>
            </w:r>
          </w:p>
        </w:tc>
      </w:tr>
      <w:tr w:rsidR="0077216E" w:rsidRPr="001C098B" w14:paraId="6B52E235" w14:textId="77777777" w:rsidTr="00745BDB">
        <w:trPr>
          <w:jc w:val="center"/>
        </w:trPr>
        <w:tc>
          <w:tcPr>
            <w:tcW w:w="510" w:type="dxa"/>
            <w:vMerge/>
          </w:tcPr>
          <w:p w14:paraId="5B7DC9DC" w14:textId="77777777" w:rsidR="0077216E" w:rsidRPr="001C098B" w:rsidRDefault="0077216E" w:rsidP="00745BDB">
            <w:pPr>
              <w:spacing w:after="0" w:line="240" w:lineRule="auto"/>
              <w:jc w:val="center"/>
              <w:rPr>
                <w:rFonts w:ascii="Times New Roman" w:hAnsi="Times New Roman" w:cs="Times New Roman"/>
                <w:sz w:val="24"/>
                <w:szCs w:val="24"/>
              </w:rPr>
            </w:pPr>
          </w:p>
        </w:tc>
        <w:tc>
          <w:tcPr>
            <w:tcW w:w="1835" w:type="dxa"/>
          </w:tcPr>
          <w:p w14:paraId="03B5D950"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Oil Pollution</w:t>
            </w:r>
          </w:p>
        </w:tc>
        <w:tc>
          <w:tcPr>
            <w:tcW w:w="1352" w:type="dxa"/>
          </w:tcPr>
          <w:p w14:paraId="725E841D"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Bintan Regency</w:t>
            </w:r>
          </w:p>
        </w:tc>
        <w:tc>
          <w:tcPr>
            <w:tcW w:w="2549" w:type="dxa"/>
          </w:tcPr>
          <w:p w14:paraId="2EFF3343"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Black oil waste found along the coast of Bintan Regency. This is not the first occurrence; oil spills happen every year.</w:t>
            </w:r>
            <w:r w:rsidRPr="001C098B">
              <w:rPr>
                <w:rFonts w:ascii="Times New Roman" w:hAnsi="Times New Roman" w:cs="Times New Roman"/>
                <w:sz w:val="24"/>
                <w:szCs w:val="24"/>
              </w:rPr>
              <w:br/>
              <w:t xml:space="preserve">(source: Agusthin </w:t>
            </w:r>
            <w:r w:rsidRPr="001C098B">
              <w:rPr>
                <w:rFonts w:ascii="Times New Roman" w:hAnsi="Times New Roman" w:cs="Times New Roman"/>
                <w:i/>
                <w:iCs/>
                <w:sz w:val="24"/>
                <w:szCs w:val="24"/>
              </w:rPr>
              <w:t>et al</w:t>
            </w:r>
            <w:r w:rsidRPr="001C098B">
              <w:rPr>
                <w:rFonts w:ascii="Times New Roman" w:hAnsi="Times New Roman" w:cs="Times New Roman"/>
                <w:sz w:val="24"/>
                <w:szCs w:val="24"/>
              </w:rPr>
              <w:t>. 2024)</w:t>
            </w:r>
          </w:p>
        </w:tc>
        <w:tc>
          <w:tcPr>
            <w:tcW w:w="7924" w:type="dxa"/>
          </w:tcPr>
          <w:p w14:paraId="0F5E6C62" w14:textId="77777777" w:rsidR="0077216E" w:rsidRPr="001C098B" w:rsidRDefault="0077216E" w:rsidP="0077216E">
            <w:pPr>
              <w:pStyle w:val="ListParagraph"/>
              <w:numPr>
                <w:ilvl w:val="0"/>
                <w:numId w:val="3"/>
              </w:numPr>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Sent letter to the Ministry of Environment regarding water pollution on Bintan Island by Bintan Environmental Agency</w:t>
            </w:r>
            <w:r w:rsidRPr="001C098B">
              <w:rPr>
                <w:rFonts w:ascii="Times New Roman" w:hAnsi="Times New Roman" w:cs="Times New Roman"/>
                <w:sz w:val="24"/>
                <w:szCs w:val="24"/>
              </w:rPr>
              <w:br/>
              <w:t>Held Oil Spill Coordination</w:t>
            </w:r>
          </w:p>
          <w:p w14:paraId="34709351" w14:textId="77777777" w:rsidR="0077216E" w:rsidRPr="001C098B" w:rsidRDefault="0077216E" w:rsidP="0077216E">
            <w:pPr>
              <w:pStyle w:val="ListParagraph"/>
              <w:numPr>
                <w:ilvl w:val="0"/>
                <w:numId w:val="3"/>
              </w:numPr>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Meeting attended by various agencies such as the Coordinating Ministry for Maritime Affairs, BAKAMLA/ Indonesian Maritime Security Agency, and others</w:t>
            </w:r>
          </w:p>
          <w:p w14:paraId="5DD0483D" w14:textId="77777777" w:rsidR="0077216E" w:rsidRPr="001C098B" w:rsidRDefault="0077216E" w:rsidP="0077216E">
            <w:pPr>
              <w:pStyle w:val="ListParagraph"/>
              <w:numPr>
                <w:ilvl w:val="0"/>
                <w:numId w:val="3"/>
              </w:numPr>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 xml:space="preserve">Collaboration between DLHK/ Environmental and Forestry Agency of Riau Islands Province, Bintan Environmental Agency, and coastal communities for cleaning black oil waste; collected into drums for transport to B3 Waste Management Facility in Batam </w:t>
            </w:r>
          </w:p>
          <w:p w14:paraId="1A7046BF" w14:textId="77777777" w:rsidR="0077216E" w:rsidRPr="001C098B" w:rsidRDefault="0077216E" w:rsidP="0077216E">
            <w:pPr>
              <w:pStyle w:val="ListParagraph"/>
              <w:numPr>
                <w:ilvl w:val="0"/>
                <w:numId w:val="3"/>
              </w:numPr>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Issued Decree on Formation of Oil Spill Response Team in Riau Islands Province (Governor Decree No. 742/2018 dated 14 May 2018)</w:t>
            </w:r>
          </w:p>
          <w:p w14:paraId="6056C728" w14:textId="77777777" w:rsidR="0077216E" w:rsidRPr="001C098B" w:rsidRDefault="0077216E" w:rsidP="00745BDB">
            <w:pPr>
              <w:pStyle w:val="ListParagraph"/>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 xml:space="preserve">(source: Agusthin </w:t>
            </w:r>
            <w:r w:rsidRPr="001C098B">
              <w:rPr>
                <w:rFonts w:ascii="Times New Roman" w:hAnsi="Times New Roman" w:cs="Times New Roman"/>
                <w:i/>
                <w:iCs/>
                <w:sz w:val="24"/>
                <w:szCs w:val="24"/>
              </w:rPr>
              <w:t>et al</w:t>
            </w:r>
            <w:r w:rsidRPr="001C098B">
              <w:rPr>
                <w:rFonts w:ascii="Times New Roman" w:hAnsi="Times New Roman" w:cs="Times New Roman"/>
                <w:sz w:val="24"/>
                <w:szCs w:val="24"/>
              </w:rPr>
              <w:t>. 2024)</w:t>
            </w:r>
          </w:p>
          <w:p w14:paraId="7C232517" w14:textId="77777777" w:rsidR="0077216E" w:rsidRPr="001C098B" w:rsidRDefault="0077216E" w:rsidP="00745BDB">
            <w:pPr>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 xml:space="preserve">(source: Agusthin </w:t>
            </w:r>
            <w:r w:rsidRPr="001C098B">
              <w:rPr>
                <w:rFonts w:ascii="Times New Roman" w:hAnsi="Times New Roman" w:cs="Times New Roman"/>
                <w:i/>
                <w:iCs/>
                <w:sz w:val="24"/>
                <w:szCs w:val="24"/>
              </w:rPr>
              <w:t>et al</w:t>
            </w:r>
            <w:r w:rsidRPr="001C098B">
              <w:rPr>
                <w:rFonts w:ascii="Times New Roman" w:hAnsi="Times New Roman" w:cs="Times New Roman"/>
                <w:sz w:val="24"/>
                <w:szCs w:val="24"/>
              </w:rPr>
              <w:t>. 2024)</w:t>
            </w:r>
          </w:p>
        </w:tc>
      </w:tr>
      <w:tr w:rsidR="0077216E" w:rsidRPr="001C098B" w14:paraId="66D6D394" w14:textId="77777777" w:rsidTr="00745BDB">
        <w:trPr>
          <w:jc w:val="center"/>
        </w:trPr>
        <w:tc>
          <w:tcPr>
            <w:tcW w:w="510" w:type="dxa"/>
            <w:vMerge/>
          </w:tcPr>
          <w:p w14:paraId="65BCF906" w14:textId="77777777" w:rsidR="0077216E" w:rsidRPr="001C098B" w:rsidRDefault="0077216E" w:rsidP="00745BDB">
            <w:pPr>
              <w:spacing w:after="0" w:line="240" w:lineRule="auto"/>
              <w:jc w:val="center"/>
              <w:rPr>
                <w:rFonts w:ascii="Times New Roman" w:hAnsi="Times New Roman" w:cs="Times New Roman"/>
                <w:sz w:val="24"/>
                <w:szCs w:val="24"/>
              </w:rPr>
            </w:pPr>
          </w:p>
        </w:tc>
        <w:tc>
          <w:tcPr>
            <w:tcW w:w="1835" w:type="dxa"/>
          </w:tcPr>
          <w:p w14:paraId="1DAA3911"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Oil Pollution</w:t>
            </w:r>
          </w:p>
        </w:tc>
        <w:tc>
          <w:tcPr>
            <w:tcW w:w="1352" w:type="dxa"/>
          </w:tcPr>
          <w:p w14:paraId="265C0B82"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Nationwide</w:t>
            </w:r>
          </w:p>
        </w:tc>
        <w:tc>
          <w:tcPr>
            <w:tcW w:w="2549" w:type="dxa"/>
          </w:tcPr>
          <w:p w14:paraId="343234E5"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w:t>
            </w:r>
          </w:p>
        </w:tc>
        <w:tc>
          <w:tcPr>
            <w:tcW w:w="7924" w:type="dxa"/>
          </w:tcPr>
          <w:p w14:paraId="052417A7" w14:textId="77777777" w:rsidR="0077216E" w:rsidRPr="00347896" w:rsidRDefault="0077216E" w:rsidP="00745BDB">
            <w:pPr>
              <w:spacing w:after="0" w:line="240" w:lineRule="auto"/>
              <w:rPr>
                <w:rFonts w:ascii="Times New Roman" w:hAnsi="Times New Roman" w:cs="Times New Roman"/>
                <w:sz w:val="24"/>
                <w:szCs w:val="24"/>
              </w:rPr>
            </w:pPr>
            <w:r w:rsidRPr="00347896">
              <w:rPr>
                <w:rFonts w:ascii="Times New Roman" w:hAnsi="Times New Roman" w:cs="Times New Roman"/>
                <w:sz w:val="24"/>
                <w:szCs w:val="24"/>
              </w:rPr>
              <w:t>Oil spill pollution mitigation (10 locations): 1. Pulau Bintan 2. Provinsi Aceh 3. Provinsi Banten 4. Provinsi Jawa Barat 5. Provinsi Jawa Tengah 6. Provinsi Nusa Tenggara Barat 7. Provinsi Nusa Tenggara Timur 8. Provinsi Sulawesi Selatan 9. Provinsi Maluku 10. Provinsi Maluku Utara</w:t>
            </w:r>
          </w:p>
          <w:p w14:paraId="54AC08B4"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(source: 2024 Action Plan and 2024 Performance Report Directorate of Coastal and Marine Pollution and Damage Control, KLHK/ The Ministry of Environment and Forestry)</w:t>
            </w:r>
          </w:p>
        </w:tc>
      </w:tr>
      <w:tr w:rsidR="0077216E" w:rsidRPr="001C098B" w14:paraId="1643E83C" w14:textId="77777777" w:rsidTr="00745BDB">
        <w:trPr>
          <w:jc w:val="center"/>
        </w:trPr>
        <w:tc>
          <w:tcPr>
            <w:tcW w:w="510" w:type="dxa"/>
            <w:vMerge w:val="restart"/>
          </w:tcPr>
          <w:p w14:paraId="5A7FCE13" w14:textId="77777777" w:rsidR="0077216E" w:rsidRPr="001C098B" w:rsidRDefault="0077216E" w:rsidP="00745BDB">
            <w:pPr>
              <w:spacing w:after="0" w:line="240" w:lineRule="auto"/>
              <w:jc w:val="center"/>
              <w:rPr>
                <w:rFonts w:ascii="Times New Roman" w:hAnsi="Times New Roman" w:cs="Times New Roman"/>
                <w:sz w:val="24"/>
                <w:szCs w:val="24"/>
              </w:rPr>
            </w:pPr>
            <w:r w:rsidRPr="001C098B">
              <w:rPr>
                <w:rFonts w:ascii="Times New Roman" w:hAnsi="Times New Roman" w:cs="Times New Roman"/>
                <w:sz w:val="24"/>
                <w:szCs w:val="24"/>
              </w:rPr>
              <w:t>2</w:t>
            </w:r>
          </w:p>
        </w:tc>
        <w:tc>
          <w:tcPr>
            <w:tcW w:w="1835" w:type="dxa"/>
          </w:tcPr>
          <w:p w14:paraId="74118BA9"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Marine Debris</w:t>
            </w:r>
          </w:p>
        </w:tc>
        <w:tc>
          <w:tcPr>
            <w:tcW w:w="1352" w:type="dxa"/>
          </w:tcPr>
          <w:p w14:paraId="6027CDA6"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Riau Islands Province</w:t>
            </w:r>
          </w:p>
        </w:tc>
        <w:tc>
          <w:tcPr>
            <w:tcW w:w="2549" w:type="dxa"/>
          </w:tcPr>
          <w:p w14:paraId="720951DD"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Moderate (2020) and Good (2021) (source: 2020-2021 Performance Report DLHK/ Environmental and Forestry Agency of Riau Islands Province)</w:t>
            </w:r>
          </w:p>
          <w:p w14:paraId="6A966F16"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Good (source: Q1 2025 Performance Report DLHK/ Environmental and Forestry Agency of Riau Islands Province)</w:t>
            </w:r>
          </w:p>
        </w:tc>
        <w:tc>
          <w:tcPr>
            <w:tcW w:w="7924" w:type="dxa"/>
          </w:tcPr>
          <w:p w14:paraId="28309D19" w14:textId="77777777" w:rsidR="0077216E" w:rsidRPr="001C098B" w:rsidRDefault="0077216E" w:rsidP="0077216E">
            <w:pPr>
              <w:pStyle w:val="ListParagraph"/>
              <w:numPr>
                <w:ilvl w:val="0"/>
                <w:numId w:val="5"/>
              </w:numPr>
              <w:spacing w:after="0" w:line="240" w:lineRule="auto"/>
              <w:ind w:left="306"/>
              <w:contextualSpacing w:val="0"/>
              <w:rPr>
                <w:rFonts w:ascii="Times New Roman" w:hAnsi="Times New Roman" w:cs="Times New Roman"/>
                <w:sz w:val="24"/>
                <w:szCs w:val="24"/>
              </w:rPr>
            </w:pPr>
            <w:r w:rsidRPr="001C098B">
              <w:rPr>
                <w:rFonts w:ascii="Times New Roman" w:hAnsi="Times New Roman" w:cs="Times New Roman"/>
                <w:sz w:val="24"/>
                <w:szCs w:val="24"/>
              </w:rPr>
              <w:t>Environmental Pollution and/or Damage Control Program: Coordination, Synchronization, and Implementation of Greenhouse Gas Emission Control, Climate Change Mitigation and Adaptation</w:t>
            </w:r>
          </w:p>
          <w:p w14:paraId="6C079674" w14:textId="77777777" w:rsidR="0077216E" w:rsidRPr="001C098B" w:rsidRDefault="0077216E" w:rsidP="0077216E">
            <w:pPr>
              <w:pStyle w:val="ListParagraph"/>
              <w:numPr>
                <w:ilvl w:val="0"/>
                <w:numId w:val="5"/>
              </w:numPr>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Environmental Planning Program: Preparation and Implementation of SEA for Development Plans with Potential Environmental Impact/Risk</w:t>
            </w:r>
          </w:p>
          <w:p w14:paraId="7A23E031" w14:textId="77777777" w:rsidR="0077216E" w:rsidRPr="001C098B" w:rsidRDefault="0077216E" w:rsidP="0077216E">
            <w:pPr>
              <w:pStyle w:val="ListParagraph"/>
              <w:numPr>
                <w:ilvl w:val="0"/>
                <w:numId w:val="5"/>
              </w:numPr>
              <w:spacing w:after="0" w:line="240" w:lineRule="auto"/>
              <w:ind w:left="306"/>
              <w:contextualSpacing w:val="0"/>
              <w:rPr>
                <w:rFonts w:ascii="Times New Roman" w:hAnsi="Times New Roman" w:cs="Times New Roman"/>
                <w:sz w:val="24"/>
                <w:szCs w:val="24"/>
              </w:rPr>
            </w:pPr>
            <w:r w:rsidRPr="001C098B">
              <w:rPr>
                <w:rFonts w:ascii="Times New Roman" w:hAnsi="Times New Roman" w:cs="Times New Roman"/>
                <w:sz w:val="24"/>
                <w:szCs w:val="24"/>
              </w:rPr>
              <w:t>Environmental Complaint Handling Program</w:t>
            </w:r>
          </w:p>
          <w:p w14:paraId="4D5CA1F9" w14:textId="77777777" w:rsidR="0077216E" w:rsidRPr="001C098B" w:rsidRDefault="0077216E" w:rsidP="0077216E">
            <w:pPr>
              <w:pStyle w:val="ListParagraph"/>
              <w:numPr>
                <w:ilvl w:val="0"/>
                <w:numId w:val="5"/>
              </w:numPr>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Waste Management Program: Provision of Waste Handling Facilities at Regional Final Disposal Site (TPA)/ Integrated Waste Processing Facility (Integrated Waste Processing Facility)</w:t>
            </w:r>
          </w:p>
          <w:p w14:paraId="75BEB621" w14:textId="77777777" w:rsidR="0077216E" w:rsidRPr="001C098B" w:rsidRDefault="0077216E" w:rsidP="0077216E">
            <w:pPr>
              <w:pStyle w:val="ListParagraph"/>
              <w:numPr>
                <w:ilvl w:val="0"/>
                <w:numId w:val="5"/>
              </w:numPr>
              <w:spacing w:after="0" w:line="240" w:lineRule="auto"/>
              <w:ind w:left="306"/>
              <w:contextualSpacing w:val="0"/>
              <w:rPr>
                <w:rFonts w:ascii="Times New Roman" w:hAnsi="Times New Roman" w:cs="Times New Roman"/>
                <w:sz w:val="24"/>
                <w:szCs w:val="24"/>
              </w:rPr>
            </w:pPr>
            <w:r w:rsidRPr="001C098B">
              <w:rPr>
                <w:rFonts w:ascii="Times New Roman" w:hAnsi="Times New Roman" w:cs="Times New Roman"/>
                <w:sz w:val="24"/>
                <w:szCs w:val="24"/>
              </w:rPr>
              <w:t>Watershed Management Program: Implementation of Inter-District/City and Intra-Province Watershed Management</w:t>
            </w:r>
          </w:p>
          <w:p w14:paraId="305E06AD" w14:textId="77777777" w:rsidR="0077216E" w:rsidRPr="001C098B" w:rsidRDefault="0077216E" w:rsidP="00745BDB">
            <w:pPr>
              <w:spacing w:after="0" w:line="240" w:lineRule="auto"/>
              <w:rPr>
                <w:rFonts w:ascii="Times New Roman" w:hAnsi="Times New Roman" w:cs="Times New Roman"/>
                <w:sz w:val="24"/>
                <w:szCs w:val="24"/>
              </w:rPr>
            </w:pPr>
          </w:p>
          <w:p w14:paraId="2232E9E6"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(source: 2024 Work Agreement, 2024 Government Agency Performance Report, 2025 Annual Work Plan, 2021-2026 Strategic Plan DLHK/ Environmental and Forestry Agency of Riau Islands Province; 2024 Work Agreement and 2024 Government Agency Performance Report DLHK/ Environmental and Forestry Agency of Riau Islands Province)</w:t>
            </w:r>
          </w:p>
        </w:tc>
      </w:tr>
      <w:tr w:rsidR="0077216E" w:rsidRPr="001C098B" w14:paraId="59BFB237" w14:textId="77777777" w:rsidTr="00745BDB">
        <w:trPr>
          <w:jc w:val="center"/>
        </w:trPr>
        <w:tc>
          <w:tcPr>
            <w:tcW w:w="510" w:type="dxa"/>
            <w:vMerge/>
          </w:tcPr>
          <w:p w14:paraId="46310ACE" w14:textId="77777777" w:rsidR="0077216E" w:rsidRPr="001C098B" w:rsidRDefault="0077216E" w:rsidP="00745BDB">
            <w:pPr>
              <w:spacing w:after="0" w:line="240" w:lineRule="auto"/>
              <w:jc w:val="center"/>
              <w:rPr>
                <w:rFonts w:ascii="Times New Roman" w:hAnsi="Times New Roman" w:cs="Times New Roman"/>
                <w:sz w:val="24"/>
                <w:szCs w:val="24"/>
              </w:rPr>
            </w:pPr>
          </w:p>
        </w:tc>
        <w:tc>
          <w:tcPr>
            <w:tcW w:w="1835" w:type="dxa"/>
          </w:tcPr>
          <w:p w14:paraId="627865D6"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Marine Debris</w:t>
            </w:r>
          </w:p>
        </w:tc>
        <w:tc>
          <w:tcPr>
            <w:tcW w:w="1352" w:type="dxa"/>
          </w:tcPr>
          <w:p w14:paraId="3FE7BD40"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Batam City</w:t>
            </w:r>
          </w:p>
        </w:tc>
        <w:tc>
          <w:tcPr>
            <w:tcW w:w="2549" w:type="dxa"/>
          </w:tcPr>
          <w:p w14:paraId="3854196A"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Moderate (source: Executive Summary of 2024 Environmental Management Performance Information DLH/ Environmental Agency of Batam City)</w:t>
            </w:r>
          </w:p>
        </w:tc>
        <w:tc>
          <w:tcPr>
            <w:tcW w:w="7924" w:type="dxa"/>
          </w:tcPr>
          <w:p w14:paraId="0D5FD732" w14:textId="77777777" w:rsidR="0077216E" w:rsidRPr="001C098B" w:rsidRDefault="0077216E" w:rsidP="0077216E">
            <w:pPr>
              <w:pStyle w:val="ListParagraph"/>
              <w:numPr>
                <w:ilvl w:val="0"/>
                <w:numId w:val="6"/>
              </w:numPr>
              <w:spacing w:after="0" w:line="240" w:lineRule="auto"/>
              <w:ind w:left="447"/>
              <w:rPr>
                <w:rFonts w:ascii="Times New Roman" w:hAnsi="Times New Roman" w:cs="Times New Roman"/>
                <w:sz w:val="24"/>
                <w:szCs w:val="24"/>
              </w:rPr>
            </w:pPr>
            <w:r w:rsidRPr="001C098B">
              <w:rPr>
                <w:rFonts w:ascii="Times New Roman" w:hAnsi="Times New Roman" w:cs="Times New Roman"/>
                <w:sz w:val="24"/>
                <w:szCs w:val="24"/>
              </w:rPr>
              <w:t>Environmental Planning Program</w:t>
            </w:r>
          </w:p>
          <w:p w14:paraId="30CF4AEB" w14:textId="77777777" w:rsidR="0077216E" w:rsidRPr="001C098B" w:rsidRDefault="0077216E" w:rsidP="0077216E">
            <w:pPr>
              <w:pStyle w:val="ListParagraph"/>
              <w:numPr>
                <w:ilvl w:val="0"/>
                <w:numId w:val="6"/>
              </w:numPr>
              <w:spacing w:after="0" w:line="240" w:lineRule="auto"/>
              <w:ind w:left="447"/>
              <w:rPr>
                <w:rFonts w:ascii="Times New Roman" w:hAnsi="Times New Roman" w:cs="Times New Roman"/>
                <w:sz w:val="24"/>
                <w:szCs w:val="24"/>
              </w:rPr>
            </w:pPr>
            <w:r w:rsidRPr="001C098B">
              <w:rPr>
                <w:rFonts w:ascii="Times New Roman" w:hAnsi="Times New Roman" w:cs="Times New Roman"/>
                <w:sz w:val="24"/>
                <w:szCs w:val="24"/>
              </w:rPr>
              <w:t>Environmental Pollution and/or Damage Control Program</w:t>
            </w:r>
          </w:p>
          <w:p w14:paraId="1B79E43A" w14:textId="77777777" w:rsidR="0077216E" w:rsidRPr="001C098B" w:rsidRDefault="0077216E" w:rsidP="0077216E">
            <w:pPr>
              <w:pStyle w:val="ListParagraph"/>
              <w:numPr>
                <w:ilvl w:val="0"/>
                <w:numId w:val="6"/>
              </w:numPr>
              <w:spacing w:after="0" w:line="240" w:lineRule="auto"/>
              <w:ind w:left="447"/>
              <w:rPr>
                <w:rFonts w:ascii="Times New Roman" w:hAnsi="Times New Roman" w:cs="Times New Roman"/>
                <w:sz w:val="24"/>
                <w:szCs w:val="24"/>
              </w:rPr>
            </w:pPr>
            <w:r w:rsidRPr="001C098B">
              <w:rPr>
                <w:rFonts w:ascii="Times New Roman" w:hAnsi="Times New Roman" w:cs="Times New Roman"/>
                <w:sz w:val="24"/>
                <w:szCs w:val="24"/>
              </w:rPr>
              <w:t>Environmental Education, Training, and Community Outreach Program</w:t>
            </w:r>
          </w:p>
          <w:p w14:paraId="2E354A28" w14:textId="77777777" w:rsidR="0077216E" w:rsidRPr="001C098B" w:rsidRDefault="0077216E" w:rsidP="0077216E">
            <w:pPr>
              <w:pStyle w:val="ListParagraph"/>
              <w:numPr>
                <w:ilvl w:val="0"/>
                <w:numId w:val="6"/>
              </w:numPr>
              <w:spacing w:after="0" w:line="240" w:lineRule="auto"/>
              <w:ind w:left="447"/>
              <w:rPr>
                <w:rFonts w:ascii="Times New Roman" w:hAnsi="Times New Roman" w:cs="Times New Roman"/>
                <w:sz w:val="24"/>
                <w:szCs w:val="24"/>
              </w:rPr>
            </w:pPr>
            <w:r w:rsidRPr="001C098B">
              <w:rPr>
                <w:rFonts w:ascii="Times New Roman" w:hAnsi="Times New Roman" w:cs="Times New Roman"/>
                <w:sz w:val="24"/>
                <w:szCs w:val="24"/>
              </w:rPr>
              <w:t>Domestic Waste Management Facility</w:t>
            </w:r>
          </w:p>
          <w:p w14:paraId="4D6AA624" w14:textId="77777777" w:rsidR="0077216E" w:rsidRPr="001C098B" w:rsidRDefault="0077216E" w:rsidP="0077216E">
            <w:pPr>
              <w:pStyle w:val="ListParagraph"/>
              <w:numPr>
                <w:ilvl w:val="0"/>
                <w:numId w:val="6"/>
              </w:numPr>
              <w:spacing w:after="0" w:line="240" w:lineRule="auto"/>
              <w:ind w:left="447"/>
              <w:rPr>
                <w:rFonts w:ascii="Times New Roman" w:hAnsi="Times New Roman" w:cs="Times New Roman"/>
                <w:sz w:val="24"/>
                <w:szCs w:val="24"/>
              </w:rPr>
            </w:pPr>
            <w:r w:rsidRPr="001C098B">
              <w:rPr>
                <w:rFonts w:ascii="Times New Roman" w:hAnsi="Times New Roman" w:cs="Times New Roman"/>
                <w:sz w:val="24"/>
                <w:szCs w:val="24"/>
              </w:rPr>
              <w:t>Muka Kuning WTP Construction</w:t>
            </w:r>
          </w:p>
          <w:p w14:paraId="0F74831B" w14:textId="77777777" w:rsidR="0077216E" w:rsidRPr="001C098B" w:rsidRDefault="0077216E" w:rsidP="0077216E">
            <w:pPr>
              <w:pStyle w:val="ListParagraph"/>
              <w:numPr>
                <w:ilvl w:val="0"/>
                <w:numId w:val="6"/>
              </w:numPr>
              <w:spacing w:after="0" w:line="240" w:lineRule="auto"/>
              <w:ind w:left="447"/>
              <w:rPr>
                <w:rFonts w:ascii="Times New Roman" w:hAnsi="Times New Roman" w:cs="Times New Roman"/>
                <w:sz w:val="24"/>
                <w:szCs w:val="24"/>
              </w:rPr>
            </w:pPr>
            <w:r w:rsidRPr="001C098B">
              <w:rPr>
                <w:rFonts w:ascii="Times New Roman" w:hAnsi="Times New Roman" w:cs="Times New Roman"/>
                <w:sz w:val="24"/>
                <w:szCs w:val="24"/>
              </w:rPr>
              <w:t>Development of Sewage System in Batam</w:t>
            </w:r>
          </w:p>
          <w:p w14:paraId="03D655FD" w14:textId="77777777" w:rsidR="0077216E" w:rsidRPr="001C098B" w:rsidRDefault="0077216E" w:rsidP="0077216E">
            <w:pPr>
              <w:pStyle w:val="ListParagraph"/>
              <w:numPr>
                <w:ilvl w:val="0"/>
                <w:numId w:val="6"/>
              </w:numPr>
              <w:spacing w:after="0" w:line="240" w:lineRule="auto"/>
              <w:ind w:left="447"/>
              <w:rPr>
                <w:rFonts w:ascii="Times New Roman" w:hAnsi="Times New Roman" w:cs="Times New Roman"/>
                <w:sz w:val="24"/>
                <w:szCs w:val="24"/>
              </w:rPr>
            </w:pPr>
            <w:r w:rsidRPr="001C098B">
              <w:rPr>
                <w:rFonts w:ascii="Times New Roman" w:hAnsi="Times New Roman" w:cs="Times New Roman"/>
                <w:sz w:val="24"/>
                <w:szCs w:val="24"/>
              </w:rPr>
              <w:t>Wastewater Management and Development</w:t>
            </w:r>
          </w:p>
          <w:p w14:paraId="50AD80B5" w14:textId="77777777" w:rsidR="0077216E" w:rsidRPr="001C098B" w:rsidRDefault="0077216E" w:rsidP="0077216E">
            <w:pPr>
              <w:pStyle w:val="ListParagraph"/>
              <w:numPr>
                <w:ilvl w:val="0"/>
                <w:numId w:val="6"/>
              </w:numPr>
              <w:spacing w:after="0" w:line="240" w:lineRule="auto"/>
              <w:ind w:left="447"/>
              <w:rPr>
                <w:rFonts w:ascii="Times New Roman" w:hAnsi="Times New Roman" w:cs="Times New Roman"/>
                <w:sz w:val="24"/>
                <w:szCs w:val="24"/>
              </w:rPr>
            </w:pPr>
            <w:r w:rsidRPr="001C098B">
              <w:rPr>
                <w:rFonts w:ascii="Times New Roman" w:hAnsi="Times New Roman" w:cs="Times New Roman"/>
                <w:sz w:val="24"/>
                <w:szCs w:val="24"/>
              </w:rPr>
              <w:t>Waste Management Program</w:t>
            </w:r>
          </w:p>
          <w:p w14:paraId="2B2F89A1"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(source: Executive Summary of 2024 Environmental Management Performance Information DLH/ Environmental Agency of Batam City)</w:t>
            </w:r>
          </w:p>
        </w:tc>
      </w:tr>
      <w:tr w:rsidR="0077216E" w:rsidRPr="001C098B" w14:paraId="200A4BAD" w14:textId="77777777" w:rsidTr="00745BDB">
        <w:trPr>
          <w:jc w:val="center"/>
        </w:trPr>
        <w:tc>
          <w:tcPr>
            <w:tcW w:w="510" w:type="dxa"/>
            <w:vMerge/>
          </w:tcPr>
          <w:p w14:paraId="2A24C1D2" w14:textId="77777777" w:rsidR="0077216E" w:rsidRPr="001C098B" w:rsidRDefault="0077216E" w:rsidP="00745BDB">
            <w:pPr>
              <w:spacing w:after="0" w:line="240" w:lineRule="auto"/>
              <w:jc w:val="center"/>
              <w:rPr>
                <w:rFonts w:ascii="Times New Roman" w:hAnsi="Times New Roman" w:cs="Times New Roman"/>
                <w:sz w:val="24"/>
                <w:szCs w:val="24"/>
              </w:rPr>
            </w:pPr>
          </w:p>
        </w:tc>
        <w:tc>
          <w:tcPr>
            <w:tcW w:w="1835" w:type="dxa"/>
          </w:tcPr>
          <w:p w14:paraId="5F2C66F6"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Marine Debris</w:t>
            </w:r>
          </w:p>
        </w:tc>
        <w:tc>
          <w:tcPr>
            <w:tcW w:w="1352" w:type="dxa"/>
          </w:tcPr>
          <w:p w14:paraId="4576C4C2"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Nationwide</w:t>
            </w:r>
          </w:p>
        </w:tc>
        <w:tc>
          <w:tcPr>
            <w:tcW w:w="2549" w:type="dxa"/>
          </w:tcPr>
          <w:p w14:paraId="786714B3"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w:t>
            </w:r>
          </w:p>
        </w:tc>
        <w:tc>
          <w:tcPr>
            <w:tcW w:w="7924" w:type="dxa"/>
          </w:tcPr>
          <w:p w14:paraId="25920925" w14:textId="77777777" w:rsidR="0077216E" w:rsidRPr="001C098B" w:rsidRDefault="0077216E" w:rsidP="0077216E">
            <w:pPr>
              <w:pStyle w:val="ListParagraph"/>
              <w:numPr>
                <w:ilvl w:val="0"/>
                <w:numId w:val="9"/>
              </w:numPr>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Marine debris and microplastic monitoring (24 provinces): 1. Aceh 2. Sumatera Utara 3. Kepulauan Riau 4. Sumatera Barat 5. Sumatera Selatan 6. Bangka Belitung 7. Lampung 8. Banten 9. Jawa Barat 10. DKI Jakarta 11. Jawa Tengah 12. Jawa Timur 13. D.I. Yogyakarta 14. Bali 15. Nusa Tenggara Barat 16. Nusa Tenggara Timur 17. Kalimantan Barat 18. Kalimantan Timur 19. Sulawesi Utara 20. Gorontalo 21. Sulawesi Selatan 22. Sulawesi Tengah 23. Maluku 24. Papua Barat</w:t>
            </w:r>
          </w:p>
          <w:p w14:paraId="6E759C7E" w14:textId="77777777" w:rsidR="0077216E" w:rsidRPr="001C098B" w:rsidRDefault="0077216E" w:rsidP="0077216E">
            <w:pPr>
              <w:pStyle w:val="ListParagraph"/>
              <w:numPr>
                <w:ilvl w:val="0"/>
                <w:numId w:val="9"/>
              </w:numPr>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Technical approval for wastewater discharge into the sea (50 proposals)</w:t>
            </w:r>
          </w:p>
          <w:p w14:paraId="310175A0" w14:textId="77777777" w:rsidR="0077216E" w:rsidRPr="001C098B" w:rsidRDefault="0077216E" w:rsidP="00745BDB">
            <w:pPr>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(source: 2024 Action Plan and 2024 Performance Report Directorate of Coastal and Marine Pollution and Damage Control, KLHK/ The Ministry of Environment)</w:t>
            </w:r>
          </w:p>
        </w:tc>
      </w:tr>
      <w:tr w:rsidR="0077216E" w:rsidRPr="001C098B" w14:paraId="197AD06E" w14:textId="77777777" w:rsidTr="00745BDB">
        <w:trPr>
          <w:jc w:val="center"/>
        </w:trPr>
        <w:tc>
          <w:tcPr>
            <w:tcW w:w="510" w:type="dxa"/>
            <w:vMerge w:val="restart"/>
          </w:tcPr>
          <w:p w14:paraId="4605E970" w14:textId="77777777" w:rsidR="0077216E" w:rsidRPr="001C098B" w:rsidRDefault="0077216E" w:rsidP="00745BDB">
            <w:pPr>
              <w:spacing w:after="0" w:line="240" w:lineRule="auto"/>
              <w:jc w:val="center"/>
              <w:rPr>
                <w:rFonts w:ascii="Times New Roman" w:hAnsi="Times New Roman" w:cs="Times New Roman"/>
                <w:sz w:val="24"/>
                <w:szCs w:val="24"/>
              </w:rPr>
            </w:pPr>
            <w:r w:rsidRPr="001C098B">
              <w:rPr>
                <w:rFonts w:ascii="Times New Roman" w:hAnsi="Times New Roman" w:cs="Times New Roman"/>
                <w:sz w:val="24"/>
                <w:szCs w:val="24"/>
              </w:rPr>
              <w:t>3</w:t>
            </w:r>
          </w:p>
        </w:tc>
        <w:tc>
          <w:tcPr>
            <w:tcW w:w="1835" w:type="dxa"/>
          </w:tcPr>
          <w:p w14:paraId="6BD9535D"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Hazardous Pollution</w:t>
            </w:r>
          </w:p>
        </w:tc>
        <w:tc>
          <w:tcPr>
            <w:tcW w:w="1352" w:type="dxa"/>
          </w:tcPr>
          <w:p w14:paraId="0B600349"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Riau Islands Province</w:t>
            </w:r>
          </w:p>
        </w:tc>
        <w:tc>
          <w:tcPr>
            <w:tcW w:w="2549" w:type="dxa"/>
          </w:tcPr>
          <w:p w14:paraId="7D6ABB97"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Moderate (2020) and Good (2021) (source: 2020-2021 Performance Report DLHK/ Environmental and Forestry Agency of Riau Islands Province)</w:t>
            </w:r>
          </w:p>
          <w:p w14:paraId="02AB9947"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Good (source: Q1 2025 Performance Report DLHK/ Environmental and Forestry Agency of Riau Islands Province)</w:t>
            </w:r>
          </w:p>
        </w:tc>
        <w:tc>
          <w:tcPr>
            <w:tcW w:w="7924" w:type="dxa"/>
          </w:tcPr>
          <w:p w14:paraId="0C23F15E" w14:textId="77777777" w:rsidR="0077216E" w:rsidRPr="001C098B" w:rsidRDefault="0077216E" w:rsidP="0077216E">
            <w:pPr>
              <w:pStyle w:val="ListParagraph"/>
              <w:numPr>
                <w:ilvl w:val="0"/>
                <w:numId w:val="4"/>
              </w:numPr>
              <w:spacing w:after="0" w:line="240" w:lineRule="auto"/>
              <w:ind w:left="306" w:hanging="306"/>
              <w:contextualSpacing w:val="0"/>
              <w:rPr>
                <w:rFonts w:ascii="Times New Roman" w:hAnsi="Times New Roman" w:cs="Times New Roman"/>
                <w:sz w:val="24"/>
                <w:szCs w:val="24"/>
              </w:rPr>
            </w:pPr>
            <w:r w:rsidRPr="001C098B">
              <w:rPr>
                <w:rFonts w:ascii="Times New Roman" w:hAnsi="Times New Roman" w:cs="Times New Roman"/>
                <w:sz w:val="24"/>
                <w:szCs w:val="24"/>
              </w:rPr>
              <w:t>Environmental Pollution and/or Damage Control Program: Coordination, Synchronization, and Implementation of Greenhouse Gas Emission Control, Climate Change Mitigation and Adaptation</w:t>
            </w:r>
          </w:p>
          <w:p w14:paraId="59EF5BF2" w14:textId="77777777" w:rsidR="0077216E" w:rsidRPr="001C098B" w:rsidRDefault="0077216E" w:rsidP="0077216E">
            <w:pPr>
              <w:pStyle w:val="ListParagraph"/>
              <w:numPr>
                <w:ilvl w:val="0"/>
                <w:numId w:val="4"/>
              </w:numPr>
              <w:spacing w:after="0" w:line="240" w:lineRule="auto"/>
              <w:ind w:left="306" w:hanging="306"/>
              <w:contextualSpacing w:val="0"/>
              <w:rPr>
                <w:rFonts w:ascii="Times New Roman" w:hAnsi="Times New Roman" w:cs="Times New Roman"/>
                <w:sz w:val="24"/>
                <w:szCs w:val="24"/>
              </w:rPr>
            </w:pPr>
            <w:r w:rsidRPr="001C098B">
              <w:rPr>
                <w:rFonts w:ascii="Times New Roman" w:hAnsi="Times New Roman" w:cs="Times New Roman"/>
                <w:sz w:val="24"/>
                <w:szCs w:val="24"/>
              </w:rPr>
              <w:t>Environmental Complaint Handling Program</w:t>
            </w:r>
          </w:p>
          <w:p w14:paraId="4EA7379C" w14:textId="77777777" w:rsidR="0077216E" w:rsidRPr="001C098B" w:rsidRDefault="0077216E" w:rsidP="0077216E">
            <w:pPr>
              <w:pStyle w:val="ListParagraph"/>
              <w:numPr>
                <w:ilvl w:val="0"/>
                <w:numId w:val="4"/>
              </w:numPr>
              <w:spacing w:after="0" w:line="240" w:lineRule="auto"/>
              <w:ind w:left="306" w:hanging="306"/>
              <w:contextualSpacing w:val="0"/>
              <w:rPr>
                <w:rFonts w:ascii="Times New Roman" w:hAnsi="Times New Roman" w:cs="Times New Roman"/>
                <w:sz w:val="24"/>
                <w:szCs w:val="24"/>
              </w:rPr>
            </w:pPr>
            <w:r w:rsidRPr="001C098B">
              <w:rPr>
                <w:rFonts w:ascii="Times New Roman" w:hAnsi="Times New Roman" w:cs="Times New Roman"/>
                <w:sz w:val="24"/>
                <w:szCs w:val="24"/>
              </w:rPr>
              <w:t>Hazardous and Toxic Materials (B3) and Hazardous Waste (B3 Waste) Control Program</w:t>
            </w:r>
          </w:p>
          <w:p w14:paraId="000D2B06" w14:textId="77777777" w:rsidR="0077216E" w:rsidRPr="001C098B" w:rsidRDefault="0077216E" w:rsidP="0077216E">
            <w:pPr>
              <w:pStyle w:val="ListParagraph"/>
              <w:numPr>
                <w:ilvl w:val="0"/>
                <w:numId w:val="4"/>
              </w:numPr>
              <w:tabs>
                <w:tab w:val="left" w:pos="291"/>
              </w:tabs>
              <w:spacing w:after="0" w:line="240" w:lineRule="auto"/>
              <w:ind w:left="306" w:hanging="284"/>
              <w:rPr>
                <w:rFonts w:ascii="Times New Roman" w:hAnsi="Times New Roman" w:cs="Times New Roman"/>
                <w:sz w:val="24"/>
                <w:szCs w:val="24"/>
              </w:rPr>
            </w:pPr>
            <w:r w:rsidRPr="001C098B">
              <w:rPr>
                <w:rFonts w:ascii="Times New Roman" w:hAnsi="Times New Roman" w:cs="Times New Roman"/>
                <w:sz w:val="24"/>
                <w:szCs w:val="24"/>
              </w:rPr>
              <w:t>Hazardous and Toxic Materials (B3) and Hazardous Waste (B3 Waste) Control Program</w:t>
            </w:r>
          </w:p>
          <w:p w14:paraId="1438465F" w14:textId="77777777" w:rsidR="0077216E" w:rsidRPr="001C098B" w:rsidRDefault="0077216E" w:rsidP="00745BDB">
            <w:pPr>
              <w:spacing w:after="0" w:line="240" w:lineRule="auto"/>
              <w:rPr>
                <w:rFonts w:ascii="Times New Roman" w:hAnsi="Times New Roman" w:cs="Times New Roman"/>
                <w:sz w:val="24"/>
                <w:szCs w:val="24"/>
              </w:rPr>
            </w:pPr>
          </w:p>
          <w:p w14:paraId="4DF05F0A"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(source: 2024 Work Agreement, 2024 Government Agency Performance Report, 2025 Annual Work Plan, 2021-2026 Strategic Plan DLHK/ Environmental and Forestry Agency of Riau Islands Province)</w:t>
            </w:r>
          </w:p>
        </w:tc>
      </w:tr>
      <w:tr w:rsidR="0077216E" w:rsidRPr="001C098B" w14:paraId="0FB17C9D" w14:textId="77777777" w:rsidTr="00745BDB">
        <w:trPr>
          <w:jc w:val="center"/>
        </w:trPr>
        <w:tc>
          <w:tcPr>
            <w:tcW w:w="510" w:type="dxa"/>
            <w:vMerge/>
          </w:tcPr>
          <w:p w14:paraId="179ACC67" w14:textId="77777777" w:rsidR="0077216E" w:rsidRPr="001C098B" w:rsidRDefault="0077216E" w:rsidP="00745BDB">
            <w:pPr>
              <w:spacing w:after="0" w:line="240" w:lineRule="auto"/>
              <w:jc w:val="center"/>
              <w:rPr>
                <w:rFonts w:ascii="Times New Roman" w:hAnsi="Times New Roman" w:cs="Times New Roman"/>
                <w:sz w:val="24"/>
                <w:szCs w:val="24"/>
              </w:rPr>
            </w:pPr>
          </w:p>
        </w:tc>
        <w:tc>
          <w:tcPr>
            <w:tcW w:w="1835" w:type="dxa"/>
          </w:tcPr>
          <w:p w14:paraId="28A046FD"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Hazardous Pollution</w:t>
            </w:r>
          </w:p>
        </w:tc>
        <w:tc>
          <w:tcPr>
            <w:tcW w:w="1352" w:type="dxa"/>
          </w:tcPr>
          <w:p w14:paraId="27D01AE6"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Batam City</w:t>
            </w:r>
          </w:p>
        </w:tc>
        <w:tc>
          <w:tcPr>
            <w:tcW w:w="2549" w:type="dxa"/>
          </w:tcPr>
          <w:p w14:paraId="75A4ABDD"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Moderate (source: Executive Summary of 2024 Environmental Management Performance Information DLH/ Environmental Agency of Batam City)</w:t>
            </w:r>
          </w:p>
        </w:tc>
        <w:tc>
          <w:tcPr>
            <w:tcW w:w="7924" w:type="dxa"/>
          </w:tcPr>
          <w:p w14:paraId="496233F9" w14:textId="77777777" w:rsidR="0077216E" w:rsidRPr="001C098B" w:rsidRDefault="0077216E" w:rsidP="0077216E">
            <w:pPr>
              <w:pStyle w:val="ListParagraph"/>
              <w:numPr>
                <w:ilvl w:val="0"/>
                <w:numId w:val="7"/>
              </w:numPr>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Environmental Planning Program</w:t>
            </w:r>
          </w:p>
          <w:p w14:paraId="5770A681" w14:textId="77777777" w:rsidR="0077216E" w:rsidRPr="001C098B" w:rsidRDefault="0077216E" w:rsidP="0077216E">
            <w:pPr>
              <w:pStyle w:val="ListParagraph"/>
              <w:numPr>
                <w:ilvl w:val="0"/>
                <w:numId w:val="7"/>
              </w:numPr>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Environmental Pollution and/or Damage Control Program</w:t>
            </w:r>
          </w:p>
          <w:p w14:paraId="17B094E8" w14:textId="77777777" w:rsidR="0077216E" w:rsidRPr="001C098B" w:rsidRDefault="0077216E" w:rsidP="0077216E">
            <w:pPr>
              <w:pStyle w:val="ListParagraph"/>
              <w:numPr>
                <w:ilvl w:val="0"/>
                <w:numId w:val="7"/>
              </w:numPr>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Environmental Education, Training, and Community Outreach Program</w:t>
            </w:r>
          </w:p>
          <w:p w14:paraId="6C4D4D4A" w14:textId="77777777" w:rsidR="0077216E" w:rsidRPr="001C098B" w:rsidRDefault="0077216E" w:rsidP="0077216E">
            <w:pPr>
              <w:pStyle w:val="ListParagraph"/>
              <w:numPr>
                <w:ilvl w:val="0"/>
                <w:numId w:val="7"/>
              </w:numPr>
              <w:spacing w:after="0" w:line="240" w:lineRule="auto"/>
              <w:ind w:left="306"/>
              <w:rPr>
                <w:rFonts w:ascii="Times New Roman" w:hAnsi="Times New Roman" w:cs="Times New Roman"/>
                <w:sz w:val="24"/>
                <w:szCs w:val="24"/>
              </w:rPr>
            </w:pPr>
            <w:r w:rsidRPr="001C098B">
              <w:rPr>
                <w:rFonts w:ascii="Times New Roman" w:hAnsi="Times New Roman" w:cs="Times New Roman"/>
                <w:sz w:val="24"/>
                <w:szCs w:val="24"/>
              </w:rPr>
              <w:t>Hazardous Waste Management Facility</w:t>
            </w:r>
          </w:p>
          <w:p w14:paraId="6C9AF4E2"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(source: Executive Summary of 2024 Environmental Management Performance Information DLH/ Environmental Agency of Batam City)</w:t>
            </w:r>
          </w:p>
        </w:tc>
      </w:tr>
      <w:tr w:rsidR="0077216E" w:rsidRPr="001C098B" w14:paraId="621F766D" w14:textId="77777777" w:rsidTr="00745BDB">
        <w:trPr>
          <w:jc w:val="center"/>
        </w:trPr>
        <w:tc>
          <w:tcPr>
            <w:tcW w:w="510" w:type="dxa"/>
            <w:vMerge w:val="restart"/>
          </w:tcPr>
          <w:p w14:paraId="270645EA" w14:textId="77777777" w:rsidR="0077216E" w:rsidRPr="001C098B" w:rsidRDefault="0077216E" w:rsidP="00745BDB">
            <w:pPr>
              <w:spacing w:after="0" w:line="240" w:lineRule="auto"/>
              <w:jc w:val="center"/>
              <w:rPr>
                <w:rFonts w:ascii="Times New Roman" w:hAnsi="Times New Roman" w:cs="Times New Roman"/>
                <w:sz w:val="24"/>
                <w:szCs w:val="24"/>
              </w:rPr>
            </w:pPr>
            <w:r w:rsidRPr="001C098B">
              <w:rPr>
                <w:rFonts w:ascii="Times New Roman" w:hAnsi="Times New Roman" w:cs="Times New Roman"/>
                <w:sz w:val="24"/>
                <w:szCs w:val="24"/>
              </w:rPr>
              <w:t>4</w:t>
            </w:r>
          </w:p>
        </w:tc>
        <w:tc>
          <w:tcPr>
            <w:tcW w:w="1835" w:type="dxa"/>
          </w:tcPr>
          <w:p w14:paraId="36B4E24C"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Habitat Degradation</w:t>
            </w:r>
          </w:p>
        </w:tc>
        <w:tc>
          <w:tcPr>
            <w:tcW w:w="1352" w:type="dxa"/>
          </w:tcPr>
          <w:p w14:paraId="545A519A"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Batam City</w:t>
            </w:r>
          </w:p>
        </w:tc>
        <w:tc>
          <w:tcPr>
            <w:tcW w:w="2549" w:type="dxa"/>
          </w:tcPr>
          <w:p w14:paraId="27F9728A"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Moderate: Illegal Sand Mining (source: Executive Summary of 2024 Environmental Management Performance Information DLH/ Environmental Agency of Batam City)</w:t>
            </w:r>
          </w:p>
        </w:tc>
        <w:tc>
          <w:tcPr>
            <w:tcW w:w="7924" w:type="dxa"/>
          </w:tcPr>
          <w:p w14:paraId="27ABD9B2" w14:textId="77777777" w:rsidR="0077216E" w:rsidRPr="001C098B" w:rsidRDefault="0077216E" w:rsidP="0077216E">
            <w:pPr>
              <w:pStyle w:val="ListParagraph"/>
              <w:numPr>
                <w:ilvl w:val="0"/>
                <w:numId w:val="8"/>
              </w:numPr>
              <w:spacing w:after="0" w:line="240" w:lineRule="auto"/>
              <w:ind w:left="306" w:hanging="306"/>
              <w:rPr>
                <w:rFonts w:ascii="Times New Roman" w:hAnsi="Times New Roman" w:cs="Times New Roman"/>
                <w:sz w:val="24"/>
                <w:szCs w:val="24"/>
              </w:rPr>
            </w:pPr>
            <w:r w:rsidRPr="001C098B">
              <w:rPr>
                <w:rFonts w:ascii="Times New Roman" w:hAnsi="Times New Roman" w:cs="Times New Roman"/>
                <w:sz w:val="24"/>
                <w:szCs w:val="24"/>
              </w:rPr>
              <w:t>Environmental Planning Program</w:t>
            </w:r>
          </w:p>
          <w:p w14:paraId="06CB5909" w14:textId="77777777" w:rsidR="0077216E" w:rsidRPr="001C098B" w:rsidRDefault="0077216E" w:rsidP="0077216E">
            <w:pPr>
              <w:pStyle w:val="ListParagraph"/>
              <w:numPr>
                <w:ilvl w:val="0"/>
                <w:numId w:val="8"/>
              </w:numPr>
              <w:spacing w:after="0" w:line="240" w:lineRule="auto"/>
              <w:ind w:left="306" w:hanging="306"/>
              <w:rPr>
                <w:rFonts w:ascii="Times New Roman" w:hAnsi="Times New Roman" w:cs="Times New Roman"/>
                <w:sz w:val="24"/>
                <w:szCs w:val="24"/>
              </w:rPr>
            </w:pPr>
            <w:r w:rsidRPr="001C098B">
              <w:rPr>
                <w:rFonts w:ascii="Times New Roman" w:hAnsi="Times New Roman" w:cs="Times New Roman"/>
                <w:sz w:val="24"/>
                <w:szCs w:val="24"/>
              </w:rPr>
              <w:t>Environmental Pollution and/or Damage Control Program</w:t>
            </w:r>
          </w:p>
          <w:p w14:paraId="422359CE" w14:textId="77777777" w:rsidR="0077216E" w:rsidRPr="001C098B" w:rsidRDefault="0077216E" w:rsidP="0077216E">
            <w:pPr>
              <w:pStyle w:val="ListParagraph"/>
              <w:numPr>
                <w:ilvl w:val="0"/>
                <w:numId w:val="8"/>
              </w:numPr>
              <w:spacing w:after="0" w:line="240" w:lineRule="auto"/>
              <w:ind w:left="306" w:hanging="306"/>
              <w:rPr>
                <w:rFonts w:ascii="Times New Roman" w:hAnsi="Times New Roman" w:cs="Times New Roman"/>
                <w:sz w:val="24"/>
                <w:szCs w:val="24"/>
              </w:rPr>
            </w:pPr>
            <w:r w:rsidRPr="001C098B">
              <w:rPr>
                <w:rFonts w:ascii="Times New Roman" w:hAnsi="Times New Roman" w:cs="Times New Roman"/>
                <w:sz w:val="24"/>
                <w:szCs w:val="24"/>
              </w:rPr>
              <w:t>Environmental Education, Training, and Community Outreach Program</w:t>
            </w:r>
          </w:p>
          <w:p w14:paraId="6138FBC4"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(source: Executive Summary of 2024 Environmental Management Performance Information DLH/ Environmental Agency of Batam City)</w:t>
            </w:r>
          </w:p>
        </w:tc>
      </w:tr>
      <w:tr w:rsidR="0077216E" w:rsidRPr="001C098B" w14:paraId="7ED2D2E1" w14:textId="77777777" w:rsidTr="00745BDB">
        <w:trPr>
          <w:jc w:val="center"/>
        </w:trPr>
        <w:tc>
          <w:tcPr>
            <w:tcW w:w="510" w:type="dxa"/>
            <w:vMerge/>
          </w:tcPr>
          <w:p w14:paraId="6C0F26D6" w14:textId="77777777" w:rsidR="0077216E" w:rsidRPr="001C098B" w:rsidRDefault="0077216E" w:rsidP="00745BDB">
            <w:pPr>
              <w:spacing w:after="0" w:line="240" w:lineRule="auto"/>
              <w:jc w:val="center"/>
              <w:rPr>
                <w:rFonts w:ascii="Times New Roman" w:hAnsi="Times New Roman" w:cs="Times New Roman"/>
                <w:sz w:val="24"/>
                <w:szCs w:val="24"/>
              </w:rPr>
            </w:pPr>
          </w:p>
        </w:tc>
        <w:tc>
          <w:tcPr>
            <w:tcW w:w="1835" w:type="dxa"/>
          </w:tcPr>
          <w:p w14:paraId="1C51C785"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Habitat Degradation</w:t>
            </w:r>
          </w:p>
        </w:tc>
        <w:tc>
          <w:tcPr>
            <w:tcW w:w="1352" w:type="dxa"/>
          </w:tcPr>
          <w:p w14:paraId="086002D3"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Nationwide</w:t>
            </w:r>
          </w:p>
        </w:tc>
        <w:tc>
          <w:tcPr>
            <w:tcW w:w="2549" w:type="dxa"/>
          </w:tcPr>
          <w:p w14:paraId="66591365"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w:t>
            </w:r>
          </w:p>
        </w:tc>
        <w:tc>
          <w:tcPr>
            <w:tcW w:w="7924" w:type="dxa"/>
          </w:tcPr>
          <w:p w14:paraId="0249F31F" w14:textId="77777777" w:rsidR="0077216E" w:rsidRPr="001C098B" w:rsidRDefault="0077216E" w:rsidP="0077216E">
            <w:pPr>
              <w:pStyle w:val="ListParagraph"/>
              <w:numPr>
                <w:ilvl w:val="0"/>
                <w:numId w:val="10"/>
              </w:numPr>
              <w:spacing w:after="0" w:line="240" w:lineRule="auto"/>
              <w:ind w:left="306" w:hanging="284"/>
              <w:rPr>
                <w:rFonts w:ascii="Times New Roman" w:hAnsi="Times New Roman" w:cs="Times New Roman"/>
                <w:sz w:val="24"/>
                <w:szCs w:val="24"/>
              </w:rPr>
            </w:pPr>
            <w:r w:rsidRPr="001C098B">
              <w:rPr>
                <w:rFonts w:ascii="Times New Roman" w:hAnsi="Times New Roman" w:cs="Times New Roman"/>
                <w:sz w:val="24"/>
                <w:szCs w:val="24"/>
              </w:rPr>
              <w:t>Marine Water Quality Monitoring (37 provinces)</w:t>
            </w:r>
          </w:p>
          <w:p w14:paraId="6A008F2D" w14:textId="77777777" w:rsidR="0077216E" w:rsidRPr="001C098B" w:rsidRDefault="0077216E" w:rsidP="0077216E">
            <w:pPr>
              <w:pStyle w:val="ListParagraph"/>
              <w:numPr>
                <w:ilvl w:val="0"/>
                <w:numId w:val="10"/>
              </w:numPr>
              <w:spacing w:after="0" w:line="240" w:lineRule="auto"/>
              <w:ind w:left="306" w:hanging="284"/>
              <w:rPr>
                <w:rFonts w:ascii="Times New Roman" w:hAnsi="Times New Roman" w:cs="Times New Roman"/>
                <w:sz w:val="24"/>
                <w:szCs w:val="24"/>
              </w:rPr>
            </w:pPr>
            <w:r w:rsidRPr="001C098B">
              <w:rPr>
                <w:rFonts w:ascii="Times New Roman" w:hAnsi="Times New Roman" w:cs="Times New Roman"/>
                <w:sz w:val="24"/>
                <w:szCs w:val="24"/>
              </w:rPr>
              <w:t>Marine Water Quality Index Formulation (37 provinces)</w:t>
            </w:r>
          </w:p>
          <w:p w14:paraId="3281A3EB" w14:textId="77777777" w:rsidR="0077216E" w:rsidRDefault="0077216E" w:rsidP="0077216E">
            <w:pPr>
              <w:pStyle w:val="ListParagraph"/>
              <w:numPr>
                <w:ilvl w:val="0"/>
                <w:numId w:val="10"/>
              </w:numPr>
              <w:spacing w:after="0" w:line="240" w:lineRule="auto"/>
              <w:ind w:left="306" w:hanging="284"/>
              <w:rPr>
                <w:rFonts w:ascii="Times New Roman" w:hAnsi="Times New Roman" w:cs="Times New Roman"/>
                <w:sz w:val="24"/>
                <w:szCs w:val="24"/>
              </w:rPr>
            </w:pPr>
            <w:r w:rsidRPr="001C098B">
              <w:rPr>
                <w:rFonts w:ascii="Times New Roman" w:hAnsi="Times New Roman" w:cs="Times New Roman"/>
                <w:sz w:val="24"/>
                <w:szCs w:val="24"/>
              </w:rPr>
              <w:t>Port performance evaluation (36 ports): 1. PT Pelabuhan Indonesia (Persero) Cabang Lhokseumawe 2. PT Pelabuhan Indonesia (Persero) Cabang Malahayati 3. PT Pelabuhan Indonesia (Persero) Cabang Belawan 4. PT Pelabuhan Indonesia (Persero) Cabang Kuala Tanjung 5. PT Pelabuhan Indonesia (Persero) Cabang Tanjung Balai Karimun 6. Badan Pengelola Pelabuhan Batam- Operasional Pelabuhan Batu Ampar 7. PT Pelabuhan Indonesia (Persero) Cabang Teluk Bayur 8. PT Pelabuhan Indonesia (Persero) Cabang Dumai 9. PT Pelabuhan Indonesia (Persero) Cabang Palembang 10. PT Pelabuhan Indonesia (Persero) Cabang Bengkulu 11. PT Pelabuhan Indonesia (Persero) Cabang Panjang 12. PT Pelabuhan Indonesia (Persero) Cabang Tanjung Pandan 13. PT Pelabuhan Indonesia (Persero) Cabang Pangkal Balam 14. PT Pelabuhan Indonesia (Persero) Cabang Tanjung Priok 15. PT Pelabuhan Indonesia (Persero) Cabang Banten 16. PT Pelabuhan Patimban Internasional 17. PT Pelabuhan Indonesia (Persero) Cabang Cirebon 18. PT Pelabuhan Indonesia (Persero) Cabang Tanjung Emas 19. PT Pelabuhan Indonesia (Persero) Cabang Tanjung Intan 20. PT Pelabuhan Indonesia (Persero) Cabang Tanjung Perak 21. PT Pelabuhan Indonesia (Persero) Cabang Teluk Lamong 22. PT Pelabuhan Indonesia (Persero) Cabang Lembar 23. PT Pelabuhan Indonesia (Persero) Cabang Tenau Kupang 24. PT Pelabuhan Indonesia (Persero) Cabang Labuan Bajo 25. PT Pelabuhan Indonesia (Persero) Cabang Pontianak 26. PT Pelabuhan Indonesia (Persero) Cabang Banjarmasin 27. PT Pelabuhan Indonesia (Persero) Cabang Balikpapan 28. PT Kaltim Kariangau Terminal 29. PT Pelabuhan Indonesia (Persero) Cabang Bitung 30. PT Pelabuhan Indonesia (Persero) Cabang Manado 31. PT Pelabuhan Indonesia (Persero) Cabang Gorontalo 32. PT Pelabuhan Indonesia (Persero) Cabang Makassar 33. PT Pelabuhan Indonesia (Persero) Cabang Ambon 34. PT Pelabuhan Indonesia (Persero) Cabang Manokwari 35. PT Pelabuhan Indonesia (Persero) Cabang Sorong 36. PT Pelabuhan Indonesia (Persero) Cabang Jayapura</w:t>
            </w:r>
          </w:p>
          <w:p w14:paraId="327A2E70" w14:textId="77777777" w:rsidR="0077216E" w:rsidRPr="00347896" w:rsidRDefault="0077216E" w:rsidP="0077216E">
            <w:pPr>
              <w:pStyle w:val="ListParagraph"/>
              <w:numPr>
                <w:ilvl w:val="0"/>
                <w:numId w:val="10"/>
              </w:numPr>
              <w:spacing w:after="0" w:line="240" w:lineRule="auto"/>
              <w:ind w:left="306" w:hanging="284"/>
              <w:rPr>
                <w:rFonts w:ascii="Times New Roman" w:hAnsi="Times New Roman" w:cs="Times New Roman"/>
                <w:sz w:val="24"/>
                <w:szCs w:val="24"/>
              </w:rPr>
            </w:pPr>
            <w:r w:rsidRPr="00347896">
              <w:rPr>
                <w:rFonts w:ascii="Times New Roman" w:hAnsi="Times New Roman" w:cs="Times New Roman"/>
                <w:sz w:val="24"/>
                <w:szCs w:val="24"/>
              </w:rPr>
              <w:t>Seagrass/coral reef ecosystem restoration (11 locations): 1. Gorontalo 2. Maluku 3. Kalimantan Timur 4. DKI Jakarta 5. Sulawesi Selatan 6. Sulawesi Tenggara 7. Sulawesi Tengah 8. Bengkulu 9. Nusa Tenggara Timur 10. Bali 11. Jawa Timur</w:t>
            </w:r>
          </w:p>
          <w:p w14:paraId="14543DC8" w14:textId="77777777" w:rsidR="0077216E" w:rsidRPr="001C098B" w:rsidRDefault="0077216E" w:rsidP="00745BDB">
            <w:pPr>
              <w:spacing w:after="0" w:line="240" w:lineRule="auto"/>
              <w:rPr>
                <w:rFonts w:ascii="Times New Roman" w:hAnsi="Times New Roman" w:cs="Times New Roman"/>
                <w:sz w:val="24"/>
                <w:szCs w:val="24"/>
              </w:rPr>
            </w:pPr>
            <w:r w:rsidRPr="001C098B">
              <w:rPr>
                <w:rFonts w:ascii="Times New Roman" w:hAnsi="Times New Roman" w:cs="Times New Roman"/>
                <w:sz w:val="24"/>
                <w:szCs w:val="24"/>
              </w:rPr>
              <w:t>(source: 2024 Action Plan and 2024 Performance Report Directorate of Coastal and Marine Pollution and Damage Control, KLHK/ The Ministry of Environment)</w:t>
            </w:r>
          </w:p>
        </w:tc>
      </w:tr>
    </w:tbl>
    <w:p w14:paraId="78F10EE6" w14:textId="77777777" w:rsidR="0077216E" w:rsidRPr="001C098B" w:rsidRDefault="0077216E" w:rsidP="0077216E">
      <w:pPr>
        <w:rPr>
          <w:rFonts w:ascii="Times New Roman" w:hAnsi="Times New Roman" w:cs="Times New Roman"/>
          <w:sz w:val="24"/>
          <w:szCs w:val="24"/>
        </w:rPr>
      </w:pPr>
    </w:p>
    <w:p w14:paraId="30BDE2E0" w14:textId="77777777" w:rsidR="00952C25" w:rsidRDefault="00952C25"/>
    <w:sectPr w:rsidR="00952C25" w:rsidSect="0077216E">
      <w:pgSz w:w="16838" w:h="11906"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FC6EEA"/>
    <w:multiLevelType w:val="multilevel"/>
    <w:tmpl w:val="A5AE9618"/>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 w15:restartNumberingAfterBreak="0">
    <w:nsid w:val="1124359C"/>
    <w:multiLevelType w:val="multilevel"/>
    <w:tmpl w:val="C76640F2"/>
    <w:lvl w:ilvl="0">
      <w:start w:val="20"/>
      <w:numFmt w:val="bullet"/>
      <w:lvlText w:val="-"/>
      <w:lvlJc w:val="left"/>
      <w:pPr>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2EC16F5"/>
    <w:multiLevelType w:val="multilevel"/>
    <w:tmpl w:val="14D80D90"/>
    <w:lvl w:ilvl="0">
      <w:start w:val="1"/>
      <w:numFmt w:val="decimal"/>
      <w:lvlText w:val="%1."/>
      <w:lvlJc w:val="left"/>
      <w:pPr>
        <w:ind w:left="720" w:hanging="360"/>
      </w:pPr>
      <w:rPr>
        <w:rFonts w:hint="default"/>
      </w:rPr>
    </w:lvl>
    <w:lvl w:ilvl="1">
      <w:start w:val="3"/>
      <w:numFmt w:val="decimal"/>
      <w:isLgl/>
      <w:lvlText w:val="%1.%2"/>
      <w:lvlJc w:val="left"/>
      <w:pPr>
        <w:ind w:left="864" w:hanging="504"/>
      </w:pPr>
      <w:rPr>
        <w:rFonts w:hint="default"/>
        <w:b/>
      </w:rPr>
    </w:lvl>
    <w:lvl w:ilvl="2">
      <w:start w:val="2"/>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 w15:restartNumberingAfterBreak="0">
    <w:nsid w:val="183B35A7"/>
    <w:multiLevelType w:val="hybridMultilevel"/>
    <w:tmpl w:val="FCEC966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A4E4EDF"/>
    <w:multiLevelType w:val="multilevel"/>
    <w:tmpl w:val="8FB6DABC"/>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23C43ED8"/>
    <w:multiLevelType w:val="multilevel"/>
    <w:tmpl w:val="98D0CFB4"/>
    <w:lvl w:ilvl="0">
      <w:start w:val="20"/>
      <w:numFmt w:val="bullet"/>
      <w:lvlText w:val="-"/>
      <w:lvlJc w:val="left"/>
      <w:pPr>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50B40C1"/>
    <w:multiLevelType w:val="hybridMultilevel"/>
    <w:tmpl w:val="E48A0958"/>
    <w:lvl w:ilvl="0" w:tplc="2346BB74">
      <w:start w:val="20"/>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8FF7412"/>
    <w:multiLevelType w:val="hybridMultilevel"/>
    <w:tmpl w:val="538EC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2F4045C"/>
    <w:multiLevelType w:val="hybridMultilevel"/>
    <w:tmpl w:val="F2DA406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E0E4CD4"/>
    <w:multiLevelType w:val="multilevel"/>
    <w:tmpl w:val="66647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5842C56"/>
    <w:multiLevelType w:val="hybridMultilevel"/>
    <w:tmpl w:val="FCEC96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F4A1C3E"/>
    <w:multiLevelType w:val="hybridMultilevel"/>
    <w:tmpl w:val="5FCC838E"/>
    <w:lvl w:ilvl="0" w:tplc="AA7A9646">
      <w:start w:val="2"/>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BC00407"/>
    <w:multiLevelType w:val="hybridMultilevel"/>
    <w:tmpl w:val="FCEC966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6BCA752E"/>
    <w:multiLevelType w:val="hybridMultilevel"/>
    <w:tmpl w:val="8BEE8E10"/>
    <w:lvl w:ilvl="0" w:tplc="2346BB74">
      <w:start w:val="20"/>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525" w:hanging="360"/>
      </w:pPr>
      <w:rPr>
        <w:rFonts w:ascii="Courier New" w:hAnsi="Courier New" w:cs="Courier New" w:hint="default"/>
      </w:rPr>
    </w:lvl>
    <w:lvl w:ilvl="2" w:tplc="FFFFFFFF" w:tentative="1">
      <w:start w:val="1"/>
      <w:numFmt w:val="bullet"/>
      <w:lvlText w:val=""/>
      <w:lvlJc w:val="left"/>
      <w:pPr>
        <w:ind w:left="2245" w:hanging="360"/>
      </w:pPr>
      <w:rPr>
        <w:rFonts w:ascii="Wingdings" w:hAnsi="Wingdings" w:hint="default"/>
      </w:rPr>
    </w:lvl>
    <w:lvl w:ilvl="3" w:tplc="FFFFFFFF" w:tentative="1">
      <w:start w:val="1"/>
      <w:numFmt w:val="bullet"/>
      <w:lvlText w:val=""/>
      <w:lvlJc w:val="left"/>
      <w:pPr>
        <w:ind w:left="2965" w:hanging="360"/>
      </w:pPr>
      <w:rPr>
        <w:rFonts w:ascii="Symbol" w:hAnsi="Symbol" w:hint="default"/>
      </w:rPr>
    </w:lvl>
    <w:lvl w:ilvl="4" w:tplc="FFFFFFFF" w:tentative="1">
      <w:start w:val="1"/>
      <w:numFmt w:val="bullet"/>
      <w:lvlText w:val="o"/>
      <w:lvlJc w:val="left"/>
      <w:pPr>
        <w:ind w:left="3685" w:hanging="360"/>
      </w:pPr>
      <w:rPr>
        <w:rFonts w:ascii="Courier New" w:hAnsi="Courier New" w:cs="Courier New" w:hint="default"/>
      </w:rPr>
    </w:lvl>
    <w:lvl w:ilvl="5" w:tplc="FFFFFFFF" w:tentative="1">
      <w:start w:val="1"/>
      <w:numFmt w:val="bullet"/>
      <w:lvlText w:val=""/>
      <w:lvlJc w:val="left"/>
      <w:pPr>
        <w:ind w:left="4405" w:hanging="360"/>
      </w:pPr>
      <w:rPr>
        <w:rFonts w:ascii="Wingdings" w:hAnsi="Wingdings" w:hint="default"/>
      </w:rPr>
    </w:lvl>
    <w:lvl w:ilvl="6" w:tplc="FFFFFFFF" w:tentative="1">
      <w:start w:val="1"/>
      <w:numFmt w:val="bullet"/>
      <w:lvlText w:val=""/>
      <w:lvlJc w:val="left"/>
      <w:pPr>
        <w:ind w:left="5125" w:hanging="360"/>
      </w:pPr>
      <w:rPr>
        <w:rFonts w:ascii="Symbol" w:hAnsi="Symbol" w:hint="default"/>
      </w:rPr>
    </w:lvl>
    <w:lvl w:ilvl="7" w:tplc="FFFFFFFF" w:tentative="1">
      <w:start w:val="1"/>
      <w:numFmt w:val="bullet"/>
      <w:lvlText w:val="o"/>
      <w:lvlJc w:val="left"/>
      <w:pPr>
        <w:ind w:left="5845" w:hanging="360"/>
      </w:pPr>
      <w:rPr>
        <w:rFonts w:ascii="Courier New" w:hAnsi="Courier New" w:cs="Courier New" w:hint="default"/>
      </w:rPr>
    </w:lvl>
    <w:lvl w:ilvl="8" w:tplc="FFFFFFFF" w:tentative="1">
      <w:start w:val="1"/>
      <w:numFmt w:val="bullet"/>
      <w:lvlText w:val=""/>
      <w:lvlJc w:val="left"/>
      <w:pPr>
        <w:ind w:left="6565" w:hanging="360"/>
      </w:pPr>
      <w:rPr>
        <w:rFonts w:ascii="Wingdings" w:hAnsi="Wingdings" w:hint="default"/>
      </w:rPr>
    </w:lvl>
  </w:abstractNum>
  <w:abstractNum w:abstractNumId="14" w15:restartNumberingAfterBreak="0">
    <w:nsid w:val="6C177E7C"/>
    <w:multiLevelType w:val="multilevel"/>
    <w:tmpl w:val="607A88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DF5182D"/>
    <w:multiLevelType w:val="hybridMultilevel"/>
    <w:tmpl w:val="58540C80"/>
    <w:lvl w:ilvl="0" w:tplc="2346BB74">
      <w:start w:val="2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4453A3F"/>
    <w:multiLevelType w:val="hybridMultilevel"/>
    <w:tmpl w:val="C9020A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46B7906"/>
    <w:multiLevelType w:val="hybridMultilevel"/>
    <w:tmpl w:val="F2DA406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666743133">
    <w:abstractNumId w:val="16"/>
  </w:num>
  <w:num w:numId="2" w16cid:durableId="333919161">
    <w:abstractNumId w:val="10"/>
  </w:num>
  <w:num w:numId="3" w16cid:durableId="1220902753">
    <w:abstractNumId w:val="4"/>
  </w:num>
  <w:num w:numId="4" w16cid:durableId="1393700728">
    <w:abstractNumId w:val="0"/>
  </w:num>
  <w:num w:numId="5" w16cid:durableId="1775444234">
    <w:abstractNumId w:val="7"/>
  </w:num>
  <w:num w:numId="6" w16cid:durableId="690650101">
    <w:abstractNumId w:val="12"/>
  </w:num>
  <w:num w:numId="7" w16cid:durableId="115756693">
    <w:abstractNumId w:val="3"/>
  </w:num>
  <w:num w:numId="8" w16cid:durableId="1534884578">
    <w:abstractNumId w:val="2"/>
  </w:num>
  <w:num w:numId="9" w16cid:durableId="1042483867">
    <w:abstractNumId w:val="17"/>
  </w:num>
  <w:num w:numId="10" w16cid:durableId="1836187957">
    <w:abstractNumId w:val="8"/>
  </w:num>
  <w:num w:numId="11" w16cid:durableId="990018423">
    <w:abstractNumId w:val="11"/>
  </w:num>
  <w:num w:numId="12" w16cid:durableId="1859150323">
    <w:abstractNumId w:val="1"/>
  </w:num>
  <w:num w:numId="13" w16cid:durableId="407307689">
    <w:abstractNumId w:val="5"/>
  </w:num>
  <w:num w:numId="14" w16cid:durableId="2004160448">
    <w:abstractNumId w:val="6"/>
  </w:num>
  <w:num w:numId="15" w16cid:durableId="709459581">
    <w:abstractNumId w:val="13"/>
  </w:num>
  <w:num w:numId="16" w16cid:durableId="1154183562">
    <w:abstractNumId w:val="14"/>
  </w:num>
  <w:num w:numId="17" w16cid:durableId="1054549882">
    <w:abstractNumId w:val="9"/>
  </w:num>
  <w:num w:numId="18" w16cid:durableId="12222534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216E"/>
    <w:rsid w:val="004A6103"/>
    <w:rsid w:val="00521E07"/>
    <w:rsid w:val="0077216E"/>
    <w:rsid w:val="00952C25"/>
    <w:rsid w:val="00A127AF"/>
    <w:rsid w:val="00A71269"/>
    <w:rsid w:val="00CB41F4"/>
    <w:rsid w:val="00D24847"/>
    <w:rsid w:val="00DD3682"/>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FF08A0"/>
  <w15:chartTrackingRefBased/>
  <w15:docId w15:val="{5DE160A7-AF76-4B6E-BEA5-936C6A9B30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216E"/>
    <w:rPr>
      <w:lang w:val="en-US"/>
    </w:rPr>
  </w:style>
  <w:style w:type="paragraph" w:styleId="Heading1">
    <w:name w:val="heading 1"/>
    <w:basedOn w:val="Normal"/>
    <w:next w:val="Normal"/>
    <w:link w:val="Heading1Char"/>
    <w:uiPriority w:val="9"/>
    <w:qFormat/>
    <w:rsid w:val="0077216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7216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7216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7216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7216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7216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7216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7216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7216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216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7216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7216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7216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7216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7216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7216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7216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7216E"/>
    <w:rPr>
      <w:rFonts w:eastAsiaTheme="majorEastAsia" w:cstheme="majorBidi"/>
      <w:color w:val="272727" w:themeColor="text1" w:themeTint="D8"/>
    </w:rPr>
  </w:style>
  <w:style w:type="paragraph" w:styleId="Title">
    <w:name w:val="Title"/>
    <w:basedOn w:val="Normal"/>
    <w:next w:val="Normal"/>
    <w:link w:val="TitleChar"/>
    <w:uiPriority w:val="10"/>
    <w:qFormat/>
    <w:rsid w:val="0077216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7216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7216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7216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7216E"/>
    <w:pPr>
      <w:spacing w:before="160"/>
      <w:jc w:val="center"/>
    </w:pPr>
    <w:rPr>
      <w:i/>
      <w:iCs/>
      <w:color w:val="404040" w:themeColor="text1" w:themeTint="BF"/>
    </w:rPr>
  </w:style>
  <w:style w:type="character" w:customStyle="1" w:styleId="QuoteChar">
    <w:name w:val="Quote Char"/>
    <w:basedOn w:val="DefaultParagraphFont"/>
    <w:link w:val="Quote"/>
    <w:uiPriority w:val="29"/>
    <w:rsid w:val="0077216E"/>
    <w:rPr>
      <w:i/>
      <w:iCs/>
      <w:color w:val="404040" w:themeColor="text1" w:themeTint="BF"/>
    </w:rPr>
  </w:style>
  <w:style w:type="paragraph" w:styleId="ListParagraph">
    <w:name w:val="List Paragraph"/>
    <w:basedOn w:val="Normal"/>
    <w:uiPriority w:val="34"/>
    <w:qFormat/>
    <w:rsid w:val="0077216E"/>
    <w:pPr>
      <w:ind w:left="720"/>
      <w:contextualSpacing/>
    </w:pPr>
  </w:style>
  <w:style w:type="character" w:styleId="IntenseEmphasis">
    <w:name w:val="Intense Emphasis"/>
    <w:basedOn w:val="DefaultParagraphFont"/>
    <w:uiPriority w:val="21"/>
    <w:qFormat/>
    <w:rsid w:val="0077216E"/>
    <w:rPr>
      <w:i/>
      <w:iCs/>
      <w:color w:val="2F5496" w:themeColor="accent1" w:themeShade="BF"/>
    </w:rPr>
  </w:style>
  <w:style w:type="paragraph" w:styleId="IntenseQuote">
    <w:name w:val="Intense Quote"/>
    <w:basedOn w:val="Normal"/>
    <w:next w:val="Normal"/>
    <w:link w:val="IntenseQuoteChar"/>
    <w:uiPriority w:val="30"/>
    <w:qFormat/>
    <w:rsid w:val="0077216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7216E"/>
    <w:rPr>
      <w:i/>
      <w:iCs/>
      <w:color w:val="2F5496" w:themeColor="accent1" w:themeShade="BF"/>
    </w:rPr>
  </w:style>
  <w:style w:type="character" w:styleId="IntenseReference">
    <w:name w:val="Intense Reference"/>
    <w:basedOn w:val="DefaultParagraphFont"/>
    <w:uiPriority w:val="32"/>
    <w:qFormat/>
    <w:rsid w:val="0077216E"/>
    <w:rPr>
      <w:b/>
      <w:bCs/>
      <w:smallCaps/>
      <w:color w:val="2F5496" w:themeColor="accent1" w:themeShade="BF"/>
      <w:spacing w:val="5"/>
    </w:rPr>
  </w:style>
  <w:style w:type="paragraph" w:styleId="Caption">
    <w:name w:val="caption"/>
    <w:basedOn w:val="Normal"/>
    <w:next w:val="Normal"/>
    <w:uiPriority w:val="35"/>
    <w:unhideWhenUsed/>
    <w:qFormat/>
    <w:rsid w:val="0077216E"/>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theme" Target="theme/theme1.xml" /><Relationship Id="rId5" Type="http://schemas.openxmlformats.org/officeDocument/2006/relationships/fontTable" Target="fontTable.xml" /><Relationship Id="rId4"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2703</Words>
  <Characters>15412</Characters>
  <Application>Microsoft Office Word</Application>
  <DocSecurity>0</DocSecurity>
  <Lines>128</Lines>
  <Paragraphs>36</Paragraphs>
  <ScaleCrop>false</ScaleCrop>
  <Company/>
  <LinksUpToDate>false</LinksUpToDate>
  <CharactersWithSpaces>18079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Damar Ario</cp:lastModifiedBy>
  <cp:revision>2</cp:revision>
  <dcterms:created xsi:type="dcterms:W3CDTF">2025-11-30T09:20:00Z</dcterms:created>
  <dcterms:modified xsi:type="dcterms:W3CDTF">2025-11-30T09:20:00Z</dcterms:modified>
</cp:coreProperties>
</file>