
<file path=[Content_Types].xml><?xml version="1.0" encoding="utf-8"?>
<Types xmlns="http://schemas.openxmlformats.org/package/2006/content-types">
  <Default Extension="emf" ContentType="image/x-emf"/>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55A5A7" w14:textId="77777777" w:rsidR="00026F8C" w:rsidRPr="000118A3" w:rsidRDefault="00000000">
      <w:pPr>
        <w:spacing w:line="360" w:lineRule="auto"/>
        <w:rPr>
          <w:rFonts w:ascii="Times New Roman" w:eastAsia="Arial" w:hAnsi="Times New Roman" w:cs="Times New Roman"/>
          <w:sz w:val="22"/>
          <w:szCs w:val="22"/>
        </w:rPr>
      </w:pPr>
      <w:bookmarkStart w:id="0" w:name="_Hlk215438904"/>
      <w:bookmarkEnd w:id="0"/>
      <w:r w:rsidRPr="000118A3">
        <w:rPr>
          <w:rFonts w:ascii="Times New Roman" w:hAnsi="Times New Roman" w:cs="Times New Roman"/>
          <w:noProof/>
          <w:sz w:val="22"/>
          <w:szCs w:val="22"/>
        </w:rPr>
        <w:drawing>
          <wp:anchor distT="0" distB="0" distL="114300" distR="114300" simplePos="0" relativeHeight="251658240" behindDoc="0" locked="0" layoutInCell="1" hidden="0" allowOverlap="1" wp14:anchorId="670C649E" wp14:editId="617D00DA">
            <wp:simplePos x="0" y="0"/>
            <wp:positionH relativeFrom="column">
              <wp:posOffset>4948518</wp:posOffset>
            </wp:positionH>
            <wp:positionV relativeFrom="paragraph">
              <wp:posOffset>-340657</wp:posOffset>
            </wp:positionV>
            <wp:extent cx="1462924" cy="644561"/>
            <wp:effectExtent l="0" t="0" r="0" b="0"/>
            <wp:wrapNone/>
            <wp:docPr id="2144424895" name="image6.jpg" descr="A close-up of a logo&#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6.jpg" descr="A close-up of a logo&#10;&#10;AI-generated content may be incorrect."/>
                    <pic:cNvPicPr preferRelativeResize="0"/>
                  </pic:nvPicPr>
                  <pic:blipFill>
                    <a:blip r:embed="rId9"/>
                    <a:srcRect/>
                    <a:stretch>
                      <a:fillRect/>
                    </a:stretch>
                  </pic:blipFill>
                  <pic:spPr>
                    <a:xfrm>
                      <a:off x="0" y="0"/>
                      <a:ext cx="1462924" cy="644561"/>
                    </a:xfrm>
                    <a:prstGeom prst="rect">
                      <a:avLst/>
                    </a:prstGeom>
                    <a:ln/>
                  </pic:spPr>
                </pic:pic>
              </a:graphicData>
            </a:graphic>
          </wp:anchor>
        </w:drawing>
      </w:r>
      <w:r w:rsidRPr="000118A3">
        <w:rPr>
          <w:rFonts w:ascii="Times New Roman" w:hAnsi="Times New Roman" w:cs="Times New Roman"/>
          <w:noProof/>
          <w:sz w:val="22"/>
          <w:szCs w:val="22"/>
        </w:rPr>
        <w:drawing>
          <wp:anchor distT="114300" distB="114300" distL="114300" distR="114300" simplePos="0" relativeHeight="251659264" behindDoc="0" locked="0" layoutInCell="1" hidden="0" allowOverlap="1" wp14:anchorId="139683EA" wp14:editId="104F5DE2">
            <wp:simplePos x="0" y="0"/>
            <wp:positionH relativeFrom="column">
              <wp:posOffset>-334644</wp:posOffset>
            </wp:positionH>
            <wp:positionV relativeFrom="paragraph">
              <wp:posOffset>-461644</wp:posOffset>
            </wp:positionV>
            <wp:extent cx="889635" cy="855980"/>
            <wp:effectExtent l="0" t="0" r="0" b="0"/>
            <wp:wrapNone/>
            <wp:docPr id="2144424891" name="image3.png" descr="A close-up of logo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3.png" descr="A close-up of logos&#10;&#10;AI-generated content may be incorrect."/>
                    <pic:cNvPicPr preferRelativeResize="0"/>
                  </pic:nvPicPr>
                  <pic:blipFill>
                    <a:blip r:embed="rId10"/>
                    <a:srcRect r="76575"/>
                    <a:stretch>
                      <a:fillRect/>
                    </a:stretch>
                  </pic:blipFill>
                  <pic:spPr>
                    <a:xfrm>
                      <a:off x="0" y="0"/>
                      <a:ext cx="889635" cy="855980"/>
                    </a:xfrm>
                    <a:prstGeom prst="rect">
                      <a:avLst/>
                    </a:prstGeom>
                    <a:ln/>
                  </pic:spPr>
                </pic:pic>
              </a:graphicData>
            </a:graphic>
          </wp:anchor>
        </w:drawing>
      </w:r>
      <w:r w:rsidRPr="000118A3">
        <w:rPr>
          <w:rFonts w:ascii="Times New Roman" w:hAnsi="Times New Roman" w:cs="Times New Roman"/>
          <w:noProof/>
          <w:sz w:val="22"/>
          <w:szCs w:val="22"/>
        </w:rPr>
        <w:drawing>
          <wp:anchor distT="0" distB="0" distL="114300" distR="114300" simplePos="0" relativeHeight="251660288" behindDoc="0" locked="0" layoutInCell="1" hidden="0" allowOverlap="1" wp14:anchorId="4FD17194" wp14:editId="30FF29BC">
            <wp:simplePos x="0" y="0"/>
            <wp:positionH relativeFrom="column">
              <wp:posOffset>645795</wp:posOffset>
            </wp:positionH>
            <wp:positionV relativeFrom="paragraph">
              <wp:posOffset>-462914</wp:posOffset>
            </wp:positionV>
            <wp:extent cx="1196975" cy="853440"/>
            <wp:effectExtent l="0" t="0" r="0" b="0"/>
            <wp:wrapNone/>
            <wp:docPr id="2144424888" name="image2.png" descr="A blue and black logo&#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2.png" descr="A blue and black logo&#10;&#10;AI-generated content may be incorrect."/>
                    <pic:cNvPicPr preferRelativeResize="0"/>
                  </pic:nvPicPr>
                  <pic:blipFill>
                    <a:blip r:embed="rId11"/>
                    <a:srcRect/>
                    <a:stretch>
                      <a:fillRect/>
                    </a:stretch>
                  </pic:blipFill>
                  <pic:spPr>
                    <a:xfrm>
                      <a:off x="0" y="0"/>
                      <a:ext cx="1196975" cy="853440"/>
                    </a:xfrm>
                    <a:prstGeom prst="rect">
                      <a:avLst/>
                    </a:prstGeom>
                    <a:ln/>
                  </pic:spPr>
                </pic:pic>
              </a:graphicData>
            </a:graphic>
          </wp:anchor>
        </w:drawing>
      </w:r>
      <w:r w:rsidRPr="000118A3">
        <w:rPr>
          <w:rFonts w:ascii="Times New Roman" w:hAnsi="Times New Roman" w:cs="Times New Roman"/>
          <w:noProof/>
          <w:sz w:val="22"/>
          <w:szCs w:val="22"/>
        </w:rPr>
        <w:drawing>
          <wp:anchor distT="0" distB="0" distL="114300" distR="114300" simplePos="0" relativeHeight="251661312" behindDoc="0" locked="0" layoutInCell="1" hidden="0" allowOverlap="1" wp14:anchorId="47F0EB83" wp14:editId="0087CEBF">
            <wp:simplePos x="0" y="0"/>
            <wp:positionH relativeFrom="column">
              <wp:posOffset>1918970</wp:posOffset>
            </wp:positionH>
            <wp:positionV relativeFrom="paragraph">
              <wp:posOffset>-344804</wp:posOffset>
            </wp:positionV>
            <wp:extent cx="631825" cy="738505"/>
            <wp:effectExtent l="0" t="0" r="0" b="0"/>
            <wp:wrapNone/>
            <wp:docPr id="2144424889" name="image1.png" descr="A logo with a circle around it&#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1.png" descr="A logo with a circle around it&#10;&#10;AI-generated content may be incorrect."/>
                    <pic:cNvPicPr preferRelativeResize="0"/>
                  </pic:nvPicPr>
                  <pic:blipFill>
                    <a:blip r:embed="rId12"/>
                    <a:srcRect/>
                    <a:stretch>
                      <a:fillRect/>
                    </a:stretch>
                  </pic:blipFill>
                  <pic:spPr>
                    <a:xfrm>
                      <a:off x="0" y="0"/>
                      <a:ext cx="631825" cy="738505"/>
                    </a:xfrm>
                    <a:prstGeom prst="rect">
                      <a:avLst/>
                    </a:prstGeom>
                    <a:ln/>
                  </pic:spPr>
                </pic:pic>
              </a:graphicData>
            </a:graphic>
          </wp:anchor>
        </w:drawing>
      </w:r>
      <w:r w:rsidRPr="000118A3">
        <w:rPr>
          <w:rFonts w:ascii="Times New Roman" w:hAnsi="Times New Roman" w:cs="Times New Roman"/>
          <w:noProof/>
          <w:sz w:val="22"/>
          <w:szCs w:val="22"/>
        </w:rPr>
        <w:drawing>
          <wp:anchor distT="0" distB="0" distL="114300" distR="114300" simplePos="0" relativeHeight="251662336" behindDoc="0" locked="0" layoutInCell="1" hidden="0" allowOverlap="1" wp14:anchorId="751313CE" wp14:editId="77EBBC4C">
            <wp:simplePos x="0" y="0"/>
            <wp:positionH relativeFrom="column">
              <wp:posOffset>2569845</wp:posOffset>
            </wp:positionH>
            <wp:positionV relativeFrom="paragraph">
              <wp:posOffset>-344804</wp:posOffset>
            </wp:positionV>
            <wp:extent cx="2346325" cy="650240"/>
            <wp:effectExtent l="0" t="0" r="0" b="0"/>
            <wp:wrapNone/>
            <wp:docPr id="2144424892" name="image4.png" descr="A blue and black logo&#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4.png" descr="A blue and black logo&#10;&#10;AI-generated content may be incorrect."/>
                    <pic:cNvPicPr preferRelativeResize="0"/>
                  </pic:nvPicPr>
                  <pic:blipFill>
                    <a:blip r:embed="rId13"/>
                    <a:srcRect/>
                    <a:stretch>
                      <a:fillRect/>
                    </a:stretch>
                  </pic:blipFill>
                  <pic:spPr>
                    <a:xfrm>
                      <a:off x="0" y="0"/>
                      <a:ext cx="2346325" cy="650240"/>
                    </a:xfrm>
                    <a:prstGeom prst="rect">
                      <a:avLst/>
                    </a:prstGeom>
                    <a:ln/>
                  </pic:spPr>
                </pic:pic>
              </a:graphicData>
            </a:graphic>
          </wp:anchor>
        </w:drawing>
      </w:r>
    </w:p>
    <w:p w14:paraId="55C0B63B" w14:textId="77777777" w:rsidR="00026F8C" w:rsidRPr="000118A3" w:rsidRDefault="00026F8C">
      <w:pPr>
        <w:jc w:val="center"/>
        <w:rPr>
          <w:rFonts w:ascii="Times New Roman" w:hAnsi="Times New Roman" w:cs="Times New Roman"/>
          <w:sz w:val="22"/>
          <w:szCs w:val="22"/>
        </w:rPr>
      </w:pPr>
    </w:p>
    <w:p w14:paraId="5D1BE8F9" w14:textId="03AF0B8D" w:rsidR="00026F8C" w:rsidRPr="000118A3" w:rsidRDefault="00026F8C">
      <w:pPr>
        <w:jc w:val="center"/>
        <w:rPr>
          <w:rFonts w:ascii="Times New Roman" w:hAnsi="Times New Roman" w:cs="Times New Roman"/>
          <w:sz w:val="22"/>
          <w:szCs w:val="22"/>
        </w:rPr>
      </w:pPr>
    </w:p>
    <w:p w14:paraId="12C575BF" w14:textId="0BF48769" w:rsidR="00026F8C" w:rsidRPr="000118A3" w:rsidRDefault="00CB0EA6">
      <w:pPr>
        <w:ind w:right="26"/>
        <w:rPr>
          <w:rFonts w:ascii="Times New Roman" w:eastAsia="Arial" w:hAnsi="Times New Roman" w:cs="Times New Roman"/>
          <w:color w:val="FFFFFF"/>
          <w:sz w:val="22"/>
          <w:szCs w:val="22"/>
        </w:rPr>
      </w:pPr>
      <w:r w:rsidRPr="000118A3">
        <w:rPr>
          <w:rFonts w:ascii="Times New Roman" w:hAnsi="Times New Roman" w:cs="Times New Roman"/>
          <w:b/>
          <w:color w:val="FFFFFF" w:themeColor="background1"/>
          <w:sz w:val="22"/>
          <w:szCs w:val="22"/>
        </w:rPr>
        <w:t>Transboundary</w:t>
      </w:r>
      <w:r w:rsidRPr="000118A3">
        <w:rPr>
          <w:rFonts w:ascii="Times New Roman" w:hAnsi="Times New Roman" w:cs="Times New Roman"/>
          <w:b/>
          <w:color w:val="FFFFFF" w:themeColor="background1"/>
          <w:spacing w:val="-38"/>
          <w:sz w:val="22"/>
          <w:szCs w:val="22"/>
        </w:rPr>
        <w:t xml:space="preserve"> </w:t>
      </w:r>
      <w:r w:rsidRPr="000118A3">
        <w:rPr>
          <w:rFonts w:ascii="Times New Roman" w:hAnsi="Times New Roman" w:cs="Times New Roman"/>
          <w:b/>
          <w:color w:val="FFFFFF" w:themeColor="background1"/>
          <w:sz w:val="22"/>
          <w:szCs w:val="22"/>
        </w:rPr>
        <w:t>Diagnostic</w:t>
      </w:r>
      <w:r w:rsidRPr="000118A3">
        <w:rPr>
          <w:rFonts w:ascii="Times New Roman" w:hAnsi="Times New Roman" w:cs="Times New Roman"/>
          <w:b/>
          <w:color w:val="FFFFFF" w:themeColor="background1"/>
          <w:spacing w:val="-38"/>
          <w:sz w:val="22"/>
          <w:szCs w:val="22"/>
        </w:rPr>
        <w:t xml:space="preserve"> </w:t>
      </w:r>
      <w:r w:rsidRPr="000118A3">
        <w:rPr>
          <w:rFonts w:ascii="Times New Roman" w:hAnsi="Times New Roman" w:cs="Times New Roman"/>
          <w:b/>
          <w:color w:val="FFFFFF" w:themeColor="background1"/>
          <w:sz w:val="22"/>
          <w:szCs w:val="22"/>
        </w:rPr>
        <w:t>Analysis/</w:t>
      </w:r>
      <w:r w:rsidRPr="000118A3">
        <w:rPr>
          <w:rFonts w:ascii="Times New Roman" w:hAnsi="Times New Roman" w:cs="Times New Roman"/>
          <w:b/>
          <w:color w:val="FFFFFF" w:themeColor="background1"/>
          <w:spacing w:val="-36"/>
          <w:sz w:val="22"/>
          <w:szCs w:val="22"/>
        </w:rPr>
        <w:t xml:space="preserve"> </w:t>
      </w:r>
      <w:r w:rsidRPr="000118A3">
        <w:rPr>
          <w:rFonts w:ascii="Times New Roman" w:hAnsi="Times New Roman" w:cs="Times New Roman"/>
          <w:b/>
          <w:color w:val="FFFFFF" w:themeColor="background1"/>
          <w:sz w:val="22"/>
          <w:szCs w:val="22"/>
        </w:rPr>
        <w:t xml:space="preserve">TDA </w:t>
      </w:r>
      <w:r w:rsidRPr="000118A3">
        <w:rPr>
          <w:rFonts w:ascii="Times New Roman" w:hAnsi="Times New Roman" w:cs="Times New Roman"/>
          <w:b/>
          <w:color w:val="FFFFFF" w:themeColor="background1"/>
          <w:spacing w:val="-2"/>
          <w:sz w:val="22"/>
          <w:szCs w:val="22"/>
        </w:rPr>
        <w:t>Report</w:t>
      </w:r>
      <w:r w:rsidRPr="000118A3">
        <w:rPr>
          <w:rFonts w:ascii="Times New Roman" w:eastAsia="Arial" w:hAnsi="Times New Roman" w:cs="Times New Roman"/>
          <w:color w:val="FFFFFF" w:themeColor="background1"/>
          <w:sz w:val="22"/>
          <w:szCs w:val="22"/>
        </w:rPr>
        <w:t xml:space="preserve"> </w:t>
      </w:r>
      <w:r w:rsidRPr="000118A3">
        <w:rPr>
          <w:rFonts w:ascii="Times New Roman" w:hAnsi="Times New Roman" w:cs="Times New Roman"/>
          <w:noProof/>
          <w:sz w:val="22"/>
          <w:szCs w:val="22"/>
        </w:rPr>
        <mc:AlternateContent>
          <mc:Choice Requires="wps">
            <w:drawing>
              <wp:anchor distT="0" distB="0" distL="0" distR="0" simplePos="0" relativeHeight="251664384" behindDoc="1" locked="0" layoutInCell="1" hidden="0" allowOverlap="1" wp14:anchorId="2AA22C5C" wp14:editId="2A8C9E37">
                <wp:simplePos x="0" y="0"/>
                <wp:positionH relativeFrom="column">
                  <wp:posOffset>-1299838</wp:posOffset>
                </wp:positionH>
                <wp:positionV relativeFrom="paragraph">
                  <wp:posOffset>4168329</wp:posOffset>
                </wp:positionV>
                <wp:extent cx="8223773" cy="2114550"/>
                <wp:effectExtent l="0" t="0" r="0" b="0"/>
                <wp:wrapNone/>
                <wp:docPr id="2144424887" name="Rectangle 2144424887"/>
                <wp:cNvGraphicFramePr/>
                <a:graphic xmlns:a="http://schemas.openxmlformats.org/drawingml/2006/main">
                  <a:graphicData uri="http://schemas.microsoft.com/office/word/2010/wordprocessingShape">
                    <wps:wsp>
                      <wps:cNvSpPr/>
                      <wps:spPr>
                        <a:xfrm>
                          <a:off x="1275015" y="2728440"/>
                          <a:ext cx="8141970" cy="2103120"/>
                        </a:xfrm>
                        <a:prstGeom prst="rect">
                          <a:avLst/>
                        </a:prstGeom>
                        <a:solidFill>
                          <a:srgbClr val="2E74B5"/>
                        </a:solidFill>
                        <a:ln>
                          <a:noFill/>
                        </a:ln>
                      </wps:spPr>
                      <wps:txbx>
                        <w:txbxContent>
                          <w:p w14:paraId="46B3E019" w14:textId="77777777" w:rsidR="00026F8C" w:rsidRDefault="00026F8C">
                            <w:pPr>
                              <w:textDirection w:val="btLr"/>
                            </w:pPr>
                          </w:p>
                        </w:txbxContent>
                      </wps:txbx>
                      <wps:bodyPr spcFirstLastPara="1" wrap="square" lIns="91425" tIns="91425" rIns="91425" bIns="91425" anchor="ctr" anchorCtr="0">
                        <a:noAutofit/>
                      </wps:bodyPr>
                    </wps:wsp>
                  </a:graphicData>
                </a:graphic>
              </wp:anchor>
            </w:drawing>
          </mc:Choice>
          <mc:Fallback>
            <w:pict>
              <v:rect w14:anchorId="2AA22C5C" id="Rectangle 2144424887" o:spid="_x0000_s1026" style="position:absolute;margin-left:-102.35pt;margin-top:328.2pt;width:647.55pt;height:166.5pt;z-index:-251652096;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" fillcolor="#2e74b5" stroked="f">
                <v:textbox inset="2.53958mm,2.53958mm,2.53958mm,2.53958mm">
                  <w:txbxContent>
                    <w:p w14:paraId="46B3E019" w14:textId="77777777" w:rsidR="00026F8C" w:rsidRDefault="00026F8C">
                      <w:pPr>
                        <w:textDirection w:val="btLr"/>
                      </w:pPr>
                    </w:p>
                  </w:txbxContent>
                </v:textbox>
              </v:rect>
            </w:pict>
          </mc:Fallback>
        </mc:AlternateContent>
      </w:r>
    </w:p>
    <w:p w14:paraId="4A8DF282" w14:textId="6D5AC0AA" w:rsidR="005E794A" w:rsidRPr="005E794A" w:rsidRDefault="00792ED3" w:rsidP="005E794A">
      <w:pPr>
        <w:spacing w:line="360" w:lineRule="auto"/>
        <w:rPr>
          <w:rFonts w:ascii="Times New Roman" w:eastAsia="Arial" w:hAnsi="Times New Roman" w:cs="Times New Roman"/>
          <w:color w:val="FFFFFF" w:themeColor="background1"/>
          <w:sz w:val="22"/>
          <w:szCs w:val="22"/>
        </w:rPr>
      </w:pPr>
      <w:r w:rsidRPr="000118A3">
        <w:rPr>
          <w:rFonts w:ascii="Times New Roman" w:hAnsi="Times New Roman" w:cs="Times New Roman"/>
          <w:noProof/>
          <w:color w:val="FFFFFF"/>
          <w:sz w:val="22"/>
          <w:szCs w:val="22"/>
        </w:rPr>
        <w:drawing>
          <wp:anchor distT="0" distB="0" distL="114300" distR="114300" simplePos="0" relativeHeight="251663360" behindDoc="0" locked="0" layoutInCell="1" hidden="0" allowOverlap="1" wp14:anchorId="29A39BBC" wp14:editId="29DDB0B3">
            <wp:simplePos x="0" y="0"/>
            <wp:positionH relativeFrom="margin">
              <wp:posOffset>-901065</wp:posOffset>
            </wp:positionH>
            <wp:positionV relativeFrom="margin">
              <wp:posOffset>971550</wp:posOffset>
            </wp:positionV>
            <wp:extent cx="7827010" cy="4572000"/>
            <wp:effectExtent l="0" t="0" r="0" b="0"/>
            <wp:wrapSquare wrapText="bothSides" distT="0" distB="0" distL="114300" distR="114300"/>
            <wp:docPr id="2144424890" name="image8.png" descr="Turtles swimming in the ocean&#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8.png" descr="Turtles swimming in the ocean&#10;&#10;AI-generated content may be incorrect."/>
                    <pic:cNvPicPr preferRelativeResize="0"/>
                  </pic:nvPicPr>
                  <pic:blipFill>
                    <a:blip r:embed="rId14"/>
                    <a:srcRect t="17205" b="17410"/>
                    <a:stretch>
                      <a:fillRect/>
                    </a:stretch>
                  </pic:blipFill>
                  <pic:spPr>
                    <a:xfrm>
                      <a:off x="0" y="0"/>
                      <a:ext cx="7827010" cy="4572000"/>
                    </a:xfrm>
                    <a:prstGeom prst="rect">
                      <a:avLst/>
                    </a:prstGeom>
                    <a:ln/>
                  </pic:spPr>
                </pic:pic>
              </a:graphicData>
            </a:graphic>
            <wp14:sizeRelV relativeFrom="margin">
              <wp14:pctHeight>0</wp14:pctHeight>
            </wp14:sizeRelV>
          </wp:anchor>
        </w:drawing>
      </w:r>
      <w:r w:rsidRPr="000118A3">
        <w:rPr>
          <w:rFonts w:ascii="Times New Roman" w:hAnsi="Times New Roman" w:cs="Times New Roman"/>
          <w:color w:val="FFFFFF"/>
          <w:sz w:val="22"/>
          <w:szCs w:val="22"/>
        </w:rPr>
        <w:t xml:space="preserve">Implementation of National Activities of the UNEP/GEF Implementing the Strategic Action </w:t>
      </w:r>
      <w:r w:rsidR="005E794A" w:rsidRPr="005E794A">
        <w:rPr>
          <w:rFonts w:ascii="Times New Roman" w:hAnsi="Times New Roman" w:cs="Times New Roman"/>
          <w:b/>
          <w:color w:val="FFFFFF" w:themeColor="background1"/>
          <w:sz w:val="22"/>
          <w:szCs w:val="22"/>
        </w:rPr>
        <w:t>Transboundary</w:t>
      </w:r>
      <w:r w:rsidR="005E794A" w:rsidRPr="005E794A">
        <w:rPr>
          <w:rFonts w:ascii="Times New Roman" w:hAnsi="Times New Roman" w:cs="Times New Roman"/>
          <w:b/>
          <w:color w:val="FFFFFF" w:themeColor="background1"/>
          <w:spacing w:val="-38"/>
          <w:sz w:val="22"/>
          <w:szCs w:val="22"/>
        </w:rPr>
        <w:t xml:space="preserve"> </w:t>
      </w:r>
      <w:r w:rsidR="005E794A" w:rsidRPr="0070138E">
        <w:rPr>
          <w:rFonts w:ascii="Times New Roman" w:hAnsi="Times New Roman" w:cs="Times New Roman"/>
          <w:b/>
          <w:color w:val="FFFFFF" w:themeColor="background1"/>
          <w:sz w:val="52"/>
          <w:szCs w:val="52"/>
        </w:rPr>
        <w:t>Diagnostic</w:t>
      </w:r>
      <w:r w:rsidR="005E794A" w:rsidRPr="0070138E">
        <w:rPr>
          <w:rFonts w:ascii="Times New Roman" w:hAnsi="Times New Roman" w:cs="Times New Roman"/>
          <w:b/>
          <w:color w:val="FFFFFF" w:themeColor="background1"/>
          <w:spacing w:val="-38"/>
          <w:sz w:val="52"/>
          <w:szCs w:val="52"/>
        </w:rPr>
        <w:t xml:space="preserve"> </w:t>
      </w:r>
      <w:r w:rsidR="005E794A" w:rsidRPr="0070138E">
        <w:rPr>
          <w:rFonts w:ascii="Times New Roman" w:hAnsi="Times New Roman" w:cs="Times New Roman"/>
          <w:b/>
          <w:color w:val="FFFFFF" w:themeColor="background1"/>
          <w:sz w:val="52"/>
          <w:szCs w:val="52"/>
        </w:rPr>
        <w:t>Analysis/</w:t>
      </w:r>
      <w:r w:rsidR="005E794A" w:rsidRPr="0070138E">
        <w:rPr>
          <w:rFonts w:ascii="Times New Roman" w:hAnsi="Times New Roman" w:cs="Times New Roman"/>
          <w:b/>
          <w:color w:val="FFFFFF" w:themeColor="background1"/>
          <w:spacing w:val="-36"/>
          <w:sz w:val="52"/>
          <w:szCs w:val="52"/>
        </w:rPr>
        <w:t xml:space="preserve"> </w:t>
      </w:r>
      <w:r w:rsidR="005E794A" w:rsidRPr="0070138E">
        <w:rPr>
          <w:rFonts w:ascii="Times New Roman" w:hAnsi="Times New Roman" w:cs="Times New Roman"/>
          <w:b/>
          <w:color w:val="FFFFFF" w:themeColor="background1"/>
          <w:sz w:val="52"/>
          <w:szCs w:val="52"/>
        </w:rPr>
        <w:t xml:space="preserve">TDA </w:t>
      </w:r>
      <w:r w:rsidR="005E794A" w:rsidRPr="0070138E">
        <w:rPr>
          <w:rFonts w:ascii="Times New Roman" w:hAnsi="Times New Roman" w:cs="Times New Roman"/>
          <w:b/>
          <w:color w:val="FFFFFF" w:themeColor="background1"/>
          <w:spacing w:val="-2"/>
          <w:sz w:val="52"/>
          <w:szCs w:val="52"/>
        </w:rPr>
        <w:t>Report</w:t>
      </w:r>
      <w:r w:rsidR="005E794A" w:rsidRPr="005E794A">
        <w:rPr>
          <w:rFonts w:ascii="Times New Roman" w:eastAsia="Arial" w:hAnsi="Times New Roman" w:cs="Times New Roman"/>
          <w:color w:val="FFFFFF" w:themeColor="background1"/>
          <w:sz w:val="22"/>
          <w:szCs w:val="22"/>
        </w:rPr>
        <w:t xml:space="preserve"> </w:t>
      </w:r>
    </w:p>
    <w:p w14:paraId="3C42D955" w14:textId="42D9D5EA" w:rsidR="00026F8C" w:rsidRPr="00792ED3" w:rsidRDefault="005E794A" w:rsidP="005E794A">
      <w:pPr>
        <w:tabs>
          <w:tab w:val="left" w:pos="6624"/>
        </w:tabs>
        <w:ind w:right="26"/>
        <w:rPr>
          <w:rFonts w:ascii="Times New Roman" w:eastAsia="Arial" w:hAnsi="Times New Roman" w:cs="Times New Roman"/>
          <w:color w:val="FFFFFF" w:themeColor="background1"/>
          <w:sz w:val="28"/>
          <w:szCs w:val="28"/>
        </w:rPr>
      </w:pPr>
      <w:r w:rsidRPr="00792ED3">
        <w:rPr>
          <w:rFonts w:ascii="Times New Roman" w:eastAsia="Arial" w:hAnsi="Times New Roman" w:cs="Times New Roman"/>
          <w:color w:val="FFFFFF" w:themeColor="background1"/>
          <w:sz w:val="28"/>
          <w:szCs w:val="28"/>
        </w:rPr>
        <w:t>Implementation of National Activities of the UNEP/GEF Implementing the Strategic Action Programme for the South China Sea and Gulf of Thailand</w:t>
      </w:r>
      <w:r w:rsidRPr="00792ED3">
        <w:rPr>
          <w:rFonts w:ascii="Times New Roman" w:hAnsi="Times New Roman" w:cs="Times New Roman"/>
          <w:color w:val="FFFFFF" w:themeColor="background1"/>
          <w:sz w:val="28"/>
          <w:szCs w:val="28"/>
        </w:rPr>
        <w:t xml:space="preserve"> </w:t>
      </w:r>
    </w:p>
    <w:p w14:paraId="6B986D84" w14:textId="7A984214" w:rsidR="00026F8C" w:rsidRPr="000118A3" w:rsidRDefault="00026F8C">
      <w:pPr>
        <w:pBdr>
          <w:top w:val="nil"/>
          <w:left w:val="nil"/>
          <w:bottom w:val="nil"/>
          <w:right w:val="nil"/>
          <w:between w:val="nil"/>
        </w:pBdr>
        <w:spacing w:after="120" w:line="276" w:lineRule="auto"/>
        <w:ind w:left="-540"/>
        <w:rPr>
          <w:rFonts w:ascii="Times New Roman" w:eastAsia="Times New Roman" w:hAnsi="Times New Roman" w:cs="Times New Roman"/>
          <w:color w:val="000000"/>
          <w:sz w:val="22"/>
          <w:szCs w:val="22"/>
        </w:rPr>
      </w:pPr>
    </w:p>
    <w:p w14:paraId="24E9E5DF" w14:textId="6AF0E3AF" w:rsidR="00026F8C" w:rsidRPr="000118A3" w:rsidRDefault="00026F8C" w:rsidP="00792ED3">
      <w:pPr>
        <w:pBdr>
          <w:top w:val="nil"/>
          <w:left w:val="nil"/>
          <w:bottom w:val="nil"/>
          <w:right w:val="nil"/>
          <w:between w:val="nil"/>
        </w:pBdr>
        <w:spacing w:line="276" w:lineRule="auto"/>
        <w:ind w:right="296"/>
        <w:rPr>
          <w:rFonts w:ascii="Times New Roman" w:hAnsi="Times New Roman" w:cs="Times New Roman"/>
          <w:color w:val="000000"/>
          <w:sz w:val="22"/>
          <w:szCs w:val="22"/>
        </w:rPr>
      </w:pPr>
    </w:p>
    <w:p w14:paraId="3C245ACD" w14:textId="3A4BFFDF" w:rsidR="00026F8C" w:rsidRDefault="00026F8C">
      <w:pPr>
        <w:pBdr>
          <w:top w:val="nil"/>
          <w:left w:val="nil"/>
          <w:bottom w:val="nil"/>
          <w:right w:val="nil"/>
          <w:between w:val="nil"/>
        </w:pBdr>
        <w:spacing w:line="276" w:lineRule="auto"/>
        <w:ind w:left="2160" w:right="296"/>
        <w:rPr>
          <w:rFonts w:ascii="Times New Roman" w:hAnsi="Times New Roman" w:cs="Times New Roman"/>
          <w:color w:val="000000"/>
          <w:sz w:val="22"/>
          <w:szCs w:val="22"/>
        </w:rPr>
      </w:pPr>
    </w:p>
    <w:p w14:paraId="7EB93D5E" w14:textId="77777777" w:rsidR="007D1858" w:rsidRDefault="007D1858">
      <w:pPr>
        <w:pBdr>
          <w:top w:val="nil"/>
          <w:left w:val="nil"/>
          <w:bottom w:val="nil"/>
          <w:right w:val="nil"/>
          <w:between w:val="nil"/>
        </w:pBdr>
        <w:spacing w:line="276" w:lineRule="auto"/>
        <w:ind w:left="2160" w:right="296"/>
        <w:rPr>
          <w:rFonts w:ascii="Times New Roman" w:hAnsi="Times New Roman" w:cs="Times New Roman"/>
          <w:color w:val="000000"/>
          <w:sz w:val="22"/>
          <w:szCs w:val="22"/>
        </w:rPr>
      </w:pPr>
    </w:p>
    <w:p w14:paraId="16DA799E" w14:textId="77777777" w:rsidR="007D1858" w:rsidRDefault="007D1858">
      <w:pPr>
        <w:pBdr>
          <w:top w:val="nil"/>
          <w:left w:val="nil"/>
          <w:bottom w:val="nil"/>
          <w:right w:val="nil"/>
          <w:between w:val="nil"/>
        </w:pBdr>
        <w:spacing w:line="276" w:lineRule="auto"/>
        <w:ind w:left="2160" w:right="296"/>
        <w:rPr>
          <w:rFonts w:ascii="Times New Roman" w:hAnsi="Times New Roman" w:cs="Times New Roman"/>
          <w:color w:val="000000"/>
          <w:sz w:val="22"/>
          <w:szCs w:val="22"/>
        </w:rPr>
      </w:pPr>
    </w:p>
    <w:p w14:paraId="56167048" w14:textId="51892EEF" w:rsidR="007D1858" w:rsidRPr="000118A3" w:rsidRDefault="007D1858">
      <w:pPr>
        <w:pBdr>
          <w:top w:val="nil"/>
          <w:left w:val="nil"/>
          <w:bottom w:val="nil"/>
          <w:right w:val="nil"/>
          <w:between w:val="nil"/>
        </w:pBdr>
        <w:spacing w:line="276" w:lineRule="auto"/>
        <w:ind w:left="2160" w:right="296"/>
        <w:rPr>
          <w:rFonts w:ascii="Times New Roman" w:hAnsi="Times New Roman" w:cs="Times New Roman"/>
          <w:color w:val="000000"/>
          <w:sz w:val="22"/>
          <w:szCs w:val="22"/>
        </w:rPr>
      </w:pPr>
      <w:r w:rsidRPr="000118A3">
        <w:rPr>
          <w:rFonts w:ascii="Times New Roman" w:hAnsi="Times New Roman" w:cs="Times New Roman"/>
          <w:noProof/>
          <w:color w:val="000000"/>
          <w:sz w:val="22"/>
          <w:szCs w:val="22"/>
        </w:rPr>
        <mc:AlternateContent>
          <mc:Choice Requires="wps">
            <w:drawing>
              <wp:anchor distT="45720" distB="45720" distL="114300" distR="114300" simplePos="0" relativeHeight="251666432" behindDoc="0" locked="0" layoutInCell="1" allowOverlap="1" wp14:anchorId="1FA200A7" wp14:editId="39A4636A">
                <wp:simplePos x="0" y="0"/>
                <wp:positionH relativeFrom="column">
                  <wp:posOffset>-17145</wp:posOffset>
                </wp:positionH>
                <wp:positionV relativeFrom="paragraph">
                  <wp:posOffset>116338</wp:posOffset>
                </wp:positionV>
                <wp:extent cx="1771650" cy="8890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1650" cy="889000"/>
                        </a:xfrm>
                        <a:prstGeom prst="rect">
                          <a:avLst/>
                        </a:prstGeom>
                        <a:noFill/>
                        <a:ln w="9525">
                          <a:noFill/>
                          <a:miter lim="800000"/>
                          <a:headEnd/>
                          <a:tailEnd/>
                        </a:ln>
                      </wps:spPr>
                      <wps:txbx>
                        <w:txbxContent>
                          <w:p w14:paraId="22FF34CD" w14:textId="719BA292" w:rsidR="00CB0EA6" w:rsidRPr="007D1858" w:rsidRDefault="005357AC" w:rsidP="00CB0EA6">
                            <w:pPr>
                              <w:shd w:val="clear" w:color="auto" w:fill="0070C0"/>
                              <w:jc w:val="center"/>
                              <w:rPr>
                                <w:b/>
                                <w:bCs/>
                                <w:color w:val="FFFFFF" w:themeColor="background1"/>
                                <w:sz w:val="48"/>
                                <w:szCs w:val="48"/>
                              </w:rPr>
                            </w:pPr>
                            <w:r w:rsidRPr="007D1858">
                              <w:rPr>
                                <w:b/>
                                <w:bCs/>
                                <w:color w:val="FFFFFF" w:themeColor="background1"/>
                                <w:sz w:val="48"/>
                                <w:szCs w:val="48"/>
                              </w:rPr>
                              <w:t>DECEMBER</w:t>
                            </w:r>
                            <w:r w:rsidR="00CB0EA6" w:rsidRPr="007D1858">
                              <w:rPr>
                                <w:b/>
                                <w:bCs/>
                                <w:color w:val="FFFFFF" w:themeColor="background1"/>
                                <w:sz w:val="48"/>
                                <w:szCs w:val="48"/>
                              </w:rPr>
                              <w:t xml:space="preserve"> 2025</w:t>
                            </w:r>
                          </w:p>
                          <w:p w14:paraId="61FEFC96" w14:textId="77777777" w:rsidR="00CB0EA6" w:rsidRPr="007D1858" w:rsidRDefault="00CB0EA6" w:rsidP="00CB0EA6">
                            <w:pPr>
                              <w:shd w:val="clear" w:color="auto" w:fill="0070C0"/>
                              <w:jc w:val="center"/>
                              <w:rPr>
                                <w:b/>
                                <w:bCs/>
                                <w:color w:val="FFFFFF" w:themeColor="background1"/>
                                <w:sz w:val="48"/>
                                <w:szCs w:val="4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A200A7" id="_x0000_t202" coordsize="21600,21600" o:spt="202" path="m,l,21600r21600,l21600,xe">
                <v:stroke joinstyle="miter"/>
                <v:path gradientshapeok="t" o:connecttype="rect"/>
              </v:shapetype>
              <v:shape id="Text Box 2" o:spid="_x0000_s1027" type="#_x0000_t202" style="position:absolute;left:0;text-align:left;margin-left:-1.35pt;margin-top:9.15pt;width:139.5pt;height:70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" filled="f" stroked="f">
                <v:textbox>
                  <w:txbxContent>
                    <w:p w14:paraId="22FF34CD" w14:textId="719BA292" w:rsidR="00CB0EA6" w:rsidRPr="007D1858" w:rsidRDefault="005357AC" w:rsidP="00CB0EA6">
                      <w:pPr>
                        <w:shd w:val="clear" w:color="auto" w:fill="0070C0"/>
                        <w:jc w:val="center"/>
                        <w:rPr>
                          <w:b/>
                          <w:bCs/>
                          <w:color w:val="FFFFFF" w:themeColor="background1"/>
                          <w:sz w:val="48"/>
                          <w:szCs w:val="48"/>
                        </w:rPr>
                      </w:pPr>
                      <w:r w:rsidRPr="007D1858">
                        <w:rPr>
                          <w:b/>
                          <w:bCs/>
                          <w:color w:val="FFFFFF" w:themeColor="background1"/>
                          <w:sz w:val="48"/>
                          <w:szCs w:val="48"/>
                        </w:rPr>
                        <w:t>DECEMBER</w:t>
                      </w:r>
                      <w:r w:rsidR="00CB0EA6" w:rsidRPr="007D1858">
                        <w:rPr>
                          <w:b/>
                          <w:bCs/>
                          <w:color w:val="FFFFFF" w:themeColor="background1"/>
                          <w:sz w:val="48"/>
                          <w:szCs w:val="48"/>
                        </w:rPr>
                        <w:t xml:space="preserve"> 2025</w:t>
                      </w:r>
                    </w:p>
                    <w:p w14:paraId="61FEFC96" w14:textId="77777777" w:rsidR="00CB0EA6" w:rsidRPr="007D1858" w:rsidRDefault="00CB0EA6" w:rsidP="00CB0EA6">
                      <w:pPr>
                        <w:shd w:val="clear" w:color="auto" w:fill="0070C0"/>
                        <w:jc w:val="center"/>
                        <w:rPr>
                          <w:b/>
                          <w:bCs/>
                          <w:color w:val="FFFFFF" w:themeColor="background1"/>
                          <w:sz w:val="48"/>
                          <w:szCs w:val="48"/>
                        </w:rPr>
                      </w:pPr>
                    </w:p>
                  </w:txbxContent>
                </v:textbox>
                <w10:wrap type="square"/>
              </v:shape>
            </w:pict>
          </mc:Fallback>
        </mc:AlternateContent>
      </w:r>
    </w:p>
    <w:p w14:paraId="59BC4C8D" w14:textId="4CC695FA" w:rsidR="00026F8C" w:rsidRPr="00792ED3" w:rsidRDefault="00000000">
      <w:pPr>
        <w:pBdr>
          <w:top w:val="nil"/>
          <w:left w:val="nil"/>
          <w:bottom w:val="nil"/>
          <w:right w:val="nil"/>
          <w:between w:val="nil"/>
        </w:pBdr>
        <w:spacing w:line="276" w:lineRule="auto"/>
        <w:ind w:left="2160" w:right="296"/>
        <w:rPr>
          <w:rFonts w:ascii="Times New Roman" w:hAnsi="Times New Roman" w:cs="Times New Roman"/>
          <w:color w:val="000000"/>
          <w:sz w:val="28"/>
          <w:szCs w:val="28"/>
        </w:rPr>
      </w:pPr>
      <w:r w:rsidRPr="00792ED3">
        <w:rPr>
          <w:rFonts w:ascii="Times New Roman" w:hAnsi="Times New Roman" w:cs="Times New Roman"/>
          <w:sz w:val="28"/>
          <w:szCs w:val="28"/>
        </w:rPr>
        <w:t>This</w:t>
      </w:r>
      <w:r w:rsidRPr="00792ED3">
        <w:rPr>
          <w:rFonts w:ascii="Times New Roman" w:hAnsi="Times New Roman" w:cs="Times New Roman"/>
          <w:color w:val="000000"/>
          <w:sz w:val="28"/>
          <w:szCs w:val="28"/>
        </w:rPr>
        <w:t xml:space="preserve"> report was prepared by the Center for Coastal and Marine Resources Studies (CCMRS) of IPB University</w:t>
      </w:r>
      <w:r w:rsidR="00792ED3" w:rsidRPr="00792ED3">
        <w:rPr>
          <w:rFonts w:ascii="Times New Roman" w:hAnsi="Times New Roman" w:cs="Times New Roman"/>
          <w:color w:val="000000"/>
          <w:sz w:val="28"/>
          <w:szCs w:val="28"/>
        </w:rPr>
        <w:t>, Indonesia</w:t>
      </w:r>
    </w:p>
    <w:p w14:paraId="27D1B483" w14:textId="77777777" w:rsidR="00026F8C" w:rsidRPr="00792ED3" w:rsidRDefault="00000000">
      <w:pPr>
        <w:rPr>
          <w:rFonts w:ascii="Times New Roman" w:hAnsi="Times New Roman" w:cs="Times New Roman"/>
          <w:sz w:val="28"/>
          <w:szCs w:val="28"/>
        </w:rPr>
      </w:pPr>
      <w:r w:rsidRPr="00792ED3">
        <w:rPr>
          <w:rFonts w:ascii="Times New Roman" w:hAnsi="Times New Roman" w:cs="Times New Roman"/>
          <w:sz w:val="28"/>
          <w:szCs w:val="28"/>
        </w:rPr>
        <w:br w:type="page"/>
      </w:r>
    </w:p>
    <w:p w14:paraId="364B0FC3" w14:textId="77777777" w:rsidR="007118CF" w:rsidRPr="008709D8" w:rsidRDefault="007118CF" w:rsidP="008709D8">
      <w:pPr>
        <w:spacing w:line="360" w:lineRule="auto"/>
        <w:jc w:val="center"/>
        <w:rPr>
          <w:rFonts w:ascii="Times New Roman" w:hAnsi="Times New Roman" w:cs="Times New Roman"/>
          <w:b/>
          <w:color w:val="006FC0"/>
          <w:sz w:val="32"/>
          <w:szCs w:val="32"/>
        </w:rPr>
      </w:pPr>
      <w:bookmarkStart w:id="1" w:name="_Toc216438876"/>
      <w:r w:rsidRPr="008709D8">
        <w:rPr>
          <w:rFonts w:ascii="Times New Roman" w:hAnsi="Times New Roman" w:cs="Times New Roman"/>
          <w:b/>
          <w:color w:val="006FC0"/>
          <w:sz w:val="32"/>
          <w:szCs w:val="32"/>
        </w:rPr>
        <w:lastRenderedPageBreak/>
        <w:t>Acknowledgements</w:t>
      </w:r>
      <w:bookmarkEnd w:id="1"/>
    </w:p>
    <w:p w14:paraId="72400B59" w14:textId="77777777" w:rsidR="007118CF" w:rsidRDefault="007118CF" w:rsidP="007118CF">
      <w:pPr>
        <w:spacing w:line="360" w:lineRule="auto"/>
        <w:jc w:val="both"/>
        <w:rPr>
          <w:rFonts w:ascii="Times New Roman" w:hAnsi="Times New Roman" w:cs="Times New Roman"/>
          <w:b/>
          <w:color w:val="006FC0"/>
          <w:sz w:val="22"/>
          <w:szCs w:val="22"/>
        </w:rPr>
      </w:pPr>
    </w:p>
    <w:p w14:paraId="0CD5C66B" w14:textId="0233FEF1" w:rsidR="007118CF" w:rsidRPr="008B0110" w:rsidRDefault="007118CF" w:rsidP="007118CF">
      <w:pPr>
        <w:spacing w:line="360" w:lineRule="auto"/>
        <w:jc w:val="both"/>
        <w:rPr>
          <w:rFonts w:ascii="Times New Roman" w:hAnsi="Times New Roman" w:cs="Times New Roman"/>
          <w:b/>
          <w:color w:val="006FC0"/>
        </w:rPr>
      </w:pPr>
      <w:r w:rsidRPr="008B0110">
        <w:rPr>
          <w:rFonts w:ascii="Times New Roman" w:hAnsi="Times New Roman" w:cs="Times New Roman"/>
          <w:b/>
          <w:color w:val="006FC0"/>
        </w:rPr>
        <w:t>Lead Authors</w:t>
      </w:r>
    </w:p>
    <w:p w14:paraId="0E69690E" w14:textId="020C3644" w:rsidR="007118CF" w:rsidRPr="007118CF" w:rsidRDefault="007118CF" w:rsidP="007118CF">
      <w:pPr>
        <w:spacing w:line="360" w:lineRule="auto"/>
        <w:jc w:val="both"/>
        <w:rPr>
          <w:rFonts w:ascii="Times New Roman" w:hAnsi="Times New Roman" w:cs="Times New Roman"/>
          <w:bCs/>
          <w:sz w:val="22"/>
          <w:szCs w:val="22"/>
        </w:rPr>
      </w:pPr>
      <w:r w:rsidRPr="007118CF">
        <w:rPr>
          <w:rFonts w:ascii="Times New Roman" w:hAnsi="Times New Roman" w:cs="Times New Roman"/>
          <w:bCs/>
          <w:sz w:val="22"/>
          <w:szCs w:val="22"/>
        </w:rPr>
        <w:t>Luky Adriato, Yonvitner, Ario Damar, Taryono</w:t>
      </w:r>
      <w:r w:rsidR="00E30AFB">
        <w:rPr>
          <w:rFonts w:ascii="Times New Roman" w:hAnsi="Times New Roman" w:cs="Times New Roman"/>
          <w:bCs/>
          <w:sz w:val="22"/>
          <w:szCs w:val="22"/>
        </w:rPr>
        <w:t xml:space="preserve"> Kodiran</w:t>
      </w:r>
      <w:r w:rsidRPr="007118CF">
        <w:rPr>
          <w:rFonts w:ascii="Times New Roman" w:hAnsi="Times New Roman" w:cs="Times New Roman"/>
          <w:bCs/>
          <w:sz w:val="22"/>
          <w:szCs w:val="22"/>
        </w:rPr>
        <w:t xml:space="preserve">, </w:t>
      </w:r>
      <w:r w:rsidRPr="007118CF">
        <w:rPr>
          <w:rFonts w:ascii="Times New Roman" w:hAnsi="Times New Roman" w:cs="Times New Roman"/>
          <w:bCs/>
          <w:sz w:val="22"/>
          <w:szCs w:val="22"/>
          <w:lang w:val="en-ID"/>
        </w:rPr>
        <w:t>Mochammad Riyanto</w:t>
      </w:r>
      <w:r w:rsidRPr="007118CF">
        <w:rPr>
          <w:rFonts w:ascii="Times New Roman" w:hAnsi="Times New Roman" w:cs="Times New Roman"/>
          <w:bCs/>
          <w:sz w:val="22"/>
          <w:szCs w:val="22"/>
        </w:rPr>
        <w:t xml:space="preserve"> </w:t>
      </w:r>
    </w:p>
    <w:p w14:paraId="6AF66609" w14:textId="77777777" w:rsidR="007118CF" w:rsidRDefault="007118CF" w:rsidP="007118CF">
      <w:pPr>
        <w:spacing w:line="360" w:lineRule="auto"/>
        <w:jc w:val="both"/>
        <w:rPr>
          <w:rFonts w:ascii="Times New Roman" w:hAnsi="Times New Roman" w:cs="Times New Roman"/>
          <w:b/>
          <w:color w:val="006FC0"/>
          <w:sz w:val="22"/>
          <w:szCs w:val="22"/>
        </w:rPr>
      </w:pPr>
      <w:r w:rsidRPr="007118CF">
        <w:rPr>
          <w:rFonts w:ascii="Times New Roman" w:hAnsi="Times New Roman" w:cs="Times New Roman"/>
          <w:b/>
          <w:color w:val="006FC0"/>
          <w:sz w:val="22"/>
          <w:szCs w:val="22"/>
        </w:rPr>
        <w:t xml:space="preserve"> </w:t>
      </w:r>
    </w:p>
    <w:p w14:paraId="59C68683" w14:textId="561E7EE1" w:rsidR="007118CF" w:rsidRPr="008B0110" w:rsidRDefault="007118CF" w:rsidP="007118CF">
      <w:pPr>
        <w:spacing w:line="360" w:lineRule="auto"/>
        <w:jc w:val="both"/>
        <w:rPr>
          <w:rFonts w:ascii="Times New Roman" w:hAnsi="Times New Roman" w:cs="Times New Roman"/>
          <w:b/>
          <w:color w:val="006FC0"/>
        </w:rPr>
      </w:pPr>
      <w:r w:rsidRPr="008B0110">
        <w:rPr>
          <w:rFonts w:ascii="Times New Roman" w:hAnsi="Times New Roman" w:cs="Times New Roman"/>
          <w:b/>
          <w:color w:val="006FC0"/>
        </w:rPr>
        <w:t xml:space="preserve">Contributing Authors </w:t>
      </w:r>
    </w:p>
    <w:p w14:paraId="762A272C" w14:textId="4CF3E760" w:rsidR="00882782" w:rsidRDefault="003D18B8" w:rsidP="003D18B8">
      <w:pPr>
        <w:jc w:val="both"/>
        <w:rPr>
          <w:rFonts w:ascii="Times New Roman" w:hAnsi="Times New Roman" w:cs="Times New Roman"/>
        </w:rPr>
      </w:pPr>
      <w:r w:rsidRPr="004846F4">
        <w:rPr>
          <w:rFonts w:ascii="Times New Roman" w:hAnsi="Times New Roman" w:cs="Times New Roman"/>
        </w:rPr>
        <w:t>Sayid Muhadhar, Aditya Yuniarti, Heru Waluyo, Nyoto Santoso, Fery Kurniawan,</w:t>
      </w:r>
      <w:r w:rsidR="006961B6">
        <w:rPr>
          <w:rFonts w:ascii="Times New Roman" w:hAnsi="Times New Roman" w:cs="Times New Roman"/>
        </w:rPr>
        <w:t xml:space="preserve"> </w:t>
      </w:r>
      <w:r w:rsidRPr="004846F4">
        <w:rPr>
          <w:rFonts w:ascii="Times New Roman" w:hAnsi="Times New Roman" w:cs="Times New Roman"/>
        </w:rPr>
        <w:t>Tri Edi Kuriandewa, Ragil Satriyo Gumilang, Isdahartati, Bambang Yudho Rudianto, Retno Purwaning Hastuti, Lusita Meilana, Dony Suhartono Kesowo, Boimin, Akhmad Nurhijayat,</w:t>
      </w:r>
      <w:r w:rsidR="008B0110" w:rsidRPr="008B0110">
        <w:rPr>
          <w:rFonts w:ascii="Times New Roman" w:eastAsia="Times New Roman" w:hAnsi="Times New Roman" w:cs="Times New Roman"/>
          <w:color w:val="000000"/>
          <w:sz w:val="22"/>
          <w:szCs w:val="22"/>
          <w:lang w:val="en-ID"/>
        </w:rPr>
        <w:t xml:space="preserve"> </w:t>
      </w:r>
      <w:r w:rsidR="008B0110" w:rsidRPr="003076CD">
        <w:rPr>
          <w:rFonts w:ascii="Times New Roman" w:eastAsia="Times New Roman" w:hAnsi="Times New Roman" w:cs="Times New Roman"/>
          <w:color w:val="000000"/>
          <w:sz w:val="22"/>
          <w:szCs w:val="22"/>
          <w:lang w:val="en-ID"/>
        </w:rPr>
        <w:t>Retia Revany</w:t>
      </w:r>
      <w:r w:rsidR="008B0110">
        <w:rPr>
          <w:rFonts w:ascii="Times New Roman" w:eastAsia="Times New Roman" w:hAnsi="Times New Roman" w:cs="Times New Roman"/>
          <w:color w:val="000000"/>
          <w:sz w:val="22"/>
          <w:szCs w:val="22"/>
          <w:lang w:val="en-ID"/>
        </w:rPr>
        <w:t>,</w:t>
      </w:r>
      <w:r w:rsidRPr="004846F4">
        <w:rPr>
          <w:rFonts w:ascii="Times New Roman" w:hAnsi="Times New Roman" w:cs="Times New Roman"/>
        </w:rPr>
        <w:t xml:space="preserve"> Qonita Sinatria, Aisyah Qurota A’yun, Hafizh Raihan Jayanegara</w:t>
      </w:r>
      <w:r w:rsidR="008B0110">
        <w:rPr>
          <w:rFonts w:ascii="Times New Roman" w:hAnsi="Times New Roman" w:cs="Times New Roman"/>
        </w:rPr>
        <w:t xml:space="preserve">, </w:t>
      </w:r>
      <w:r w:rsidR="008B0110" w:rsidRPr="00223F84">
        <w:rPr>
          <w:rFonts w:ascii="Times New Roman" w:hAnsi="Times New Roman" w:cs="Times New Roman"/>
        </w:rPr>
        <w:t>Ainnur Widiastuti Khoirunnisa</w:t>
      </w:r>
    </w:p>
    <w:p w14:paraId="216491D1" w14:textId="77777777" w:rsidR="001464A3" w:rsidRDefault="001464A3" w:rsidP="003D18B8">
      <w:pPr>
        <w:jc w:val="both"/>
        <w:rPr>
          <w:rFonts w:ascii="Times New Roman" w:hAnsi="Times New Roman" w:cs="Times New Roman"/>
        </w:rPr>
      </w:pPr>
    </w:p>
    <w:p w14:paraId="0B7EE862" w14:textId="77777777" w:rsidR="001464A3" w:rsidRPr="008B0110" w:rsidRDefault="001464A3" w:rsidP="003D18B8">
      <w:pPr>
        <w:jc w:val="both"/>
        <w:rPr>
          <w:rFonts w:ascii="Times New Roman" w:hAnsi="Times New Roman" w:cs="Times New Roman"/>
          <w:b/>
          <w:color w:val="006FC0"/>
        </w:rPr>
      </w:pPr>
      <w:r w:rsidRPr="008B0110">
        <w:rPr>
          <w:rFonts w:ascii="Times New Roman" w:hAnsi="Times New Roman" w:cs="Times New Roman"/>
          <w:b/>
          <w:color w:val="006FC0"/>
        </w:rPr>
        <w:t>Reviewers</w:t>
      </w:r>
    </w:p>
    <w:p w14:paraId="1E22B590" w14:textId="77777777" w:rsidR="00E77133" w:rsidRPr="004846F4" w:rsidRDefault="00E77133" w:rsidP="003D18B8">
      <w:pPr>
        <w:jc w:val="both"/>
        <w:rPr>
          <w:rFonts w:ascii="Times New Roman" w:hAnsi="Times New Roman" w:cs="Times New Roman"/>
          <w:b/>
          <w:color w:val="006FC0"/>
          <w:sz w:val="22"/>
          <w:szCs w:val="22"/>
        </w:rPr>
      </w:pPr>
    </w:p>
    <w:tbl>
      <w:tblPr>
        <w:tblStyle w:val="TableGrid"/>
        <w:tblW w:w="0" w:type="auto"/>
        <w:tblLook w:val="04A0" w:firstRow="1" w:lastRow="0" w:firstColumn="1" w:lastColumn="0" w:noHBand="0" w:noVBand="1"/>
      </w:tblPr>
      <w:tblGrid>
        <w:gridCol w:w="3245"/>
        <w:gridCol w:w="3246"/>
        <w:gridCol w:w="3246"/>
      </w:tblGrid>
      <w:tr w:rsidR="001464A3" w14:paraId="1E04426E" w14:textId="77777777" w:rsidTr="001464A3">
        <w:tc>
          <w:tcPr>
            <w:tcW w:w="3245" w:type="dxa"/>
          </w:tcPr>
          <w:p w14:paraId="1650A6E2" w14:textId="22A0BB34" w:rsidR="001464A3" w:rsidRPr="001464A3" w:rsidRDefault="001464A3" w:rsidP="001464A3">
            <w:pPr>
              <w:jc w:val="center"/>
              <w:rPr>
                <w:rFonts w:ascii="Times New Roman" w:hAnsi="Times New Roman" w:cs="Times New Roman"/>
                <w:b/>
                <w:sz w:val="22"/>
                <w:szCs w:val="22"/>
              </w:rPr>
            </w:pPr>
            <w:r w:rsidRPr="001464A3">
              <w:rPr>
                <w:rFonts w:ascii="Times New Roman" w:hAnsi="Times New Roman" w:cs="Times New Roman"/>
                <w:b/>
                <w:sz w:val="22"/>
                <w:szCs w:val="22"/>
              </w:rPr>
              <w:t>Name</w:t>
            </w:r>
          </w:p>
        </w:tc>
        <w:tc>
          <w:tcPr>
            <w:tcW w:w="3246" w:type="dxa"/>
          </w:tcPr>
          <w:p w14:paraId="53DB76FD" w14:textId="2EBA40D0" w:rsidR="001464A3" w:rsidRPr="001464A3" w:rsidRDefault="001464A3" w:rsidP="001464A3">
            <w:pPr>
              <w:jc w:val="center"/>
              <w:rPr>
                <w:rFonts w:ascii="Times New Roman" w:hAnsi="Times New Roman" w:cs="Times New Roman"/>
              </w:rPr>
            </w:pPr>
            <w:r w:rsidRPr="001464A3">
              <w:rPr>
                <w:rFonts w:ascii="Times New Roman" w:hAnsi="Times New Roman" w:cs="Times New Roman"/>
                <w:b/>
                <w:sz w:val="22"/>
                <w:szCs w:val="22"/>
              </w:rPr>
              <w:t>Primary affiliation</w:t>
            </w:r>
          </w:p>
          <w:p w14:paraId="2F1EEE6A" w14:textId="77777777" w:rsidR="001464A3" w:rsidRPr="001464A3" w:rsidRDefault="001464A3" w:rsidP="001464A3">
            <w:pPr>
              <w:jc w:val="center"/>
              <w:rPr>
                <w:rFonts w:ascii="Times New Roman" w:hAnsi="Times New Roman" w:cs="Times New Roman"/>
                <w:b/>
                <w:sz w:val="22"/>
                <w:szCs w:val="22"/>
              </w:rPr>
            </w:pPr>
          </w:p>
        </w:tc>
        <w:tc>
          <w:tcPr>
            <w:tcW w:w="3246" w:type="dxa"/>
          </w:tcPr>
          <w:p w14:paraId="50AD28D5" w14:textId="1F703552" w:rsidR="001464A3" w:rsidRPr="001464A3" w:rsidRDefault="001464A3" w:rsidP="001464A3">
            <w:pPr>
              <w:jc w:val="center"/>
              <w:rPr>
                <w:rFonts w:ascii="Times New Roman" w:hAnsi="Times New Roman" w:cs="Times New Roman"/>
                <w:b/>
                <w:sz w:val="22"/>
                <w:szCs w:val="22"/>
              </w:rPr>
            </w:pPr>
            <w:r w:rsidRPr="001464A3">
              <w:rPr>
                <w:rFonts w:ascii="Times New Roman" w:hAnsi="Times New Roman" w:cs="Times New Roman"/>
                <w:b/>
                <w:sz w:val="22"/>
                <w:szCs w:val="22"/>
              </w:rPr>
              <w:t>Primary review responsibility</w:t>
            </w:r>
          </w:p>
        </w:tc>
      </w:tr>
      <w:tr w:rsidR="001464A3" w14:paraId="256FBC48" w14:textId="77777777" w:rsidTr="00F87F98">
        <w:tc>
          <w:tcPr>
            <w:tcW w:w="9737" w:type="dxa"/>
            <w:gridSpan w:val="3"/>
          </w:tcPr>
          <w:p w14:paraId="32D1607F" w14:textId="216D7437" w:rsidR="001464A3" w:rsidRPr="001464A3" w:rsidRDefault="00E77133" w:rsidP="003D18B8">
            <w:pPr>
              <w:jc w:val="both"/>
              <w:rPr>
                <w:rFonts w:ascii="Times New Roman" w:hAnsi="Times New Roman" w:cs="Times New Roman"/>
                <w:b/>
                <w:sz w:val="22"/>
                <w:szCs w:val="22"/>
              </w:rPr>
            </w:pPr>
            <w:r w:rsidRPr="00E77133">
              <w:rPr>
                <w:rFonts w:ascii="Times New Roman" w:hAnsi="Times New Roman" w:cs="Times New Roman"/>
                <w:b/>
                <w:sz w:val="22"/>
                <w:szCs w:val="22"/>
              </w:rPr>
              <w:t>Peer Review</w:t>
            </w:r>
          </w:p>
        </w:tc>
      </w:tr>
      <w:tr w:rsidR="001464A3" w14:paraId="5C1D51C1" w14:textId="77777777" w:rsidTr="001464A3">
        <w:tc>
          <w:tcPr>
            <w:tcW w:w="3245" w:type="dxa"/>
          </w:tcPr>
          <w:p w14:paraId="4A96EF52" w14:textId="70625FC8" w:rsidR="001464A3" w:rsidRPr="003F65B8" w:rsidRDefault="00E77133"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Liana Talaue McManus</w:t>
            </w:r>
          </w:p>
        </w:tc>
        <w:tc>
          <w:tcPr>
            <w:tcW w:w="3246" w:type="dxa"/>
          </w:tcPr>
          <w:p w14:paraId="1B67FC7A" w14:textId="09F8CED6" w:rsidR="001464A3" w:rsidRPr="003F65B8" w:rsidRDefault="00F04385"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Independent Marine Science &amp; Policy Consultant</w:t>
            </w:r>
            <w:r w:rsidRPr="003F65B8">
              <w:rPr>
                <w:rFonts w:ascii="Times New Roman" w:hAnsi="Times New Roman" w:cs="Times New Roman"/>
                <w:bCs/>
                <w:sz w:val="22"/>
                <w:szCs w:val="22"/>
              </w:rPr>
              <w:br/>
              <w:t>SCS SAP Project TDA-SAP Lead</w:t>
            </w:r>
          </w:p>
        </w:tc>
        <w:tc>
          <w:tcPr>
            <w:tcW w:w="3246" w:type="dxa"/>
          </w:tcPr>
          <w:p w14:paraId="7F4D8612" w14:textId="0CFABB87" w:rsidR="001464A3" w:rsidRPr="003F65B8" w:rsidRDefault="001464A3" w:rsidP="003D18B8">
            <w:pPr>
              <w:jc w:val="both"/>
              <w:rPr>
                <w:rFonts w:ascii="Times New Roman" w:hAnsi="Times New Roman" w:cs="Times New Roman"/>
                <w:bCs/>
                <w:color w:val="006FC0"/>
                <w:sz w:val="22"/>
                <w:szCs w:val="22"/>
              </w:rPr>
            </w:pPr>
          </w:p>
        </w:tc>
      </w:tr>
      <w:tr w:rsidR="001464A3" w14:paraId="42A689F6" w14:textId="77777777" w:rsidTr="001464A3">
        <w:tc>
          <w:tcPr>
            <w:tcW w:w="3245" w:type="dxa"/>
          </w:tcPr>
          <w:p w14:paraId="6BD644A2" w14:textId="24BF4561" w:rsidR="001464A3" w:rsidRPr="003F65B8" w:rsidRDefault="003F65B8"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Vo Si Tuan</w:t>
            </w:r>
          </w:p>
        </w:tc>
        <w:tc>
          <w:tcPr>
            <w:tcW w:w="3246" w:type="dxa"/>
          </w:tcPr>
          <w:p w14:paraId="1613EDCB" w14:textId="7C928B1B" w:rsidR="001464A3" w:rsidRPr="003F65B8" w:rsidRDefault="00E906E4"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UNEP/GEF Implementing the Strategic Action Programme for the South China Sea</w:t>
            </w:r>
          </w:p>
        </w:tc>
        <w:tc>
          <w:tcPr>
            <w:tcW w:w="3246" w:type="dxa"/>
          </w:tcPr>
          <w:p w14:paraId="159650CD" w14:textId="1CEF780E" w:rsidR="001464A3" w:rsidRPr="003F65B8" w:rsidRDefault="00E906E4"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Regional Science Coordinator</w:t>
            </w:r>
          </w:p>
        </w:tc>
      </w:tr>
      <w:tr w:rsidR="003F65B8" w14:paraId="6FBB9E17" w14:textId="77777777" w:rsidTr="001464A3">
        <w:tc>
          <w:tcPr>
            <w:tcW w:w="3245" w:type="dxa"/>
          </w:tcPr>
          <w:p w14:paraId="7CFBD163" w14:textId="653B8C13" w:rsidR="003F65B8" w:rsidRPr="003F65B8" w:rsidRDefault="003F65B8"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Megan Patricia KNIGHT</w:t>
            </w:r>
            <w:r w:rsidRPr="003F65B8">
              <w:rPr>
                <w:rFonts w:ascii="Times New Roman" w:hAnsi="Times New Roman" w:cs="Times New Roman"/>
                <w:b/>
                <w:bCs/>
                <w:color w:val="006FC0"/>
                <w:sz w:val="22"/>
                <w:szCs w:val="22"/>
                <w:lang w:val="en-ID"/>
              </w:rPr>
              <w:t> </w:t>
            </w:r>
          </w:p>
        </w:tc>
        <w:tc>
          <w:tcPr>
            <w:tcW w:w="3246" w:type="dxa"/>
          </w:tcPr>
          <w:p w14:paraId="639CB1A2" w14:textId="6292A478" w:rsidR="003F65B8" w:rsidRPr="003F65B8" w:rsidRDefault="00F04385"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UNEP/GEF Implementing the Strategic Action Programme for the South China Sea</w:t>
            </w:r>
          </w:p>
        </w:tc>
        <w:tc>
          <w:tcPr>
            <w:tcW w:w="3246" w:type="dxa"/>
          </w:tcPr>
          <w:p w14:paraId="4FD92C05" w14:textId="77777777" w:rsidR="00F04385" w:rsidRPr="00F04385" w:rsidRDefault="00F04385" w:rsidP="00F04385">
            <w:pPr>
              <w:jc w:val="both"/>
              <w:rPr>
                <w:rFonts w:ascii="Times New Roman" w:hAnsi="Times New Roman" w:cs="Times New Roman"/>
                <w:bCs/>
                <w:sz w:val="22"/>
                <w:szCs w:val="22"/>
                <w:lang w:val="en-ID"/>
              </w:rPr>
            </w:pPr>
            <w:r w:rsidRPr="00F04385">
              <w:rPr>
                <w:rFonts w:ascii="Times New Roman" w:hAnsi="Times New Roman" w:cs="Times New Roman"/>
                <w:bCs/>
                <w:sz w:val="22"/>
                <w:szCs w:val="22"/>
                <w:lang w:val="en-ID"/>
              </w:rPr>
              <w:t>International Environmental and Natural Resources Specialist</w:t>
            </w:r>
          </w:p>
          <w:p w14:paraId="0D5778A2" w14:textId="6E8E424E" w:rsidR="003F65B8" w:rsidRPr="003F65B8" w:rsidRDefault="003F65B8" w:rsidP="003D18B8">
            <w:pPr>
              <w:jc w:val="both"/>
              <w:rPr>
                <w:rFonts w:ascii="Times New Roman" w:hAnsi="Times New Roman" w:cs="Times New Roman"/>
                <w:bCs/>
                <w:sz w:val="22"/>
                <w:szCs w:val="22"/>
              </w:rPr>
            </w:pPr>
          </w:p>
        </w:tc>
      </w:tr>
      <w:tr w:rsidR="00F04385" w14:paraId="7D7A597D" w14:textId="77777777" w:rsidTr="001464A3">
        <w:tc>
          <w:tcPr>
            <w:tcW w:w="3245" w:type="dxa"/>
          </w:tcPr>
          <w:p w14:paraId="741CD281" w14:textId="59C7FD6E" w:rsidR="00F04385" w:rsidRPr="00F04385" w:rsidRDefault="00F04385" w:rsidP="003D18B8">
            <w:pPr>
              <w:jc w:val="both"/>
              <w:rPr>
                <w:rFonts w:ascii="Times New Roman" w:hAnsi="Times New Roman" w:cs="Times New Roman"/>
                <w:bCs/>
                <w:sz w:val="22"/>
                <w:szCs w:val="22"/>
              </w:rPr>
            </w:pPr>
            <w:r w:rsidRPr="00F04385">
              <w:rPr>
                <w:rFonts w:ascii="Times New Roman" w:hAnsi="Times New Roman" w:cs="Times New Roman"/>
                <w:bCs/>
                <w:sz w:val="22"/>
                <w:szCs w:val="22"/>
              </w:rPr>
              <w:t>Gil Suico JACINTO</w:t>
            </w:r>
          </w:p>
        </w:tc>
        <w:tc>
          <w:tcPr>
            <w:tcW w:w="3246" w:type="dxa"/>
          </w:tcPr>
          <w:p w14:paraId="10C48F09" w14:textId="390ED2AD" w:rsidR="00F04385" w:rsidRPr="003F65B8" w:rsidRDefault="00F04385" w:rsidP="003D18B8">
            <w:pPr>
              <w:jc w:val="both"/>
              <w:rPr>
                <w:rFonts w:ascii="Times New Roman" w:hAnsi="Times New Roman" w:cs="Times New Roman"/>
                <w:bCs/>
                <w:sz w:val="22"/>
                <w:szCs w:val="22"/>
              </w:rPr>
            </w:pPr>
            <w:r w:rsidRPr="00F04385">
              <w:rPr>
                <w:rFonts w:ascii="Times New Roman" w:hAnsi="Times New Roman" w:cs="Times New Roman"/>
                <w:bCs/>
                <w:sz w:val="22"/>
                <w:szCs w:val="22"/>
              </w:rPr>
              <w:t>The Marine Science Institute, University of the Philippines Diliman</w:t>
            </w:r>
          </w:p>
        </w:tc>
        <w:tc>
          <w:tcPr>
            <w:tcW w:w="3246" w:type="dxa"/>
          </w:tcPr>
          <w:p w14:paraId="5FAFFC99" w14:textId="3080B475" w:rsidR="00F04385" w:rsidRPr="003F65B8" w:rsidRDefault="00E906E4" w:rsidP="003D18B8">
            <w:pPr>
              <w:jc w:val="both"/>
              <w:rPr>
                <w:rFonts w:ascii="Times New Roman" w:hAnsi="Times New Roman" w:cs="Times New Roman"/>
                <w:bCs/>
                <w:sz w:val="22"/>
                <w:szCs w:val="22"/>
              </w:rPr>
            </w:pPr>
            <w:r w:rsidRPr="00F04385">
              <w:rPr>
                <w:rFonts w:ascii="Times New Roman" w:hAnsi="Times New Roman" w:cs="Times New Roman"/>
                <w:bCs/>
                <w:sz w:val="22"/>
                <w:szCs w:val="22"/>
              </w:rPr>
              <w:t>Marine Science</w:t>
            </w:r>
            <w:r>
              <w:rPr>
                <w:rFonts w:ascii="Times New Roman" w:hAnsi="Times New Roman" w:cs="Times New Roman"/>
                <w:bCs/>
                <w:sz w:val="22"/>
                <w:szCs w:val="22"/>
              </w:rPr>
              <w:t xml:space="preserve"> (LbP)</w:t>
            </w:r>
          </w:p>
        </w:tc>
      </w:tr>
      <w:tr w:rsidR="00F04385" w14:paraId="41E630C5" w14:textId="77777777" w:rsidTr="001464A3">
        <w:tc>
          <w:tcPr>
            <w:tcW w:w="3245" w:type="dxa"/>
          </w:tcPr>
          <w:p w14:paraId="7991C0E0" w14:textId="6BFD1E0E" w:rsidR="00F04385" w:rsidRPr="00F04385" w:rsidRDefault="00F04385" w:rsidP="003D18B8">
            <w:pPr>
              <w:jc w:val="both"/>
              <w:rPr>
                <w:rFonts w:ascii="Times New Roman" w:hAnsi="Times New Roman" w:cs="Times New Roman"/>
                <w:bCs/>
                <w:sz w:val="22"/>
                <w:szCs w:val="22"/>
              </w:rPr>
            </w:pPr>
            <w:r w:rsidRPr="00F04385">
              <w:rPr>
                <w:rFonts w:ascii="Times New Roman" w:hAnsi="Times New Roman" w:cs="Times New Roman"/>
                <w:bCs/>
                <w:sz w:val="22"/>
                <w:szCs w:val="22"/>
              </w:rPr>
              <w:t>Anders Faaborg POULSEN</w:t>
            </w:r>
          </w:p>
        </w:tc>
        <w:tc>
          <w:tcPr>
            <w:tcW w:w="3246" w:type="dxa"/>
          </w:tcPr>
          <w:p w14:paraId="67A13B2C" w14:textId="6F1BFC0E" w:rsidR="00F04385" w:rsidRPr="003F65B8" w:rsidRDefault="00F04385"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UNEP/GEF Implementing the Strategic Action Programme for the South China Sea</w:t>
            </w:r>
          </w:p>
        </w:tc>
        <w:tc>
          <w:tcPr>
            <w:tcW w:w="3246" w:type="dxa"/>
          </w:tcPr>
          <w:p w14:paraId="2F67F31B" w14:textId="6E5D03F2" w:rsidR="00F04385" w:rsidRPr="003F65B8" w:rsidRDefault="00F04385" w:rsidP="003D18B8">
            <w:pPr>
              <w:jc w:val="both"/>
              <w:rPr>
                <w:rFonts w:ascii="Times New Roman" w:hAnsi="Times New Roman" w:cs="Times New Roman"/>
                <w:bCs/>
                <w:sz w:val="22"/>
                <w:szCs w:val="22"/>
              </w:rPr>
            </w:pPr>
            <w:r w:rsidRPr="00F04385">
              <w:rPr>
                <w:rFonts w:ascii="Times New Roman" w:hAnsi="Times New Roman" w:cs="Times New Roman"/>
                <w:bCs/>
                <w:sz w:val="22"/>
                <w:szCs w:val="22"/>
              </w:rPr>
              <w:t>Senior Project Manager</w:t>
            </w:r>
          </w:p>
        </w:tc>
      </w:tr>
      <w:tr w:rsidR="00F04385" w14:paraId="75ECC917" w14:textId="77777777" w:rsidTr="001464A3">
        <w:tc>
          <w:tcPr>
            <w:tcW w:w="3245" w:type="dxa"/>
          </w:tcPr>
          <w:p w14:paraId="696AEAF8" w14:textId="564C2724" w:rsidR="00F04385" w:rsidRPr="00F04385" w:rsidRDefault="00F04385" w:rsidP="003D18B8">
            <w:pPr>
              <w:jc w:val="both"/>
              <w:rPr>
                <w:rFonts w:ascii="Times New Roman" w:hAnsi="Times New Roman" w:cs="Times New Roman"/>
                <w:bCs/>
                <w:sz w:val="22"/>
                <w:szCs w:val="22"/>
              </w:rPr>
            </w:pPr>
            <w:r w:rsidRPr="00F04385">
              <w:rPr>
                <w:rFonts w:ascii="Times New Roman" w:hAnsi="Times New Roman" w:cs="Times New Roman"/>
                <w:bCs/>
                <w:sz w:val="22"/>
                <w:szCs w:val="22"/>
              </w:rPr>
              <w:t>Somboon SIRIRAKSOPHON</w:t>
            </w:r>
          </w:p>
        </w:tc>
        <w:tc>
          <w:tcPr>
            <w:tcW w:w="3246" w:type="dxa"/>
          </w:tcPr>
          <w:p w14:paraId="45C50B07" w14:textId="202F0935" w:rsidR="00F04385" w:rsidRPr="003F65B8" w:rsidRDefault="00F04385" w:rsidP="003D18B8">
            <w:pPr>
              <w:jc w:val="both"/>
              <w:rPr>
                <w:rFonts w:ascii="Times New Roman" w:hAnsi="Times New Roman" w:cs="Times New Roman"/>
                <w:bCs/>
                <w:sz w:val="22"/>
                <w:szCs w:val="22"/>
              </w:rPr>
            </w:pPr>
            <w:r w:rsidRPr="00F04385">
              <w:rPr>
                <w:rFonts w:ascii="Times New Roman" w:hAnsi="Times New Roman" w:cs="Times New Roman"/>
                <w:bCs/>
                <w:sz w:val="22"/>
                <w:szCs w:val="22"/>
              </w:rPr>
              <w:t>SEAFDEC/UNEP/GEF Fisheries. Refugia</w:t>
            </w:r>
          </w:p>
        </w:tc>
        <w:tc>
          <w:tcPr>
            <w:tcW w:w="3246" w:type="dxa"/>
          </w:tcPr>
          <w:p w14:paraId="3344EAB4" w14:textId="0162B084" w:rsidR="00F04385" w:rsidRPr="003F65B8" w:rsidRDefault="00F04385" w:rsidP="003D18B8">
            <w:pPr>
              <w:jc w:val="both"/>
              <w:rPr>
                <w:rFonts w:ascii="Times New Roman" w:hAnsi="Times New Roman" w:cs="Times New Roman"/>
                <w:bCs/>
                <w:sz w:val="22"/>
                <w:szCs w:val="22"/>
              </w:rPr>
            </w:pPr>
            <w:r w:rsidRPr="00F04385">
              <w:rPr>
                <w:rFonts w:ascii="Times New Roman" w:hAnsi="Times New Roman" w:cs="Times New Roman"/>
                <w:bCs/>
                <w:sz w:val="22"/>
                <w:szCs w:val="22"/>
              </w:rPr>
              <w:t>Project Director of the SEAFDEC/UNEP/GEF Fisheries. Refugia</w:t>
            </w:r>
          </w:p>
        </w:tc>
      </w:tr>
      <w:tr w:rsidR="001464A3" w14:paraId="1D7B9717" w14:textId="77777777" w:rsidTr="001464A3">
        <w:tc>
          <w:tcPr>
            <w:tcW w:w="3245" w:type="dxa"/>
          </w:tcPr>
          <w:p w14:paraId="0A0772C5" w14:textId="39705314" w:rsidR="001464A3" w:rsidRPr="003F65B8" w:rsidRDefault="003F65B8"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Reynaldo F Molina</w:t>
            </w:r>
          </w:p>
        </w:tc>
        <w:tc>
          <w:tcPr>
            <w:tcW w:w="3246" w:type="dxa"/>
          </w:tcPr>
          <w:p w14:paraId="5ACA9F38" w14:textId="5DADB966" w:rsidR="001464A3" w:rsidRPr="003F65B8" w:rsidRDefault="00F04385" w:rsidP="003D18B8">
            <w:pPr>
              <w:jc w:val="both"/>
              <w:rPr>
                <w:rFonts w:ascii="Times New Roman" w:hAnsi="Times New Roman" w:cs="Times New Roman"/>
                <w:bCs/>
                <w:sz w:val="22"/>
                <w:szCs w:val="22"/>
              </w:rPr>
            </w:pPr>
            <w:r w:rsidRPr="003F65B8">
              <w:rPr>
                <w:rFonts w:ascii="Times New Roman" w:hAnsi="Times New Roman" w:cs="Times New Roman"/>
                <w:bCs/>
                <w:sz w:val="22"/>
                <w:szCs w:val="22"/>
              </w:rPr>
              <w:t>UNEP/GEF Implementing the Strategic Action Programme for the South China Sea</w:t>
            </w:r>
          </w:p>
        </w:tc>
        <w:tc>
          <w:tcPr>
            <w:tcW w:w="3246" w:type="dxa"/>
          </w:tcPr>
          <w:p w14:paraId="2A4B1544" w14:textId="6CAE6E72" w:rsidR="001464A3" w:rsidRDefault="00F04385" w:rsidP="003D18B8">
            <w:pPr>
              <w:jc w:val="both"/>
              <w:rPr>
                <w:rFonts w:ascii="Times New Roman" w:hAnsi="Times New Roman" w:cs="Times New Roman"/>
                <w:b/>
                <w:color w:val="006FC0"/>
                <w:sz w:val="22"/>
                <w:szCs w:val="22"/>
              </w:rPr>
            </w:pPr>
            <w:r w:rsidRPr="003F65B8">
              <w:rPr>
                <w:rFonts w:ascii="Times New Roman" w:hAnsi="Times New Roman" w:cs="Times New Roman"/>
                <w:bCs/>
                <w:sz w:val="22"/>
                <w:szCs w:val="22"/>
              </w:rPr>
              <w:t>Project Management Support Specialist</w:t>
            </w:r>
          </w:p>
        </w:tc>
      </w:tr>
    </w:tbl>
    <w:p w14:paraId="2AA116A8" w14:textId="61DA370D" w:rsidR="001464A3" w:rsidRPr="004846F4" w:rsidRDefault="001464A3" w:rsidP="003D18B8">
      <w:pPr>
        <w:jc w:val="both"/>
        <w:rPr>
          <w:rFonts w:ascii="Times New Roman" w:hAnsi="Times New Roman" w:cs="Times New Roman"/>
          <w:b/>
          <w:color w:val="006FC0"/>
          <w:sz w:val="22"/>
          <w:szCs w:val="22"/>
        </w:rPr>
      </w:pPr>
    </w:p>
    <w:p w14:paraId="29691D5B" w14:textId="7B4996ED" w:rsidR="003F65B8" w:rsidRPr="003F65B8" w:rsidRDefault="003F65B8" w:rsidP="003F65B8">
      <w:pPr>
        <w:rPr>
          <w:rFonts w:ascii="Times New Roman" w:hAnsi="Times New Roman" w:cs="Times New Roman"/>
          <w:b/>
          <w:color w:val="006FC0"/>
          <w:sz w:val="22"/>
          <w:szCs w:val="22"/>
          <w:lang w:val="en-ID"/>
        </w:rPr>
      </w:pPr>
    </w:p>
    <w:tbl>
      <w:tblPr>
        <w:tblW w:w="0" w:type="dxa"/>
        <w:shd w:val="clear" w:color="auto" w:fill="FFFFFF"/>
        <w:tblCellMar>
          <w:left w:w="0" w:type="dxa"/>
          <w:right w:w="0" w:type="dxa"/>
        </w:tblCellMar>
        <w:tblLook w:val="04A0" w:firstRow="1" w:lastRow="0" w:firstColumn="1" w:lastColumn="0" w:noHBand="0" w:noVBand="1"/>
      </w:tblPr>
      <w:tblGrid>
        <w:gridCol w:w="8098"/>
      </w:tblGrid>
      <w:tr w:rsidR="003F65B8" w:rsidRPr="003F65B8" w14:paraId="1CB58AB8" w14:textId="77777777">
        <w:tc>
          <w:tcPr>
            <w:tcW w:w="8098" w:type="dxa"/>
            <w:shd w:val="clear" w:color="auto" w:fill="FFFFFF"/>
            <w:noWrap/>
            <w:hideMark/>
          </w:tcPr>
          <w:p w14:paraId="20594B96" w14:textId="77777777" w:rsidR="003F65B8" w:rsidRPr="003F65B8" w:rsidRDefault="003F65B8" w:rsidP="003F65B8">
            <w:pPr>
              <w:rPr>
                <w:rFonts w:ascii="Times New Roman" w:hAnsi="Times New Roman" w:cs="Times New Roman"/>
                <w:b/>
                <w:color w:val="006FC0"/>
                <w:sz w:val="22"/>
                <w:szCs w:val="22"/>
                <w:lang w:val="en-ID"/>
              </w:rPr>
            </w:pPr>
          </w:p>
        </w:tc>
      </w:tr>
    </w:tbl>
    <w:p w14:paraId="386CDB38" w14:textId="77777777" w:rsidR="00E77133" w:rsidRDefault="00E77133" w:rsidP="00882782">
      <w:pPr>
        <w:rPr>
          <w:rFonts w:ascii="Times New Roman" w:hAnsi="Times New Roman" w:cs="Times New Roman"/>
          <w:b/>
          <w:color w:val="006FC0"/>
        </w:rPr>
      </w:pPr>
      <w:r w:rsidRPr="008B0110">
        <w:rPr>
          <w:rFonts w:ascii="Times New Roman" w:hAnsi="Times New Roman" w:cs="Times New Roman"/>
          <w:b/>
          <w:color w:val="006FC0"/>
        </w:rPr>
        <w:t xml:space="preserve">Feedback </w:t>
      </w:r>
    </w:p>
    <w:p w14:paraId="6C8D5E4D" w14:textId="77777777" w:rsidR="008B0110" w:rsidRPr="008B0110" w:rsidRDefault="008B0110" w:rsidP="00882782">
      <w:pPr>
        <w:rPr>
          <w:rFonts w:ascii="Times New Roman" w:hAnsi="Times New Roman" w:cs="Times New Roman"/>
          <w:b/>
          <w:color w:val="006FC0"/>
        </w:rPr>
      </w:pPr>
    </w:p>
    <w:tbl>
      <w:tblPr>
        <w:tblStyle w:val="TableGrid"/>
        <w:tblW w:w="9776" w:type="dxa"/>
        <w:tblLook w:val="04A0" w:firstRow="1" w:lastRow="0" w:firstColumn="1" w:lastColumn="0" w:noHBand="0" w:noVBand="1"/>
      </w:tblPr>
      <w:tblGrid>
        <w:gridCol w:w="2263"/>
        <w:gridCol w:w="3246"/>
        <w:gridCol w:w="4267"/>
      </w:tblGrid>
      <w:tr w:rsidR="00E77133" w14:paraId="6101DB11" w14:textId="77777777" w:rsidTr="00F04385">
        <w:tc>
          <w:tcPr>
            <w:tcW w:w="2263" w:type="dxa"/>
          </w:tcPr>
          <w:p w14:paraId="6C12529F" w14:textId="5AE764F8" w:rsidR="00E77133" w:rsidRPr="00E77133" w:rsidRDefault="00E77133" w:rsidP="00E77133">
            <w:pPr>
              <w:jc w:val="center"/>
              <w:rPr>
                <w:rFonts w:ascii="Times New Roman" w:hAnsi="Times New Roman" w:cs="Times New Roman"/>
                <w:b/>
                <w:sz w:val="22"/>
                <w:szCs w:val="22"/>
              </w:rPr>
            </w:pPr>
            <w:r w:rsidRPr="00E77133">
              <w:rPr>
                <w:rFonts w:ascii="Times New Roman" w:hAnsi="Times New Roman" w:cs="Times New Roman"/>
                <w:b/>
                <w:sz w:val="22"/>
                <w:szCs w:val="22"/>
              </w:rPr>
              <w:t>Key Dates</w:t>
            </w:r>
          </w:p>
        </w:tc>
        <w:tc>
          <w:tcPr>
            <w:tcW w:w="3246" w:type="dxa"/>
          </w:tcPr>
          <w:p w14:paraId="15F89174" w14:textId="090D7D5D" w:rsidR="00E77133" w:rsidRPr="00E77133" w:rsidRDefault="00E77133" w:rsidP="00E77133">
            <w:pPr>
              <w:jc w:val="center"/>
              <w:rPr>
                <w:rFonts w:ascii="Times New Roman" w:hAnsi="Times New Roman" w:cs="Times New Roman"/>
                <w:b/>
                <w:sz w:val="22"/>
                <w:szCs w:val="22"/>
              </w:rPr>
            </w:pPr>
            <w:r w:rsidRPr="00E77133">
              <w:rPr>
                <w:rFonts w:ascii="Times New Roman" w:hAnsi="Times New Roman" w:cs="Times New Roman"/>
                <w:b/>
                <w:sz w:val="22"/>
                <w:szCs w:val="22"/>
              </w:rPr>
              <w:t>Milestone Output</w:t>
            </w:r>
          </w:p>
        </w:tc>
        <w:tc>
          <w:tcPr>
            <w:tcW w:w="4267" w:type="dxa"/>
          </w:tcPr>
          <w:p w14:paraId="7BF0D3FF" w14:textId="0505F35D" w:rsidR="00E77133" w:rsidRPr="00E77133" w:rsidRDefault="00E77133" w:rsidP="00E77133">
            <w:pPr>
              <w:jc w:val="center"/>
              <w:rPr>
                <w:rFonts w:ascii="Times New Roman" w:hAnsi="Times New Roman" w:cs="Times New Roman"/>
                <w:b/>
                <w:sz w:val="22"/>
                <w:szCs w:val="22"/>
              </w:rPr>
            </w:pPr>
            <w:r w:rsidRPr="00E77133">
              <w:rPr>
                <w:rFonts w:ascii="Times New Roman" w:hAnsi="Times New Roman" w:cs="Times New Roman"/>
                <w:b/>
                <w:sz w:val="22"/>
                <w:szCs w:val="22"/>
              </w:rPr>
              <w:t>Porpose</w:t>
            </w:r>
          </w:p>
        </w:tc>
      </w:tr>
      <w:tr w:rsidR="00E77133" w14:paraId="72D56BFA" w14:textId="77777777" w:rsidTr="00F04385">
        <w:tc>
          <w:tcPr>
            <w:tcW w:w="2263" w:type="dxa"/>
          </w:tcPr>
          <w:p w14:paraId="1F3DF7B7" w14:textId="27F8BBF3" w:rsidR="00E77133" w:rsidRPr="00C81CFF" w:rsidRDefault="00E77133" w:rsidP="00882782">
            <w:pPr>
              <w:rPr>
                <w:rFonts w:ascii="Times New Roman" w:hAnsi="Times New Roman" w:cs="Times New Roman"/>
                <w:bCs/>
                <w:sz w:val="22"/>
                <w:szCs w:val="22"/>
              </w:rPr>
            </w:pPr>
            <w:r w:rsidRPr="00C81CFF">
              <w:rPr>
                <w:rFonts w:ascii="Times New Roman" w:hAnsi="Times New Roman" w:cs="Times New Roman"/>
                <w:bCs/>
                <w:sz w:val="22"/>
                <w:szCs w:val="22"/>
              </w:rPr>
              <w:t>October 30, 2025</w:t>
            </w:r>
          </w:p>
        </w:tc>
        <w:tc>
          <w:tcPr>
            <w:tcW w:w="3246" w:type="dxa"/>
          </w:tcPr>
          <w:p w14:paraId="2754E779" w14:textId="5752B1E1" w:rsidR="00E77133" w:rsidRPr="00C81CFF" w:rsidRDefault="00E77133" w:rsidP="00882782">
            <w:pPr>
              <w:rPr>
                <w:rFonts w:ascii="Times New Roman" w:hAnsi="Times New Roman" w:cs="Times New Roman"/>
                <w:bCs/>
                <w:sz w:val="22"/>
                <w:szCs w:val="22"/>
              </w:rPr>
            </w:pPr>
            <w:r w:rsidRPr="00C81CFF">
              <w:rPr>
                <w:rFonts w:ascii="Times New Roman" w:hAnsi="Times New Roman" w:cs="Times New Roman"/>
                <w:bCs/>
                <w:sz w:val="22"/>
                <w:szCs w:val="22"/>
              </w:rPr>
              <w:t>Upload of 1</w:t>
            </w:r>
            <w:r w:rsidRPr="00C81CFF">
              <w:rPr>
                <w:rFonts w:ascii="Times New Roman" w:hAnsi="Times New Roman" w:cs="Times New Roman"/>
                <w:bCs/>
                <w:sz w:val="22"/>
                <w:szCs w:val="22"/>
                <w:vertAlign w:val="superscript"/>
              </w:rPr>
              <w:t>st</w:t>
            </w:r>
            <w:r w:rsidRPr="00C81CFF">
              <w:rPr>
                <w:rFonts w:ascii="Times New Roman" w:hAnsi="Times New Roman" w:cs="Times New Roman"/>
                <w:bCs/>
                <w:sz w:val="22"/>
                <w:szCs w:val="22"/>
              </w:rPr>
              <w:t xml:space="preserve"> version of Complete TDA Report</w:t>
            </w:r>
          </w:p>
        </w:tc>
        <w:tc>
          <w:tcPr>
            <w:tcW w:w="4267" w:type="dxa"/>
          </w:tcPr>
          <w:p w14:paraId="7F40C513" w14:textId="193341E1" w:rsidR="00E77133" w:rsidRPr="00C81CFF" w:rsidRDefault="00E77133" w:rsidP="00882782">
            <w:pPr>
              <w:rPr>
                <w:rFonts w:ascii="Times New Roman" w:hAnsi="Times New Roman" w:cs="Times New Roman"/>
                <w:bCs/>
                <w:sz w:val="22"/>
                <w:szCs w:val="22"/>
              </w:rPr>
            </w:pPr>
            <w:r w:rsidRPr="00C81CFF">
              <w:rPr>
                <w:rFonts w:ascii="Times New Roman" w:hAnsi="Times New Roman" w:cs="Times New Roman"/>
                <w:bCs/>
                <w:sz w:val="22"/>
                <w:szCs w:val="22"/>
              </w:rPr>
              <w:t>Substantive eveluation by TDA-SAP Team for integration to and comparation with the LME-scale Regional TDA Report</w:t>
            </w:r>
          </w:p>
        </w:tc>
      </w:tr>
      <w:tr w:rsidR="00C81CFF" w14:paraId="2B1C495B" w14:textId="77777777" w:rsidTr="00F04385">
        <w:tc>
          <w:tcPr>
            <w:tcW w:w="2263" w:type="dxa"/>
          </w:tcPr>
          <w:p w14:paraId="009C3C40" w14:textId="75C71937" w:rsidR="00C81CFF" w:rsidRPr="00C81CFF" w:rsidRDefault="00C81CFF" w:rsidP="00C81CFF">
            <w:pPr>
              <w:rPr>
                <w:rFonts w:ascii="Times New Roman" w:hAnsi="Times New Roman" w:cs="Times New Roman"/>
                <w:bCs/>
                <w:sz w:val="22"/>
                <w:szCs w:val="22"/>
              </w:rPr>
            </w:pPr>
            <w:r w:rsidRPr="00C81CFF">
              <w:rPr>
                <w:rFonts w:ascii="Times New Roman" w:hAnsi="Times New Roman" w:cs="Times New Roman"/>
                <w:bCs/>
                <w:sz w:val="22"/>
                <w:szCs w:val="22"/>
              </w:rPr>
              <w:t>November 30, 2025</w:t>
            </w:r>
          </w:p>
        </w:tc>
        <w:tc>
          <w:tcPr>
            <w:tcW w:w="3246" w:type="dxa"/>
          </w:tcPr>
          <w:p w14:paraId="04C0226B" w14:textId="272648B1" w:rsidR="00C81CFF" w:rsidRPr="00C81CFF" w:rsidRDefault="00C81CFF" w:rsidP="00C81CFF">
            <w:pPr>
              <w:rPr>
                <w:rFonts w:ascii="Times New Roman" w:hAnsi="Times New Roman" w:cs="Times New Roman"/>
                <w:bCs/>
                <w:sz w:val="22"/>
                <w:szCs w:val="22"/>
              </w:rPr>
            </w:pPr>
            <w:r w:rsidRPr="00C81CFF">
              <w:rPr>
                <w:rFonts w:ascii="Times New Roman" w:hAnsi="Times New Roman" w:cs="Times New Roman"/>
                <w:bCs/>
                <w:sz w:val="22"/>
                <w:szCs w:val="22"/>
              </w:rPr>
              <w:t>Upload of 2</w:t>
            </w:r>
            <w:r w:rsidRPr="00C81CFF">
              <w:rPr>
                <w:rFonts w:ascii="Times New Roman" w:hAnsi="Times New Roman" w:cs="Times New Roman"/>
                <w:bCs/>
                <w:sz w:val="22"/>
                <w:szCs w:val="22"/>
                <w:vertAlign w:val="superscript"/>
              </w:rPr>
              <w:t>sd</w:t>
            </w:r>
            <w:r w:rsidRPr="00C81CFF">
              <w:rPr>
                <w:rFonts w:ascii="Times New Roman" w:hAnsi="Times New Roman" w:cs="Times New Roman"/>
                <w:bCs/>
                <w:sz w:val="22"/>
                <w:szCs w:val="22"/>
              </w:rPr>
              <w:t xml:space="preserve"> version of Complete TDA Report</w:t>
            </w:r>
          </w:p>
        </w:tc>
        <w:tc>
          <w:tcPr>
            <w:tcW w:w="4267" w:type="dxa"/>
          </w:tcPr>
          <w:p w14:paraId="59F51B11" w14:textId="7B90CAA7" w:rsidR="00C81CFF" w:rsidRPr="00C81CFF" w:rsidRDefault="00C81CFF" w:rsidP="00C81CFF">
            <w:pPr>
              <w:rPr>
                <w:rFonts w:ascii="Times New Roman" w:hAnsi="Times New Roman" w:cs="Times New Roman"/>
                <w:bCs/>
                <w:sz w:val="22"/>
                <w:szCs w:val="22"/>
              </w:rPr>
            </w:pPr>
            <w:r w:rsidRPr="00C81CFF">
              <w:rPr>
                <w:rFonts w:ascii="Times New Roman" w:hAnsi="Times New Roman" w:cs="Times New Roman"/>
                <w:bCs/>
                <w:sz w:val="22"/>
                <w:szCs w:val="22"/>
              </w:rPr>
              <w:t xml:space="preserve">For circulation to Jan 2026 Meeting Participants </w:t>
            </w:r>
          </w:p>
        </w:tc>
      </w:tr>
      <w:tr w:rsidR="00C81CFF" w14:paraId="476219E7" w14:textId="77777777" w:rsidTr="00F04385">
        <w:tc>
          <w:tcPr>
            <w:tcW w:w="2263" w:type="dxa"/>
          </w:tcPr>
          <w:p w14:paraId="1EB9C041" w14:textId="07481A09" w:rsidR="00C81CFF" w:rsidRPr="00C81CFF" w:rsidRDefault="00C81CFF" w:rsidP="00C81CFF">
            <w:pPr>
              <w:rPr>
                <w:rFonts w:ascii="Times New Roman" w:hAnsi="Times New Roman" w:cs="Times New Roman"/>
                <w:bCs/>
                <w:sz w:val="22"/>
                <w:szCs w:val="22"/>
              </w:rPr>
            </w:pPr>
            <w:r w:rsidRPr="00C81CFF">
              <w:rPr>
                <w:rFonts w:ascii="Times New Roman" w:hAnsi="Times New Roman" w:cs="Times New Roman"/>
                <w:bCs/>
                <w:sz w:val="22"/>
                <w:szCs w:val="22"/>
              </w:rPr>
              <w:t>December 5, 2025</w:t>
            </w:r>
          </w:p>
        </w:tc>
        <w:tc>
          <w:tcPr>
            <w:tcW w:w="3246" w:type="dxa"/>
          </w:tcPr>
          <w:p w14:paraId="57113489" w14:textId="622A6F2D" w:rsidR="00C81CFF" w:rsidRPr="00C81CFF" w:rsidRDefault="00C81CFF" w:rsidP="00C81CFF">
            <w:pPr>
              <w:rPr>
                <w:rFonts w:ascii="Times New Roman" w:hAnsi="Times New Roman" w:cs="Times New Roman"/>
                <w:bCs/>
                <w:sz w:val="22"/>
                <w:szCs w:val="22"/>
              </w:rPr>
            </w:pPr>
            <w:r w:rsidRPr="00C81CFF">
              <w:rPr>
                <w:rFonts w:ascii="Times New Roman" w:hAnsi="Times New Roman" w:cs="Times New Roman"/>
                <w:bCs/>
                <w:sz w:val="22"/>
                <w:szCs w:val="22"/>
              </w:rPr>
              <w:t xml:space="preserve">Distribution od TDA Report to January 2026 Meeting Participant </w:t>
            </w:r>
          </w:p>
        </w:tc>
        <w:tc>
          <w:tcPr>
            <w:tcW w:w="4267" w:type="dxa"/>
          </w:tcPr>
          <w:p w14:paraId="6D57B0FF" w14:textId="77777777" w:rsidR="00C81CFF" w:rsidRPr="00C81CFF" w:rsidRDefault="00C81CFF" w:rsidP="00C81CFF">
            <w:pPr>
              <w:pStyle w:val="ListParagraph"/>
              <w:numPr>
                <w:ilvl w:val="0"/>
                <w:numId w:val="150"/>
              </w:numPr>
              <w:ind w:left="346"/>
              <w:rPr>
                <w:rFonts w:ascii="Times New Roman" w:hAnsi="Times New Roman" w:cs="Times New Roman"/>
                <w:bCs/>
                <w:sz w:val="22"/>
                <w:szCs w:val="22"/>
              </w:rPr>
            </w:pPr>
            <w:r w:rsidRPr="00C81CFF">
              <w:rPr>
                <w:rFonts w:ascii="Times New Roman" w:hAnsi="Times New Roman" w:cs="Times New Roman"/>
                <w:bCs/>
                <w:sz w:val="22"/>
                <w:szCs w:val="22"/>
              </w:rPr>
              <w:t xml:space="preserve">Initial review by Project RSTC if TDA Report are project-compliant. RSTC to </w:t>
            </w:r>
            <w:r w:rsidRPr="00C81CFF">
              <w:rPr>
                <w:rFonts w:ascii="Times New Roman" w:hAnsi="Times New Roman" w:cs="Times New Roman"/>
                <w:bCs/>
                <w:sz w:val="22"/>
                <w:szCs w:val="22"/>
              </w:rPr>
              <w:lastRenderedPageBreak/>
              <w:t>define technical review process of TDA report as GEF sponsored publication</w:t>
            </w:r>
          </w:p>
          <w:p w14:paraId="4150D25A" w14:textId="198B6A5D" w:rsidR="00C81CFF" w:rsidRPr="00C81CFF" w:rsidRDefault="00C81CFF" w:rsidP="00C81CFF">
            <w:pPr>
              <w:pStyle w:val="ListParagraph"/>
              <w:numPr>
                <w:ilvl w:val="0"/>
                <w:numId w:val="150"/>
              </w:numPr>
              <w:ind w:left="346"/>
              <w:rPr>
                <w:rFonts w:ascii="Times New Roman" w:hAnsi="Times New Roman" w:cs="Times New Roman"/>
                <w:bCs/>
                <w:sz w:val="22"/>
                <w:szCs w:val="22"/>
              </w:rPr>
            </w:pPr>
            <w:r w:rsidRPr="00C81CFF">
              <w:rPr>
                <w:rFonts w:ascii="Times New Roman" w:hAnsi="Times New Roman" w:cs="Times New Roman"/>
                <w:bCs/>
                <w:sz w:val="22"/>
                <w:szCs w:val="22"/>
              </w:rPr>
              <w:t xml:space="preserve">Initial scoping of recommendation action by the RWG Economic Valuation </w:t>
            </w:r>
          </w:p>
          <w:p w14:paraId="4A194B14" w14:textId="695700B1" w:rsidR="00C81CFF" w:rsidRPr="00C81CFF" w:rsidRDefault="00C81CFF" w:rsidP="00C81CFF">
            <w:pPr>
              <w:rPr>
                <w:rFonts w:ascii="Times New Roman" w:hAnsi="Times New Roman" w:cs="Times New Roman"/>
                <w:bCs/>
                <w:sz w:val="22"/>
                <w:szCs w:val="22"/>
              </w:rPr>
            </w:pPr>
          </w:p>
        </w:tc>
      </w:tr>
      <w:tr w:rsidR="00C81CFF" w14:paraId="0BB29A0A" w14:textId="77777777" w:rsidTr="00F04385">
        <w:tc>
          <w:tcPr>
            <w:tcW w:w="2263" w:type="dxa"/>
          </w:tcPr>
          <w:p w14:paraId="45118FA0" w14:textId="3B6A3DA2" w:rsidR="00C81CFF" w:rsidRPr="00C81CFF" w:rsidRDefault="00C81CFF" w:rsidP="00C81CFF">
            <w:pPr>
              <w:rPr>
                <w:rFonts w:ascii="Times New Roman" w:hAnsi="Times New Roman" w:cs="Times New Roman"/>
                <w:bCs/>
                <w:sz w:val="22"/>
                <w:szCs w:val="22"/>
              </w:rPr>
            </w:pPr>
            <w:r w:rsidRPr="00C81CFF">
              <w:rPr>
                <w:rFonts w:ascii="Times New Roman" w:hAnsi="Times New Roman" w:cs="Times New Roman"/>
                <w:bCs/>
                <w:sz w:val="22"/>
                <w:szCs w:val="22"/>
              </w:rPr>
              <w:lastRenderedPageBreak/>
              <w:t>January 19-23, 2026</w:t>
            </w:r>
          </w:p>
        </w:tc>
        <w:tc>
          <w:tcPr>
            <w:tcW w:w="3246" w:type="dxa"/>
          </w:tcPr>
          <w:p w14:paraId="4DBFB91A" w14:textId="6B0A761E" w:rsidR="00C81CFF" w:rsidRPr="00C81CFF" w:rsidRDefault="00C81CFF" w:rsidP="00C81CFF">
            <w:pPr>
              <w:rPr>
                <w:rFonts w:ascii="Times New Roman" w:hAnsi="Times New Roman" w:cs="Times New Roman"/>
                <w:bCs/>
                <w:sz w:val="22"/>
                <w:szCs w:val="22"/>
              </w:rPr>
            </w:pPr>
            <w:r w:rsidRPr="00C81CFF">
              <w:rPr>
                <w:rFonts w:ascii="Times New Roman" w:hAnsi="Times New Roman" w:cs="Times New Roman"/>
                <w:bCs/>
                <w:sz w:val="22"/>
                <w:szCs w:val="22"/>
              </w:rPr>
              <w:t>Project Meeting</w:t>
            </w:r>
          </w:p>
        </w:tc>
        <w:tc>
          <w:tcPr>
            <w:tcW w:w="4267" w:type="dxa"/>
          </w:tcPr>
          <w:p w14:paraId="067A81AD" w14:textId="77777777" w:rsidR="00C81CFF" w:rsidRPr="00C81CFF" w:rsidRDefault="00C81CFF" w:rsidP="00C81CFF">
            <w:pPr>
              <w:pStyle w:val="ListParagraph"/>
              <w:numPr>
                <w:ilvl w:val="0"/>
                <w:numId w:val="150"/>
              </w:numPr>
              <w:ind w:left="346"/>
              <w:rPr>
                <w:rFonts w:ascii="Times New Roman" w:hAnsi="Times New Roman" w:cs="Times New Roman"/>
                <w:bCs/>
                <w:sz w:val="22"/>
                <w:szCs w:val="22"/>
              </w:rPr>
            </w:pPr>
            <w:r w:rsidRPr="00C81CFF">
              <w:rPr>
                <w:rFonts w:ascii="Times New Roman" w:hAnsi="Times New Roman" w:cs="Times New Roman"/>
                <w:bCs/>
                <w:sz w:val="22"/>
                <w:szCs w:val="22"/>
              </w:rPr>
              <w:t>Presentation of National and Regional TDA report</w:t>
            </w:r>
          </w:p>
          <w:p w14:paraId="567B6E3D" w14:textId="77777777" w:rsidR="00C81CFF" w:rsidRPr="00C81CFF" w:rsidRDefault="00C81CFF" w:rsidP="00C81CFF">
            <w:pPr>
              <w:pStyle w:val="ListParagraph"/>
              <w:numPr>
                <w:ilvl w:val="0"/>
                <w:numId w:val="150"/>
              </w:numPr>
              <w:ind w:left="346"/>
              <w:rPr>
                <w:rFonts w:ascii="Times New Roman" w:hAnsi="Times New Roman" w:cs="Times New Roman"/>
                <w:bCs/>
                <w:sz w:val="22"/>
                <w:szCs w:val="22"/>
              </w:rPr>
            </w:pPr>
            <w:r w:rsidRPr="00C81CFF">
              <w:rPr>
                <w:rFonts w:ascii="Times New Roman" w:hAnsi="Times New Roman" w:cs="Times New Roman"/>
                <w:bCs/>
                <w:sz w:val="22"/>
                <w:szCs w:val="22"/>
              </w:rPr>
              <w:t>RSTC Meeting to evaluate TDA report for project compliance and to define technical review process</w:t>
            </w:r>
          </w:p>
          <w:p w14:paraId="4F2CFB54" w14:textId="5BB517A2" w:rsidR="00C81CFF" w:rsidRPr="00C81CFF" w:rsidRDefault="00C81CFF" w:rsidP="00C81CFF">
            <w:pPr>
              <w:pStyle w:val="ListParagraph"/>
              <w:numPr>
                <w:ilvl w:val="0"/>
                <w:numId w:val="150"/>
              </w:numPr>
              <w:ind w:left="346"/>
              <w:rPr>
                <w:rFonts w:ascii="Times New Roman" w:hAnsi="Times New Roman" w:cs="Times New Roman"/>
                <w:bCs/>
                <w:sz w:val="22"/>
                <w:szCs w:val="22"/>
              </w:rPr>
            </w:pPr>
            <w:r w:rsidRPr="00C81CFF">
              <w:rPr>
                <w:rFonts w:ascii="Times New Roman" w:hAnsi="Times New Roman" w:cs="Times New Roman"/>
                <w:bCs/>
                <w:sz w:val="22"/>
                <w:szCs w:val="22"/>
              </w:rPr>
              <w:t xml:space="preserve">RWG economic Valuation to recommended valuation template to identify NET BENEFITS of ACTION and NET COSTS on INACTION as bases to prioritizing recommended action that will comprise the SAP at national and LME </w:t>
            </w:r>
            <w:r w:rsidR="00A32930" w:rsidRPr="00C81CFF">
              <w:rPr>
                <w:rFonts w:ascii="Times New Roman" w:hAnsi="Times New Roman" w:cs="Times New Roman"/>
                <w:bCs/>
                <w:sz w:val="22"/>
                <w:szCs w:val="22"/>
              </w:rPr>
              <w:t>scales</w:t>
            </w:r>
          </w:p>
        </w:tc>
      </w:tr>
    </w:tbl>
    <w:p w14:paraId="6A70A571" w14:textId="00F13176" w:rsidR="00A315BC" w:rsidRPr="00543661" w:rsidRDefault="00882782" w:rsidP="00FD2540">
      <w:pPr>
        <w:jc w:val="center"/>
        <w:rPr>
          <w:rFonts w:ascii="Times New Roman" w:hAnsi="Times New Roman" w:cs="Times New Roman"/>
          <w:color w:val="0070C0"/>
          <w:sz w:val="32"/>
          <w:szCs w:val="32"/>
        </w:rPr>
      </w:pPr>
      <w:r>
        <w:rPr>
          <w:rFonts w:ascii="Times New Roman" w:hAnsi="Times New Roman" w:cs="Times New Roman"/>
          <w:b/>
          <w:color w:val="006FC0"/>
          <w:sz w:val="22"/>
          <w:szCs w:val="22"/>
        </w:rPr>
        <w:br w:type="page"/>
      </w:r>
      <w:bookmarkStart w:id="2" w:name="_Toc216438877"/>
      <w:r w:rsidR="00A315BC" w:rsidRPr="00543661">
        <w:rPr>
          <w:rFonts w:ascii="Times New Roman" w:hAnsi="Times New Roman" w:cs="Times New Roman"/>
          <w:color w:val="0070C0"/>
          <w:sz w:val="32"/>
          <w:szCs w:val="32"/>
        </w:rPr>
        <w:lastRenderedPageBreak/>
        <w:t>Preface</w:t>
      </w:r>
      <w:bookmarkEnd w:id="2"/>
    </w:p>
    <w:p w14:paraId="7E87C247" w14:textId="77777777" w:rsidR="00A315BC" w:rsidRPr="00796862" w:rsidRDefault="00A315BC" w:rsidP="00A315BC">
      <w:pPr>
        <w:jc w:val="both"/>
        <w:rPr>
          <w:rFonts w:ascii="Times New Roman" w:hAnsi="Times New Roman" w:cs="Times New Roman"/>
          <w:sz w:val="22"/>
          <w:szCs w:val="22"/>
          <w:lang w:val="en-ID"/>
        </w:rPr>
      </w:pPr>
    </w:p>
    <w:p w14:paraId="04B01D26" w14:textId="77777777" w:rsidR="00E30AFB" w:rsidRPr="003F541B" w:rsidRDefault="00E30AFB" w:rsidP="00E30AFB">
      <w:pPr>
        <w:jc w:val="both"/>
        <w:rPr>
          <w:rFonts w:ascii="Times New Roman" w:hAnsi="Times New Roman" w:cs="Times New Roman"/>
          <w:sz w:val="22"/>
          <w:szCs w:val="22"/>
          <w:lang w:val="en-ID"/>
        </w:rPr>
      </w:pPr>
      <w:r w:rsidRPr="003F541B">
        <w:rPr>
          <w:rFonts w:ascii="Times New Roman" w:hAnsi="Times New Roman" w:cs="Times New Roman"/>
          <w:sz w:val="22"/>
          <w:szCs w:val="22"/>
          <w:lang w:val="en-ID"/>
        </w:rPr>
        <w:t>This Transboundary Diagnostic Analysis (TDA) Report has been prepared as an official national submission under the United Nations Environment Programme/Global Environment Facility (UNEP/GEF) Project: Implementing the Strategic Action Programme for the South China Sea and Gulf of Thailand (SCS SAP). The Report constitutes a fundamental component of the regional undertaking to systematically identify, assess, and prioritize environmental issues of transboundary concern, with particular focus on socio-economic dimensions, critical coastal and marine ecosystems, land-based pollution, fisheries, and governance.</w:t>
      </w:r>
    </w:p>
    <w:p w14:paraId="735AFA91" w14:textId="77777777" w:rsidR="00E30AFB" w:rsidRPr="003F541B" w:rsidRDefault="00E30AFB" w:rsidP="00E30AFB">
      <w:pPr>
        <w:jc w:val="both"/>
        <w:rPr>
          <w:rFonts w:ascii="Times New Roman" w:hAnsi="Times New Roman" w:cs="Times New Roman"/>
          <w:sz w:val="22"/>
          <w:szCs w:val="22"/>
          <w:lang w:val="en-ID"/>
        </w:rPr>
      </w:pPr>
    </w:p>
    <w:p w14:paraId="044B7C9F" w14:textId="77777777" w:rsidR="00E30AFB" w:rsidRPr="003F541B" w:rsidRDefault="00E30AFB" w:rsidP="00E30AFB">
      <w:pPr>
        <w:jc w:val="both"/>
        <w:rPr>
          <w:rFonts w:ascii="Times New Roman" w:hAnsi="Times New Roman" w:cs="Times New Roman"/>
          <w:sz w:val="22"/>
          <w:szCs w:val="22"/>
          <w:lang w:val="en-ID"/>
        </w:rPr>
      </w:pPr>
      <w:r w:rsidRPr="003F541B">
        <w:rPr>
          <w:rFonts w:ascii="Times New Roman" w:hAnsi="Times New Roman" w:cs="Times New Roman"/>
          <w:sz w:val="22"/>
          <w:szCs w:val="22"/>
          <w:lang w:val="en-ID"/>
        </w:rPr>
        <w:t>In accordance with established international methodologies, the TDA presents a comprehensive and scientifically substantiated assessment of the condition and trends of key ecosystems—mangroves, coral reefs, seagrass beds, and wetlands and evaluates the immediate and underlying drivers contributing to their degradation. The analysis further addresses the socio-economic implications associated with the use and management of coastal and marine resources, including impacts on livelihoods, economic activities, and community resilience.</w:t>
      </w:r>
    </w:p>
    <w:p w14:paraId="5EF8A19F" w14:textId="77777777" w:rsidR="00E30AFB" w:rsidRPr="003F541B" w:rsidRDefault="00E30AFB" w:rsidP="00E30AFB">
      <w:pPr>
        <w:jc w:val="both"/>
        <w:rPr>
          <w:rFonts w:ascii="Times New Roman" w:hAnsi="Times New Roman" w:cs="Times New Roman"/>
          <w:sz w:val="22"/>
          <w:szCs w:val="22"/>
          <w:lang w:val="en-ID"/>
        </w:rPr>
      </w:pPr>
    </w:p>
    <w:p w14:paraId="035D4401" w14:textId="77777777" w:rsidR="00E30AFB" w:rsidRPr="003F541B" w:rsidRDefault="00E30AFB" w:rsidP="00E30AFB">
      <w:pPr>
        <w:jc w:val="both"/>
        <w:rPr>
          <w:rFonts w:ascii="Times New Roman" w:hAnsi="Times New Roman" w:cs="Times New Roman"/>
          <w:sz w:val="22"/>
          <w:szCs w:val="22"/>
          <w:lang w:val="en-ID"/>
        </w:rPr>
      </w:pPr>
      <w:r w:rsidRPr="003F541B">
        <w:rPr>
          <w:rFonts w:ascii="Times New Roman" w:hAnsi="Times New Roman" w:cs="Times New Roman"/>
          <w:sz w:val="22"/>
          <w:szCs w:val="22"/>
          <w:lang w:val="en-ID"/>
        </w:rPr>
        <w:t>The Report additionally examines the scope and severity of pollution, with emphasis on land-based sources, including solid and liquid waste, nutrient enrichment, and industrial and agricultural discharges that affect coastal water quality and ecosystem health. The status of fisheries resources is analysed in relation to overexploitation, habitat loss, and transboundary stock dynamics, highlighting the need for strengthened management measures and collaborative approaches. Furthermore, the TDA evaluates existing governance frameworks, regulatory instruments, institutional capacities, and cross-sectoral coordination mechanisms that influence the effectiveness of national and regional marine environmental management efforts.</w:t>
      </w:r>
    </w:p>
    <w:p w14:paraId="2C069BC7" w14:textId="77777777" w:rsidR="00E30AFB" w:rsidRPr="003F541B" w:rsidRDefault="00E30AFB" w:rsidP="00E30AFB">
      <w:pPr>
        <w:jc w:val="both"/>
        <w:rPr>
          <w:rFonts w:ascii="Times New Roman" w:hAnsi="Times New Roman" w:cs="Times New Roman"/>
          <w:sz w:val="22"/>
          <w:szCs w:val="22"/>
          <w:lang w:val="en-ID"/>
        </w:rPr>
      </w:pPr>
    </w:p>
    <w:p w14:paraId="1492EABA" w14:textId="77777777" w:rsidR="00E30AFB" w:rsidRPr="003F541B" w:rsidRDefault="00E30AFB" w:rsidP="00E30AFB">
      <w:pPr>
        <w:jc w:val="both"/>
        <w:rPr>
          <w:rFonts w:ascii="Times New Roman" w:hAnsi="Times New Roman" w:cs="Times New Roman"/>
          <w:sz w:val="22"/>
          <w:szCs w:val="22"/>
          <w:lang w:val="en-ID"/>
        </w:rPr>
      </w:pPr>
      <w:r w:rsidRPr="003F541B">
        <w:rPr>
          <w:rFonts w:ascii="Times New Roman" w:hAnsi="Times New Roman" w:cs="Times New Roman"/>
          <w:sz w:val="22"/>
          <w:szCs w:val="22"/>
          <w:lang w:val="en-ID"/>
        </w:rPr>
        <w:t>The preparation of this Report has been made possible through the sustained cooperation and technical contributions of national institutions, government authorities, academic and scientific bodies, and relevant stakeholders. Their inputs have been essential to ensuring the accuracy, completeness, and policy relevance of the analyses and findings presented.</w:t>
      </w:r>
    </w:p>
    <w:p w14:paraId="63439558" w14:textId="77777777" w:rsidR="00E30AFB" w:rsidRPr="003F541B" w:rsidRDefault="00E30AFB" w:rsidP="00E30AFB">
      <w:pPr>
        <w:jc w:val="both"/>
        <w:rPr>
          <w:rFonts w:ascii="Times New Roman" w:hAnsi="Times New Roman" w:cs="Times New Roman"/>
          <w:sz w:val="22"/>
          <w:szCs w:val="22"/>
          <w:lang w:val="en-ID"/>
        </w:rPr>
      </w:pPr>
      <w:r w:rsidRPr="003F541B">
        <w:rPr>
          <w:rFonts w:ascii="Times New Roman" w:hAnsi="Times New Roman" w:cs="Times New Roman"/>
          <w:sz w:val="22"/>
          <w:szCs w:val="22"/>
          <w:lang w:val="en-ID"/>
        </w:rPr>
        <w:t>It is anticipated that the outcomes of this TDA will provide a robust basis for evidence-based decision-making, promote enhanced regional coordination, and support the coherent and effective implementation of national and regional commitments under the SCS SAP. The continued commitment of all participating countries remains vital to safeguarding the ecological integrity and ensuring the long-term sustainability of the shared marine and coastal resources of the South China Sea and the Gulf of Thailand.</w:t>
      </w:r>
    </w:p>
    <w:p w14:paraId="32C53E84" w14:textId="77777777" w:rsidR="00E30AFB" w:rsidRPr="003F541B" w:rsidRDefault="00E30AFB" w:rsidP="00E30AFB">
      <w:pPr>
        <w:jc w:val="both"/>
        <w:rPr>
          <w:rFonts w:ascii="Times New Roman" w:hAnsi="Times New Roman" w:cs="Times New Roman"/>
          <w:sz w:val="22"/>
          <w:szCs w:val="22"/>
          <w:lang w:val="en-ID"/>
        </w:rPr>
      </w:pPr>
    </w:p>
    <w:p w14:paraId="6F4C4BE3" w14:textId="53FC16DC" w:rsidR="005D336D" w:rsidRDefault="00E30AFB" w:rsidP="00E30AFB">
      <w:pPr>
        <w:rPr>
          <w:rFonts w:ascii="Times New Roman" w:hAnsi="Times New Roman" w:cs="Times New Roman"/>
          <w:sz w:val="22"/>
          <w:szCs w:val="22"/>
        </w:rPr>
      </w:pPr>
      <w:r w:rsidRPr="003F541B">
        <w:rPr>
          <w:rFonts w:ascii="Times New Roman" w:hAnsi="Times New Roman" w:cs="Times New Roman"/>
          <w:sz w:val="22"/>
          <w:szCs w:val="22"/>
          <w:lang w:val="en-ID"/>
        </w:rPr>
        <w:t xml:space="preserve">This Report reflects the analysis conducted by the author team as part of an assignment commissioned by the Ministry of Environment and coordinated by the Center for Coastal and Marine Ocean Resources Studies (PKSPL), IPB University. </w:t>
      </w:r>
      <w:r w:rsidR="005D336D">
        <w:rPr>
          <w:rFonts w:ascii="Times New Roman" w:hAnsi="Times New Roman" w:cs="Times New Roman"/>
          <w:sz w:val="22"/>
          <w:szCs w:val="22"/>
        </w:rPr>
        <w:br w:type="page"/>
      </w:r>
    </w:p>
    <w:p w14:paraId="202753BC" w14:textId="3E01118B" w:rsidR="005D336D" w:rsidRPr="00543661" w:rsidRDefault="005D336D" w:rsidP="00FD2540">
      <w:pPr>
        <w:pStyle w:val="Heading1"/>
        <w:jc w:val="center"/>
        <w:rPr>
          <w:rFonts w:ascii="Times New Roman" w:hAnsi="Times New Roman" w:cs="Times New Roman"/>
          <w:color w:val="0070C0"/>
          <w:sz w:val="32"/>
          <w:szCs w:val="32"/>
        </w:rPr>
      </w:pPr>
      <w:bookmarkStart w:id="3" w:name="_Toc216438878"/>
      <w:bookmarkStart w:id="4" w:name="_Toc217297532"/>
      <w:r w:rsidRPr="00543661">
        <w:rPr>
          <w:rFonts w:ascii="Times New Roman" w:hAnsi="Times New Roman" w:cs="Times New Roman"/>
          <w:color w:val="0070C0"/>
          <w:sz w:val="32"/>
          <w:szCs w:val="32"/>
        </w:rPr>
        <w:lastRenderedPageBreak/>
        <w:t>Acronyms</w:t>
      </w:r>
      <w:bookmarkEnd w:id="3"/>
      <w:bookmarkEnd w:id="4"/>
    </w:p>
    <w:p w14:paraId="746D547D" w14:textId="10B2FF83" w:rsidR="00882782" w:rsidRPr="00882782" w:rsidRDefault="00882782" w:rsidP="00882782">
      <w:pPr>
        <w:jc w:val="center"/>
        <w:rPr>
          <w:rFonts w:ascii="Times New Roman" w:hAnsi="Times New Roman" w:cs="Times New Roman"/>
          <w:b/>
          <w:color w:val="006FC0"/>
          <w:sz w:val="22"/>
          <w:szCs w:val="22"/>
        </w:rPr>
      </w:pPr>
    </w:p>
    <w:p w14:paraId="32787185" w14:textId="77777777" w:rsidR="00882782" w:rsidRDefault="00882782" w:rsidP="00882782">
      <w:pPr>
        <w:jc w:val="center"/>
        <w:rPr>
          <w:rFonts w:ascii="Times New Roman" w:hAnsi="Times New Roman" w:cs="Times New Roman"/>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8"/>
        <w:gridCol w:w="278"/>
        <w:gridCol w:w="7051"/>
      </w:tblGrid>
      <w:tr w:rsidR="00882782" w:rsidRPr="00543661" w14:paraId="1B2D0399" w14:textId="77777777" w:rsidTr="00671D7D">
        <w:tc>
          <w:tcPr>
            <w:tcW w:w="0" w:type="auto"/>
            <w:hideMark/>
          </w:tcPr>
          <w:p w14:paraId="214F3C9E"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ALDFG</w:t>
            </w:r>
          </w:p>
        </w:tc>
        <w:tc>
          <w:tcPr>
            <w:tcW w:w="0" w:type="auto"/>
          </w:tcPr>
          <w:p w14:paraId="77D540F4"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4B29BC63"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Abandoned, Lost, or Discarded Fishing Gear. Fishing gear that is abandoned, lost, or discarded, is a transboundary issue and is prohibited from being dumped into the sea under KKP regulations.</w:t>
            </w:r>
          </w:p>
        </w:tc>
      </w:tr>
      <w:tr w:rsidR="00882782" w:rsidRPr="00543661" w14:paraId="4B754241" w14:textId="77777777" w:rsidTr="00671D7D">
        <w:tc>
          <w:tcPr>
            <w:tcW w:w="0" w:type="auto"/>
            <w:hideMark/>
          </w:tcPr>
          <w:p w14:paraId="28EFD20F"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B3</w:t>
            </w:r>
          </w:p>
        </w:tc>
        <w:tc>
          <w:tcPr>
            <w:tcW w:w="0" w:type="auto"/>
          </w:tcPr>
          <w:p w14:paraId="135A5C3F"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0C91ABB7"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Hazardous and Toxic Waste Materials (Bahan Berbahaya dan Beracun). Waste whose management is regulated by key legislation but faces critical challenges due to a lack of processing facilities across all regions.</w:t>
            </w:r>
          </w:p>
        </w:tc>
      </w:tr>
      <w:tr w:rsidR="00882782" w:rsidRPr="00543661" w14:paraId="5C292BD3" w14:textId="77777777" w:rsidTr="00671D7D">
        <w:tc>
          <w:tcPr>
            <w:tcW w:w="0" w:type="auto"/>
            <w:hideMark/>
          </w:tcPr>
          <w:p w14:paraId="6C7B88FC"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BAKAMLA</w:t>
            </w:r>
          </w:p>
        </w:tc>
        <w:tc>
          <w:tcPr>
            <w:tcW w:w="0" w:type="auto"/>
          </w:tcPr>
          <w:p w14:paraId="5A430F6D"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59B3A761"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Indonesian Maritime Security Agency (Badan Keamanan Laut Republik Indonesia). An agency involved in Indonesia's maritime governance, including handling Pollution and Illegal Fishing.</w:t>
            </w:r>
          </w:p>
        </w:tc>
      </w:tr>
      <w:tr w:rsidR="00882782" w:rsidRPr="00543661" w14:paraId="5670D684" w14:textId="77777777" w:rsidTr="00671D7D">
        <w:tc>
          <w:tcPr>
            <w:tcW w:w="0" w:type="auto"/>
            <w:hideMark/>
          </w:tcPr>
          <w:p w14:paraId="32831399"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BPS</w:t>
            </w:r>
          </w:p>
        </w:tc>
        <w:tc>
          <w:tcPr>
            <w:tcW w:w="0" w:type="auto"/>
          </w:tcPr>
          <w:p w14:paraId="6993952B"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5DCE827D"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Central Statistics Agency (Badan Pusat Statistik). The institution that is the source of Indonesia's economic statistical data, such as economic growth and GDP.</w:t>
            </w:r>
          </w:p>
        </w:tc>
      </w:tr>
      <w:tr w:rsidR="00882782" w:rsidRPr="00543661" w14:paraId="20C1DCBE" w14:textId="77777777" w:rsidTr="00671D7D">
        <w:tc>
          <w:tcPr>
            <w:tcW w:w="0" w:type="auto"/>
          </w:tcPr>
          <w:p w14:paraId="41E26F61"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COFA/Kemenko Pangan</w:t>
            </w:r>
          </w:p>
        </w:tc>
        <w:tc>
          <w:tcPr>
            <w:tcW w:w="0" w:type="auto"/>
          </w:tcPr>
          <w:p w14:paraId="26D7A585"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tcPr>
          <w:p w14:paraId="39F5AB85"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Coordinating Ministry of Food Affair (Kementerian Koordinator Urusan Pangan)</w:t>
            </w:r>
          </w:p>
        </w:tc>
      </w:tr>
      <w:tr w:rsidR="00882782" w:rsidRPr="00543661" w14:paraId="024E2E11" w14:textId="77777777" w:rsidTr="00671D7D">
        <w:tc>
          <w:tcPr>
            <w:tcW w:w="0" w:type="auto"/>
            <w:hideMark/>
          </w:tcPr>
          <w:p w14:paraId="483E2D2E"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CRDP</w:t>
            </w:r>
          </w:p>
        </w:tc>
        <w:tc>
          <w:tcPr>
            <w:tcW w:w="0" w:type="auto"/>
          </w:tcPr>
          <w:p w14:paraId="1458147B"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12167333"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Climate Resilience Development Policy. The 2020-2045 Climate Resilience Development Policy guiding Indonesia's national strategy.</w:t>
            </w:r>
          </w:p>
        </w:tc>
      </w:tr>
      <w:tr w:rsidR="00882782" w:rsidRPr="00543661" w14:paraId="20F03B02" w14:textId="77777777" w:rsidTr="00671D7D">
        <w:tc>
          <w:tcPr>
            <w:tcW w:w="0" w:type="auto"/>
            <w:hideMark/>
          </w:tcPr>
          <w:p w14:paraId="0C4A010B"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DKP</w:t>
            </w:r>
          </w:p>
        </w:tc>
        <w:tc>
          <w:tcPr>
            <w:tcW w:w="0" w:type="auto"/>
          </w:tcPr>
          <w:p w14:paraId="0E16C5B0"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1AAAAE5F"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Marine and Fisheries Agency (Dinas Kelautan dan Perikanan). A provincial-level body involved in marine resource management, including handling illegal fishing.</w:t>
            </w:r>
          </w:p>
        </w:tc>
      </w:tr>
      <w:tr w:rsidR="00882782" w:rsidRPr="00543661" w14:paraId="5D06A851" w14:textId="77777777" w:rsidTr="00671D7D">
        <w:tc>
          <w:tcPr>
            <w:tcW w:w="0" w:type="auto"/>
            <w:hideMark/>
          </w:tcPr>
          <w:p w14:paraId="3B14784F"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ETP Species</w:t>
            </w:r>
          </w:p>
        </w:tc>
        <w:tc>
          <w:tcPr>
            <w:tcW w:w="0" w:type="auto"/>
          </w:tcPr>
          <w:p w14:paraId="1B582FDA"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21308262"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Endangered, Threatened, and Protected Species. Species such as sea turtles, which are regulated through the KKP and KLH regulatory frameworks.</w:t>
            </w:r>
          </w:p>
        </w:tc>
      </w:tr>
      <w:tr w:rsidR="00882782" w:rsidRPr="00543661" w14:paraId="2AABC987" w14:textId="77777777" w:rsidTr="00671D7D">
        <w:tc>
          <w:tcPr>
            <w:tcW w:w="0" w:type="auto"/>
            <w:hideMark/>
          </w:tcPr>
          <w:p w14:paraId="63740689"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FADs</w:t>
            </w:r>
          </w:p>
        </w:tc>
        <w:tc>
          <w:tcPr>
            <w:tcW w:w="0" w:type="auto"/>
          </w:tcPr>
          <w:p w14:paraId="752BB12C"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2838EB68"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Fish Aggregating Devices. Devices used to aggregate fish, whose improper placement often occurs in Natuna waters.</w:t>
            </w:r>
          </w:p>
        </w:tc>
      </w:tr>
      <w:tr w:rsidR="00882782" w:rsidRPr="00543661" w14:paraId="5F60C26A" w14:textId="77777777" w:rsidTr="00671D7D">
        <w:tc>
          <w:tcPr>
            <w:tcW w:w="0" w:type="auto"/>
            <w:hideMark/>
          </w:tcPr>
          <w:p w14:paraId="1B5F043B"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GDP</w:t>
            </w:r>
          </w:p>
        </w:tc>
        <w:tc>
          <w:tcPr>
            <w:tcW w:w="0" w:type="auto"/>
          </w:tcPr>
          <w:p w14:paraId="27320A27"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45BC2EEB"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Gross Domestic Product. An indicator of economic growth. The maritime sector's contribution to Indonesia's total GDP averaged 7.93% during the 2020–2024 period.</w:t>
            </w:r>
          </w:p>
        </w:tc>
      </w:tr>
      <w:tr w:rsidR="00882782" w:rsidRPr="00543661" w14:paraId="5807D42B" w14:textId="77777777" w:rsidTr="00671D7D">
        <w:tc>
          <w:tcPr>
            <w:tcW w:w="0" w:type="auto"/>
          </w:tcPr>
          <w:p w14:paraId="1E0F3C91"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MHA/Kemendagri</w:t>
            </w:r>
          </w:p>
        </w:tc>
        <w:tc>
          <w:tcPr>
            <w:tcW w:w="0" w:type="auto"/>
          </w:tcPr>
          <w:p w14:paraId="49935B45"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tcPr>
          <w:p w14:paraId="352142AE"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Ministry of Home Affair/Kementerian Dalam Negeri (Kemendagri)</w:t>
            </w:r>
          </w:p>
        </w:tc>
      </w:tr>
      <w:tr w:rsidR="00882782" w:rsidRPr="00543661" w14:paraId="3D868B9E" w14:textId="77777777" w:rsidTr="00671D7D">
        <w:tc>
          <w:tcPr>
            <w:tcW w:w="0" w:type="auto"/>
            <w:hideMark/>
          </w:tcPr>
          <w:p w14:paraId="3F634FFC"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MOMAF/KKP</w:t>
            </w:r>
          </w:p>
        </w:tc>
        <w:tc>
          <w:tcPr>
            <w:tcW w:w="0" w:type="auto"/>
          </w:tcPr>
          <w:p w14:paraId="600052A2"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076EF3C3"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Ministry of Marine Affairs and Fisheries/Kementerian Kelautan dan Perikanan (KKP). The main Ministry involved in maritime governance, covering issues of Ecosystems, Climate Change, Fisheries, and the Blue Economy.</w:t>
            </w:r>
          </w:p>
          <w:p w14:paraId="468A2A53" w14:textId="77777777" w:rsidR="00882782" w:rsidRPr="00543661" w:rsidRDefault="00882782" w:rsidP="00671D7D">
            <w:pPr>
              <w:jc w:val="both"/>
              <w:rPr>
                <w:rFonts w:ascii="Times New Roman" w:hAnsi="Times New Roman" w:cs="Times New Roman"/>
                <w:sz w:val="22"/>
                <w:szCs w:val="22"/>
              </w:rPr>
            </w:pPr>
          </w:p>
        </w:tc>
      </w:tr>
      <w:tr w:rsidR="00882782" w:rsidRPr="00543661" w14:paraId="2B1B9639" w14:textId="77777777" w:rsidTr="00671D7D">
        <w:tc>
          <w:tcPr>
            <w:tcW w:w="0" w:type="auto"/>
          </w:tcPr>
          <w:p w14:paraId="6DA70197"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IMSA/BAKAMLA</w:t>
            </w:r>
          </w:p>
        </w:tc>
        <w:tc>
          <w:tcPr>
            <w:tcW w:w="0" w:type="auto"/>
          </w:tcPr>
          <w:p w14:paraId="3AF4EBDA"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tcPr>
          <w:p w14:paraId="6108D68C"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Indonesia Maritime Security Agency/Badan Keamanan Laut Nasional (Bakamla)</w:t>
            </w:r>
          </w:p>
        </w:tc>
      </w:tr>
      <w:tr w:rsidR="00882782" w:rsidRPr="00543661" w14:paraId="1944A22E" w14:textId="77777777" w:rsidTr="00671D7D">
        <w:tc>
          <w:tcPr>
            <w:tcW w:w="0" w:type="auto"/>
            <w:hideMark/>
          </w:tcPr>
          <w:p w14:paraId="5C5EC89F"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MOE/KLH</w:t>
            </w:r>
          </w:p>
        </w:tc>
        <w:tc>
          <w:tcPr>
            <w:tcW w:w="0" w:type="auto"/>
          </w:tcPr>
          <w:p w14:paraId="3B435347"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20DEAAA1"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Ministry of Environment/Kementerian Lingkungan Hidup (KLH). The Ministry involved in maritime governance, covering issues of Pollution, Ecosystem-Based Assessment, Climate Change, and Endangered Species.</w:t>
            </w:r>
          </w:p>
        </w:tc>
      </w:tr>
      <w:tr w:rsidR="00882782" w:rsidRPr="00543661" w14:paraId="74723F7E" w14:textId="77777777" w:rsidTr="00671D7D">
        <w:tc>
          <w:tcPr>
            <w:tcW w:w="0" w:type="auto"/>
          </w:tcPr>
          <w:p w14:paraId="790E8152"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MOEMR/ESDM</w:t>
            </w:r>
          </w:p>
        </w:tc>
        <w:tc>
          <w:tcPr>
            <w:tcW w:w="0" w:type="auto"/>
          </w:tcPr>
          <w:p w14:paraId="3C8412FC"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tcPr>
          <w:p w14:paraId="31D9327A"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Ministry of Energy and Mineral Resource/Kementerian Energi dan Sumberdaya  Mineral (ESDM)</w:t>
            </w:r>
          </w:p>
        </w:tc>
      </w:tr>
      <w:tr w:rsidR="00882782" w:rsidRPr="00543661" w14:paraId="7FC2B80C" w14:textId="77777777" w:rsidTr="00671D7D">
        <w:tc>
          <w:tcPr>
            <w:tcW w:w="0" w:type="auto"/>
          </w:tcPr>
          <w:p w14:paraId="5DFAC86C"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MOFA/Kemlu</w:t>
            </w:r>
          </w:p>
        </w:tc>
        <w:tc>
          <w:tcPr>
            <w:tcW w:w="0" w:type="auto"/>
          </w:tcPr>
          <w:p w14:paraId="78E7B69D"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tcPr>
          <w:p w14:paraId="6C55AE00"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Ministry of Foreign Affair/Kementerian Luar Negeri (Kemenlu)</w:t>
            </w:r>
          </w:p>
          <w:p w14:paraId="2E0137B4" w14:textId="77777777" w:rsidR="00882782" w:rsidRPr="00543661" w:rsidRDefault="00882782" w:rsidP="00671D7D">
            <w:pPr>
              <w:jc w:val="both"/>
              <w:rPr>
                <w:rFonts w:ascii="Times New Roman" w:hAnsi="Times New Roman" w:cs="Times New Roman"/>
                <w:sz w:val="22"/>
                <w:szCs w:val="22"/>
              </w:rPr>
            </w:pPr>
          </w:p>
        </w:tc>
      </w:tr>
      <w:tr w:rsidR="00882782" w:rsidRPr="00543661" w14:paraId="6ECF185E" w14:textId="77777777" w:rsidTr="00671D7D">
        <w:tc>
          <w:tcPr>
            <w:tcW w:w="0" w:type="auto"/>
          </w:tcPr>
          <w:p w14:paraId="6C1BA562"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MOIDI</w:t>
            </w:r>
          </w:p>
        </w:tc>
        <w:tc>
          <w:tcPr>
            <w:tcW w:w="0" w:type="auto"/>
          </w:tcPr>
          <w:p w14:paraId="7BA498B5"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tcPr>
          <w:p w14:paraId="74835E8C"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Ministry of Investment and Downstreaming Industry (Kementerian Investasi dan Hilirisasi Industri)</w:t>
            </w:r>
          </w:p>
        </w:tc>
      </w:tr>
      <w:tr w:rsidR="00882782" w:rsidRPr="00543661" w14:paraId="086CE00E" w14:textId="77777777" w:rsidTr="00671D7D">
        <w:tc>
          <w:tcPr>
            <w:tcW w:w="0" w:type="auto"/>
          </w:tcPr>
          <w:p w14:paraId="19E6C390"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MONDP/Bappenas</w:t>
            </w:r>
          </w:p>
        </w:tc>
        <w:tc>
          <w:tcPr>
            <w:tcW w:w="0" w:type="auto"/>
          </w:tcPr>
          <w:p w14:paraId="44E93711"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tcPr>
          <w:p w14:paraId="41F25327"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Ministry of Developing Planning/Badan Perencana Pembangunan Nasional (Bappenas)</w:t>
            </w:r>
          </w:p>
        </w:tc>
      </w:tr>
      <w:tr w:rsidR="00882782" w:rsidRPr="00543661" w14:paraId="0CD05C05" w14:textId="77777777" w:rsidTr="00671D7D">
        <w:tc>
          <w:tcPr>
            <w:tcW w:w="0" w:type="auto"/>
            <w:hideMark/>
          </w:tcPr>
          <w:p w14:paraId="53DC273E"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MOT/Kemenhub</w:t>
            </w:r>
          </w:p>
        </w:tc>
        <w:tc>
          <w:tcPr>
            <w:tcW w:w="0" w:type="auto"/>
          </w:tcPr>
          <w:p w14:paraId="3FDA4B2B"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34827BB3"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Ministry of Transportation (Kementerian Perhubungan). The Ministry is involved in maritime governance, particularly in Pollution/Transportation issues, and is the main coordinator for oil spill response.</w:t>
            </w:r>
          </w:p>
        </w:tc>
      </w:tr>
      <w:tr w:rsidR="00882782" w:rsidRPr="00543661" w14:paraId="33674FD4" w14:textId="77777777" w:rsidTr="00671D7D">
        <w:tc>
          <w:tcPr>
            <w:tcW w:w="0" w:type="auto"/>
          </w:tcPr>
          <w:p w14:paraId="3066E510"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MOTCE/Kemenparekraf</w:t>
            </w:r>
          </w:p>
        </w:tc>
        <w:tc>
          <w:tcPr>
            <w:tcW w:w="0" w:type="auto"/>
          </w:tcPr>
          <w:p w14:paraId="766E67F5"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tcPr>
          <w:p w14:paraId="04971758"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Ministry of Tourism and Creative Economy/Kementerian Pariwisata dan Ekonomi Kreatif (Kemenparekraf)</w:t>
            </w:r>
          </w:p>
        </w:tc>
      </w:tr>
      <w:tr w:rsidR="00882782" w:rsidRPr="00543661" w14:paraId="5AC15560" w14:textId="77777777" w:rsidTr="00671D7D">
        <w:trPr>
          <w:trHeight w:val="498"/>
        </w:trPr>
        <w:tc>
          <w:tcPr>
            <w:tcW w:w="0" w:type="auto"/>
            <w:hideMark/>
          </w:tcPr>
          <w:p w14:paraId="1D6E4F16"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lastRenderedPageBreak/>
              <w:t>MCS</w:t>
            </w:r>
          </w:p>
        </w:tc>
        <w:tc>
          <w:tcPr>
            <w:tcW w:w="0" w:type="auto"/>
          </w:tcPr>
          <w:p w14:paraId="2BDCB504"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4D1932DE"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 xml:space="preserve">Monitoring, Control, and Surveillance. Monitoring, control, and surveillance actions taken to manage fishery resources, such as addressing </w:t>
            </w:r>
            <w:r w:rsidRPr="00543661">
              <w:rPr>
                <w:rFonts w:ascii="Times New Roman" w:hAnsi="Times New Roman" w:cs="Times New Roman"/>
                <w:i/>
                <w:iCs/>
                <w:sz w:val="22"/>
                <w:szCs w:val="22"/>
              </w:rPr>
              <w:t>overfishing</w:t>
            </w:r>
            <w:r w:rsidRPr="00543661">
              <w:rPr>
                <w:rFonts w:ascii="Times New Roman" w:hAnsi="Times New Roman" w:cs="Times New Roman"/>
                <w:sz w:val="22"/>
                <w:szCs w:val="22"/>
              </w:rPr>
              <w:t xml:space="preserve"> in WPP 711.</w:t>
            </w:r>
          </w:p>
        </w:tc>
      </w:tr>
      <w:tr w:rsidR="00882782" w:rsidRPr="00543661" w14:paraId="767B7B36" w14:textId="77777777" w:rsidTr="00671D7D">
        <w:tc>
          <w:tcPr>
            <w:tcW w:w="0" w:type="auto"/>
            <w:hideMark/>
          </w:tcPr>
          <w:p w14:paraId="45F51ED7"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NDC</w:t>
            </w:r>
          </w:p>
        </w:tc>
        <w:tc>
          <w:tcPr>
            <w:tcW w:w="0" w:type="auto"/>
          </w:tcPr>
          <w:p w14:paraId="67ACE536"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6EE230EA"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Nationally Determined Contribution. Emission reduction target aligned with Indonesia's RPJMN, targeting a cumulative emission reduction of 30.1% by 2029.</w:t>
            </w:r>
          </w:p>
        </w:tc>
      </w:tr>
      <w:tr w:rsidR="00882782" w:rsidRPr="00543661" w14:paraId="3D37D23B" w14:textId="77777777" w:rsidTr="00671D7D">
        <w:tc>
          <w:tcPr>
            <w:tcW w:w="0" w:type="auto"/>
          </w:tcPr>
          <w:p w14:paraId="7A32D0B5"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PMRA/BRGM</w:t>
            </w:r>
          </w:p>
        </w:tc>
        <w:tc>
          <w:tcPr>
            <w:tcW w:w="0" w:type="auto"/>
          </w:tcPr>
          <w:p w14:paraId="0A7DA6F8"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tcPr>
          <w:p w14:paraId="117B2B46"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Peatland and Mangrove Rehabilitation Agency/Badan Restorasi Gambut dan Mangrove (BRGM)</w:t>
            </w:r>
          </w:p>
        </w:tc>
      </w:tr>
      <w:tr w:rsidR="00882782" w:rsidRPr="00543661" w14:paraId="0E05778C" w14:textId="77777777" w:rsidTr="00671D7D">
        <w:tc>
          <w:tcPr>
            <w:tcW w:w="0" w:type="auto"/>
            <w:hideMark/>
          </w:tcPr>
          <w:p w14:paraId="2188E4F2"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RPJMN</w:t>
            </w:r>
          </w:p>
        </w:tc>
        <w:tc>
          <w:tcPr>
            <w:tcW w:w="0" w:type="auto"/>
          </w:tcPr>
          <w:p w14:paraId="1BC3E4A5"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4527416B"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National Medium-Term Development Plan (Rencana Pembangunan Jangka Menengah Nasional). The development plan mandating low-carbon development for the 2025-2029 period.</w:t>
            </w:r>
          </w:p>
        </w:tc>
      </w:tr>
      <w:tr w:rsidR="00882782" w:rsidRPr="00543661" w14:paraId="58783011" w14:textId="77777777" w:rsidTr="00671D7D">
        <w:tc>
          <w:tcPr>
            <w:tcW w:w="0" w:type="auto"/>
            <w:hideMark/>
          </w:tcPr>
          <w:p w14:paraId="02C7E8E4"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SCS</w:t>
            </w:r>
          </w:p>
        </w:tc>
        <w:tc>
          <w:tcPr>
            <w:tcW w:w="0" w:type="auto"/>
          </w:tcPr>
          <w:p w14:paraId="4A3E1AB1"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4B92C40E"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South China Sea. Waters of strategic, geopolitical, and resource-rich importance where Indonesia's governance is focused in this document.</w:t>
            </w:r>
          </w:p>
        </w:tc>
      </w:tr>
      <w:tr w:rsidR="00882782" w:rsidRPr="00543661" w14:paraId="66DC1434" w14:textId="77777777" w:rsidTr="00671D7D">
        <w:tc>
          <w:tcPr>
            <w:tcW w:w="0" w:type="auto"/>
            <w:hideMark/>
          </w:tcPr>
          <w:p w14:paraId="15D8D3FF"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SLR</w:t>
            </w:r>
          </w:p>
        </w:tc>
        <w:tc>
          <w:tcPr>
            <w:tcW w:w="0" w:type="auto"/>
          </w:tcPr>
          <w:p w14:paraId="3A498C9E"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32A45EF8"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Sea Level Rise. A climate-related threat causing a decrease in land productivity, coastal flooding (</w:t>
            </w:r>
            <w:r w:rsidRPr="00543661">
              <w:rPr>
                <w:rFonts w:ascii="Times New Roman" w:hAnsi="Times New Roman" w:cs="Times New Roman"/>
                <w:i/>
                <w:iCs/>
                <w:sz w:val="22"/>
                <w:szCs w:val="22"/>
              </w:rPr>
              <w:t>banjir rob</w:t>
            </w:r>
            <w:r w:rsidRPr="00543661">
              <w:rPr>
                <w:rFonts w:ascii="Times New Roman" w:hAnsi="Times New Roman" w:cs="Times New Roman"/>
                <w:sz w:val="22"/>
                <w:szCs w:val="22"/>
              </w:rPr>
              <w:t>), and coastal erosion.</w:t>
            </w:r>
          </w:p>
        </w:tc>
      </w:tr>
      <w:tr w:rsidR="00882782" w:rsidRPr="00543661" w14:paraId="4A1DBACF" w14:textId="77777777" w:rsidTr="00671D7D">
        <w:tc>
          <w:tcPr>
            <w:tcW w:w="0" w:type="auto"/>
            <w:hideMark/>
          </w:tcPr>
          <w:p w14:paraId="23FFED01"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UNCLOS 1982</w:t>
            </w:r>
          </w:p>
        </w:tc>
        <w:tc>
          <w:tcPr>
            <w:tcW w:w="0" w:type="auto"/>
          </w:tcPr>
          <w:p w14:paraId="2C33F83C"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60C6EA77"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United Nations Convention on the Law of the Sea. An international treaty governing socio-economic and climate threat issues, including Indonesia's Exclusive Economic Zone (EEZ).</w:t>
            </w:r>
          </w:p>
        </w:tc>
      </w:tr>
      <w:tr w:rsidR="00882782" w:rsidRPr="00543661" w14:paraId="4DC05A3C" w14:textId="77777777" w:rsidTr="00671D7D">
        <w:tc>
          <w:tcPr>
            <w:tcW w:w="0" w:type="auto"/>
            <w:hideMark/>
          </w:tcPr>
          <w:p w14:paraId="71948065"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FMA/WPP 711</w:t>
            </w:r>
          </w:p>
        </w:tc>
        <w:tc>
          <w:tcPr>
            <w:tcW w:w="0" w:type="auto"/>
          </w:tcPr>
          <w:p w14:paraId="690EA3CA"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71AE7B62"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Fishery Management Area 711 (Wilayah Pengelolaan Perikanan 711/WPP 711). A fishing area in the South China Sea water as part of Indonesia FMA.</w:t>
            </w:r>
          </w:p>
        </w:tc>
      </w:tr>
      <w:tr w:rsidR="00882782" w:rsidRPr="00543661" w14:paraId="038BE5C7" w14:textId="77777777" w:rsidTr="00671D7D">
        <w:tc>
          <w:tcPr>
            <w:tcW w:w="0" w:type="auto"/>
            <w:hideMark/>
          </w:tcPr>
          <w:p w14:paraId="67527E8B"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ZEE</w:t>
            </w:r>
          </w:p>
        </w:tc>
        <w:tc>
          <w:tcPr>
            <w:tcW w:w="0" w:type="auto"/>
          </w:tcPr>
          <w:p w14:paraId="62CD9706"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w:t>
            </w:r>
          </w:p>
        </w:tc>
        <w:tc>
          <w:tcPr>
            <w:tcW w:w="0" w:type="auto"/>
            <w:hideMark/>
          </w:tcPr>
          <w:p w14:paraId="0427BD0A" w14:textId="77777777" w:rsidR="00882782" w:rsidRPr="00543661" w:rsidRDefault="00882782" w:rsidP="00671D7D">
            <w:pPr>
              <w:jc w:val="both"/>
              <w:rPr>
                <w:rFonts w:ascii="Times New Roman" w:hAnsi="Times New Roman" w:cs="Times New Roman"/>
                <w:sz w:val="22"/>
                <w:szCs w:val="22"/>
              </w:rPr>
            </w:pPr>
            <w:r w:rsidRPr="00543661">
              <w:rPr>
                <w:rFonts w:ascii="Times New Roman" w:hAnsi="Times New Roman" w:cs="Times New Roman"/>
                <w:sz w:val="22"/>
                <w:szCs w:val="22"/>
              </w:rPr>
              <w:t>Exclusive Economic Zone (Zona Ekonomi Eksklusif). Indonesia's maritime zone regulated under UNCLOS 1982.</w:t>
            </w:r>
          </w:p>
        </w:tc>
      </w:tr>
    </w:tbl>
    <w:p w14:paraId="28FABF2A" w14:textId="77777777" w:rsidR="00882782" w:rsidRDefault="00882782" w:rsidP="00882782">
      <w:pPr>
        <w:rPr>
          <w:rFonts w:ascii="Times New Roman" w:hAnsi="Times New Roman" w:cs="Times New Roman"/>
        </w:rPr>
      </w:pPr>
    </w:p>
    <w:p w14:paraId="5971F113" w14:textId="368466C1" w:rsidR="00882782" w:rsidRDefault="00882782">
      <w:pPr>
        <w:rPr>
          <w:rFonts w:ascii="Times New Roman" w:hAnsi="Times New Roman" w:cs="Times New Roman"/>
          <w:b/>
          <w:color w:val="006FC0"/>
          <w:sz w:val="22"/>
          <w:szCs w:val="22"/>
        </w:rPr>
      </w:pPr>
    </w:p>
    <w:p w14:paraId="2A62027A" w14:textId="77777777" w:rsidR="00882782" w:rsidRDefault="00882782">
      <w:pPr>
        <w:rPr>
          <w:rFonts w:ascii="Times New Roman" w:hAnsi="Times New Roman" w:cs="Times New Roman"/>
          <w:b/>
          <w:color w:val="006FC0"/>
          <w:sz w:val="22"/>
          <w:szCs w:val="22"/>
        </w:rPr>
      </w:pPr>
    </w:p>
    <w:p w14:paraId="34604821" w14:textId="77777777" w:rsidR="00882782" w:rsidRDefault="00882782">
      <w:pPr>
        <w:rPr>
          <w:rFonts w:ascii="Times New Roman" w:hAnsi="Times New Roman" w:cs="Times New Roman"/>
          <w:b/>
          <w:color w:val="006FC0"/>
          <w:sz w:val="22"/>
          <w:szCs w:val="22"/>
        </w:rPr>
      </w:pPr>
    </w:p>
    <w:p w14:paraId="7F4417AE" w14:textId="77777777" w:rsidR="00882782" w:rsidRDefault="00882782">
      <w:pPr>
        <w:rPr>
          <w:rFonts w:ascii="Times New Roman" w:hAnsi="Times New Roman" w:cs="Times New Roman"/>
          <w:b/>
          <w:color w:val="006FC0"/>
          <w:sz w:val="22"/>
          <w:szCs w:val="22"/>
        </w:rPr>
      </w:pPr>
    </w:p>
    <w:p w14:paraId="1D2A85EF" w14:textId="77777777" w:rsidR="00882782" w:rsidRDefault="00882782">
      <w:pPr>
        <w:rPr>
          <w:rFonts w:ascii="Times New Roman" w:hAnsi="Times New Roman" w:cs="Times New Roman"/>
          <w:b/>
          <w:color w:val="006FC0"/>
          <w:sz w:val="22"/>
          <w:szCs w:val="22"/>
        </w:rPr>
      </w:pPr>
    </w:p>
    <w:p w14:paraId="35CF720A" w14:textId="77777777" w:rsidR="00882782" w:rsidRDefault="00882782">
      <w:pPr>
        <w:rPr>
          <w:rFonts w:ascii="Times New Roman" w:hAnsi="Times New Roman" w:cs="Times New Roman"/>
          <w:b/>
          <w:color w:val="006FC0"/>
          <w:sz w:val="22"/>
          <w:szCs w:val="22"/>
        </w:rPr>
      </w:pPr>
    </w:p>
    <w:p w14:paraId="09FB3526" w14:textId="77777777" w:rsidR="005D336D" w:rsidRDefault="005D336D">
      <w:pPr>
        <w:rPr>
          <w:rFonts w:ascii="Times New Roman" w:hAnsi="Times New Roman" w:cs="Times New Roman"/>
          <w:b/>
          <w:color w:val="006FC0"/>
          <w:sz w:val="22"/>
          <w:szCs w:val="22"/>
        </w:rPr>
      </w:pPr>
    </w:p>
    <w:p w14:paraId="036CA678" w14:textId="77777777" w:rsidR="005D336D" w:rsidRDefault="005D336D">
      <w:pPr>
        <w:rPr>
          <w:rFonts w:ascii="Times New Roman" w:hAnsi="Times New Roman" w:cs="Times New Roman"/>
          <w:b/>
          <w:color w:val="006FC0"/>
          <w:sz w:val="22"/>
          <w:szCs w:val="22"/>
        </w:rPr>
      </w:pPr>
    </w:p>
    <w:p w14:paraId="452AE047" w14:textId="77777777" w:rsidR="005D336D" w:rsidRDefault="005D336D">
      <w:pPr>
        <w:rPr>
          <w:rFonts w:ascii="Times New Roman" w:hAnsi="Times New Roman" w:cs="Times New Roman"/>
          <w:b/>
          <w:color w:val="006FC0"/>
          <w:sz w:val="22"/>
          <w:szCs w:val="22"/>
        </w:rPr>
      </w:pPr>
    </w:p>
    <w:p w14:paraId="06B550F9" w14:textId="5D4DE579" w:rsidR="007910F7" w:rsidRDefault="007910F7">
      <w:pPr>
        <w:rPr>
          <w:rFonts w:ascii="Times New Roman" w:hAnsi="Times New Roman" w:cs="Times New Roman"/>
          <w:b/>
          <w:color w:val="006FC0"/>
          <w:sz w:val="22"/>
          <w:szCs w:val="22"/>
        </w:rPr>
      </w:pPr>
      <w:r>
        <w:rPr>
          <w:rFonts w:ascii="Times New Roman" w:hAnsi="Times New Roman" w:cs="Times New Roman"/>
          <w:b/>
          <w:color w:val="006FC0"/>
          <w:sz w:val="22"/>
          <w:szCs w:val="22"/>
        </w:rPr>
        <w:br w:type="page"/>
      </w:r>
    </w:p>
    <w:p w14:paraId="79A0713E" w14:textId="234B4389" w:rsidR="00EA5E50" w:rsidRDefault="005D336D" w:rsidP="00FD2540">
      <w:pPr>
        <w:jc w:val="center"/>
        <w:rPr>
          <w:rFonts w:ascii="Times New Roman" w:hAnsi="Times New Roman" w:cs="Times New Roman"/>
          <w:sz w:val="22"/>
          <w:szCs w:val="22"/>
        </w:rPr>
      </w:pPr>
      <w:r w:rsidRPr="005D336D">
        <w:rPr>
          <w:rFonts w:ascii="Times New Roman" w:hAnsi="Times New Roman" w:cs="Times New Roman"/>
          <w:b/>
          <w:color w:val="006FC0"/>
          <w:sz w:val="28"/>
          <w:szCs w:val="28"/>
        </w:rPr>
        <w:lastRenderedPageBreak/>
        <w:t>Contents</w:t>
      </w:r>
    </w:p>
    <w:p w14:paraId="52EAE2B1" w14:textId="77777777" w:rsidR="005D336D" w:rsidRDefault="005D336D" w:rsidP="00A315BC">
      <w:pPr>
        <w:jc w:val="both"/>
        <w:rPr>
          <w:rFonts w:ascii="Times New Roman" w:hAnsi="Times New Roman" w:cs="Times New Roman"/>
          <w:sz w:val="22"/>
          <w:szCs w:val="22"/>
        </w:rPr>
      </w:pPr>
    </w:p>
    <w:p w14:paraId="665F9E40" w14:textId="5B9A3D8B" w:rsidR="00CB4999" w:rsidRDefault="00B16E45">
      <w:pPr>
        <w:pStyle w:val="TOC1"/>
        <w:rPr>
          <w:rFonts w:asciiTheme="minorHAnsi" w:eastAsiaTheme="minorEastAsia" w:hAnsiTheme="minorHAnsi" w:cstheme="minorBidi"/>
          <w:b w:val="0"/>
          <w:bCs w:val="0"/>
          <w:i w:val="0"/>
          <w:iCs w:val="0"/>
          <w:color w:val="auto"/>
          <w:kern w:val="2"/>
          <w:lang w:val="en-GB" w:eastAsia="en-GB"/>
          <w14:ligatures w14:val="standardContextual"/>
        </w:rPr>
      </w:pPr>
      <w:r>
        <w:rPr>
          <w:sz w:val="22"/>
          <w:szCs w:val="22"/>
        </w:rPr>
        <w:fldChar w:fldCharType="begin"/>
      </w:r>
      <w:r>
        <w:rPr>
          <w:sz w:val="22"/>
          <w:szCs w:val="22"/>
        </w:rPr>
        <w:instrText xml:space="preserve"> TOC \o "1-2" \h \z \u </w:instrText>
      </w:r>
      <w:r>
        <w:rPr>
          <w:sz w:val="22"/>
          <w:szCs w:val="22"/>
        </w:rPr>
        <w:fldChar w:fldCharType="separate"/>
      </w:r>
      <w:hyperlink w:anchor="_Toc217297532" w:history="1">
        <w:r w:rsidR="00CB4999" w:rsidRPr="00021BB6">
          <w:rPr>
            <w:rStyle w:val="Hyperlink"/>
          </w:rPr>
          <w:t>Acronyms</w:t>
        </w:r>
        <w:r w:rsidR="00CB4999">
          <w:rPr>
            <w:webHidden/>
          </w:rPr>
          <w:tab/>
        </w:r>
        <w:r w:rsidR="00CB4999">
          <w:rPr>
            <w:webHidden/>
          </w:rPr>
          <w:fldChar w:fldCharType="begin"/>
        </w:r>
        <w:r w:rsidR="00CB4999">
          <w:rPr>
            <w:webHidden/>
          </w:rPr>
          <w:instrText xml:space="preserve"> PAGEREF _Toc217297532 \h </w:instrText>
        </w:r>
        <w:r w:rsidR="00CB4999">
          <w:rPr>
            <w:webHidden/>
          </w:rPr>
        </w:r>
        <w:r w:rsidR="00CB4999">
          <w:rPr>
            <w:webHidden/>
          </w:rPr>
          <w:fldChar w:fldCharType="separate"/>
        </w:r>
        <w:r w:rsidR="00F33716">
          <w:rPr>
            <w:webHidden/>
          </w:rPr>
          <w:t>5</w:t>
        </w:r>
        <w:r w:rsidR="00CB4999">
          <w:rPr>
            <w:webHidden/>
          </w:rPr>
          <w:fldChar w:fldCharType="end"/>
        </w:r>
      </w:hyperlink>
    </w:p>
    <w:p w14:paraId="7D46D8F5" w14:textId="03B0152B" w:rsidR="00CB4999" w:rsidRDefault="00CB4999">
      <w:pPr>
        <w:pStyle w:val="TOC1"/>
        <w:rPr>
          <w:rFonts w:asciiTheme="minorHAnsi" w:eastAsiaTheme="minorEastAsia" w:hAnsiTheme="minorHAnsi" w:cstheme="minorBidi"/>
          <w:b w:val="0"/>
          <w:bCs w:val="0"/>
          <w:i w:val="0"/>
          <w:iCs w:val="0"/>
          <w:color w:val="auto"/>
          <w:kern w:val="2"/>
          <w:lang w:val="en-GB" w:eastAsia="en-GB"/>
          <w14:ligatures w14:val="standardContextual"/>
        </w:rPr>
      </w:pPr>
      <w:hyperlink w:anchor="_Toc217297533" w:history="1">
        <w:r w:rsidRPr="00021BB6">
          <w:rPr>
            <w:rStyle w:val="Hyperlink"/>
          </w:rPr>
          <w:t>Technical Summary</w:t>
        </w:r>
        <w:r>
          <w:rPr>
            <w:webHidden/>
          </w:rPr>
          <w:tab/>
        </w:r>
        <w:r>
          <w:rPr>
            <w:webHidden/>
          </w:rPr>
          <w:fldChar w:fldCharType="begin"/>
        </w:r>
        <w:r>
          <w:rPr>
            <w:webHidden/>
          </w:rPr>
          <w:instrText xml:space="preserve"> PAGEREF _Toc217297533 \h </w:instrText>
        </w:r>
        <w:r>
          <w:rPr>
            <w:webHidden/>
          </w:rPr>
        </w:r>
        <w:r>
          <w:rPr>
            <w:webHidden/>
          </w:rPr>
          <w:fldChar w:fldCharType="separate"/>
        </w:r>
        <w:r w:rsidR="00F33716">
          <w:rPr>
            <w:webHidden/>
          </w:rPr>
          <w:t>12</w:t>
        </w:r>
        <w:r>
          <w:rPr>
            <w:webHidden/>
          </w:rPr>
          <w:fldChar w:fldCharType="end"/>
        </w:r>
      </w:hyperlink>
    </w:p>
    <w:p w14:paraId="21FE3BCC" w14:textId="580B0157" w:rsidR="00CB4999" w:rsidRDefault="00CB4999">
      <w:pPr>
        <w:pStyle w:val="TOC1"/>
        <w:rPr>
          <w:rFonts w:asciiTheme="minorHAnsi" w:eastAsiaTheme="minorEastAsia" w:hAnsiTheme="minorHAnsi" w:cstheme="minorBidi"/>
          <w:b w:val="0"/>
          <w:bCs w:val="0"/>
          <w:i w:val="0"/>
          <w:iCs w:val="0"/>
          <w:color w:val="auto"/>
          <w:kern w:val="2"/>
          <w:lang w:val="en-GB" w:eastAsia="en-GB"/>
          <w14:ligatures w14:val="standardContextual"/>
        </w:rPr>
      </w:pPr>
      <w:hyperlink w:anchor="_Toc217297534" w:history="1">
        <w:r w:rsidRPr="00021BB6">
          <w:rPr>
            <w:rStyle w:val="Hyperlink"/>
          </w:rPr>
          <w:t>1.</w:t>
        </w:r>
        <w:r>
          <w:rPr>
            <w:rFonts w:asciiTheme="minorHAnsi" w:eastAsiaTheme="minorEastAsia" w:hAnsiTheme="minorHAnsi" w:cstheme="minorBidi"/>
            <w:b w:val="0"/>
            <w:bCs w:val="0"/>
            <w:i w:val="0"/>
            <w:iCs w:val="0"/>
            <w:color w:val="auto"/>
            <w:kern w:val="2"/>
            <w:lang w:val="en-GB" w:eastAsia="en-GB"/>
            <w14:ligatures w14:val="standardContextual"/>
          </w:rPr>
          <w:tab/>
        </w:r>
        <w:r w:rsidRPr="00021BB6">
          <w:rPr>
            <w:rStyle w:val="Hyperlink"/>
          </w:rPr>
          <w:t>INTRODUCTION</w:t>
        </w:r>
        <w:r>
          <w:rPr>
            <w:webHidden/>
          </w:rPr>
          <w:tab/>
        </w:r>
        <w:r>
          <w:rPr>
            <w:webHidden/>
          </w:rPr>
          <w:fldChar w:fldCharType="begin"/>
        </w:r>
        <w:r>
          <w:rPr>
            <w:webHidden/>
          </w:rPr>
          <w:instrText xml:space="preserve"> PAGEREF _Toc217297534 \h </w:instrText>
        </w:r>
        <w:r>
          <w:rPr>
            <w:webHidden/>
          </w:rPr>
        </w:r>
        <w:r>
          <w:rPr>
            <w:webHidden/>
          </w:rPr>
          <w:fldChar w:fldCharType="separate"/>
        </w:r>
        <w:r w:rsidR="00F33716">
          <w:rPr>
            <w:webHidden/>
          </w:rPr>
          <w:t>12</w:t>
        </w:r>
        <w:r>
          <w:rPr>
            <w:webHidden/>
          </w:rPr>
          <w:fldChar w:fldCharType="end"/>
        </w:r>
      </w:hyperlink>
    </w:p>
    <w:p w14:paraId="3148C046" w14:textId="4B615E08"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35" w:history="1">
        <w:r w:rsidRPr="00021BB6">
          <w:rPr>
            <w:rStyle w:val="Hyperlink"/>
            <w:noProof/>
          </w:rPr>
          <w:t xml:space="preserve">1.1 </w:t>
        </w:r>
        <w:r>
          <w:rPr>
            <w:rFonts w:eastAsiaTheme="minorEastAsia" w:cstheme="minorBidi"/>
            <w:b w:val="0"/>
            <w:bCs w:val="0"/>
            <w:noProof/>
            <w:kern w:val="2"/>
            <w:sz w:val="24"/>
            <w:szCs w:val="24"/>
            <w:lang w:val="en-GB" w:eastAsia="en-GB"/>
            <w14:ligatures w14:val="standardContextual"/>
          </w:rPr>
          <w:tab/>
        </w:r>
        <w:r w:rsidRPr="00021BB6">
          <w:rPr>
            <w:rStyle w:val="Hyperlink"/>
            <w:noProof/>
          </w:rPr>
          <w:t>The Project Objective</w:t>
        </w:r>
        <w:r>
          <w:rPr>
            <w:noProof/>
            <w:webHidden/>
          </w:rPr>
          <w:tab/>
        </w:r>
        <w:r>
          <w:rPr>
            <w:noProof/>
            <w:webHidden/>
          </w:rPr>
          <w:fldChar w:fldCharType="begin"/>
        </w:r>
        <w:r>
          <w:rPr>
            <w:noProof/>
            <w:webHidden/>
          </w:rPr>
          <w:instrText xml:space="preserve"> PAGEREF _Toc217297535 \h </w:instrText>
        </w:r>
        <w:r>
          <w:rPr>
            <w:noProof/>
            <w:webHidden/>
          </w:rPr>
        </w:r>
        <w:r>
          <w:rPr>
            <w:noProof/>
            <w:webHidden/>
          </w:rPr>
          <w:fldChar w:fldCharType="separate"/>
        </w:r>
        <w:r w:rsidR="00F33716">
          <w:rPr>
            <w:noProof/>
            <w:webHidden/>
          </w:rPr>
          <w:t>12</w:t>
        </w:r>
        <w:r>
          <w:rPr>
            <w:noProof/>
            <w:webHidden/>
          </w:rPr>
          <w:fldChar w:fldCharType="end"/>
        </w:r>
      </w:hyperlink>
    </w:p>
    <w:p w14:paraId="4F051BFD" w14:textId="3B967C05"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36" w:history="1">
        <w:r w:rsidRPr="00021BB6">
          <w:rPr>
            <w:rStyle w:val="Hyperlink"/>
            <w:noProof/>
          </w:rPr>
          <w:t xml:space="preserve">1.2 </w:t>
        </w:r>
        <w:r>
          <w:rPr>
            <w:rFonts w:eastAsiaTheme="minorEastAsia" w:cstheme="minorBidi"/>
            <w:b w:val="0"/>
            <w:bCs w:val="0"/>
            <w:noProof/>
            <w:kern w:val="2"/>
            <w:sz w:val="24"/>
            <w:szCs w:val="24"/>
            <w:lang w:val="en-GB" w:eastAsia="en-GB"/>
            <w14:ligatures w14:val="standardContextual"/>
          </w:rPr>
          <w:tab/>
        </w:r>
        <w:r w:rsidRPr="00021BB6">
          <w:rPr>
            <w:rStyle w:val="Hyperlink"/>
            <w:noProof/>
          </w:rPr>
          <w:t>Assessment Methodology</w:t>
        </w:r>
        <w:r>
          <w:rPr>
            <w:noProof/>
            <w:webHidden/>
          </w:rPr>
          <w:tab/>
        </w:r>
        <w:r>
          <w:rPr>
            <w:noProof/>
            <w:webHidden/>
          </w:rPr>
          <w:fldChar w:fldCharType="begin"/>
        </w:r>
        <w:r>
          <w:rPr>
            <w:noProof/>
            <w:webHidden/>
          </w:rPr>
          <w:instrText xml:space="preserve"> PAGEREF _Toc217297536 \h </w:instrText>
        </w:r>
        <w:r>
          <w:rPr>
            <w:noProof/>
            <w:webHidden/>
          </w:rPr>
        </w:r>
        <w:r>
          <w:rPr>
            <w:noProof/>
            <w:webHidden/>
          </w:rPr>
          <w:fldChar w:fldCharType="separate"/>
        </w:r>
        <w:r w:rsidR="00F33716">
          <w:rPr>
            <w:noProof/>
            <w:webHidden/>
          </w:rPr>
          <w:t>13</w:t>
        </w:r>
        <w:r>
          <w:rPr>
            <w:noProof/>
            <w:webHidden/>
          </w:rPr>
          <w:fldChar w:fldCharType="end"/>
        </w:r>
      </w:hyperlink>
    </w:p>
    <w:p w14:paraId="120F9B98" w14:textId="5BB0A1FE" w:rsidR="00CB4999" w:rsidRDefault="00CB4999">
      <w:pPr>
        <w:pStyle w:val="TOC1"/>
        <w:rPr>
          <w:rFonts w:asciiTheme="minorHAnsi" w:eastAsiaTheme="minorEastAsia" w:hAnsiTheme="minorHAnsi" w:cstheme="minorBidi"/>
          <w:b w:val="0"/>
          <w:bCs w:val="0"/>
          <w:i w:val="0"/>
          <w:iCs w:val="0"/>
          <w:color w:val="auto"/>
          <w:kern w:val="2"/>
          <w:lang w:val="en-GB" w:eastAsia="en-GB"/>
          <w14:ligatures w14:val="standardContextual"/>
        </w:rPr>
      </w:pPr>
      <w:hyperlink w:anchor="_Toc217297537" w:history="1">
        <w:r w:rsidRPr="00021BB6">
          <w:rPr>
            <w:rStyle w:val="Hyperlink"/>
          </w:rPr>
          <w:t xml:space="preserve">2. </w:t>
        </w:r>
        <w:r>
          <w:rPr>
            <w:rFonts w:asciiTheme="minorHAnsi" w:eastAsiaTheme="minorEastAsia" w:hAnsiTheme="minorHAnsi" w:cstheme="minorBidi"/>
            <w:b w:val="0"/>
            <w:bCs w:val="0"/>
            <w:i w:val="0"/>
            <w:iCs w:val="0"/>
            <w:color w:val="auto"/>
            <w:kern w:val="2"/>
            <w:lang w:val="en-GB" w:eastAsia="en-GB"/>
            <w14:ligatures w14:val="standardContextual"/>
          </w:rPr>
          <w:tab/>
        </w:r>
        <w:r w:rsidRPr="00021BB6">
          <w:rPr>
            <w:rStyle w:val="Hyperlink"/>
          </w:rPr>
          <w:t>SOCIO-ECONOMIC: Socio-Economic Conditions and Climate Risks in the South China Sea– A Multi Regional Analysis of Eastern-Southern Sumatera and Western Kalimantan Coastal Area to Strengthen Indonesia’s Coastal and Marine Resilience</w:t>
        </w:r>
        <w:r>
          <w:rPr>
            <w:webHidden/>
          </w:rPr>
          <w:tab/>
        </w:r>
        <w:r>
          <w:rPr>
            <w:webHidden/>
          </w:rPr>
          <w:fldChar w:fldCharType="begin"/>
        </w:r>
        <w:r>
          <w:rPr>
            <w:webHidden/>
          </w:rPr>
          <w:instrText xml:space="preserve"> PAGEREF _Toc217297537 \h </w:instrText>
        </w:r>
        <w:r>
          <w:rPr>
            <w:webHidden/>
          </w:rPr>
        </w:r>
        <w:r>
          <w:rPr>
            <w:webHidden/>
          </w:rPr>
          <w:fldChar w:fldCharType="separate"/>
        </w:r>
        <w:r w:rsidR="00F33716">
          <w:rPr>
            <w:webHidden/>
          </w:rPr>
          <w:t>14</w:t>
        </w:r>
        <w:r>
          <w:rPr>
            <w:webHidden/>
          </w:rPr>
          <w:fldChar w:fldCharType="end"/>
        </w:r>
      </w:hyperlink>
    </w:p>
    <w:p w14:paraId="7BD0D228" w14:textId="124CED61"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38" w:history="1">
        <w:r w:rsidRPr="00021BB6">
          <w:rPr>
            <w:rStyle w:val="Hyperlink"/>
            <w:rFonts w:ascii="Times New Roman" w:hAnsi="Times New Roman" w:cs="Times New Roman"/>
            <w:noProof/>
          </w:rPr>
          <w:t>2.1.</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_Toc217297538 \h </w:instrText>
        </w:r>
        <w:r>
          <w:rPr>
            <w:noProof/>
            <w:webHidden/>
          </w:rPr>
        </w:r>
        <w:r>
          <w:rPr>
            <w:noProof/>
            <w:webHidden/>
          </w:rPr>
          <w:fldChar w:fldCharType="separate"/>
        </w:r>
        <w:r w:rsidR="00F33716">
          <w:rPr>
            <w:noProof/>
            <w:webHidden/>
          </w:rPr>
          <w:t>14</w:t>
        </w:r>
        <w:r>
          <w:rPr>
            <w:noProof/>
            <w:webHidden/>
          </w:rPr>
          <w:fldChar w:fldCharType="end"/>
        </w:r>
      </w:hyperlink>
    </w:p>
    <w:p w14:paraId="151B54BA" w14:textId="7AC4659E"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39" w:history="1">
        <w:r w:rsidRPr="00021BB6">
          <w:rPr>
            <w:rStyle w:val="Hyperlink"/>
            <w:rFonts w:ascii="Times New Roman" w:hAnsi="Times New Roman" w:cs="Times New Roman"/>
            <w:noProof/>
          </w:rPr>
          <w:t>2.2.</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Key Finding Concern</w:t>
        </w:r>
        <w:r>
          <w:rPr>
            <w:noProof/>
            <w:webHidden/>
          </w:rPr>
          <w:tab/>
        </w:r>
        <w:r>
          <w:rPr>
            <w:noProof/>
            <w:webHidden/>
          </w:rPr>
          <w:fldChar w:fldCharType="begin"/>
        </w:r>
        <w:r>
          <w:rPr>
            <w:noProof/>
            <w:webHidden/>
          </w:rPr>
          <w:instrText xml:space="preserve"> PAGEREF _Toc217297539 \h </w:instrText>
        </w:r>
        <w:r>
          <w:rPr>
            <w:noProof/>
            <w:webHidden/>
          </w:rPr>
        </w:r>
        <w:r>
          <w:rPr>
            <w:noProof/>
            <w:webHidden/>
          </w:rPr>
          <w:fldChar w:fldCharType="separate"/>
        </w:r>
        <w:r w:rsidR="00F33716">
          <w:rPr>
            <w:noProof/>
            <w:webHidden/>
          </w:rPr>
          <w:t>15</w:t>
        </w:r>
        <w:r>
          <w:rPr>
            <w:noProof/>
            <w:webHidden/>
          </w:rPr>
          <w:fldChar w:fldCharType="end"/>
        </w:r>
      </w:hyperlink>
    </w:p>
    <w:p w14:paraId="548E115A" w14:textId="233A361D"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40" w:history="1">
        <w:r w:rsidRPr="00021BB6">
          <w:rPr>
            <w:rStyle w:val="Hyperlink"/>
            <w:rFonts w:ascii="Times New Roman" w:hAnsi="Times New Roman" w:cs="Times New Roman"/>
            <w:noProof/>
          </w:rPr>
          <w:t>2.3.</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Methodology</w:t>
        </w:r>
        <w:r>
          <w:rPr>
            <w:noProof/>
            <w:webHidden/>
          </w:rPr>
          <w:tab/>
        </w:r>
        <w:r>
          <w:rPr>
            <w:noProof/>
            <w:webHidden/>
          </w:rPr>
          <w:fldChar w:fldCharType="begin"/>
        </w:r>
        <w:r>
          <w:rPr>
            <w:noProof/>
            <w:webHidden/>
          </w:rPr>
          <w:instrText xml:space="preserve"> PAGEREF _Toc217297540 \h </w:instrText>
        </w:r>
        <w:r>
          <w:rPr>
            <w:noProof/>
            <w:webHidden/>
          </w:rPr>
        </w:r>
        <w:r>
          <w:rPr>
            <w:noProof/>
            <w:webHidden/>
          </w:rPr>
          <w:fldChar w:fldCharType="separate"/>
        </w:r>
        <w:r w:rsidR="00F33716">
          <w:rPr>
            <w:noProof/>
            <w:webHidden/>
          </w:rPr>
          <w:t>15</w:t>
        </w:r>
        <w:r>
          <w:rPr>
            <w:noProof/>
            <w:webHidden/>
          </w:rPr>
          <w:fldChar w:fldCharType="end"/>
        </w:r>
      </w:hyperlink>
    </w:p>
    <w:p w14:paraId="693C82DC" w14:textId="66EC0BFD"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41" w:history="1">
        <w:r w:rsidRPr="00021BB6">
          <w:rPr>
            <w:rStyle w:val="Hyperlink"/>
            <w:rFonts w:ascii="Times New Roman" w:hAnsi="Times New Roman" w:cs="Times New Roman"/>
            <w:noProof/>
          </w:rPr>
          <w:t>2.4.</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Results and Discussion</w:t>
        </w:r>
        <w:r>
          <w:rPr>
            <w:noProof/>
            <w:webHidden/>
          </w:rPr>
          <w:tab/>
        </w:r>
        <w:r>
          <w:rPr>
            <w:noProof/>
            <w:webHidden/>
          </w:rPr>
          <w:fldChar w:fldCharType="begin"/>
        </w:r>
        <w:r>
          <w:rPr>
            <w:noProof/>
            <w:webHidden/>
          </w:rPr>
          <w:instrText xml:space="preserve"> PAGEREF _Toc217297541 \h </w:instrText>
        </w:r>
        <w:r>
          <w:rPr>
            <w:noProof/>
            <w:webHidden/>
          </w:rPr>
        </w:r>
        <w:r>
          <w:rPr>
            <w:noProof/>
            <w:webHidden/>
          </w:rPr>
          <w:fldChar w:fldCharType="separate"/>
        </w:r>
        <w:r w:rsidR="00F33716">
          <w:rPr>
            <w:noProof/>
            <w:webHidden/>
          </w:rPr>
          <w:t>16</w:t>
        </w:r>
        <w:r>
          <w:rPr>
            <w:noProof/>
            <w:webHidden/>
          </w:rPr>
          <w:fldChar w:fldCharType="end"/>
        </w:r>
      </w:hyperlink>
    </w:p>
    <w:p w14:paraId="5175119B" w14:textId="5252BFA1"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42" w:history="1">
        <w:r w:rsidRPr="00021BB6">
          <w:rPr>
            <w:rStyle w:val="Hyperlink"/>
            <w:rFonts w:ascii="Times New Roman" w:hAnsi="Times New Roman" w:cs="Times New Roman"/>
            <w:noProof/>
          </w:rPr>
          <w:t>2.5.</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Discussion</w:t>
        </w:r>
        <w:r>
          <w:rPr>
            <w:noProof/>
            <w:webHidden/>
          </w:rPr>
          <w:tab/>
        </w:r>
        <w:r>
          <w:rPr>
            <w:noProof/>
            <w:webHidden/>
          </w:rPr>
          <w:fldChar w:fldCharType="begin"/>
        </w:r>
        <w:r>
          <w:rPr>
            <w:noProof/>
            <w:webHidden/>
          </w:rPr>
          <w:instrText xml:space="preserve"> PAGEREF _Toc217297542 \h </w:instrText>
        </w:r>
        <w:r>
          <w:rPr>
            <w:noProof/>
            <w:webHidden/>
          </w:rPr>
        </w:r>
        <w:r>
          <w:rPr>
            <w:noProof/>
            <w:webHidden/>
          </w:rPr>
          <w:fldChar w:fldCharType="separate"/>
        </w:r>
        <w:r w:rsidR="00F33716">
          <w:rPr>
            <w:noProof/>
            <w:webHidden/>
          </w:rPr>
          <w:t>29</w:t>
        </w:r>
        <w:r>
          <w:rPr>
            <w:noProof/>
            <w:webHidden/>
          </w:rPr>
          <w:fldChar w:fldCharType="end"/>
        </w:r>
      </w:hyperlink>
    </w:p>
    <w:p w14:paraId="13313F6D" w14:textId="333FA76B"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43" w:history="1">
        <w:r w:rsidRPr="00021BB6">
          <w:rPr>
            <w:rStyle w:val="Hyperlink"/>
            <w:rFonts w:ascii="Times New Roman" w:hAnsi="Times New Roman" w:cs="Times New Roman"/>
            <w:noProof/>
          </w:rPr>
          <w:t>2.6.</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Recommended Priority Actions</w:t>
        </w:r>
        <w:r>
          <w:rPr>
            <w:noProof/>
            <w:webHidden/>
          </w:rPr>
          <w:tab/>
        </w:r>
        <w:r>
          <w:rPr>
            <w:noProof/>
            <w:webHidden/>
          </w:rPr>
          <w:fldChar w:fldCharType="begin"/>
        </w:r>
        <w:r>
          <w:rPr>
            <w:noProof/>
            <w:webHidden/>
          </w:rPr>
          <w:instrText xml:space="preserve"> PAGEREF _Toc217297543 \h </w:instrText>
        </w:r>
        <w:r>
          <w:rPr>
            <w:noProof/>
            <w:webHidden/>
          </w:rPr>
        </w:r>
        <w:r>
          <w:rPr>
            <w:noProof/>
            <w:webHidden/>
          </w:rPr>
          <w:fldChar w:fldCharType="separate"/>
        </w:r>
        <w:r w:rsidR="00F33716">
          <w:rPr>
            <w:noProof/>
            <w:webHidden/>
          </w:rPr>
          <w:t>30</w:t>
        </w:r>
        <w:r>
          <w:rPr>
            <w:noProof/>
            <w:webHidden/>
          </w:rPr>
          <w:fldChar w:fldCharType="end"/>
        </w:r>
      </w:hyperlink>
    </w:p>
    <w:p w14:paraId="635B0373" w14:textId="0E63DFBD" w:rsidR="00CB4999" w:rsidRDefault="00CB4999">
      <w:pPr>
        <w:pStyle w:val="TOC2"/>
        <w:tabs>
          <w:tab w:val="right" w:leader="dot" w:pos="9737"/>
        </w:tabs>
        <w:rPr>
          <w:rFonts w:eastAsiaTheme="minorEastAsia" w:cstheme="minorBidi"/>
          <w:b w:val="0"/>
          <w:bCs w:val="0"/>
          <w:noProof/>
          <w:kern w:val="2"/>
          <w:sz w:val="24"/>
          <w:szCs w:val="24"/>
          <w:lang w:val="en-GB" w:eastAsia="en-GB"/>
          <w14:ligatures w14:val="standardContextual"/>
        </w:rPr>
      </w:pPr>
      <w:hyperlink w:anchor="_Toc217297544" w:history="1">
        <w:r w:rsidRPr="00021BB6">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_Toc217297544 \h </w:instrText>
        </w:r>
        <w:r>
          <w:rPr>
            <w:noProof/>
            <w:webHidden/>
          </w:rPr>
        </w:r>
        <w:r>
          <w:rPr>
            <w:noProof/>
            <w:webHidden/>
          </w:rPr>
          <w:fldChar w:fldCharType="separate"/>
        </w:r>
        <w:r w:rsidR="00F33716">
          <w:rPr>
            <w:noProof/>
            <w:webHidden/>
          </w:rPr>
          <w:t>32</w:t>
        </w:r>
        <w:r>
          <w:rPr>
            <w:noProof/>
            <w:webHidden/>
          </w:rPr>
          <w:fldChar w:fldCharType="end"/>
        </w:r>
      </w:hyperlink>
    </w:p>
    <w:p w14:paraId="35A03E3A" w14:textId="78D0768C" w:rsidR="00CB4999" w:rsidRDefault="00CB4999">
      <w:pPr>
        <w:pStyle w:val="TOC1"/>
        <w:rPr>
          <w:rFonts w:asciiTheme="minorHAnsi" w:eastAsiaTheme="minorEastAsia" w:hAnsiTheme="minorHAnsi" w:cstheme="minorBidi"/>
          <w:b w:val="0"/>
          <w:bCs w:val="0"/>
          <w:i w:val="0"/>
          <w:iCs w:val="0"/>
          <w:color w:val="auto"/>
          <w:kern w:val="2"/>
          <w:lang w:val="en-GB" w:eastAsia="en-GB"/>
          <w14:ligatures w14:val="standardContextual"/>
        </w:rPr>
      </w:pPr>
      <w:hyperlink w:anchor="_Toc217297545" w:history="1">
        <w:r w:rsidRPr="00021BB6">
          <w:rPr>
            <w:rStyle w:val="Hyperlink"/>
          </w:rPr>
          <w:t>3.</w:t>
        </w:r>
        <w:r>
          <w:rPr>
            <w:rFonts w:asciiTheme="minorHAnsi" w:eastAsiaTheme="minorEastAsia" w:hAnsiTheme="minorHAnsi" w:cstheme="minorBidi"/>
            <w:b w:val="0"/>
            <w:bCs w:val="0"/>
            <w:i w:val="0"/>
            <w:iCs w:val="0"/>
            <w:color w:val="auto"/>
            <w:kern w:val="2"/>
            <w:lang w:val="en-GB" w:eastAsia="en-GB"/>
            <w14:ligatures w14:val="standardContextual"/>
          </w:rPr>
          <w:tab/>
        </w:r>
        <w:r w:rsidRPr="00021BB6">
          <w:rPr>
            <w:rStyle w:val="Hyperlink"/>
          </w:rPr>
          <w:t xml:space="preserve">ECOSYSTEM: </w:t>
        </w:r>
        <w:r w:rsidRPr="00021BB6">
          <w:rPr>
            <w:rStyle w:val="Hyperlink"/>
            <w:rFonts w:eastAsia="Times New Roman"/>
            <w:lang w:val="en-ID"/>
          </w:rPr>
          <w:t>Coastal Frontiers - Indonesia’s Coastal Ecosystem Insights in South China Sea and Gulf Thailand</w:t>
        </w:r>
        <w:r>
          <w:rPr>
            <w:webHidden/>
          </w:rPr>
          <w:tab/>
        </w:r>
        <w:r>
          <w:rPr>
            <w:webHidden/>
          </w:rPr>
          <w:fldChar w:fldCharType="begin"/>
        </w:r>
        <w:r>
          <w:rPr>
            <w:webHidden/>
          </w:rPr>
          <w:instrText xml:space="preserve"> PAGEREF _Toc217297545 \h </w:instrText>
        </w:r>
        <w:r>
          <w:rPr>
            <w:webHidden/>
          </w:rPr>
        </w:r>
        <w:r>
          <w:rPr>
            <w:webHidden/>
          </w:rPr>
          <w:fldChar w:fldCharType="separate"/>
        </w:r>
        <w:r w:rsidR="00F33716">
          <w:rPr>
            <w:webHidden/>
          </w:rPr>
          <w:t>34</w:t>
        </w:r>
        <w:r>
          <w:rPr>
            <w:webHidden/>
          </w:rPr>
          <w:fldChar w:fldCharType="end"/>
        </w:r>
      </w:hyperlink>
    </w:p>
    <w:p w14:paraId="5F7FFCAD" w14:textId="4E31EF75"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46" w:history="1">
        <w:r w:rsidRPr="00021BB6">
          <w:rPr>
            <w:rStyle w:val="Hyperlink"/>
            <w:rFonts w:ascii="Times New Roman" w:hAnsi="Times New Roman" w:cs="Times New Roman"/>
            <w:noProof/>
          </w:rPr>
          <w:t>3.1.</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_Toc217297546 \h </w:instrText>
        </w:r>
        <w:r>
          <w:rPr>
            <w:noProof/>
            <w:webHidden/>
          </w:rPr>
        </w:r>
        <w:r>
          <w:rPr>
            <w:noProof/>
            <w:webHidden/>
          </w:rPr>
          <w:fldChar w:fldCharType="separate"/>
        </w:r>
        <w:r w:rsidR="00F33716">
          <w:rPr>
            <w:noProof/>
            <w:webHidden/>
          </w:rPr>
          <w:t>34</w:t>
        </w:r>
        <w:r>
          <w:rPr>
            <w:noProof/>
            <w:webHidden/>
          </w:rPr>
          <w:fldChar w:fldCharType="end"/>
        </w:r>
      </w:hyperlink>
    </w:p>
    <w:p w14:paraId="4C0D6F3C" w14:textId="0DFDA420"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47" w:history="1">
        <w:r w:rsidRPr="00021BB6">
          <w:rPr>
            <w:rStyle w:val="Hyperlink"/>
            <w:rFonts w:ascii="Times New Roman" w:hAnsi="Times New Roman" w:cs="Times New Roman"/>
            <w:noProof/>
          </w:rPr>
          <w:t>3.2.</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Key Finding</w:t>
        </w:r>
        <w:r>
          <w:rPr>
            <w:noProof/>
            <w:webHidden/>
          </w:rPr>
          <w:tab/>
        </w:r>
        <w:r>
          <w:rPr>
            <w:noProof/>
            <w:webHidden/>
          </w:rPr>
          <w:fldChar w:fldCharType="begin"/>
        </w:r>
        <w:r>
          <w:rPr>
            <w:noProof/>
            <w:webHidden/>
          </w:rPr>
          <w:instrText xml:space="preserve"> PAGEREF _Toc217297547 \h </w:instrText>
        </w:r>
        <w:r>
          <w:rPr>
            <w:noProof/>
            <w:webHidden/>
          </w:rPr>
        </w:r>
        <w:r>
          <w:rPr>
            <w:noProof/>
            <w:webHidden/>
          </w:rPr>
          <w:fldChar w:fldCharType="separate"/>
        </w:r>
        <w:r w:rsidR="00F33716">
          <w:rPr>
            <w:noProof/>
            <w:webHidden/>
          </w:rPr>
          <w:t>35</w:t>
        </w:r>
        <w:r>
          <w:rPr>
            <w:noProof/>
            <w:webHidden/>
          </w:rPr>
          <w:fldChar w:fldCharType="end"/>
        </w:r>
      </w:hyperlink>
    </w:p>
    <w:p w14:paraId="3A712A56" w14:textId="2168F62D"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48" w:history="1">
        <w:r w:rsidRPr="00021BB6">
          <w:rPr>
            <w:rStyle w:val="Hyperlink"/>
            <w:rFonts w:ascii="Times New Roman" w:hAnsi="Times New Roman" w:cs="Times New Roman"/>
            <w:noProof/>
          </w:rPr>
          <w:t>3.3.</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Current Ecosystem Status</w:t>
        </w:r>
        <w:r>
          <w:rPr>
            <w:noProof/>
            <w:webHidden/>
          </w:rPr>
          <w:tab/>
        </w:r>
        <w:r>
          <w:rPr>
            <w:noProof/>
            <w:webHidden/>
          </w:rPr>
          <w:fldChar w:fldCharType="begin"/>
        </w:r>
        <w:r>
          <w:rPr>
            <w:noProof/>
            <w:webHidden/>
          </w:rPr>
          <w:instrText xml:space="preserve"> PAGEREF _Toc217297548 \h </w:instrText>
        </w:r>
        <w:r>
          <w:rPr>
            <w:noProof/>
            <w:webHidden/>
          </w:rPr>
        </w:r>
        <w:r>
          <w:rPr>
            <w:noProof/>
            <w:webHidden/>
          </w:rPr>
          <w:fldChar w:fldCharType="separate"/>
        </w:r>
        <w:r w:rsidR="00F33716">
          <w:rPr>
            <w:noProof/>
            <w:webHidden/>
          </w:rPr>
          <w:t>35</w:t>
        </w:r>
        <w:r>
          <w:rPr>
            <w:noProof/>
            <w:webHidden/>
          </w:rPr>
          <w:fldChar w:fldCharType="end"/>
        </w:r>
      </w:hyperlink>
    </w:p>
    <w:p w14:paraId="22720168" w14:textId="16DBA565"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49" w:history="1">
        <w:r w:rsidRPr="00021BB6">
          <w:rPr>
            <w:rStyle w:val="Hyperlink"/>
            <w:rFonts w:ascii="Times New Roman" w:hAnsi="Times New Roman" w:cs="Times New Roman"/>
            <w:noProof/>
          </w:rPr>
          <w:t>3.4.</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Discussion</w:t>
        </w:r>
        <w:r>
          <w:rPr>
            <w:noProof/>
            <w:webHidden/>
          </w:rPr>
          <w:tab/>
        </w:r>
        <w:r>
          <w:rPr>
            <w:noProof/>
            <w:webHidden/>
          </w:rPr>
          <w:fldChar w:fldCharType="begin"/>
        </w:r>
        <w:r>
          <w:rPr>
            <w:noProof/>
            <w:webHidden/>
          </w:rPr>
          <w:instrText xml:space="preserve"> PAGEREF _Toc217297549 \h </w:instrText>
        </w:r>
        <w:r>
          <w:rPr>
            <w:noProof/>
            <w:webHidden/>
          </w:rPr>
        </w:r>
        <w:r>
          <w:rPr>
            <w:noProof/>
            <w:webHidden/>
          </w:rPr>
          <w:fldChar w:fldCharType="separate"/>
        </w:r>
        <w:r w:rsidR="00F33716">
          <w:rPr>
            <w:noProof/>
            <w:webHidden/>
          </w:rPr>
          <w:t>41</w:t>
        </w:r>
        <w:r>
          <w:rPr>
            <w:noProof/>
            <w:webHidden/>
          </w:rPr>
          <w:fldChar w:fldCharType="end"/>
        </w:r>
      </w:hyperlink>
    </w:p>
    <w:p w14:paraId="0AACB64C" w14:textId="504A1F7A" w:rsidR="00CB4999" w:rsidRDefault="00CB4999">
      <w:pPr>
        <w:pStyle w:val="TOC2"/>
        <w:tabs>
          <w:tab w:val="right" w:leader="dot" w:pos="9737"/>
        </w:tabs>
        <w:rPr>
          <w:rFonts w:eastAsiaTheme="minorEastAsia" w:cstheme="minorBidi"/>
          <w:b w:val="0"/>
          <w:bCs w:val="0"/>
          <w:noProof/>
          <w:kern w:val="2"/>
          <w:sz w:val="24"/>
          <w:szCs w:val="24"/>
          <w:lang w:val="en-GB" w:eastAsia="en-GB"/>
          <w14:ligatures w14:val="standardContextual"/>
        </w:rPr>
      </w:pPr>
      <w:hyperlink w:anchor="_Toc217297550" w:history="1">
        <w:r w:rsidRPr="00021BB6">
          <w:rPr>
            <w:rStyle w:val="Hyperlink"/>
            <w:rFonts w:ascii="Times New Roman" w:hAnsi="Times New Roman" w:cs="Times New Roman"/>
            <w:noProof/>
            <w:shd w:val="clear" w:color="auto" w:fill="FFFFFF"/>
          </w:rPr>
          <w:t>References</w:t>
        </w:r>
        <w:r>
          <w:rPr>
            <w:noProof/>
            <w:webHidden/>
          </w:rPr>
          <w:tab/>
        </w:r>
        <w:r>
          <w:rPr>
            <w:noProof/>
            <w:webHidden/>
          </w:rPr>
          <w:fldChar w:fldCharType="begin"/>
        </w:r>
        <w:r>
          <w:rPr>
            <w:noProof/>
            <w:webHidden/>
          </w:rPr>
          <w:instrText xml:space="preserve"> PAGEREF _Toc217297550 \h </w:instrText>
        </w:r>
        <w:r>
          <w:rPr>
            <w:noProof/>
            <w:webHidden/>
          </w:rPr>
        </w:r>
        <w:r>
          <w:rPr>
            <w:noProof/>
            <w:webHidden/>
          </w:rPr>
          <w:fldChar w:fldCharType="separate"/>
        </w:r>
        <w:r w:rsidR="00F33716">
          <w:rPr>
            <w:noProof/>
            <w:webHidden/>
          </w:rPr>
          <w:t>47</w:t>
        </w:r>
        <w:r>
          <w:rPr>
            <w:noProof/>
            <w:webHidden/>
          </w:rPr>
          <w:fldChar w:fldCharType="end"/>
        </w:r>
      </w:hyperlink>
    </w:p>
    <w:p w14:paraId="1EDA27FA" w14:textId="791920D7" w:rsidR="00CB4999" w:rsidRDefault="00CB4999">
      <w:pPr>
        <w:pStyle w:val="TOC1"/>
        <w:rPr>
          <w:rFonts w:asciiTheme="minorHAnsi" w:eastAsiaTheme="minorEastAsia" w:hAnsiTheme="minorHAnsi" w:cstheme="minorBidi"/>
          <w:b w:val="0"/>
          <w:bCs w:val="0"/>
          <w:i w:val="0"/>
          <w:iCs w:val="0"/>
          <w:color w:val="auto"/>
          <w:kern w:val="2"/>
          <w:lang w:val="en-GB" w:eastAsia="en-GB"/>
          <w14:ligatures w14:val="standardContextual"/>
        </w:rPr>
      </w:pPr>
      <w:hyperlink w:anchor="_Toc217297551" w:history="1">
        <w:r w:rsidRPr="00021BB6">
          <w:rPr>
            <w:rStyle w:val="Hyperlink"/>
          </w:rPr>
          <w:t>4.</w:t>
        </w:r>
        <w:r>
          <w:rPr>
            <w:rFonts w:asciiTheme="minorHAnsi" w:eastAsiaTheme="minorEastAsia" w:hAnsiTheme="minorHAnsi" w:cstheme="minorBidi"/>
            <w:b w:val="0"/>
            <w:bCs w:val="0"/>
            <w:i w:val="0"/>
            <w:iCs w:val="0"/>
            <w:color w:val="auto"/>
            <w:kern w:val="2"/>
            <w:lang w:val="en-GB" w:eastAsia="en-GB"/>
            <w14:ligatures w14:val="standardContextual"/>
          </w:rPr>
          <w:tab/>
        </w:r>
        <w:r w:rsidRPr="00021BB6">
          <w:rPr>
            <w:rStyle w:val="Hyperlink"/>
          </w:rPr>
          <w:t xml:space="preserve">POLLUTION: </w:t>
        </w:r>
        <w:r w:rsidRPr="00021BB6">
          <w:rPr>
            <w:rStyle w:val="Hyperlink"/>
            <w:rFonts w:eastAsia="Times New Roman"/>
            <w:lang w:val="en-ID"/>
          </w:rPr>
          <w:t>The status and recent management of the marine pollution in the waters of the Indonesian part of the South China Sea</w:t>
        </w:r>
        <w:r>
          <w:rPr>
            <w:webHidden/>
          </w:rPr>
          <w:tab/>
        </w:r>
        <w:r>
          <w:rPr>
            <w:webHidden/>
          </w:rPr>
          <w:fldChar w:fldCharType="begin"/>
        </w:r>
        <w:r>
          <w:rPr>
            <w:webHidden/>
          </w:rPr>
          <w:instrText xml:space="preserve"> PAGEREF _Toc217297551 \h </w:instrText>
        </w:r>
        <w:r>
          <w:rPr>
            <w:webHidden/>
          </w:rPr>
        </w:r>
        <w:r>
          <w:rPr>
            <w:webHidden/>
          </w:rPr>
          <w:fldChar w:fldCharType="separate"/>
        </w:r>
        <w:r w:rsidR="00F33716">
          <w:rPr>
            <w:webHidden/>
          </w:rPr>
          <w:t>50</w:t>
        </w:r>
        <w:r>
          <w:rPr>
            <w:webHidden/>
          </w:rPr>
          <w:fldChar w:fldCharType="end"/>
        </w:r>
      </w:hyperlink>
    </w:p>
    <w:p w14:paraId="323C554C" w14:textId="2EC08805"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52" w:history="1">
        <w:r w:rsidRPr="00021BB6">
          <w:rPr>
            <w:rStyle w:val="Hyperlink"/>
            <w:rFonts w:ascii="Times New Roman" w:hAnsi="Times New Roman" w:cs="Times New Roman"/>
            <w:noProof/>
          </w:rPr>
          <w:t>4.1.</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_Toc217297552 \h </w:instrText>
        </w:r>
        <w:r>
          <w:rPr>
            <w:noProof/>
            <w:webHidden/>
          </w:rPr>
        </w:r>
        <w:r>
          <w:rPr>
            <w:noProof/>
            <w:webHidden/>
          </w:rPr>
          <w:fldChar w:fldCharType="separate"/>
        </w:r>
        <w:r w:rsidR="00F33716">
          <w:rPr>
            <w:noProof/>
            <w:webHidden/>
          </w:rPr>
          <w:t>50</w:t>
        </w:r>
        <w:r>
          <w:rPr>
            <w:noProof/>
            <w:webHidden/>
          </w:rPr>
          <w:fldChar w:fldCharType="end"/>
        </w:r>
      </w:hyperlink>
    </w:p>
    <w:p w14:paraId="4FA11648" w14:textId="459BB8FD"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53" w:history="1">
        <w:r w:rsidRPr="00021BB6">
          <w:rPr>
            <w:rStyle w:val="Hyperlink"/>
            <w:rFonts w:ascii="Times New Roman" w:hAnsi="Times New Roman" w:cs="Times New Roman"/>
            <w:noProof/>
          </w:rPr>
          <w:t>4.2.</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Key Finding</w:t>
        </w:r>
        <w:r>
          <w:rPr>
            <w:noProof/>
            <w:webHidden/>
          </w:rPr>
          <w:tab/>
        </w:r>
        <w:r>
          <w:rPr>
            <w:noProof/>
            <w:webHidden/>
          </w:rPr>
          <w:fldChar w:fldCharType="begin"/>
        </w:r>
        <w:r>
          <w:rPr>
            <w:noProof/>
            <w:webHidden/>
          </w:rPr>
          <w:instrText xml:space="preserve"> PAGEREF _Toc217297553 \h </w:instrText>
        </w:r>
        <w:r>
          <w:rPr>
            <w:noProof/>
            <w:webHidden/>
          </w:rPr>
        </w:r>
        <w:r>
          <w:rPr>
            <w:noProof/>
            <w:webHidden/>
          </w:rPr>
          <w:fldChar w:fldCharType="separate"/>
        </w:r>
        <w:r w:rsidR="00F33716">
          <w:rPr>
            <w:noProof/>
            <w:webHidden/>
          </w:rPr>
          <w:t>51</w:t>
        </w:r>
        <w:r>
          <w:rPr>
            <w:noProof/>
            <w:webHidden/>
          </w:rPr>
          <w:fldChar w:fldCharType="end"/>
        </w:r>
      </w:hyperlink>
    </w:p>
    <w:p w14:paraId="71E0A18B" w14:textId="6A1E1823"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54" w:history="1">
        <w:r w:rsidRPr="00021BB6">
          <w:rPr>
            <w:rStyle w:val="Hyperlink"/>
            <w:rFonts w:ascii="Times New Roman" w:hAnsi="Times New Roman" w:cs="Times New Roman"/>
            <w:noProof/>
          </w:rPr>
          <w:t>4.3.</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Current Status by indicator group</w:t>
        </w:r>
        <w:r>
          <w:rPr>
            <w:noProof/>
            <w:webHidden/>
          </w:rPr>
          <w:tab/>
        </w:r>
        <w:r>
          <w:rPr>
            <w:noProof/>
            <w:webHidden/>
          </w:rPr>
          <w:fldChar w:fldCharType="begin"/>
        </w:r>
        <w:r>
          <w:rPr>
            <w:noProof/>
            <w:webHidden/>
          </w:rPr>
          <w:instrText xml:space="preserve"> PAGEREF _Toc217297554 \h </w:instrText>
        </w:r>
        <w:r>
          <w:rPr>
            <w:noProof/>
            <w:webHidden/>
          </w:rPr>
        </w:r>
        <w:r>
          <w:rPr>
            <w:noProof/>
            <w:webHidden/>
          </w:rPr>
          <w:fldChar w:fldCharType="separate"/>
        </w:r>
        <w:r w:rsidR="00F33716">
          <w:rPr>
            <w:noProof/>
            <w:webHidden/>
          </w:rPr>
          <w:t>51</w:t>
        </w:r>
        <w:r>
          <w:rPr>
            <w:noProof/>
            <w:webHidden/>
          </w:rPr>
          <w:fldChar w:fldCharType="end"/>
        </w:r>
      </w:hyperlink>
    </w:p>
    <w:p w14:paraId="51A24615" w14:textId="15AB7194"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55" w:history="1">
        <w:r w:rsidRPr="00021BB6">
          <w:rPr>
            <w:rStyle w:val="Hyperlink"/>
            <w:rFonts w:ascii="Times New Roman" w:hAnsi="Times New Roman" w:cs="Times New Roman"/>
            <w:noProof/>
          </w:rPr>
          <w:t>4.4.</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Pollution Hotspots and Sensitive Areas</w:t>
        </w:r>
        <w:r>
          <w:rPr>
            <w:noProof/>
            <w:webHidden/>
          </w:rPr>
          <w:tab/>
        </w:r>
        <w:r>
          <w:rPr>
            <w:noProof/>
            <w:webHidden/>
          </w:rPr>
          <w:fldChar w:fldCharType="begin"/>
        </w:r>
        <w:r>
          <w:rPr>
            <w:noProof/>
            <w:webHidden/>
          </w:rPr>
          <w:instrText xml:space="preserve"> PAGEREF _Toc217297555 \h </w:instrText>
        </w:r>
        <w:r>
          <w:rPr>
            <w:noProof/>
            <w:webHidden/>
          </w:rPr>
        </w:r>
        <w:r>
          <w:rPr>
            <w:noProof/>
            <w:webHidden/>
          </w:rPr>
          <w:fldChar w:fldCharType="separate"/>
        </w:r>
        <w:r w:rsidR="00F33716">
          <w:rPr>
            <w:noProof/>
            <w:webHidden/>
          </w:rPr>
          <w:t>55</w:t>
        </w:r>
        <w:r>
          <w:rPr>
            <w:noProof/>
            <w:webHidden/>
          </w:rPr>
          <w:fldChar w:fldCharType="end"/>
        </w:r>
      </w:hyperlink>
    </w:p>
    <w:p w14:paraId="596785BE" w14:textId="09085402"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56" w:history="1">
        <w:r w:rsidRPr="00021BB6">
          <w:rPr>
            <w:rStyle w:val="Hyperlink"/>
            <w:rFonts w:ascii="Times New Roman" w:hAnsi="Times New Roman" w:cs="Times New Roman"/>
            <w:noProof/>
          </w:rPr>
          <w:t>4.5.</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Discussion</w:t>
        </w:r>
        <w:r>
          <w:rPr>
            <w:noProof/>
            <w:webHidden/>
          </w:rPr>
          <w:tab/>
        </w:r>
        <w:r>
          <w:rPr>
            <w:noProof/>
            <w:webHidden/>
          </w:rPr>
          <w:fldChar w:fldCharType="begin"/>
        </w:r>
        <w:r>
          <w:rPr>
            <w:noProof/>
            <w:webHidden/>
          </w:rPr>
          <w:instrText xml:space="preserve"> PAGEREF _Toc217297556 \h </w:instrText>
        </w:r>
        <w:r>
          <w:rPr>
            <w:noProof/>
            <w:webHidden/>
          </w:rPr>
        </w:r>
        <w:r>
          <w:rPr>
            <w:noProof/>
            <w:webHidden/>
          </w:rPr>
          <w:fldChar w:fldCharType="separate"/>
        </w:r>
        <w:r w:rsidR="00F33716">
          <w:rPr>
            <w:noProof/>
            <w:webHidden/>
          </w:rPr>
          <w:t>57</w:t>
        </w:r>
        <w:r>
          <w:rPr>
            <w:noProof/>
            <w:webHidden/>
          </w:rPr>
          <w:fldChar w:fldCharType="end"/>
        </w:r>
      </w:hyperlink>
    </w:p>
    <w:p w14:paraId="7382BC5C" w14:textId="492FEFF9"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57" w:history="1">
        <w:r w:rsidRPr="00021BB6">
          <w:rPr>
            <w:rStyle w:val="Hyperlink"/>
            <w:rFonts w:ascii="Times New Roman" w:hAnsi="Times New Roman" w:cs="Times New Roman"/>
            <w:noProof/>
          </w:rPr>
          <w:t>4.6.</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Gaps and Priority Challenges</w:t>
        </w:r>
        <w:r>
          <w:rPr>
            <w:noProof/>
            <w:webHidden/>
          </w:rPr>
          <w:tab/>
        </w:r>
        <w:r>
          <w:rPr>
            <w:noProof/>
            <w:webHidden/>
          </w:rPr>
          <w:fldChar w:fldCharType="begin"/>
        </w:r>
        <w:r>
          <w:rPr>
            <w:noProof/>
            <w:webHidden/>
          </w:rPr>
          <w:instrText xml:space="preserve"> PAGEREF _Toc217297557 \h </w:instrText>
        </w:r>
        <w:r>
          <w:rPr>
            <w:noProof/>
            <w:webHidden/>
          </w:rPr>
        </w:r>
        <w:r>
          <w:rPr>
            <w:noProof/>
            <w:webHidden/>
          </w:rPr>
          <w:fldChar w:fldCharType="separate"/>
        </w:r>
        <w:r w:rsidR="00F33716">
          <w:rPr>
            <w:noProof/>
            <w:webHidden/>
          </w:rPr>
          <w:t>61</w:t>
        </w:r>
        <w:r>
          <w:rPr>
            <w:noProof/>
            <w:webHidden/>
          </w:rPr>
          <w:fldChar w:fldCharType="end"/>
        </w:r>
      </w:hyperlink>
    </w:p>
    <w:p w14:paraId="79811CAA" w14:textId="192A63B7"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58" w:history="1">
        <w:r w:rsidRPr="00021BB6">
          <w:rPr>
            <w:rStyle w:val="Hyperlink"/>
            <w:rFonts w:ascii="Times New Roman" w:hAnsi="Times New Roman" w:cs="Times New Roman"/>
            <w:noProof/>
          </w:rPr>
          <w:t>4.7.</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Recommended Priority Actions, Emphasizing Regional Cooperation</w:t>
        </w:r>
        <w:r>
          <w:rPr>
            <w:noProof/>
            <w:webHidden/>
          </w:rPr>
          <w:tab/>
        </w:r>
        <w:r>
          <w:rPr>
            <w:noProof/>
            <w:webHidden/>
          </w:rPr>
          <w:fldChar w:fldCharType="begin"/>
        </w:r>
        <w:r>
          <w:rPr>
            <w:noProof/>
            <w:webHidden/>
          </w:rPr>
          <w:instrText xml:space="preserve"> PAGEREF _Toc217297558 \h </w:instrText>
        </w:r>
        <w:r>
          <w:rPr>
            <w:noProof/>
            <w:webHidden/>
          </w:rPr>
        </w:r>
        <w:r>
          <w:rPr>
            <w:noProof/>
            <w:webHidden/>
          </w:rPr>
          <w:fldChar w:fldCharType="separate"/>
        </w:r>
        <w:r w:rsidR="00F33716">
          <w:rPr>
            <w:noProof/>
            <w:webHidden/>
          </w:rPr>
          <w:t>62</w:t>
        </w:r>
        <w:r>
          <w:rPr>
            <w:noProof/>
            <w:webHidden/>
          </w:rPr>
          <w:fldChar w:fldCharType="end"/>
        </w:r>
      </w:hyperlink>
    </w:p>
    <w:p w14:paraId="6935A0B7" w14:textId="5A9D6591"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59" w:history="1">
        <w:r w:rsidRPr="00021BB6">
          <w:rPr>
            <w:rStyle w:val="Hyperlink"/>
            <w:rFonts w:ascii="Times New Roman" w:hAnsi="Times New Roman" w:cs="Times New Roman"/>
            <w:noProof/>
          </w:rPr>
          <w:t>4.8.</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Conclusion</w:t>
        </w:r>
        <w:r>
          <w:rPr>
            <w:noProof/>
            <w:webHidden/>
          </w:rPr>
          <w:tab/>
        </w:r>
        <w:r>
          <w:rPr>
            <w:noProof/>
            <w:webHidden/>
          </w:rPr>
          <w:fldChar w:fldCharType="begin"/>
        </w:r>
        <w:r>
          <w:rPr>
            <w:noProof/>
            <w:webHidden/>
          </w:rPr>
          <w:instrText xml:space="preserve"> PAGEREF _Toc217297559 \h </w:instrText>
        </w:r>
        <w:r>
          <w:rPr>
            <w:noProof/>
            <w:webHidden/>
          </w:rPr>
        </w:r>
        <w:r>
          <w:rPr>
            <w:noProof/>
            <w:webHidden/>
          </w:rPr>
          <w:fldChar w:fldCharType="separate"/>
        </w:r>
        <w:r w:rsidR="00F33716">
          <w:rPr>
            <w:noProof/>
            <w:webHidden/>
          </w:rPr>
          <w:t>64</w:t>
        </w:r>
        <w:r>
          <w:rPr>
            <w:noProof/>
            <w:webHidden/>
          </w:rPr>
          <w:fldChar w:fldCharType="end"/>
        </w:r>
      </w:hyperlink>
    </w:p>
    <w:p w14:paraId="4963692B" w14:textId="4F9C4A4B" w:rsidR="00CB4999" w:rsidRDefault="00CB4999">
      <w:pPr>
        <w:pStyle w:val="TOC2"/>
        <w:tabs>
          <w:tab w:val="right" w:leader="dot" w:pos="9737"/>
        </w:tabs>
        <w:rPr>
          <w:rFonts w:eastAsiaTheme="minorEastAsia" w:cstheme="minorBidi"/>
          <w:b w:val="0"/>
          <w:bCs w:val="0"/>
          <w:noProof/>
          <w:kern w:val="2"/>
          <w:sz w:val="24"/>
          <w:szCs w:val="24"/>
          <w:lang w:val="en-GB" w:eastAsia="en-GB"/>
          <w14:ligatures w14:val="standardContextual"/>
        </w:rPr>
      </w:pPr>
      <w:hyperlink w:anchor="_Toc217297560" w:history="1">
        <w:r w:rsidRPr="00021BB6">
          <w:rPr>
            <w:rStyle w:val="Hyperlink"/>
            <w:rFonts w:ascii="Times New Roman" w:hAnsi="Times New Roman" w:cs="Times New Roman"/>
            <w:noProof/>
            <w:lang w:val="en-ID"/>
          </w:rPr>
          <w:t>References</w:t>
        </w:r>
        <w:r>
          <w:rPr>
            <w:noProof/>
            <w:webHidden/>
          </w:rPr>
          <w:tab/>
        </w:r>
        <w:r>
          <w:rPr>
            <w:noProof/>
            <w:webHidden/>
          </w:rPr>
          <w:fldChar w:fldCharType="begin"/>
        </w:r>
        <w:r>
          <w:rPr>
            <w:noProof/>
            <w:webHidden/>
          </w:rPr>
          <w:instrText xml:space="preserve"> PAGEREF _Toc217297560 \h </w:instrText>
        </w:r>
        <w:r>
          <w:rPr>
            <w:noProof/>
            <w:webHidden/>
          </w:rPr>
        </w:r>
        <w:r>
          <w:rPr>
            <w:noProof/>
            <w:webHidden/>
          </w:rPr>
          <w:fldChar w:fldCharType="separate"/>
        </w:r>
        <w:r w:rsidR="00F33716">
          <w:rPr>
            <w:noProof/>
            <w:webHidden/>
          </w:rPr>
          <w:t>64</w:t>
        </w:r>
        <w:r>
          <w:rPr>
            <w:noProof/>
            <w:webHidden/>
          </w:rPr>
          <w:fldChar w:fldCharType="end"/>
        </w:r>
      </w:hyperlink>
    </w:p>
    <w:p w14:paraId="05C6648D" w14:textId="215609DF" w:rsidR="00CB4999" w:rsidRDefault="00CB4999">
      <w:pPr>
        <w:pStyle w:val="TOC1"/>
        <w:rPr>
          <w:rFonts w:asciiTheme="minorHAnsi" w:eastAsiaTheme="minorEastAsia" w:hAnsiTheme="minorHAnsi" w:cstheme="minorBidi"/>
          <w:b w:val="0"/>
          <w:bCs w:val="0"/>
          <w:i w:val="0"/>
          <w:iCs w:val="0"/>
          <w:color w:val="auto"/>
          <w:kern w:val="2"/>
          <w:lang w:val="en-GB" w:eastAsia="en-GB"/>
          <w14:ligatures w14:val="standardContextual"/>
        </w:rPr>
      </w:pPr>
      <w:hyperlink w:anchor="_Toc217297561" w:history="1">
        <w:r w:rsidRPr="00021BB6">
          <w:rPr>
            <w:rStyle w:val="Hyperlink"/>
          </w:rPr>
          <w:t>5.</w:t>
        </w:r>
        <w:r>
          <w:rPr>
            <w:rFonts w:asciiTheme="minorHAnsi" w:eastAsiaTheme="minorEastAsia" w:hAnsiTheme="minorHAnsi" w:cstheme="minorBidi"/>
            <w:b w:val="0"/>
            <w:bCs w:val="0"/>
            <w:i w:val="0"/>
            <w:iCs w:val="0"/>
            <w:color w:val="auto"/>
            <w:kern w:val="2"/>
            <w:lang w:val="en-GB" w:eastAsia="en-GB"/>
            <w14:ligatures w14:val="standardContextual"/>
          </w:rPr>
          <w:tab/>
        </w:r>
        <w:r w:rsidRPr="00021BB6">
          <w:rPr>
            <w:rStyle w:val="Hyperlink"/>
          </w:rPr>
          <w:t xml:space="preserve">FISHERIES: </w:t>
        </w:r>
        <w:r w:rsidRPr="00021BB6">
          <w:rPr>
            <w:rStyle w:val="Hyperlink"/>
            <w:rFonts w:eastAsia="Times New Roman"/>
            <w:lang w:val="en-ID"/>
          </w:rPr>
          <w:t>The Status and Recent Management of the Fisheries and Aquaculture Sector in the Fisheries Management Area of 711, part of the South China Sea</w:t>
        </w:r>
        <w:r>
          <w:rPr>
            <w:webHidden/>
          </w:rPr>
          <w:tab/>
        </w:r>
        <w:r>
          <w:rPr>
            <w:webHidden/>
          </w:rPr>
          <w:fldChar w:fldCharType="begin"/>
        </w:r>
        <w:r>
          <w:rPr>
            <w:webHidden/>
          </w:rPr>
          <w:instrText xml:space="preserve"> PAGEREF _Toc217297561 \h </w:instrText>
        </w:r>
        <w:r>
          <w:rPr>
            <w:webHidden/>
          </w:rPr>
        </w:r>
        <w:r>
          <w:rPr>
            <w:webHidden/>
          </w:rPr>
          <w:fldChar w:fldCharType="separate"/>
        </w:r>
        <w:r w:rsidR="00F33716">
          <w:rPr>
            <w:webHidden/>
          </w:rPr>
          <w:t>68</w:t>
        </w:r>
        <w:r>
          <w:rPr>
            <w:webHidden/>
          </w:rPr>
          <w:fldChar w:fldCharType="end"/>
        </w:r>
      </w:hyperlink>
    </w:p>
    <w:p w14:paraId="270C251B" w14:textId="3F7496D1"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62" w:history="1">
        <w:r w:rsidRPr="00021BB6">
          <w:rPr>
            <w:rStyle w:val="Hyperlink"/>
            <w:rFonts w:ascii="Times New Roman" w:hAnsi="Times New Roman" w:cs="Times New Roman"/>
            <w:noProof/>
          </w:rPr>
          <w:t>5.1.</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_Toc217297562 \h </w:instrText>
        </w:r>
        <w:r>
          <w:rPr>
            <w:noProof/>
            <w:webHidden/>
          </w:rPr>
        </w:r>
        <w:r>
          <w:rPr>
            <w:noProof/>
            <w:webHidden/>
          </w:rPr>
          <w:fldChar w:fldCharType="separate"/>
        </w:r>
        <w:r w:rsidR="00F33716">
          <w:rPr>
            <w:noProof/>
            <w:webHidden/>
          </w:rPr>
          <w:t>68</w:t>
        </w:r>
        <w:r>
          <w:rPr>
            <w:noProof/>
            <w:webHidden/>
          </w:rPr>
          <w:fldChar w:fldCharType="end"/>
        </w:r>
      </w:hyperlink>
    </w:p>
    <w:p w14:paraId="17F832E9" w14:textId="5A1E7C02"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63" w:history="1">
        <w:r w:rsidRPr="00021BB6">
          <w:rPr>
            <w:rStyle w:val="Hyperlink"/>
            <w:rFonts w:ascii="Times New Roman" w:hAnsi="Times New Roman" w:cs="Times New Roman"/>
            <w:noProof/>
          </w:rPr>
          <w:t>5.2.</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Key Finding Concern</w:t>
        </w:r>
        <w:r>
          <w:rPr>
            <w:noProof/>
            <w:webHidden/>
          </w:rPr>
          <w:tab/>
        </w:r>
        <w:r>
          <w:rPr>
            <w:noProof/>
            <w:webHidden/>
          </w:rPr>
          <w:fldChar w:fldCharType="begin"/>
        </w:r>
        <w:r>
          <w:rPr>
            <w:noProof/>
            <w:webHidden/>
          </w:rPr>
          <w:instrText xml:space="preserve"> PAGEREF _Toc217297563 \h </w:instrText>
        </w:r>
        <w:r>
          <w:rPr>
            <w:noProof/>
            <w:webHidden/>
          </w:rPr>
        </w:r>
        <w:r>
          <w:rPr>
            <w:noProof/>
            <w:webHidden/>
          </w:rPr>
          <w:fldChar w:fldCharType="separate"/>
        </w:r>
        <w:r w:rsidR="00F33716">
          <w:rPr>
            <w:noProof/>
            <w:webHidden/>
          </w:rPr>
          <w:t>69</w:t>
        </w:r>
        <w:r>
          <w:rPr>
            <w:noProof/>
            <w:webHidden/>
          </w:rPr>
          <w:fldChar w:fldCharType="end"/>
        </w:r>
      </w:hyperlink>
    </w:p>
    <w:p w14:paraId="27C5CDAB" w14:textId="2CEE54FC"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64" w:history="1">
        <w:r w:rsidRPr="00021BB6">
          <w:rPr>
            <w:rStyle w:val="Hyperlink"/>
            <w:rFonts w:ascii="Times New Roman" w:hAnsi="Times New Roman" w:cs="Times New Roman"/>
            <w:noProof/>
          </w:rPr>
          <w:t xml:space="preserve">5.3. </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Overexploitation of Living Aquatic Resources</w:t>
        </w:r>
        <w:r>
          <w:rPr>
            <w:noProof/>
            <w:webHidden/>
          </w:rPr>
          <w:tab/>
        </w:r>
        <w:r>
          <w:rPr>
            <w:noProof/>
            <w:webHidden/>
          </w:rPr>
          <w:fldChar w:fldCharType="begin"/>
        </w:r>
        <w:r>
          <w:rPr>
            <w:noProof/>
            <w:webHidden/>
          </w:rPr>
          <w:instrText xml:space="preserve"> PAGEREF _Toc217297564 \h </w:instrText>
        </w:r>
        <w:r>
          <w:rPr>
            <w:noProof/>
            <w:webHidden/>
          </w:rPr>
        </w:r>
        <w:r>
          <w:rPr>
            <w:noProof/>
            <w:webHidden/>
          </w:rPr>
          <w:fldChar w:fldCharType="separate"/>
        </w:r>
        <w:r w:rsidR="00F33716">
          <w:rPr>
            <w:noProof/>
            <w:webHidden/>
          </w:rPr>
          <w:t>69</w:t>
        </w:r>
        <w:r>
          <w:rPr>
            <w:noProof/>
            <w:webHidden/>
          </w:rPr>
          <w:fldChar w:fldCharType="end"/>
        </w:r>
      </w:hyperlink>
    </w:p>
    <w:p w14:paraId="6A6FD55C" w14:textId="62C354BE"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65" w:history="1">
        <w:r w:rsidRPr="00021BB6">
          <w:rPr>
            <w:rStyle w:val="Hyperlink"/>
            <w:rFonts w:ascii="Times New Roman" w:hAnsi="Times New Roman" w:cs="Times New Roman"/>
            <w:noProof/>
          </w:rPr>
          <w:t xml:space="preserve">5.4. </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Status of Coastal Aquaculture</w:t>
        </w:r>
        <w:r>
          <w:rPr>
            <w:noProof/>
            <w:webHidden/>
          </w:rPr>
          <w:tab/>
        </w:r>
        <w:r>
          <w:rPr>
            <w:noProof/>
            <w:webHidden/>
          </w:rPr>
          <w:fldChar w:fldCharType="begin"/>
        </w:r>
        <w:r>
          <w:rPr>
            <w:noProof/>
            <w:webHidden/>
          </w:rPr>
          <w:instrText xml:space="preserve"> PAGEREF _Toc217297565 \h </w:instrText>
        </w:r>
        <w:r>
          <w:rPr>
            <w:noProof/>
            <w:webHidden/>
          </w:rPr>
        </w:r>
        <w:r>
          <w:rPr>
            <w:noProof/>
            <w:webHidden/>
          </w:rPr>
          <w:fldChar w:fldCharType="separate"/>
        </w:r>
        <w:r w:rsidR="00F33716">
          <w:rPr>
            <w:noProof/>
            <w:webHidden/>
          </w:rPr>
          <w:t>79</w:t>
        </w:r>
        <w:r>
          <w:rPr>
            <w:noProof/>
            <w:webHidden/>
          </w:rPr>
          <w:fldChar w:fldCharType="end"/>
        </w:r>
      </w:hyperlink>
    </w:p>
    <w:p w14:paraId="5F592C1F" w14:textId="0D32AF1C"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66" w:history="1">
        <w:r w:rsidRPr="00021BB6">
          <w:rPr>
            <w:rStyle w:val="Hyperlink"/>
            <w:rFonts w:ascii="Times New Roman" w:hAnsi="Times New Roman" w:cs="Times New Roman"/>
            <w:noProof/>
          </w:rPr>
          <w:t>5.5.</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Problems and Issues</w:t>
        </w:r>
        <w:r>
          <w:rPr>
            <w:noProof/>
            <w:webHidden/>
          </w:rPr>
          <w:tab/>
        </w:r>
        <w:r>
          <w:rPr>
            <w:noProof/>
            <w:webHidden/>
          </w:rPr>
          <w:fldChar w:fldCharType="begin"/>
        </w:r>
        <w:r>
          <w:rPr>
            <w:noProof/>
            <w:webHidden/>
          </w:rPr>
          <w:instrText xml:space="preserve"> PAGEREF _Toc217297566 \h </w:instrText>
        </w:r>
        <w:r>
          <w:rPr>
            <w:noProof/>
            <w:webHidden/>
          </w:rPr>
        </w:r>
        <w:r>
          <w:rPr>
            <w:noProof/>
            <w:webHidden/>
          </w:rPr>
          <w:fldChar w:fldCharType="separate"/>
        </w:r>
        <w:r w:rsidR="00F33716">
          <w:rPr>
            <w:noProof/>
            <w:webHidden/>
          </w:rPr>
          <w:t>82</w:t>
        </w:r>
        <w:r>
          <w:rPr>
            <w:noProof/>
            <w:webHidden/>
          </w:rPr>
          <w:fldChar w:fldCharType="end"/>
        </w:r>
      </w:hyperlink>
    </w:p>
    <w:p w14:paraId="7AFE8B35" w14:textId="4A035876"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67" w:history="1">
        <w:r w:rsidRPr="00021BB6">
          <w:rPr>
            <w:rStyle w:val="Hyperlink"/>
            <w:rFonts w:ascii="Times New Roman" w:hAnsi="Times New Roman" w:cs="Times New Roman"/>
            <w:noProof/>
          </w:rPr>
          <w:t>5.6.</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Conclusion</w:t>
        </w:r>
        <w:r>
          <w:rPr>
            <w:noProof/>
            <w:webHidden/>
          </w:rPr>
          <w:tab/>
        </w:r>
        <w:r>
          <w:rPr>
            <w:noProof/>
            <w:webHidden/>
          </w:rPr>
          <w:fldChar w:fldCharType="begin"/>
        </w:r>
        <w:r>
          <w:rPr>
            <w:noProof/>
            <w:webHidden/>
          </w:rPr>
          <w:instrText xml:space="preserve"> PAGEREF _Toc217297567 \h </w:instrText>
        </w:r>
        <w:r>
          <w:rPr>
            <w:noProof/>
            <w:webHidden/>
          </w:rPr>
        </w:r>
        <w:r>
          <w:rPr>
            <w:noProof/>
            <w:webHidden/>
          </w:rPr>
          <w:fldChar w:fldCharType="separate"/>
        </w:r>
        <w:r w:rsidR="00F33716">
          <w:rPr>
            <w:noProof/>
            <w:webHidden/>
          </w:rPr>
          <w:t>83</w:t>
        </w:r>
        <w:r>
          <w:rPr>
            <w:noProof/>
            <w:webHidden/>
          </w:rPr>
          <w:fldChar w:fldCharType="end"/>
        </w:r>
      </w:hyperlink>
    </w:p>
    <w:p w14:paraId="122F6A51" w14:textId="3A243022" w:rsidR="00CB4999" w:rsidRDefault="00CB4999">
      <w:pPr>
        <w:pStyle w:val="TOC2"/>
        <w:tabs>
          <w:tab w:val="right" w:leader="dot" w:pos="9737"/>
        </w:tabs>
        <w:rPr>
          <w:rFonts w:eastAsiaTheme="minorEastAsia" w:cstheme="minorBidi"/>
          <w:b w:val="0"/>
          <w:bCs w:val="0"/>
          <w:noProof/>
          <w:kern w:val="2"/>
          <w:sz w:val="24"/>
          <w:szCs w:val="24"/>
          <w:lang w:val="en-GB" w:eastAsia="en-GB"/>
          <w14:ligatures w14:val="standardContextual"/>
        </w:rPr>
      </w:pPr>
      <w:hyperlink w:anchor="_Toc217297568" w:history="1">
        <w:r w:rsidRPr="00021BB6">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_Toc217297568 \h </w:instrText>
        </w:r>
        <w:r>
          <w:rPr>
            <w:noProof/>
            <w:webHidden/>
          </w:rPr>
        </w:r>
        <w:r>
          <w:rPr>
            <w:noProof/>
            <w:webHidden/>
          </w:rPr>
          <w:fldChar w:fldCharType="separate"/>
        </w:r>
        <w:r w:rsidR="00F33716">
          <w:rPr>
            <w:noProof/>
            <w:webHidden/>
          </w:rPr>
          <w:t>83</w:t>
        </w:r>
        <w:r>
          <w:rPr>
            <w:noProof/>
            <w:webHidden/>
          </w:rPr>
          <w:fldChar w:fldCharType="end"/>
        </w:r>
      </w:hyperlink>
    </w:p>
    <w:p w14:paraId="400E54DB" w14:textId="47E0492A" w:rsidR="00CB4999" w:rsidRDefault="00CB4999">
      <w:pPr>
        <w:pStyle w:val="TOC1"/>
        <w:rPr>
          <w:rFonts w:asciiTheme="minorHAnsi" w:eastAsiaTheme="minorEastAsia" w:hAnsiTheme="minorHAnsi" w:cstheme="minorBidi"/>
          <w:b w:val="0"/>
          <w:bCs w:val="0"/>
          <w:i w:val="0"/>
          <w:iCs w:val="0"/>
          <w:color w:val="auto"/>
          <w:kern w:val="2"/>
          <w:lang w:val="en-GB" w:eastAsia="en-GB"/>
          <w14:ligatures w14:val="standardContextual"/>
        </w:rPr>
      </w:pPr>
      <w:hyperlink w:anchor="_Toc217297569" w:history="1">
        <w:r w:rsidRPr="00021BB6">
          <w:rPr>
            <w:rStyle w:val="Hyperlink"/>
          </w:rPr>
          <w:t>6.</w:t>
        </w:r>
        <w:r>
          <w:rPr>
            <w:rFonts w:asciiTheme="minorHAnsi" w:eastAsiaTheme="minorEastAsia" w:hAnsiTheme="minorHAnsi" w:cstheme="minorBidi"/>
            <w:b w:val="0"/>
            <w:bCs w:val="0"/>
            <w:i w:val="0"/>
            <w:iCs w:val="0"/>
            <w:color w:val="auto"/>
            <w:kern w:val="2"/>
            <w:lang w:val="en-GB" w:eastAsia="en-GB"/>
            <w14:ligatures w14:val="standardContextual"/>
          </w:rPr>
          <w:tab/>
        </w:r>
        <w:r w:rsidRPr="00021BB6">
          <w:rPr>
            <w:rStyle w:val="Hyperlink"/>
          </w:rPr>
          <w:t xml:space="preserve">GOVERNANCE: </w:t>
        </w:r>
        <w:r w:rsidRPr="00021BB6">
          <w:rPr>
            <w:rStyle w:val="Hyperlink"/>
            <w:rFonts w:eastAsia="Times New Roman"/>
            <w:lang w:val="en-ID"/>
          </w:rPr>
          <w:t>The governance of Indonesia water as part of the South China Sea</w:t>
        </w:r>
        <w:r>
          <w:rPr>
            <w:webHidden/>
          </w:rPr>
          <w:tab/>
        </w:r>
        <w:r>
          <w:rPr>
            <w:webHidden/>
          </w:rPr>
          <w:fldChar w:fldCharType="begin"/>
        </w:r>
        <w:r>
          <w:rPr>
            <w:webHidden/>
          </w:rPr>
          <w:instrText xml:space="preserve"> PAGEREF _Toc217297569 \h </w:instrText>
        </w:r>
        <w:r>
          <w:rPr>
            <w:webHidden/>
          </w:rPr>
        </w:r>
        <w:r>
          <w:rPr>
            <w:webHidden/>
          </w:rPr>
          <w:fldChar w:fldCharType="separate"/>
        </w:r>
        <w:r w:rsidR="00F33716">
          <w:rPr>
            <w:webHidden/>
          </w:rPr>
          <w:t>86</w:t>
        </w:r>
        <w:r>
          <w:rPr>
            <w:webHidden/>
          </w:rPr>
          <w:fldChar w:fldCharType="end"/>
        </w:r>
      </w:hyperlink>
    </w:p>
    <w:p w14:paraId="00DA2E94" w14:textId="42DDA5A3"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70" w:history="1">
        <w:r w:rsidRPr="00021BB6">
          <w:rPr>
            <w:rStyle w:val="Hyperlink"/>
            <w:rFonts w:ascii="Times New Roman" w:hAnsi="Times New Roman" w:cs="Times New Roman"/>
            <w:noProof/>
          </w:rPr>
          <w:t xml:space="preserve">6.1. </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Introduction</w:t>
        </w:r>
        <w:r>
          <w:rPr>
            <w:noProof/>
            <w:webHidden/>
          </w:rPr>
          <w:tab/>
        </w:r>
        <w:r>
          <w:rPr>
            <w:noProof/>
            <w:webHidden/>
          </w:rPr>
          <w:fldChar w:fldCharType="begin"/>
        </w:r>
        <w:r>
          <w:rPr>
            <w:noProof/>
            <w:webHidden/>
          </w:rPr>
          <w:instrText xml:space="preserve"> PAGEREF _Toc217297570 \h </w:instrText>
        </w:r>
        <w:r>
          <w:rPr>
            <w:noProof/>
            <w:webHidden/>
          </w:rPr>
        </w:r>
        <w:r>
          <w:rPr>
            <w:noProof/>
            <w:webHidden/>
          </w:rPr>
          <w:fldChar w:fldCharType="separate"/>
        </w:r>
        <w:r w:rsidR="00F33716">
          <w:rPr>
            <w:noProof/>
            <w:webHidden/>
          </w:rPr>
          <w:t>86</w:t>
        </w:r>
        <w:r>
          <w:rPr>
            <w:noProof/>
            <w:webHidden/>
          </w:rPr>
          <w:fldChar w:fldCharType="end"/>
        </w:r>
      </w:hyperlink>
    </w:p>
    <w:p w14:paraId="4D398F26" w14:textId="3C186F7D"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71" w:history="1">
        <w:r w:rsidRPr="00021BB6">
          <w:rPr>
            <w:rStyle w:val="Hyperlink"/>
            <w:rFonts w:ascii="Times New Roman" w:hAnsi="Times New Roman" w:cs="Times New Roman"/>
            <w:noProof/>
          </w:rPr>
          <w:t xml:space="preserve">6.2. </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Key Governance Concern</w:t>
        </w:r>
        <w:r>
          <w:rPr>
            <w:noProof/>
            <w:webHidden/>
          </w:rPr>
          <w:tab/>
        </w:r>
        <w:r>
          <w:rPr>
            <w:noProof/>
            <w:webHidden/>
          </w:rPr>
          <w:fldChar w:fldCharType="begin"/>
        </w:r>
        <w:r>
          <w:rPr>
            <w:noProof/>
            <w:webHidden/>
          </w:rPr>
          <w:instrText xml:space="preserve"> PAGEREF _Toc217297571 \h </w:instrText>
        </w:r>
        <w:r>
          <w:rPr>
            <w:noProof/>
            <w:webHidden/>
          </w:rPr>
        </w:r>
        <w:r>
          <w:rPr>
            <w:noProof/>
            <w:webHidden/>
          </w:rPr>
          <w:fldChar w:fldCharType="separate"/>
        </w:r>
        <w:r w:rsidR="00F33716">
          <w:rPr>
            <w:noProof/>
            <w:webHidden/>
          </w:rPr>
          <w:t>87</w:t>
        </w:r>
        <w:r>
          <w:rPr>
            <w:noProof/>
            <w:webHidden/>
          </w:rPr>
          <w:fldChar w:fldCharType="end"/>
        </w:r>
      </w:hyperlink>
    </w:p>
    <w:p w14:paraId="3435852A" w14:textId="2EA79E3E"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72" w:history="1">
        <w:r w:rsidRPr="00021BB6">
          <w:rPr>
            <w:rStyle w:val="Hyperlink"/>
            <w:rFonts w:ascii="Times New Roman" w:hAnsi="Times New Roman" w:cs="Times New Roman"/>
            <w:noProof/>
          </w:rPr>
          <w:t>6.3.</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Current Status</w:t>
        </w:r>
        <w:r>
          <w:rPr>
            <w:noProof/>
            <w:webHidden/>
          </w:rPr>
          <w:tab/>
        </w:r>
        <w:r>
          <w:rPr>
            <w:noProof/>
            <w:webHidden/>
          </w:rPr>
          <w:fldChar w:fldCharType="begin"/>
        </w:r>
        <w:r>
          <w:rPr>
            <w:noProof/>
            <w:webHidden/>
          </w:rPr>
          <w:instrText xml:space="preserve"> PAGEREF _Toc217297572 \h </w:instrText>
        </w:r>
        <w:r>
          <w:rPr>
            <w:noProof/>
            <w:webHidden/>
          </w:rPr>
        </w:r>
        <w:r>
          <w:rPr>
            <w:noProof/>
            <w:webHidden/>
          </w:rPr>
          <w:fldChar w:fldCharType="separate"/>
        </w:r>
        <w:r w:rsidR="00F33716">
          <w:rPr>
            <w:noProof/>
            <w:webHidden/>
          </w:rPr>
          <w:t>87</w:t>
        </w:r>
        <w:r>
          <w:rPr>
            <w:noProof/>
            <w:webHidden/>
          </w:rPr>
          <w:fldChar w:fldCharType="end"/>
        </w:r>
      </w:hyperlink>
    </w:p>
    <w:p w14:paraId="044271D4" w14:textId="7F0C7FF6"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73" w:history="1">
        <w:r w:rsidRPr="00021BB6">
          <w:rPr>
            <w:rStyle w:val="Hyperlink"/>
            <w:rFonts w:ascii="Times New Roman" w:hAnsi="Times New Roman" w:cs="Times New Roman"/>
            <w:noProof/>
          </w:rPr>
          <w:t>6.4.</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Discussion and Conclusion</w:t>
        </w:r>
        <w:r>
          <w:rPr>
            <w:noProof/>
            <w:webHidden/>
          </w:rPr>
          <w:tab/>
        </w:r>
        <w:r>
          <w:rPr>
            <w:noProof/>
            <w:webHidden/>
          </w:rPr>
          <w:fldChar w:fldCharType="begin"/>
        </w:r>
        <w:r>
          <w:rPr>
            <w:noProof/>
            <w:webHidden/>
          </w:rPr>
          <w:instrText xml:space="preserve"> PAGEREF _Toc217297573 \h </w:instrText>
        </w:r>
        <w:r>
          <w:rPr>
            <w:noProof/>
            <w:webHidden/>
          </w:rPr>
        </w:r>
        <w:r>
          <w:rPr>
            <w:noProof/>
            <w:webHidden/>
          </w:rPr>
          <w:fldChar w:fldCharType="separate"/>
        </w:r>
        <w:r w:rsidR="00F33716">
          <w:rPr>
            <w:noProof/>
            <w:webHidden/>
          </w:rPr>
          <w:t>96</w:t>
        </w:r>
        <w:r>
          <w:rPr>
            <w:noProof/>
            <w:webHidden/>
          </w:rPr>
          <w:fldChar w:fldCharType="end"/>
        </w:r>
      </w:hyperlink>
    </w:p>
    <w:p w14:paraId="04159621" w14:textId="1F24ECD7"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74" w:history="1">
        <w:r w:rsidRPr="00021BB6">
          <w:rPr>
            <w:rStyle w:val="Hyperlink"/>
            <w:rFonts w:ascii="Times New Roman" w:hAnsi="Times New Roman" w:cs="Times New Roman"/>
            <w:noProof/>
          </w:rPr>
          <w:t>6.5.</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Recommended priority actions including regional cooperation</w:t>
        </w:r>
        <w:r>
          <w:rPr>
            <w:noProof/>
            <w:webHidden/>
          </w:rPr>
          <w:tab/>
        </w:r>
        <w:r>
          <w:rPr>
            <w:noProof/>
            <w:webHidden/>
          </w:rPr>
          <w:fldChar w:fldCharType="begin"/>
        </w:r>
        <w:r>
          <w:rPr>
            <w:noProof/>
            <w:webHidden/>
          </w:rPr>
          <w:instrText xml:space="preserve"> PAGEREF _Toc217297574 \h </w:instrText>
        </w:r>
        <w:r>
          <w:rPr>
            <w:noProof/>
            <w:webHidden/>
          </w:rPr>
        </w:r>
        <w:r>
          <w:rPr>
            <w:noProof/>
            <w:webHidden/>
          </w:rPr>
          <w:fldChar w:fldCharType="separate"/>
        </w:r>
        <w:r w:rsidR="00F33716">
          <w:rPr>
            <w:noProof/>
            <w:webHidden/>
          </w:rPr>
          <w:t>99</w:t>
        </w:r>
        <w:r>
          <w:rPr>
            <w:noProof/>
            <w:webHidden/>
          </w:rPr>
          <w:fldChar w:fldCharType="end"/>
        </w:r>
      </w:hyperlink>
    </w:p>
    <w:p w14:paraId="4B2D27BC" w14:textId="70E021AB"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75" w:history="1">
        <w:r w:rsidRPr="00021BB6">
          <w:rPr>
            <w:rStyle w:val="Hyperlink"/>
            <w:rFonts w:ascii="Times New Roman" w:hAnsi="Times New Roman" w:cs="Times New Roman"/>
            <w:noProof/>
          </w:rPr>
          <w:t>6.6.</w:t>
        </w:r>
        <w:r>
          <w:rPr>
            <w:rFonts w:eastAsiaTheme="minorEastAsia" w:cstheme="minorBidi"/>
            <w:b w:val="0"/>
            <w:bCs w:val="0"/>
            <w:noProof/>
            <w:kern w:val="2"/>
            <w:sz w:val="24"/>
            <w:szCs w:val="24"/>
            <w:lang w:val="en-GB" w:eastAsia="en-GB"/>
            <w14:ligatures w14:val="standardContextual"/>
          </w:rPr>
          <w:tab/>
        </w:r>
        <w:r w:rsidRPr="00021BB6">
          <w:rPr>
            <w:rStyle w:val="Hyperlink"/>
            <w:rFonts w:ascii="Times New Roman" w:hAnsi="Times New Roman" w:cs="Times New Roman"/>
            <w:noProof/>
          </w:rPr>
          <w:t>Conclusion</w:t>
        </w:r>
        <w:r>
          <w:rPr>
            <w:noProof/>
            <w:webHidden/>
          </w:rPr>
          <w:tab/>
        </w:r>
        <w:r>
          <w:rPr>
            <w:noProof/>
            <w:webHidden/>
          </w:rPr>
          <w:fldChar w:fldCharType="begin"/>
        </w:r>
        <w:r>
          <w:rPr>
            <w:noProof/>
            <w:webHidden/>
          </w:rPr>
          <w:instrText xml:space="preserve"> PAGEREF _Toc217297575 \h </w:instrText>
        </w:r>
        <w:r>
          <w:rPr>
            <w:noProof/>
            <w:webHidden/>
          </w:rPr>
        </w:r>
        <w:r>
          <w:rPr>
            <w:noProof/>
            <w:webHidden/>
          </w:rPr>
          <w:fldChar w:fldCharType="separate"/>
        </w:r>
        <w:r w:rsidR="00F33716">
          <w:rPr>
            <w:noProof/>
            <w:webHidden/>
          </w:rPr>
          <w:t>99</w:t>
        </w:r>
        <w:r>
          <w:rPr>
            <w:noProof/>
            <w:webHidden/>
          </w:rPr>
          <w:fldChar w:fldCharType="end"/>
        </w:r>
      </w:hyperlink>
    </w:p>
    <w:p w14:paraId="1E5A3688" w14:textId="67E2913B" w:rsidR="00CB4999" w:rsidRDefault="00CB4999">
      <w:pPr>
        <w:pStyle w:val="TOC2"/>
        <w:tabs>
          <w:tab w:val="right" w:leader="dot" w:pos="9737"/>
        </w:tabs>
        <w:rPr>
          <w:rFonts w:eastAsiaTheme="minorEastAsia" w:cstheme="minorBidi"/>
          <w:b w:val="0"/>
          <w:bCs w:val="0"/>
          <w:noProof/>
          <w:kern w:val="2"/>
          <w:sz w:val="24"/>
          <w:szCs w:val="24"/>
          <w:lang w:val="en-GB" w:eastAsia="en-GB"/>
          <w14:ligatures w14:val="standardContextual"/>
        </w:rPr>
      </w:pPr>
      <w:hyperlink w:anchor="_Toc217297576" w:history="1">
        <w:r w:rsidRPr="00021BB6">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_Toc217297576 \h </w:instrText>
        </w:r>
        <w:r>
          <w:rPr>
            <w:noProof/>
            <w:webHidden/>
          </w:rPr>
        </w:r>
        <w:r>
          <w:rPr>
            <w:noProof/>
            <w:webHidden/>
          </w:rPr>
          <w:fldChar w:fldCharType="separate"/>
        </w:r>
        <w:r w:rsidR="00F33716">
          <w:rPr>
            <w:noProof/>
            <w:webHidden/>
          </w:rPr>
          <w:t>100</w:t>
        </w:r>
        <w:r>
          <w:rPr>
            <w:noProof/>
            <w:webHidden/>
          </w:rPr>
          <w:fldChar w:fldCharType="end"/>
        </w:r>
      </w:hyperlink>
    </w:p>
    <w:p w14:paraId="05EAD414" w14:textId="34511A00" w:rsidR="00CB4999" w:rsidRDefault="00CB4999">
      <w:pPr>
        <w:pStyle w:val="TOC1"/>
        <w:rPr>
          <w:rFonts w:asciiTheme="minorHAnsi" w:eastAsiaTheme="minorEastAsia" w:hAnsiTheme="minorHAnsi" w:cstheme="minorBidi"/>
          <w:b w:val="0"/>
          <w:bCs w:val="0"/>
          <w:i w:val="0"/>
          <w:iCs w:val="0"/>
          <w:color w:val="auto"/>
          <w:kern w:val="2"/>
          <w:lang w:val="en-GB" w:eastAsia="en-GB"/>
          <w14:ligatures w14:val="standardContextual"/>
        </w:rPr>
      </w:pPr>
      <w:hyperlink w:anchor="_Toc217297577" w:history="1">
        <w:r w:rsidRPr="00021BB6">
          <w:rPr>
            <w:rStyle w:val="Hyperlink"/>
          </w:rPr>
          <w:t>7.</w:t>
        </w:r>
        <w:r>
          <w:rPr>
            <w:rFonts w:asciiTheme="minorHAnsi" w:eastAsiaTheme="minorEastAsia" w:hAnsiTheme="minorHAnsi" w:cstheme="minorBidi"/>
            <w:b w:val="0"/>
            <w:bCs w:val="0"/>
            <w:i w:val="0"/>
            <w:iCs w:val="0"/>
            <w:color w:val="auto"/>
            <w:kern w:val="2"/>
            <w:lang w:val="en-GB" w:eastAsia="en-GB"/>
            <w14:ligatures w14:val="standardContextual"/>
          </w:rPr>
          <w:tab/>
        </w:r>
        <w:r w:rsidRPr="00021BB6">
          <w:rPr>
            <w:rStyle w:val="Hyperlink"/>
          </w:rPr>
          <w:t>CONCLUSION of the National TDA Report</w:t>
        </w:r>
        <w:r>
          <w:rPr>
            <w:webHidden/>
          </w:rPr>
          <w:tab/>
        </w:r>
        <w:r>
          <w:rPr>
            <w:webHidden/>
          </w:rPr>
          <w:fldChar w:fldCharType="begin"/>
        </w:r>
        <w:r>
          <w:rPr>
            <w:webHidden/>
          </w:rPr>
          <w:instrText xml:space="preserve"> PAGEREF _Toc217297577 \h </w:instrText>
        </w:r>
        <w:r>
          <w:rPr>
            <w:webHidden/>
          </w:rPr>
        </w:r>
        <w:r>
          <w:rPr>
            <w:webHidden/>
          </w:rPr>
          <w:fldChar w:fldCharType="separate"/>
        </w:r>
        <w:r w:rsidR="00F33716">
          <w:rPr>
            <w:webHidden/>
          </w:rPr>
          <w:t>102</w:t>
        </w:r>
        <w:r>
          <w:rPr>
            <w:webHidden/>
          </w:rPr>
          <w:fldChar w:fldCharType="end"/>
        </w:r>
      </w:hyperlink>
    </w:p>
    <w:p w14:paraId="1CD6C07C" w14:textId="3057CF81"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78" w:history="1">
        <w:r w:rsidRPr="00021BB6">
          <w:rPr>
            <w:rStyle w:val="Hyperlink"/>
            <w:noProof/>
          </w:rPr>
          <w:t xml:space="preserve">7.1. </w:t>
        </w:r>
        <w:r>
          <w:rPr>
            <w:rFonts w:eastAsiaTheme="minorEastAsia" w:cstheme="minorBidi"/>
            <w:b w:val="0"/>
            <w:bCs w:val="0"/>
            <w:noProof/>
            <w:kern w:val="2"/>
            <w:sz w:val="24"/>
            <w:szCs w:val="24"/>
            <w:lang w:val="en-GB" w:eastAsia="en-GB"/>
            <w14:ligatures w14:val="standardContextual"/>
          </w:rPr>
          <w:tab/>
        </w:r>
        <w:r w:rsidRPr="00021BB6">
          <w:rPr>
            <w:rStyle w:val="Hyperlink"/>
            <w:noProof/>
          </w:rPr>
          <w:t>Meeting the TDA objectives</w:t>
        </w:r>
        <w:r>
          <w:rPr>
            <w:noProof/>
            <w:webHidden/>
          </w:rPr>
          <w:tab/>
        </w:r>
        <w:r>
          <w:rPr>
            <w:noProof/>
            <w:webHidden/>
          </w:rPr>
          <w:fldChar w:fldCharType="begin"/>
        </w:r>
        <w:r>
          <w:rPr>
            <w:noProof/>
            <w:webHidden/>
          </w:rPr>
          <w:instrText xml:space="preserve"> PAGEREF _Toc217297578 \h </w:instrText>
        </w:r>
        <w:r>
          <w:rPr>
            <w:noProof/>
            <w:webHidden/>
          </w:rPr>
        </w:r>
        <w:r>
          <w:rPr>
            <w:noProof/>
            <w:webHidden/>
          </w:rPr>
          <w:fldChar w:fldCharType="separate"/>
        </w:r>
        <w:r w:rsidR="00F33716">
          <w:rPr>
            <w:noProof/>
            <w:webHidden/>
          </w:rPr>
          <w:t>102</w:t>
        </w:r>
        <w:r>
          <w:rPr>
            <w:noProof/>
            <w:webHidden/>
          </w:rPr>
          <w:fldChar w:fldCharType="end"/>
        </w:r>
      </w:hyperlink>
    </w:p>
    <w:p w14:paraId="75A317E1" w14:textId="73FE6441"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79" w:history="1">
        <w:r w:rsidRPr="00021BB6">
          <w:rPr>
            <w:rStyle w:val="Hyperlink"/>
            <w:noProof/>
          </w:rPr>
          <w:t xml:space="preserve">7.2.  </w:t>
        </w:r>
        <w:r>
          <w:rPr>
            <w:rFonts w:eastAsiaTheme="minorEastAsia" w:cstheme="minorBidi"/>
            <w:b w:val="0"/>
            <w:bCs w:val="0"/>
            <w:noProof/>
            <w:kern w:val="2"/>
            <w:sz w:val="24"/>
            <w:szCs w:val="24"/>
            <w:lang w:val="en-GB" w:eastAsia="en-GB"/>
            <w14:ligatures w14:val="standardContextual"/>
          </w:rPr>
          <w:tab/>
        </w:r>
        <w:r w:rsidRPr="00021BB6">
          <w:rPr>
            <w:rStyle w:val="Hyperlink"/>
            <w:noProof/>
          </w:rPr>
          <w:t>Key conclusions and crosscutting interactions</w:t>
        </w:r>
        <w:r>
          <w:rPr>
            <w:noProof/>
            <w:webHidden/>
          </w:rPr>
          <w:tab/>
        </w:r>
        <w:r>
          <w:rPr>
            <w:noProof/>
            <w:webHidden/>
          </w:rPr>
          <w:fldChar w:fldCharType="begin"/>
        </w:r>
        <w:r>
          <w:rPr>
            <w:noProof/>
            <w:webHidden/>
          </w:rPr>
          <w:instrText xml:space="preserve"> PAGEREF _Toc217297579 \h </w:instrText>
        </w:r>
        <w:r>
          <w:rPr>
            <w:noProof/>
            <w:webHidden/>
          </w:rPr>
        </w:r>
        <w:r>
          <w:rPr>
            <w:noProof/>
            <w:webHidden/>
          </w:rPr>
          <w:fldChar w:fldCharType="separate"/>
        </w:r>
        <w:r w:rsidR="00F33716">
          <w:rPr>
            <w:noProof/>
            <w:webHidden/>
          </w:rPr>
          <w:t>102</w:t>
        </w:r>
        <w:r>
          <w:rPr>
            <w:noProof/>
            <w:webHidden/>
          </w:rPr>
          <w:fldChar w:fldCharType="end"/>
        </w:r>
      </w:hyperlink>
    </w:p>
    <w:p w14:paraId="0CD813D8" w14:textId="4DA377FD"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80" w:history="1">
        <w:r w:rsidRPr="00021BB6">
          <w:rPr>
            <w:rStyle w:val="Hyperlink"/>
            <w:noProof/>
          </w:rPr>
          <w:t xml:space="preserve">7.3. </w:t>
        </w:r>
        <w:r>
          <w:rPr>
            <w:rFonts w:eastAsiaTheme="minorEastAsia" w:cstheme="minorBidi"/>
            <w:b w:val="0"/>
            <w:bCs w:val="0"/>
            <w:noProof/>
            <w:kern w:val="2"/>
            <w:sz w:val="24"/>
            <w:szCs w:val="24"/>
            <w:lang w:val="en-GB" w:eastAsia="en-GB"/>
            <w14:ligatures w14:val="standardContextual"/>
          </w:rPr>
          <w:tab/>
        </w:r>
        <w:r w:rsidRPr="00021BB6">
          <w:rPr>
            <w:rStyle w:val="Hyperlink"/>
            <w:noProof/>
          </w:rPr>
          <w:t>Patterns of risk among spatial units of analyses and at country scale</w:t>
        </w:r>
        <w:r>
          <w:rPr>
            <w:noProof/>
            <w:webHidden/>
          </w:rPr>
          <w:tab/>
        </w:r>
        <w:r>
          <w:rPr>
            <w:noProof/>
            <w:webHidden/>
          </w:rPr>
          <w:fldChar w:fldCharType="begin"/>
        </w:r>
        <w:r>
          <w:rPr>
            <w:noProof/>
            <w:webHidden/>
          </w:rPr>
          <w:instrText xml:space="preserve"> PAGEREF _Toc217297580 \h </w:instrText>
        </w:r>
        <w:r>
          <w:rPr>
            <w:noProof/>
            <w:webHidden/>
          </w:rPr>
        </w:r>
        <w:r>
          <w:rPr>
            <w:noProof/>
            <w:webHidden/>
          </w:rPr>
          <w:fldChar w:fldCharType="separate"/>
        </w:r>
        <w:r w:rsidR="00F33716">
          <w:rPr>
            <w:noProof/>
            <w:webHidden/>
          </w:rPr>
          <w:t>105</w:t>
        </w:r>
        <w:r>
          <w:rPr>
            <w:noProof/>
            <w:webHidden/>
          </w:rPr>
          <w:fldChar w:fldCharType="end"/>
        </w:r>
      </w:hyperlink>
    </w:p>
    <w:p w14:paraId="587DF7BF" w14:textId="71C01465"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81" w:history="1">
        <w:r w:rsidRPr="00021BB6">
          <w:rPr>
            <w:rStyle w:val="Hyperlink"/>
            <w:noProof/>
          </w:rPr>
          <w:t xml:space="preserve">7.4. </w:t>
        </w:r>
        <w:r>
          <w:rPr>
            <w:rFonts w:eastAsiaTheme="minorEastAsia" w:cstheme="minorBidi"/>
            <w:b w:val="0"/>
            <w:bCs w:val="0"/>
            <w:noProof/>
            <w:kern w:val="2"/>
            <w:sz w:val="24"/>
            <w:szCs w:val="24"/>
            <w:lang w:val="en-GB" w:eastAsia="en-GB"/>
            <w14:ligatures w14:val="standardContextual"/>
          </w:rPr>
          <w:tab/>
        </w:r>
        <w:r w:rsidRPr="00021BB6">
          <w:rPr>
            <w:rStyle w:val="Hyperlink"/>
            <w:noProof/>
          </w:rPr>
          <w:t>Target audience</w:t>
        </w:r>
        <w:r>
          <w:rPr>
            <w:noProof/>
            <w:webHidden/>
          </w:rPr>
          <w:tab/>
        </w:r>
        <w:r>
          <w:rPr>
            <w:noProof/>
            <w:webHidden/>
          </w:rPr>
          <w:fldChar w:fldCharType="begin"/>
        </w:r>
        <w:r>
          <w:rPr>
            <w:noProof/>
            <w:webHidden/>
          </w:rPr>
          <w:instrText xml:space="preserve"> PAGEREF _Toc217297581 \h </w:instrText>
        </w:r>
        <w:r>
          <w:rPr>
            <w:noProof/>
            <w:webHidden/>
          </w:rPr>
        </w:r>
        <w:r>
          <w:rPr>
            <w:noProof/>
            <w:webHidden/>
          </w:rPr>
          <w:fldChar w:fldCharType="separate"/>
        </w:r>
        <w:r w:rsidR="00F33716">
          <w:rPr>
            <w:noProof/>
            <w:webHidden/>
          </w:rPr>
          <w:t>107</w:t>
        </w:r>
        <w:r>
          <w:rPr>
            <w:noProof/>
            <w:webHidden/>
          </w:rPr>
          <w:fldChar w:fldCharType="end"/>
        </w:r>
      </w:hyperlink>
    </w:p>
    <w:p w14:paraId="73962FA7" w14:textId="283B9CA7" w:rsidR="00CB4999" w:rsidRDefault="00CB4999">
      <w:pPr>
        <w:pStyle w:val="TOC2"/>
        <w:tabs>
          <w:tab w:val="left" w:pos="960"/>
          <w:tab w:val="right" w:leader="dot" w:pos="9737"/>
        </w:tabs>
        <w:rPr>
          <w:rFonts w:eastAsiaTheme="minorEastAsia" w:cstheme="minorBidi"/>
          <w:b w:val="0"/>
          <w:bCs w:val="0"/>
          <w:noProof/>
          <w:kern w:val="2"/>
          <w:sz w:val="24"/>
          <w:szCs w:val="24"/>
          <w:lang w:val="en-GB" w:eastAsia="en-GB"/>
          <w14:ligatures w14:val="standardContextual"/>
        </w:rPr>
      </w:pPr>
      <w:hyperlink w:anchor="_Toc217297582" w:history="1">
        <w:r w:rsidRPr="00021BB6">
          <w:rPr>
            <w:rStyle w:val="Hyperlink"/>
            <w:noProof/>
          </w:rPr>
          <w:t>7.5.</w:t>
        </w:r>
        <w:r>
          <w:rPr>
            <w:rFonts w:eastAsiaTheme="minorEastAsia" w:cstheme="minorBidi"/>
            <w:b w:val="0"/>
            <w:bCs w:val="0"/>
            <w:noProof/>
            <w:kern w:val="2"/>
            <w:sz w:val="24"/>
            <w:szCs w:val="24"/>
            <w:lang w:val="en-GB" w:eastAsia="en-GB"/>
            <w14:ligatures w14:val="standardContextual"/>
          </w:rPr>
          <w:tab/>
        </w:r>
        <w:r w:rsidRPr="00021BB6">
          <w:rPr>
            <w:rStyle w:val="Hyperlink"/>
            <w:noProof/>
          </w:rPr>
          <w:t>Future indicator-based environmental assessments</w:t>
        </w:r>
        <w:r>
          <w:rPr>
            <w:noProof/>
            <w:webHidden/>
          </w:rPr>
          <w:tab/>
        </w:r>
        <w:r>
          <w:rPr>
            <w:noProof/>
            <w:webHidden/>
          </w:rPr>
          <w:fldChar w:fldCharType="begin"/>
        </w:r>
        <w:r>
          <w:rPr>
            <w:noProof/>
            <w:webHidden/>
          </w:rPr>
          <w:instrText xml:space="preserve"> PAGEREF _Toc217297582 \h </w:instrText>
        </w:r>
        <w:r>
          <w:rPr>
            <w:noProof/>
            <w:webHidden/>
          </w:rPr>
        </w:r>
        <w:r>
          <w:rPr>
            <w:noProof/>
            <w:webHidden/>
          </w:rPr>
          <w:fldChar w:fldCharType="separate"/>
        </w:r>
        <w:r w:rsidR="00F33716">
          <w:rPr>
            <w:noProof/>
            <w:webHidden/>
          </w:rPr>
          <w:t>108</w:t>
        </w:r>
        <w:r>
          <w:rPr>
            <w:noProof/>
            <w:webHidden/>
          </w:rPr>
          <w:fldChar w:fldCharType="end"/>
        </w:r>
      </w:hyperlink>
    </w:p>
    <w:p w14:paraId="63AF0EA1" w14:textId="111F8B4D" w:rsidR="00CB4999" w:rsidRDefault="00CB4999">
      <w:pPr>
        <w:pStyle w:val="TOC1"/>
        <w:rPr>
          <w:rFonts w:asciiTheme="minorHAnsi" w:eastAsiaTheme="minorEastAsia" w:hAnsiTheme="minorHAnsi" w:cstheme="minorBidi"/>
          <w:b w:val="0"/>
          <w:bCs w:val="0"/>
          <w:i w:val="0"/>
          <w:iCs w:val="0"/>
          <w:color w:val="auto"/>
          <w:kern w:val="2"/>
          <w:lang w:val="en-GB" w:eastAsia="en-GB"/>
          <w14:ligatures w14:val="standardContextual"/>
        </w:rPr>
      </w:pPr>
      <w:hyperlink w:anchor="_Toc217297583" w:history="1">
        <w:r w:rsidRPr="00021BB6">
          <w:rPr>
            <w:rStyle w:val="Hyperlink"/>
          </w:rPr>
          <w:t>APPENDIXES</w:t>
        </w:r>
        <w:r>
          <w:rPr>
            <w:webHidden/>
          </w:rPr>
          <w:tab/>
        </w:r>
        <w:r>
          <w:rPr>
            <w:webHidden/>
          </w:rPr>
          <w:fldChar w:fldCharType="begin"/>
        </w:r>
        <w:r>
          <w:rPr>
            <w:webHidden/>
          </w:rPr>
          <w:instrText xml:space="preserve"> PAGEREF _Toc217297583 \h </w:instrText>
        </w:r>
        <w:r>
          <w:rPr>
            <w:webHidden/>
          </w:rPr>
        </w:r>
        <w:r>
          <w:rPr>
            <w:webHidden/>
          </w:rPr>
          <w:fldChar w:fldCharType="separate"/>
        </w:r>
        <w:r w:rsidR="00F33716">
          <w:rPr>
            <w:webHidden/>
          </w:rPr>
          <w:t>110</w:t>
        </w:r>
        <w:r>
          <w:rPr>
            <w:webHidden/>
          </w:rPr>
          <w:fldChar w:fldCharType="end"/>
        </w:r>
      </w:hyperlink>
    </w:p>
    <w:p w14:paraId="4DD12528" w14:textId="7F993433" w:rsidR="00CB4999" w:rsidRDefault="00CB4999">
      <w:pPr>
        <w:pStyle w:val="TOC2"/>
        <w:tabs>
          <w:tab w:val="right" w:leader="dot" w:pos="9737"/>
        </w:tabs>
        <w:rPr>
          <w:rFonts w:eastAsiaTheme="minorEastAsia" w:cstheme="minorBidi"/>
          <w:b w:val="0"/>
          <w:bCs w:val="0"/>
          <w:noProof/>
          <w:kern w:val="2"/>
          <w:sz w:val="24"/>
          <w:szCs w:val="24"/>
          <w:lang w:val="en-GB" w:eastAsia="en-GB"/>
          <w14:ligatures w14:val="standardContextual"/>
        </w:rPr>
      </w:pPr>
      <w:hyperlink w:anchor="_Toc217297584" w:history="1">
        <w:r w:rsidRPr="00021BB6">
          <w:rPr>
            <w:rStyle w:val="Hyperlink"/>
            <w:rFonts w:ascii="Times New Roman" w:hAnsi="Times New Roman" w:cs="Times New Roman"/>
            <w:noProof/>
          </w:rPr>
          <w:t>Appendix Chapter 3 (Ecosystems)</w:t>
        </w:r>
        <w:r>
          <w:rPr>
            <w:noProof/>
            <w:webHidden/>
          </w:rPr>
          <w:tab/>
        </w:r>
        <w:r>
          <w:rPr>
            <w:noProof/>
            <w:webHidden/>
          </w:rPr>
          <w:fldChar w:fldCharType="begin"/>
        </w:r>
        <w:r>
          <w:rPr>
            <w:noProof/>
            <w:webHidden/>
          </w:rPr>
          <w:instrText xml:space="preserve"> PAGEREF _Toc217297584 \h </w:instrText>
        </w:r>
        <w:r>
          <w:rPr>
            <w:noProof/>
            <w:webHidden/>
          </w:rPr>
        </w:r>
        <w:r>
          <w:rPr>
            <w:noProof/>
            <w:webHidden/>
          </w:rPr>
          <w:fldChar w:fldCharType="separate"/>
        </w:r>
        <w:r w:rsidR="00F33716">
          <w:rPr>
            <w:noProof/>
            <w:webHidden/>
          </w:rPr>
          <w:t>111</w:t>
        </w:r>
        <w:r>
          <w:rPr>
            <w:noProof/>
            <w:webHidden/>
          </w:rPr>
          <w:fldChar w:fldCharType="end"/>
        </w:r>
      </w:hyperlink>
    </w:p>
    <w:p w14:paraId="6B8B543C" w14:textId="18F91340" w:rsidR="00CB4999" w:rsidRDefault="00CB4999">
      <w:pPr>
        <w:pStyle w:val="TOC2"/>
        <w:tabs>
          <w:tab w:val="right" w:leader="dot" w:pos="9737"/>
        </w:tabs>
        <w:rPr>
          <w:rFonts w:eastAsiaTheme="minorEastAsia" w:cstheme="minorBidi"/>
          <w:b w:val="0"/>
          <w:bCs w:val="0"/>
          <w:noProof/>
          <w:kern w:val="2"/>
          <w:sz w:val="24"/>
          <w:szCs w:val="24"/>
          <w:lang w:val="en-GB" w:eastAsia="en-GB"/>
          <w14:ligatures w14:val="standardContextual"/>
        </w:rPr>
      </w:pPr>
      <w:hyperlink w:anchor="_Toc217297585" w:history="1">
        <w:r w:rsidRPr="00021BB6">
          <w:rPr>
            <w:rStyle w:val="Hyperlink"/>
            <w:rFonts w:ascii="Times New Roman" w:hAnsi="Times New Roman" w:cs="Times New Roman"/>
            <w:noProof/>
          </w:rPr>
          <w:t>Appendix Chapter 4 (Pollution)</w:t>
        </w:r>
        <w:r>
          <w:rPr>
            <w:noProof/>
            <w:webHidden/>
          </w:rPr>
          <w:tab/>
        </w:r>
        <w:r>
          <w:rPr>
            <w:noProof/>
            <w:webHidden/>
          </w:rPr>
          <w:fldChar w:fldCharType="begin"/>
        </w:r>
        <w:r>
          <w:rPr>
            <w:noProof/>
            <w:webHidden/>
          </w:rPr>
          <w:instrText xml:space="preserve"> PAGEREF _Toc217297585 \h </w:instrText>
        </w:r>
        <w:r>
          <w:rPr>
            <w:noProof/>
            <w:webHidden/>
          </w:rPr>
        </w:r>
        <w:r>
          <w:rPr>
            <w:noProof/>
            <w:webHidden/>
          </w:rPr>
          <w:fldChar w:fldCharType="separate"/>
        </w:r>
        <w:r w:rsidR="00F33716">
          <w:rPr>
            <w:noProof/>
            <w:webHidden/>
          </w:rPr>
          <w:t>119</w:t>
        </w:r>
        <w:r>
          <w:rPr>
            <w:noProof/>
            <w:webHidden/>
          </w:rPr>
          <w:fldChar w:fldCharType="end"/>
        </w:r>
      </w:hyperlink>
    </w:p>
    <w:p w14:paraId="5B2B606E" w14:textId="6C9820F5" w:rsidR="00CB4999" w:rsidRDefault="00CB4999">
      <w:pPr>
        <w:pStyle w:val="TOC2"/>
        <w:tabs>
          <w:tab w:val="right" w:leader="dot" w:pos="9737"/>
        </w:tabs>
        <w:rPr>
          <w:rFonts w:eastAsiaTheme="minorEastAsia" w:cstheme="minorBidi"/>
          <w:b w:val="0"/>
          <w:bCs w:val="0"/>
          <w:noProof/>
          <w:kern w:val="2"/>
          <w:sz w:val="24"/>
          <w:szCs w:val="24"/>
          <w:lang w:val="en-GB" w:eastAsia="en-GB"/>
          <w14:ligatures w14:val="standardContextual"/>
        </w:rPr>
      </w:pPr>
      <w:hyperlink w:anchor="_Toc217297586" w:history="1">
        <w:r w:rsidRPr="00021BB6">
          <w:rPr>
            <w:rStyle w:val="Hyperlink"/>
            <w:rFonts w:ascii="Times New Roman" w:hAnsi="Times New Roman" w:cs="Times New Roman"/>
            <w:noProof/>
          </w:rPr>
          <w:t>Appendix Chapter 6 (Governance)</w:t>
        </w:r>
        <w:r>
          <w:rPr>
            <w:noProof/>
            <w:webHidden/>
          </w:rPr>
          <w:tab/>
        </w:r>
        <w:r>
          <w:rPr>
            <w:noProof/>
            <w:webHidden/>
          </w:rPr>
          <w:fldChar w:fldCharType="begin"/>
        </w:r>
        <w:r>
          <w:rPr>
            <w:noProof/>
            <w:webHidden/>
          </w:rPr>
          <w:instrText xml:space="preserve"> PAGEREF _Toc217297586 \h </w:instrText>
        </w:r>
        <w:r>
          <w:rPr>
            <w:noProof/>
            <w:webHidden/>
          </w:rPr>
        </w:r>
        <w:r>
          <w:rPr>
            <w:noProof/>
            <w:webHidden/>
          </w:rPr>
          <w:fldChar w:fldCharType="separate"/>
        </w:r>
        <w:r w:rsidR="00F33716">
          <w:rPr>
            <w:noProof/>
            <w:webHidden/>
          </w:rPr>
          <w:t>135</w:t>
        </w:r>
        <w:r>
          <w:rPr>
            <w:noProof/>
            <w:webHidden/>
          </w:rPr>
          <w:fldChar w:fldCharType="end"/>
        </w:r>
      </w:hyperlink>
    </w:p>
    <w:p w14:paraId="2A1F45B0" w14:textId="4C06EFF9" w:rsidR="00CB4999" w:rsidRDefault="00CB4999">
      <w:pPr>
        <w:pStyle w:val="TOC2"/>
        <w:tabs>
          <w:tab w:val="right" w:leader="dot" w:pos="9737"/>
        </w:tabs>
        <w:rPr>
          <w:rFonts w:eastAsiaTheme="minorEastAsia" w:cstheme="minorBidi"/>
          <w:b w:val="0"/>
          <w:bCs w:val="0"/>
          <w:noProof/>
          <w:kern w:val="2"/>
          <w:sz w:val="24"/>
          <w:szCs w:val="24"/>
          <w:lang w:val="en-GB" w:eastAsia="en-GB"/>
          <w14:ligatures w14:val="standardContextual"/>
        </w:rPr>
      </w:pPr>
      <w:hyperlink w:anchor="_Toc217297587" w:history="1">
        <w:r w:rsidRPr="00021BB6">
          <w:rPr>
            <w:rStyle w:val="Hyperlink"/>
            <w:rFonts w:ascii="Times New Roman" w:hAnsi="Times New Roman" w:cs="Times New Roman"/>
            <w:noProof/>
          </w:rPr>
          <w:t>Appendix Chapter 7 (Conclusion)</w:t>
        </w:r>
        <w:r>
          <w:rPr>
            <w:noProof/>
            <w:webHidden/>
          </w:rPr>
          <w:tab/>
        </w:r>
        <w:r>
          <w:rPr>
            <w:noProof/>
            <w:webHidden/>
          </w:rPr>
          <w:fldChar w:fldCharType="begin"/>
        </w:r>
        <w:r>
          <w:rPr>
            <w:noProof/>
            <w:webHidden/>
          </w:rPr>
          <w:instrText xml:space="preserve"> PAGEREF _Toc217297587 \h </w:instrText>
        </w:r>
        <w:r>
          <w:rPr>
            <w:noProof/>
            <w:webHidden/>
          </w:rPr>
        </w:r>
        <w:r>
          <w:rPr>
            <w:noProof/>
            <w:webHidden/>
          </w:rPr>
          <w:fldChar w:fldCharType="separate"/>
        </w:r>
        <w:r w:rsidR="00F33716">
          <w:rPr>
            <w:noProof/>
            <w:webHidden/>
          </w:rPr>
          <w:t>158</w:t>
        </w:r>
        <w:r>
          <w:rPr>
            <w:noProof/>
            <w:webHidden/>
          </w:rPr>
          <w:fldChar w:fldCharType="end"/>
        </w:r>
      </w:hyperlink>
    </w:p>
    <w:p w14:paraId="7086D886" w14:textId="0CC12FBB" w:rsidR="005D336D" w:rsidRDefault="00B16E45" w:rsidP="00A315BC">
      <w:pPr>
        <w:jc w:val="both"/>
        <w:rPr>
          <w:rFonts w:ascii="Times New Roman" w:hAnsi="Times New Roman" w:cs="Times New Roman"/>
          <w:sz w:val="22"/>
          <w:szCs w:val="22"/>
        </w:rPr>
      </w:pPr>
      <w:r>
        <w:rPr>
          <w:rFonts w:ascii="Times New Roman" w:hAnsi="Times New Roman" w:cs="Times New Roman"/>
          <w:sz w:val="22"/>
          <w:szCs w:val="22"/>
        </w:rPr>
        <w:fldChar w:fldCharType="end"/>
      </w:r>
    </w:p>
    <w:p w14:paraId="6F0C85A3" w14:textId="77777777" w:rsidR="005D336D" w:rsidRDefault="005D336D" w:rsidP="00A315BC">
      <w:pPr>
        <w:jc w:val="both"/>
        <w:rPr>
          <w:rFonts w:ascii="Times New Roman" w:hAnsi="Times New Roman" w:cs="Times New Roman"/>
          <w:sz w:val="22"/>
          <w:szCs w:val="22"/>
        </w:rPr>
      </w:pPr>
    </w:p>
    <w:p w14:paraId="61467A77" w14:textId="4461AB64" w:rsidR="00DD6E5D" w:rsidRDefault="005D336D" w:rsidP="00FD2540">
      <w:pPr>
        <w:jc w:val="center"/>
        <w:rPr>
          <w:rFonts w:ascii="Times New Roman" w:hAnsi="Times New Roman" w:cs="Times New Roman"/>
          <w:b/>
          <w:color w:val="006FC0"/>
          <w:sz w:val="28"/>
          <w:szCs w:val="28"/>
        </w:rPr>
      </w:pPr>
      <w:r>
        <w:rPr>
          <w:rFonts w:ascii="Times New Roman" w:hAnsi="Times New Roman" w:cs="Times New Roman"/>
          <w:sz w:val="22"/>
          <w:szCs w:val="22"/>
        </w:rPr>
        <w:br w:type="page"/>
      </w:r>
      <w:r w:rsidR="00DD6E5D">
        <w:rPr>
          <w:rFonts w:ascii="Times New Roman" w:hAnsi="Times New Roman" w:cs="Times New Roman"/>
          <w:b/>
          <w:color w:val="006FC0"/>
          <w:sz w:val="28"/>
          <w:szCs w:val="28"/>
        </w:rPr>
        <w:lastRenderedPageBreak/>
        <w:t>Figure C</w:t>
      </w:r>
      <w:r w:rsidR="00DD6E5D" w:rsidRPr="005D336D">
        <w:rPr>
          <w:rFonts w:ascii="Times New Roman" w:hAnsi="Times New Roman" w:cs="Times New Roman"/>
          <w:b/>
          <w:color w:val="006FC0"/>
          <w:sz w:val="28"/>
          <w:szCs w:val="28"/>
        </w:rPr>
        <w:t>ontents</w:t>
      </w:r>
    </w:p>
    <w:p w14:paraId="311311AC" w14:textId="77777777" w:rsidR="00FD2540" w:rsidRDefault="00FD2540" w:rsidP="00FD2540">
      <w:pPr>
        <w:jc w:val="center"/>
        <w:rPr>
          <w:rFonts w:ascii="Times New Roman" w:hAnsi="Times New Roman" w:cs="Times New Roman"/>
          <w:b/>
          <w:color w:val="006FC0"/>
          <w:sz w:val="28"/>
          <w:szCs w:val="28"/>
        </w:rPr>
      </w:pPr>
    </w:p>
    <w:p w14:paraId="5A732303" w14:textId="12AB192B" w:rsidR="00CB4999" w:rsidRDefault="00DD6E5D">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r>
        <w:rPr>
          <w:rFonts w:ascii="Times New Roman" w:hAnsi="Times New Roman" w:cs="Times New Roman"/>
          <w:bCs/>
          <w:sz w:val="22"/>
          <w:szCs w:val="22"/>
        </w:rPr>
        <w:fldChar w:fldCharType="begin"/>
      </w:r>
      <w:r>
        <w:rPr>
          <w:rFonts w:ascii="Times New Roman" w:hAnsi="Times New Roman" w:cs="Times New Roman"/>
          <w:bCs/>
          <w:sz w:val="22"/>
          <w:szCs w:val="22"/>
        </w:rPr>
        <w:instrText xml:space="preserve"> TOC \h \z \c "Figure" </w:instrText>
      </w:r>
      <w:r>
        <w:rPr>
          <w:rFonts w:ascii="Times New Roman" w:hAnsi="Times New Roman" w:cs="Times New Roman"/>
          <w:bCs/>
          <w:sz w:val="22"/>
          <w:szCs w:val="22"/>
        </w:rPr>
        <w:fldChar w:fldCharType="separate"/>
      </w:r>
      <w:hyperlink w:anchor="_Toc217297588" w:history="1">
        <w:r w:rsidR="00CB4999" w:rsidRPr="00920807">
          <w:rPr>
            <w:rStyle w:val="Hyperlink"/>
            <w:rFonts w:ascii="Times New Roman" w:hAnsi="Times New Roman" w:cs="Times New Roman"/>
            <w:noProof/>
          </w:rPr>
          <w:t>Figure 1  The research locations for the Transboundary Diagnostic Analysis (TDA)</w:t>
        </w:r>
        <w:r w:rsidR="00CB4999">
          <w:rPr>
            <w:noProof/>
            <w:webHidden/>
          </w:rPr>
          <w:tab/>
        </w:r>
        <w:r w:rsidR="00CB4999">
          <w:rPr>
            <w:noProof/>
            <w:webHidden/>
          </w:rPr>
          <w:fldChar w:fldCharType="begin"/>
        </w:r>
        <w:r w:rsidR="00CB4999">
          <w:rPr>
            <w:noProof/>
            <w:webHidden/>
          </w:rPr>
          <w:instrText xml:space="preserve"> PAGEREF _Toc217297588 \h </w:instrText>
        </w:r>
        <w:r w:rsidR="00CB4999">
          <w:rPr>
            <w:noProof/>
            <w:webHidden/>
          </w:rPr>
        </w:r>
        <w:r w:rsidR="00CB4999">
          <w:rPr>
            <w:noProof/>
            <w:webHidden/>
          </w:rPr>
          <w:fldChar w:fldCharType="separate"/>
        </w:r>
        <w:r w:rsidR="00F33716">
          <w:rPr>
            <w:noProof/>
            <w:webHidden/>
          </w:rPr>
          <w:t>12</w:t>
        </w:r>
        <w:r w:rsidR="00CB4999">
          <w:rPr>
            <w:noProof/>
            <w:webHidden/>
          </w:rPr>
          <w:fldChar w:fldCharType="end"/>
        </w:r>
      </w:hyperlink>
    </w:p>
    <w:p w14:paraId="0E131CCF" w14:textId="6A377847"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89" w:history="1">
        <w:r w:rsidRPr="00920807">
          <w:rPr>
            <w:rStyle w:val="Hyperlink"/>
            <w:rFonts w:ascii="Times New Roman" w:hAnsi="Times New Roman" w:cs="Times New Roman"/>
            <w:noProof/>
          </w:rPr>
          <w:t xml:space="preserve">Figure 2 </w:t>
        </w:r>
        <w:r w:rsidRPr="00920807">
          <w:rPr>
            <w:rStyle w:val="Hyperlink"/>
            <w:rFonts w:ascii="Times New Roman" w:hAnsi="Times New Roman" w:cs="Times New Roman"/>
            <w:noProof/>
            <w:lang w:val="en-ID"/>
          </w:rPr>
          <w:t>Assessment methodology</w:t>
        </w:r>
        <w:r>
          <w:rPr>
            <w:noProof/>
            <w:webHidden/>
          </w:rPr>
          <w:tab/>
        </w:r>
        <w:r>
          <w:rPr>
            <w:noProof/>
            <w:webHidden/>
          </w:rPr>
          <w:fldChar w:fldCharType="begin"/>
        </w:r>
        <w:r>
          <w:rPr>
            <w:noProof/>
            <w:webHidden/>
          </w:rPr>
          <w:instrText xml:space="preserve"> PAGEREF _Toc217297589 \h </w:instrText>
        </w:r>
        <w:r>
          <w:rPr>
            <w:noProof/>
            <w:webHidden/>
          </w:rPr>
        </w:r>
        <w:r>
          <w:rPr>
            <w:noProof/>
            <w:webHidden/>
          </w:rPr>
          <w:fldChar w:fldCharType="separate"/>
        </w:r>
        <w:r w:rsidR="00F33716">
          <w:rPr>
            <w:noProof/>
            <w:webHidden/>
          </w:rPr>
          <w:t>13</w:t>
        </w:r>
        <w:r>
          <w:rPr>
            <w:noProof/>
            <w:webHidden/>
          </w:rPr>
          <w:fldChar w:fldCharType="end"/>
        </w:r>
      </w:hyperlink>
    </w:p>
    <w:p w14:paraId="0E44E833" w14:textId="52074683"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0" w:history="1">
        <w:r w:rsidRPr="00920807">
          <w:rPr>
            <w:rStyle w:val="Hyperlink"/>
            <w:rFonts w:ascii="Times New Roman" w:hAnsi="Times New Roman" w:cs="Times New Roman"/>
            <w:noProof/>
          </w:rPr>
          <w:t>Figure 3</w:t>
        </w:r>
        <w:r w:rsidRPr="00920807">
          <w:rPr>
            <w:rStyle w:val="Hyperlink"/>
            <w:rFonts w:ascii="Times New Roman" w:hAnsi="Times New Roman" w:cs="Times New Roman"/>
            <w:b/>
            <w:bCs/>
            <w:noProof/>
          </w:rPr>
          <w:t xml:space="preserve"> </w:t>
        </w:r>
        <w:r w:rsidRPr="00920807">
          <w:rPr>
            <w:rStyle w:val="Hyperlink"/>
            <w:rFonts w:ascii="Times New Roman" w:hAnsi="Times New Roman" w:cs="Times New Roman"/>
            <w:noProof/>
          </w:rPr>
          <w:t>Research Location Socio-economic</w:t>
        </w:r>
        <w:r>
          <w:rPr>
            <w:noProof/>
            <w:webHidden/>
          </w:rPr>
          <w:tab/>
        </w:r>
        <w:r>
          <w:rPr>
            <w:noProof/>
            <w:webHidden/>
          </w:rPr>
          <w:fldChar w:fldCharType="begin"/>
        </w:r>
        <w:r>
          <w:rPr>
            <w:noProof/>
            <w:webHidden/>
          </w:rPr>
          <w:instrText xml:space="preserve"> PAGEREF _Toc217297590 \h </w:instrText>
        </w:r>
        <w:r>
          <w:rPr>
            <w:noProof/>
            <w:webHidden/>
          </w:rPr>
        </w:r>
        <w:r>
          <w:rPr>
            <w:noProof/>
            <w:webHidden/>
          </w:rPr>
          <w:fldChar w:fldCharType="separate"/>
        </w:r>
        <w:r w:rsidR="00F33716">
          <w:rPr>
            <w:noProof/>
            <w:webHidden/>
          </w:rPr>
          <w:t>16</w:t>
        </w:r>
        <w:r>
          <w:rPr>
            <w:noProof/>
            <w:webHidden/>
          </w:rPr>
          <w:fldChar w:fldCharType="end"/>
        </w:r>
      </w:hyperlink>
    </w:p>
    <w:p w14:paraId="048CAC72" w14:textId="49B52571"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1" w:history="1">
        <w:r w:rsidRPr="00920807">
          <w:rPr>
            <w:rStyle w:val="Hyperlink"/>
            <w:rFonts w:ascii="Times New Roman" w:hAnsi="Times New Roman" w:cs="Times New Roman"/>
            <w:noProof/>
          </w:rPr>
          <w:t>Figure 4 Subnational Coastal Population (Persons – thousands) (Data source: Statistics of Indonesia)</w:t>
        </w:r>
        <w:r>
          <w:rPr>
            <w:noProof/>
            <w:webHidden/>
          </w:rPr>
          <w:tab/>
        </w:r>
        <w:r>
          <w:rPr>
            <w:noProof/>
            <w:webHidden/>
          </w:rPr>
          <w:fldChar w:fldCharType="begin"/>
        </w:r>
        <w:r>
          <w:rPr>
            <w:noProof/>
            <w:webHidden/>
          </w:rPr>
          <w:instrText xml:space="preserve"> PAGEREF _Toc217297591 \h </w:instrText>
        </w:r>
        <w:r>
          <w:rPr>
            <w:noProof/>
            <w:webHidden/>
          </w:rPr>
        </w:r>
        <w:r>
          <w:rPr>
            <w:noProof/>
            <w:webHidden/>
          </w:rPr>
          <w:fldChar w:fldCharType="separate"/>
        </w:r>
        <w:r w:rsidR="00F33716">
          <w:rPr>
            <w:noProof/>
            <w:webHidden/>
          </w:rPr>
          <w:t>16</w:t>
        </w:r>
        <w:r>
          <w:rPr>
            <w:noProof/>
            <w:webHidden/>
          </w:rPr>
          <w:fldChar w:fldCharType="end"/>
        </w:r>
      </w:hyperlink>
    </w:p>
    <w:p w14:paraId="23C04292" w14:textId="1769AF6F"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2" w:history="1">
        <w:r w:rsidRPr="00920807">
          <w:rPr>
            <w:rStyle w:val="Hyperlink"/>
            <w:rFonts w:ascii="Times New Roman" w:hAnsi="Times New Roman" w:cs="Times New Roman"/>
            <w:noProof/>
          </w:rPr>
          <w:t>Figure 5</w:t>
        </w:r>
        <w:r w:rsidRPr="00920807">
          <w:rPr>
            <w:rStyle w:val="Hyperlink"/>
            <w:rFonts w:ascii="Times New Roman" w:hAnsi="Times New Roman" w:cs="Times New Roman"/>
            <w:b/>
            <w:bCs/>
            <w:noProof/>
          </w:rPr>
          <w:t xml:space="preserve"> </w:t>
        </w:r>
        <w:r w:rsidRPr="00920807">
          <w:rPr>
            <w:rStyle w:val="Hyperlink"/>
            <w:rFonts w:ascii="Times New Roman" w:hAnsi="Times New Roman" w:cs="Times New Roman"/>
            <w:noProof/>
          </w:rPr>
          <w:t>Population Sex Ratio in the Study Locations (Data Source: Statistics of Indonesia)</w:t>
        </w:r>
        <w:r>
          <w:rPr>
            <w:noProof/>
            <w:webHidden/>
          </w:rPr>
          <w:tab/>
        </w:r>
        <w:r>
          <w:rPr>
            <w:noProof/>
            <w:webHidden/>
          </w:rPr>
          <w:fldChar w:fldCharType="begin"/>
        </w:r>
        <w:r>
          <w:rPr>
            <w:noProof/>
            <w:webHidden/>
          </w:rPr>
          <w:instrText xml:space="preserve"> PAGEREF _Toc217297592 \h </w:instrText>
        </w:r>
        <w:r>
          <w:rPr>
            <w:noProof/>
            <w:webHidden/>
          </w:rPr>
        </w:r>
        <w:r>
          <w:rPr>
            <w:noProof/>
            <w:webHidden/>
          </w:rPr>
          <w:fldChar w:fldCharType="separate"/>
        </w:r>
        <w:r w:rsidR="00F33716">
          <w:rPr>
            <w:noProof/>
            <w:webHidden/>
          </w:rPr>
          <w:t>17</w:t>
        </w:r>
        <w:r>
          <w:rPr>
            <w:noProof/>
            <w:webHidden/>
          </w:rPr>
          <w:fldChar w:fldCharType="end"/>
        </w:r>
      </w:hyperlink>
    </w:p>
    <w:p w14:paraId="21C69483" w14:textId="4A2B804C"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3" w:history="1">
        <w:r w:rsidRPr="00920807">
          <w:rPr>
            <w:rStyle w:val="Hyperlink"/>
            <w:rFonts w:ascii="Times New Roman" w:hAnsi="Times New Roman" w:cs="Times New Roman"/>
            <w:noProof/>
          </w:rPr>
          <w:t>Figure 6 Areas of Subnational First-Level Administrative Regions (Data Source: Statistics of Indonesia)</w:t>
        </w:r>
        <w:r>
          <w:rPr>
            <w:noProof/>
            <w:webHidden/>
          </w:rPr>
          <w:tab/>
        </w:r>
        <w:r>
          <w:rPr>
            <w:noProof/>
            <w:webHidden/>
          </w:rPr>
          <w:fldChar w:fldCharType="begin"/>
        </w:r>
        <w:r>
          <w:rPr>
            <w:noProof/>
            <w:webHidden/>
          </w:rPr>
          <w:instrText xml:space="preserve"> PAGEREF _Toc217297593 \h </w:instrText>
        </w:r>
        <w:r>
          <w:rPr>
            <w:noProof/>
            <w:webHidden/>
          </w:rPr>
        </w:r>
        <w:r>
          <w:rPr>
            <w:noProof/>
            <w:webHidden/>
          </w:rPr>
          <w:fldChar w:fldCharType="separate"/>
        </w:r>
        <w:r w:rsidR="00F33716">
          <w:rPr>
            <w:noProof/>
            <w:webHidden/>
          </w:rPr>
          <w:t>17</w:t>
        </w:r>
        <w:r>
          <w:rPr>
            <w:noProof/>
            <w:webHidden/>
          </w:rPr>
          <w:fldChar w:fldCharType="end"/>
        </w:r>
      </w:hyperlink>
    </w:p>
    <w:p w14:paraId="5A3C2547" w14:textId="66932B95"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4" w:history="1">
        <w:r w:rsidRPr="00920807">
          <w:rPr>
            <w:rStyle w:val="Hyperlink"/>
            <w:rFonts w:ascii="Times New Roman" w:hAnsi="Times New Roman" w:cs="Times New Roman"/>
            <w:noProof/>
          </w:rPr>
          <w:t>Figure 7</w:t>
        </w:r>
        <w:r w:rsidRPr="00920807">
          <w:rPr>
            <w:rStyle w:val="Hyperlink"/>
            <w:rFonts w:ascii="Times New Roman" w:hAnsi="Times New Roman" w:cs="Times New Roman"/>
            <w:b/>
            <w:bCs/>
            <w:noProof/>
          </w:rPr>
          <w:t xml:space="preserve"> </w:t>
        </w:r>
        <w:r w:rsidRPr="00920807">
          <w:rPr>
            <w:rStyle w:val="Hyperlink"/>
            <w:rFonts w:ascii="Times New Roman" w:hAnsi="Times New Roman" w:cs="Times New Roman"/>
            <w:noProof/>
          </w:rPr>
          <w:t>Population Distribution (%) in the Study Locations (Data Source: Statistics Indonesia)</w:t>
        </w:r>
        <w:r>
          <w:rPr>
            <w:noProof/>
            <w:webHidden/>
          </w:rPr>
          <w:tab/>
        </w:r>
        <w:r>
          <w:rPr>
            <w:noProof/>
            <w:webHidden/>
          </w:rPr>
          <w:fldChar w:fldCharType="begin"/>
        </w:r>
        <w:r>
          <w:rPr>
            <w:noProof/>
            <w:webHidden/>
          </w:rPr>
          <w:instrText xml:space="preserve"> PAGEREF _Toc217297594 \h </w:instrText>
        </w:r>
        <w:r>
          <w:rPr>
            <w:noProof/>
            <w:webHidden/>
          </w:rPr>
        </w:r>
        <w:r>
          <w:rPr>
            <w:noProof/>
            <w:webHidden/>
          </w:rPr>
          <w:fldChar w:fldCharType="separate"/>
        </w:r>
        <w:r w:rsidR="00F33716">
          <w:rPr>
            <w:noProof/>
            <w:webHidden/>
          </w:rPr>
          <w:t>18</w:t>
        </w:r>
        <w:r>
          <w:rPr>
            <w:noProof/>
            <w:webHidden/>
          </w:rPr>
          <w:fldChar w:fldCharType="end"/>
        </w:r>
      </w:hyperlink>
    </w:p>
    <w:p w14:paraId="506EFDC4" w14:textId="7A7F2EE1"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5" w:history="1">
        <w:r w:rsidRPr="00920807">
          <w:rPr>
            <w:rStyle w:val="Hyperlink"/>
            <w:rFonts w:ascii="Times New Roman" w:hAnsi="Times New Roman" w:cs="Times New Roman"/>
            <w:noProof/>
          </w:rPr>
          <w:t>Figure 8</w:t>
        </w:r>
        <w:r w:rsidRPr="00920807">
          <w:rPr>
            <w:rStyle w:val="Hyperlink"/>
            <w:rFonts w:ascii="Times New Roman" w:hAnsi="Times New Roman" w:cs="Times New Roman"/>
            <w:b/>
            <w:bCs/>
            <w:noProof/>
          </w:rPr>
          <w:t xml:space="preserve"> </w:t>
        </w:r>
        <w:r w:rsidRPr="00920807">
          <w:rPr>
            <w:rStyle w:val="Hyperlink"/>
            <w:rFonts w:ascii="Times New Roman" w:hAnsi="Times New Roman" w:cs="Times New Roman"/>
            <w:noProof/>
          </w:rPr>
          <w:t>Subnational Coastal Region Areas as a Percentage of the National Area in the Study Locations (Data Source: Statistics of Indonesia)</w:t>
        </w:r>
        <w:r>
          <w:rPr>
            <w:noProof/>
            <w:webHidden/>
          </w:rPr>
          <w:tab/>
        </w:r>
        <w:r>
          <w:rPr>
            <w:noProof/>
            <w:webHidden/>
          </w:rPr>
          <w:fldChar w:fldCharType="begin"/>
        </w:r>
        <w:r>
          <w:rPr>
            <w:noProof/>
            <w:webHidden/>
          </w:rPr>
          <w:instrText xml:space="preserve"> PAGEREF _Toc217297595 \h </w:instrText>
        </w:r>
        <w:r>
          <w:rPr>
            <w:noProof/>
            <w:webHidden/>
          </w:rPr>
        </w:r>
        <w:r>
          <w:rPr>
            <w:noProof/>
            <w:webHidden/>
          </w:rPr>
          <w:fldChar w:fldCharType="separate"/>
        </w:r>
        <w:r w:rsidR="00F33716">
          <w:rPr>
            <w:noProof/>
            <w:webHidden/>
          </w:rPr>
          <w:t>19</w:t>
        </w:r>
        <w:r>
          <w:rPr>
            <w:noProof/>
            <w:webHidden/>
          </w:rPr>
          <w:fldChar w:fldCharType="end"/>
        </w:r>
      </w:hyperlink>
    </w:p>
    <w:p w14:paraId="4D0A3466" w14:textId="4D55BD0B"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6" w:history="1">
        <w:r w:rsidRPr="00920807">
          <w:rPr>
            <w:rStyle w:val="Hyperlink"/>
            <w:rFonts w:ascii="Times New Roman" w:hAnsi="Times New Roman" w:cs="Times New Roman"/>
            <w:noProof/>
          </w:rPr>
          <w:t>Figure 9</w:t>
        </w:r>
        <w:r w:rsidRPr="00920807">
          <w:rPr>
            <w:rStyle w:val="Hyperlink"/>
            <w:rFonts w:ascii="Times New Roman" w:hAnsi="Times New Roman" w:cs="Times New Roman"/>
            <w:b/>
            <w:bCs/>
            <w:noProof/>
          </w:rPr>
          <w:t xml:space="preserve"> </w:t>
        </w:r>
        <w:r w:rsidRPr="00920807">
          <w:rPr>
            <w:rStyle w:val="Hyperlink"/>
            <w:rFonts w:ascii="Times New Roman" w:hAnsi="Times New Roman" w:cs="Times New Roman"/>
            <w:noProof/>
          </w:rPr>
          <w:t>Percentage Change per Year (Growth or Attrition) in the Study Locations</w:t>
        </w:r>
        <w:r>
          <w:rPr>
            <w:noProof/>
            <w:webHidden/>
          </w:rPr>
          <w:tab/>
        </w:r>
        <w:r>
          <w:rPr>
            <w:noProof/>
            <w:webHidden/>
          </w:rPr>
          <w:fldChar w:fldCharType="begin"/>
        </w:r>
        <w:r>
          <w:rPr>
            <w:noProof/>
            <w:webHidden/>
          </w:rPr>
          <w:instrText xml:space="preserve"> PAGEREF _Toc217297596 \h </w:instrText>
        </w:r>
        <w:r>
          <w:rPr>
            <w:noProof/>
            <w:webHidden/>
          </w:rPr>
        </w:r>
        <w:r>
          <w:rPr>
            <w:noProof/>
            <w:webHidden/>
          </w:rPr>
          <w:fldChar w:fldCharType="separate"/>
        </w:r>
        <w:r w:rsidR="00F33716">
          <w:rPr>
            <w:noProof/>
            <w:webHidden/>
          </w:rPr>
          <w:t>19</w:t>
        </w:r>
        <w:r>
          <w:rPr>
            <w:noProof/>
            <w:webHidden/>
          </w:rPr>
          <w:fldChar w:fldCharType="end"/>
        </w:r>
      </w:hyperlink>
    </w:p>
    <w:p w14:paraId="1B8911FC" w14:textId="1FC91889"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7" w:history="1">
        <w:r w:rsidRPr="00920807">
          <w:rPr>
            <w:rStyle w:val="Hyperlink"/>
            <w:rFonts w:ascii="Times New Roman" w:hAnsi="Times New Roman" w:cs="Times New Roman"/>
            <w:noProof/>
          </w:rPr>
          <w:t xml:space="preserve">Figure 10 </w:t>
        </w:r>
        <w:r w:rsidRPr="00920807">
          <w:rPr>
            <w:rStyle w:val="Hyperlink"/>
            <w:rFonts w:ascii="Times New Roman" w:eastAsia="Times New Roman" w:hAnsi="Times New Roman" w:cs="Times New Roman"/>
            <w:noProof/>
          </w:rPr>
          <w:t>Population Density (per sq. km) in the Study Locations (Data Source: Statistics of Indonesia)</w:t>
        </w:r>
        <w:r>
          <w:rPr>
            <w:noProof/>
            <w:webHidden/>
          </w:rPr>
          <w:tab/>
        </w:r>
        <w:r>
          <w:rPr>
            <w:noProof/>
            <w:webHidden/>
          </w:rPr>
          <w:fldChar w:fldCharType="begin"/>
        </w:r>
        <w:r>
          <w:rPr>
            <w:noProof/>
            <w:webHidden/>
          </w:rPr>
          <w:instrText xml:space="preserve"> PAGEREF _Toc217297597 \h </w:instrText>
        </w:r>
        <w:r>
          <w:rPr>
            <w:noProof/>
            <w:webHidden/>
          </w:rPr>
        </w:r>
        <w:r>
          <w:rPr>
            <w:noProof/>
            <w:webHidden/>
          </w:rPr>
          <w:fldChar w:fldCharType="separate"/>
        </w:r>
        <w:r w:rsidR="00F33716">
          <w:rPr>
            <w:noProof/>
            <w:webHidden/>
          </w:rPr>
          <w:t>20</w:t>
        </w:r>
        <w:r>
          <w:rPr>
            <w:noProof/>
            <w:webHidden/>
          </w:rPr>
          <w:fldChar w:fldCharType="end"/>
        </w:r>
      </w:hyperlink>
    </w:p>
    <w:p w14:paraId="7483BDB8" w14:textId="3A46F56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8" w:history="1">
        <w:r w:rsidRPr="00920807">
          <w:rPr>
            <w:rStyle w:val="Hyperlink"/>
            <w:rFonts w:ascii="Times New Roman" w:hAnsi="Times New Roman" w:cs="Times New Roman"/>
            <w:noProof/>
          </w:rPr>
          <w:t>Figure 11 Number of Villages/Subdistricts by Province and Topographical Areas (Valley)</w:t>
        </w:r>
        <w:r>
          <w:rPr>
            <w:noProof/>
            <w:webHidden/>
          </w:rPr>
          <w:tab/>
        </w:r>
        <w:r>
          <w:rPr>
            <w:noProof/>
            <w:webHidden/>
          </w:rPr>
          <w:fldChar w:fldCharType="begin"/>
        </w:r>
        <w:r>
          <w:rPr>
            <w:noProof/>
            <w:webHidden/>
          </w:rPr>
          <w:instrText xml:space="preserve"> PAGEREF _Toc217297598 \h </w:instrText>
        </w:r>
        <w:r>
          <w:rPr>
            <w:noProof/>
            <w:webHidden/>
          </w:rPr>
        </w:r>
        <w:r>
          <w:rPr>
            <w:noProof/>
            <w:webHidden/>
          </w:rPr>
          <w:fldChar w:fldCharType="separate"/>
        </w:r>
        <w:r w:rsidR="00F33716">
          <w:rPr>
            <w:noProof/>
            <w:webHidden/>
          </w:rPr>
          <w:t>20</w:t>
        </w:r>
        <w:r>
          <w:rPr>
            <w:noProof/>
            <w:webHidden/>
          </w:rPr>
          <w:fldChar w:fldCharType="end"/>
        </w:r>
      </w:hyperlink>
    </w:p>
    <w:p w14:paraId="7D123F7D" w14:textId="7B5F1EEC"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599" w:history="1">
        <w:r w:rsidRPr="00920807">
          <w:rPr>
            <w:rStyle w:val="Hyperlink"/>
            <w:rFonts w:ascii="Times New Roman" w:hAnsi="Times New Roman" w:cs="Times New Roman"/>
            <w:noProof/>
          </w:rPr>
          <w:t>Figure 12 Number of Villages/Subdistricts by Province and Topographical Areas (Slop)</w:t>
        </w:r>
        <w:r>
          <w:rPr>
            <w:noProof/>
            <w:webHidden/>
          </w:rPr>
          <w:tab/>
        </w:r>
        <w:r>
          <w:rPr>
            <w:noProof/>
            <w:webHidden/>
          </w:rPr>
          <w:fldChar w:fldCharType="begin"/>
        </w:r>
        <w:r>
          <w:rPr>
            <w:noProof/>
            <w:webHidden/>
          </w:rPr>
          <w:instrText xml:space="preserve"> PAGEREF _Toc217297599 \h </w:instrText>
        </w:r>
        <w:r>
          <w:rPr>
            <w:noProof/>
            <w:webHidden/>
          </w:rPr>
        </w:r>
        <w:r>
          <w:rPr>
            <w:noProof/>
            <w:webHidden/>
          </w:rPr>
          <w:fldChar w:fldCharType="separate"/>
        </w:r>
        <w:r w:rsidR="00F33716">
          <w:rPr>
            <w:noProof/>
            <w:webHidden/>
          </w:rPr>
          <w:t>20</w:t>
        </w:r>
        <w:r>
          <w:rPr>
            <w:noProof/>
            <w:webHidden/>
          </w:rPr>
          <w:fldChar w:fldCharType="end"/>
        </w:r>
      </w:hyperlink>
    </w:p>
    <w:p w14:paraId="401AA428" w14:textId="22FD790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0" w:history="1">
        <w:r w:rsidRPr="00920807">
          <w:rPr>
            <w:rStyle w:val="Hyperlink"/>
            <w:rFonts w:ascii="Times New Roman" w:hAnsi="Times New Roman" w:cs="Times New Roman"/>
            <w:noProof/>
          </w:rPr>
          <w:t>Figure 13 Number of Villages/Subdistricts by Province and Topographical Areas (Flat)</w:t>
        </w:r>
        <w:r>
          <w:rPr>
            <w:noProof/>
            <w:webHidden/>
          </w:rPr>
          <w:tab/>
        </w:r>
        <w:r>
          <w:rPr>
            <w:noProof/>
            <w:webHidden/>
          </w:rPr>
          <w:fldChar w:fldCharType="begin"/>
        </w:r>
        <w:r>
          <w:rPr>
            <w:noProof/>
            <w:webHidden/>
          </w:rPr>
          <w:instrText xml:space="preserve"> PAGEREF _Toc217297600 \h </w:instrText>
        </w:r>
        <w:r>
          <w:rPr>
            <w:noProof/>
            <w:webHidden/>
          </w:rPr>
        </w:r>
        <w:r>
          <w:rPr>
            <w:noProof/>
            <w:webHidden/>
          </w:rPr>
          <w:fldChar w:fldCharType="separate"/>
        </w:r>
        <w:r w:rsidR="00F33716">
          <w:rPr>
            <w:noProof/>
            <w:webHidden/>
          </w:rPr>
          <w:t>21</w:t>
        </w:r>
        <w:r>
          <w:rPr>
            <w:noProof/>
            <w:webHidden/>
          </w:rPr>
          <w:fldChar w:fldCharType="end"/>
        </w:r>
      </w:hyperlink>
    </w:p>
    <w:p w14:paraId="59187536" w14:textId="40D8AA09"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1" w:history="1">
        <w:r w:rsidRPr="00920807">
          <w:rPr>
            <w:rStyle w:val="Hyperlink"/>
            <w:rFonts w:ascii="Times New Roman" w:hAnsi="Times New Roman" w:cs="Times New Roman"/>
            <w:noProof/>
          </w:rPr>
          <w:t>Figure 14</w:t>
        </w:r>
        <w:r w:rsidRPr="00920807">
          <w:rPr>
            <w:rStyle w:val="Hyperlink"/>
            <w:noProof/>
          </w:rPr>
          <w:t xml:space="preserve"> </w:t>
        </w:r>
        <w:r w:rsidRPr="00920807">
          <w:rPr>
            <w:rStyle w:val="Hyperlink"/>
            <w:rFonts w:ascii="Times New Roman" w:hAnsi="Times New Roman" w:cs="Times New Roman"/>
            <w:noProof/>
          </w:rPr>
          <w:t>Percentage of Poor Population in Study Locations</w:t>
        </w:r>
        <w:r>
          <w:rPr>
            <w:noProof/>
            <w:webHidden/>
          </w:rPr>
          <w:tab/>
        </w:r>
        <w:r>
          <w:rPr>
            <w:noProof/>
            <w:webHidden/>
          </w:rPr>
          <w:fldChar w:fldCharType="begin"/>
        </w:r>
        <w:r>
          <w:rPr>
            <w:noProof/>
            <w:webHidden/>
          </w:rPr>
          <w:instrText xml:space="preserve"> PAGEREF _Toc217297601 \h </w:instrText>
        </w:r>
        <w:r>
          <w:rPr>
            <w:noProof/>
            <w:webHidden/>
          </w:rPr>
        </w:r>
        <w:r>
          <w:rPr>
            <w:noProof/>
            <w:webHidden/>
          </w:rPr>
          <w:fldChar w:fldCharType="separate"/>
        </w:r>
        <w:r w:rsidR="00F33716">
          <w:rPr>
            <w:noProof/>
            <w:webHidden/>
          </w:rPr>
          <w:t>21</w:t>
        </w:r>
        <w:r>
          <w:rPr>
            <w:noProof/>
            <w:webHidden/>
          </w:rPr>
          <w:fldChar w:fldCharType="end"/>
        </w:r>
      </w:hyperlink>
    </w:p>
    <w:p w14:paraId="1A557AED" w14:textId="3F17D41B"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2" w:history="1">
        <w:r w:rsidRPr="00920807">
          <w:rPr>
            <w:rStyle w:val="Hyperlink"/>
            <w:rFonts w:ascii="Times New Roman" w:hAnsi="Times New Roman" w:cs="Times New Roman"/>
            <w:noProof/>
          </w:rPr>
          <w:t>Figure 15</w:t>
        </w:r>
        <w:r w:rsidRPr="00920807">
          <w:rPr>
            <w:rStyle w:val="Hyperlink"/>
            <w:rFonts w:ascii="Times New Roman" w:eastAsia="Times New Roman" w:hAnsi="Times New Roman" w:cs="Times New Roman"/>
            <w:b/>
            <w:bCs/>
            <w:noProof/>
          </w:rPr>
          <w:t xml:space="preserve"> </w:t>
        </w:r>
        <w:r w:rsidRPr="00920807">
          <w:rPr>
            <w:rStyle w:val="Hyperlink"/>
            <w:rFonts w:ascii="Times New Roman" w:eastAsia="Times New Roman" w:hAnsi="Times New Roman" w:cs="Times New Roman"/>
            <w:noProof/>
          </w:rPr>
          <w:t>Average Years of Schooling in the Study Area</w:t>
        </w:r>
        <w:r>
          <w:rPr>
            <w:noProof/>
            <w:webHidden/>
          </w:rPr>
          <w:tab/>
        </w:r>
        <w:r>
          <w:rPr>
            <w:noProof/>
            <w:webHidden/>
          </w:rPr>
          <w:fldChar w:fldCharType="begin"/>
        </w:r>
        <w:r>
          <w:rPr>
            <w:noProof/>
            <w:webHidden/>
          </w:rPr>
          <w:instrText xml:space="preserve"> PAGEREF _Toc217297602 \h </w:instrText>
        </w:r>
        <w:r>
          <w:rPr>
            <w:noProof/>
            <w:webHidden/>
          </w:rPr>
        </w:r>
        <w:r>
          <w:rPr>
            <w:noProof/>
            <w:webHidden/>
          </w:rPr>
          <w:fldChar w:fldCharType="separate"/>
        </w:r>
        <w:r w:rsidR="00F33716">
          <w:rPr>
            <w:noProof/>
            <w:webHidden/>
          </w:rPr>
          <w:t>22</w:t>
        </w:r>
        <w:r>
          <w:rPr>
            <w:noProof/>
            <w:webHidden/>
          </w:rPr>
          <w:fldChar w:fldCharType="end"/>
        </w:r>
      </w:hyperlink>
    </w:p>
    <w:p w14:paraId="5C59958F" w14:textId="3D91ED39"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3" w:history="1">
        <w:r w:rsidRPr="00920807">
          <w:rPr>
            <w:rStyle w:val="Hyperlink"/>
            <w:rFonts w:ascii="Times New Roman" w:hAnsi="Times New Roman" w:cs="Times New Roman"/>
            <w:noProof/>
          </w:rPr>
          <w:t>Figure 16</w:t>
        </w:r>
        <w:r w:rsidRPr="00920807">
          <w:rPr>
            <w:rStyle w:val="Hyperlink"/>
            <w:rFonts w:ascii="Times New Roman" w:eastAsia="Times New Roman" w:hAnsi="Times New Roman" w:cs="Times New Roman"/>
            <w:b/>
            <w:bCs/>
            <w:noProof/>
          </w:rPr>
          <w:t xml:space="preserve"> </w:t>
        </w:r>
        <w:r w:rsidRPr="00920807">
          <w:rPr>
            <w:rStyle w:val="Hyperlink"/>
            <w:rFonts w:ascii="Times New Roman" w:eastAsia="Times New Roman" w:hAnsi="Times New Roman" w:cs="Times New Roman"/>
            <w:noProof/>
          </w:rPr>
          <w:t>Adjusted Real Expenditure per Capita per Year in the Study Area</w:t>
        </w:r>
        <w:r>
          <w:rPr>
            <w:noProof/>
            <w:webHidden/>
          </w:rPr>
          <w:tab/>
        </w:r>
        <w:r>
          <w:rPr>
            <w:noProof/>
            <w:webHidden/>
          </w:rPr>
          <w:fldChar w:fldCharType="begin"/>
        </w:r>
        <w:r>
          <w:rPr>
            <w:noProof/>
            <w:webHidden/>
          </w:rPr>
          <w:instrText xml:space="preserve"> PAGEREF _Toc217297603 \h </w:instrText>
        </w:r>
        <w:r>
          <w:rPr>
            <w:noProof/>
            <w:webHidden/>
          </w:rPr>
        </w:r>
        <w:r>
          <w:rPr>
            <w:noProof/>
            <w:webHidden/>
          </w:rPr>
          <w:fldChar w:fldCharType="separate"/>
        </w:r>
        <w:r w:rsidR="00F33716">
          <w:rPr>
            <w:noProof/>
            <w:webHidden/>
          </w:rPr>
          <w:t>22</w:t>
        </w:r>
        <w:r>
          <w:rPr>
            <w:noProof/>
            <w:webHidden/>
          </w:rPr>
          <w:fldChar w:fldCharType="end"/>
        </w:r>
      </w:hyperlink>
    </w:p>
    <w:p w14:paraId="73CB8961" w14:textId="023798F8"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4" w:history="1">
        <w:r w:rsidRPr="00920807">
          <w:rPr>
            <w:rStyle w:val="Hyperlink"/>
            <w:rFonts w:ascii="Times New Roman" w:hAnsi="Times New Roman" w:cs="Times New Roman"/>
            <w:noProof/>
          </w:rPr>
          <w:t xml:space="preserve">Figure 17 </w:t>
        </w:r>
        <w:r w:rsidRPr="00920807">
          <w:rPr>
            <w:rStyle w:val="Hyperlink"/>
            <w:rFonts w:ascii="Times New Roman" w:eastAsia="Times New Roman" w:hAnsi="Times New Roman" w:cs="Times New Roman"/>
            <w:noProof/>
          </w:rPr>
          <w:t>Human Development Index in the Study Locations</w:t>
        </w:r>
        <w:r>
          <w:rPr>
            <w:noProof/>
            <w:webHidden/>
          </w:rPr>
          <w:tab/>
        </w:r>
        <w:r>
          <w:rPr>
            <w:noProof/>
            <w:webHidden/>
          </w:rPr>
          <w:fldChar w:fldCharType="begin"/>
        </w:r>
        <w:r>
          <w:rPr>
            <w:noProof/>
            <w:webHidden/>
          </w:rPr>
          <w:instrText xml:space="preserve"> PAGEREF _Toc217297604 \h </w:instrText>
        </w:r>
        <w:r>
          <w:rPr>
            <w:noProof/>
            <w:webHidden/>
          </w:rPr>
        </w:r>
        <w:r>
          <w:rPr>
            <w:noProof/>
            <w:webHidden/>
          </w:rPr>
          <w:fldChar w:fldCharType="separate"/>
        </w:r>
        <w:r w:rsidR="00F33716">
          <w:rPr>
            <w:noProof/>
            <w:webHidden/>
          </w:rPr>
          <w:t>22</w:t>
        </w:r>
        <w:r>
          <w:rPr>
            <w:noProof/>
            <w:webHidden/>
          </w:rPr>
          <w:fldChar w:fldCharType="end"/>
        </w:r>
      </w:hyperlink>
    </w:p>
    <w:p w14:paraId="626246CC" w14:textId="165937C8"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5" w:history="1">
        <w:r w:rsidRPr="00920807">
          <w:rPr>
            <w:rStyle w:val="Hyperlink"/>
            <w:rFonts w:ascii="Times New Roman" w:hAnsi="Times New Roman" w:cs="Times New Roman"/>
            <w:noProof/>
          </w:rPr>
          <w:t>Figure 18</w:t>
        </w:r>
        <w:r w:rsidRPr="00920807">
          <w:rPr>
            <w:rStyle w:val="Hyperlink"/>
            <w:rFonts w:ascii="Times New Roman" w:eastAsia="Times New Roman" w:hAnsi="Times New Roman" w:cs="Times New Roman"/>
            <w:b/>
            <w:bCs/>
            <w:noProof/>
          </w:rPr>
          <w:t xml:space="preserve"> </w:t>
        </w:r>
        <w:r w:rsidRPr="00920807">
          <w:rPr>
            <w:rStyle w:val="Hyperlink"/>
            <w:rFonts w:ascii="Times New Roman" w:eastAsia="Times New Roman" w:hAnsi="Times New Roman" w:cs="Times New Roman"/>
            <w:noProof/>
          </w:rPr>
          <w:t>presents the Gross Regional Domestic Product (GRDP) at current market prices for the study locations in 2021.</w:t>
        </w:r>
        <w:r>
          <w:rPr>
            <w:noProof/>
            <w:webHidden/>
          </w:rPr>
          <w:tab/>
        </w:r>
        <w:r>
          <w:rPr>
            <w:noProof/>
            <w:webHidden/>
          </w:rPr>
          <w:fldChar w:fldCharType="begin"/>
        </w:r>
        <w:r>
          <w:rPr>
            <w:noProof/>
            <w:webHidden/>
          </w:rPr>
          <w:instrText xml:space="preserve"> PAGEREF _Toc217297605 \h </w:instrText>
        </w:r>
        <w:r>
          <w:rPr>
            <w:noProof/>
            <w:webHidden/>
          </w:rPr>
        </w:r>
        <w:r>
          <w:rPr>
            <w:noProof/>
            <w:webHidden/>
          </w:rPr>
          <w:fldChar w:fldCharType="separate"/>
        </w:r>
        <w:r w:rsidR="00F33716">
          <w:rPr>
            <w:noProof/>
            <w:webHidden/>
          </w:rPr>
          <w:t>23</w:t>
        </w:r>
        <w:r>
          <w:rPr>
            <w:noProof/>
            <w:webHidden/>
          </w:rPr>
          <w:fldChar w:fldCharType="end"/>
        </w:r>
      </w:hyperlink>
    </w:p>
    <w:p w14:paraId="6F42E3FC" w14:textId="43F7DB8C"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6" w:history="1">
        <w:r w:rsidRPr="00920807">
          <w:rPr>
            <w:rStyle w:val="Hyperlink"/>
            <w:rFonts w:ascii="Times New Roman" w:hAnsi="Times New Roman" w:cs="Times New Roman"/>
            <w:noProof/>
          </w:rPr>
          <w:t>Figure 19</w:t>
        </w:r>
        <w:r w:rsidRPr="00920807">
          <w:rPr>
            <w:rStyle w:val="Hyperlink"/>
            <w:rFonts w:ascii="Times New Roman" w:eastAsia="Times New Roman" w:hAnsi="Times New Roman" w:cs="Times New Roman"/>
            <w:b/>
            <w:bCs/>
            <w:noProof/>
          </w:rPr>
          <w:t xml:space="preserve"> </w:t>
        </w:r>
        <w:r w:rsidRPr="00920807">
          <w:rPr>
            <w:rStyle w:val="Hyperlink"/>
            <w:rFonts w:ascii="Times New Roman" w:eastAsia="Times New Roman" w:hAnsi="Times New Roman" w:cs="Times New Roman"/>
            <w:noProof/>
          </w:rPr>
          <w:t>shows the Gross Regional Domestic Product (GRDP) at current market prices for the study locations in 2022.</w:t>
        </w:r>
        <w:r>
          <w:rPr>
            <w:noProof/>
            <w:webHidden/>
          </w:rPr>
          <w:tab/>
        </w:r>
        <w:r>
          <w:rPr>
            <w:noProof/>
            <w:webHidden/>
          </w:rPr>
          <w:fldChar w:fldCharType="begin"/>
        </w:r>
        <w:r>
          <w:rPr>
            <w:noProof/>
            <w:webHidden/>
          </w:rPr>
          <w:instrText xml:space="preserve"> PAGEREF _Toc217297606 \h </w:instrText>
        </w:r>
        <w:r>
          <w:rPr>
            <w:noProof/>
            <w:webHidden/>
          </w:rPr>
        </w:r>
        <w:r>
          <w:rPr>
            <w:noProof/>
            <w:webHidden/>
          </w:rPr>
          <w:fldChar w:fldCharType="separate"/>
        </w:r>
        <w:r w:rsidR="00F33716">
          <w:rPr>
            <w:noProof/>
            <w:webHidden/>
          </w:rPr>
          <w:t>23</w:t>
        </w:r>
        <w:r>
          <w:rPr>
            <w:noProof/>
            <w:webHidden/>
          </w:rPr>
          <w:fldChar w:fldCharType="end"/>
        </w:r>
      </w:hyperlink>
    </w:p>
    <w:p w14:paraId="74313F9E" w14:textId="3A36A715"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7" w:history="1">
        <w:r w:rsidRPr="00920807">
          <w:rPr>
            <w:rStyle w:val="Hyperlink"/>
            <w:rFonts w:ascii="Times New Roman" w:hAnsi="Times New Roman" w:cs="Times New Roman"/>
            <w:noProof/>
          </w:rPr>
          <w:t>Figure 20</w:t>
        </w:r>
        <w:r w:rsidRPr="00920807">
          <w:rPr>
            <w:rStyle w:val="Hyperlink"/>
            <w:rFonts w:ascii="Times New Roman" w:eastAsia="Times New Roman" w:hAnsi="Times New Roman" w:cs="Times New Roman"/>
            <w:b/>
            <w:bCs/>
            <w:noProof/>
          </w:rPr>
          <w:t xml:space="preserve"> </w:t>
        </w:r>
        <w:r w:rsidRPr="00920807">
          <w:rPr>
            <w:rStyle w:val="Hyperlink"/>
            <w:rFonts w:ascii="Times New Roman" w:eastAsia="Times New Roman" w:hAnsi="Times New Roman" w:cs="Times New Roman"/>
            <w:noProof/>
          </w:rPr>
          <w:t>presents the Gross Regional Domestic Product (GRDP) at current market prices for the study locations in 2023.</w:t>
        </w:r>
        <w:r>
          <w:rPr>
            <w:noProof/>
            <w:webHidden/>
          </w:rPr>
          <w:tab/>
        </w:r>
        <w:r>
          <w:rPr>
            <w:noProof/>
            <w:webHidden/>
          </w:rPr>
          <w:fldChar w:fldCharType="begin"/>
        </w:r>
        <w:r>
          <w:rPr>
            <w:noProof/>
            <w:webHidden/>
          </w:rPr>
          <w:instrText xml:space="preserve"> PAGEREF _Toc217297607 \h </w:instrText>
        </w:r>
        <w:r>
          <w:rPr>
            <w:noProof/>
            <w:webHidden/>
          </w:rPr>
        </w:r>
        <w:r>
          <w:rPr>
            <w:noProof/>
            <w:webHidden/>
          </w:rPr>
          <w:fldChar w:fldCharType="separate"/>
        </w:r>
        <w:r w:rsidR="00F33716">
          <w:rPr>
            <w:noProof/>
            <w:webHidden/>
          </w:rPr>
          <w:t>24</w:t>
        </w:r>
        <w:r>
          <w:rPr>
            <w:noProof/>
            <w:webHidden/>
          </w:rPr>
          <w:fldChar w:fldCharType="end"/>
        </w:r>
      </w:hyperlink>
    </w:p>
    <w:p w14:paraId="20628105" w14:textId="73C67440"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8" w:history="1">
        <w:r w:rsidRPr="00920807">
          <w:rPr>
            <w:rStyle w:val="Hyperlink"/>
            <w:rFonts w:ascii="Times New Roman" w:hAnsi="Times New Roman" w:cs="Times New Roman"/>
            <w:noProof/>
          </w:rPr>
          <w:t>Figure 21</w:t>
        </w:r>
        <w:r w:rsidRPr="00920807">
          <w:rPr>
            <w:rStyle w:val="Hyperlink"/>
            <w:rFonts w:ascii="Times New Roman" w:eastAsia="Times New Roman" w:hAnsi="Times New Roman" w:cs="Times New Roman"/>
            <w:b/>
            <w:bCs/>
            <w:noProof/>
          </w:rPr>
          <w:t xml:space="preserve"> </w:t>
        </w:r>
        <w:r w:rsidRPr="00920807">
          <w:rPr>
            <w:rStyle w:val="Hyperlink"/>
            <w:rFonts w:ascii="Times New Roman" w:eastAsia="Times New Roman" w:hAnsi="Times New Roman" w:cs="Times New Roman"/>
            <w:noProof/>
          </w:rPr>
          <w:t>Fishery Value (Rp million) in the Research Locations in 2021 (Average exchange rate 2021: 1 USD ≈ Rp 14,308)</w:t>
        </w:r>
        <w:r>
          <w:rPr>
            <w:noProof/>
            <w:webHidden/>
          </w:rPr>
          <w:tab/>
        </w:r>
        <w:r>
          <w:rPr>
            <w:noProof/>
            <w:webHidden/>
          </w:rPr>
          <w:fldChar w:fldCharType="begin"/>
        </w:r>
        <w:r>
          <w:rPr>
            <w:noProof/>
            <w:webHidden/>
          </w:rPr>
          <w:instrText xml:space="preserve"> PAGEREF _Toc217297608 \h </w:instrText>
        </w:r>
        <w:r>
          <w:rPr>
            <w:noProof/>
            <w:webHidden/>
          </w:rPr>
        </w:r>
        <w:r>
          <w:rPr>
            <w:noProof/>
            <w:webHidden/>
          </w:rPr>
          <w:fldChar w:fldCharType="separate"/>
        </w:r>
        <w:r w:rsidR="00F33716">
          <w:rPr>
            <w:noProof/>
            <w:webHidden/>
          </w:rPr>
          <w:t>24</w:t>
        </w:r>
        <w:r>
          <w:rPr>
            <w:noProof/>
            <w:webHidden/>
          </w:rPr>
          <w:fldChar w:fldCharType="end"/>
        </w:r>
      </w:hyperlink>
    </w:p>
    <w:p w14:paraId="7DFC5097" w14:textId="4188B607"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09" w:history="1">
        <w:r w:rsidRPr="00920807">
          <w:rPr>
            <w:rStyle w:val="Hyperlink"/>
            <w:rFonts w:ascii="Times New Roman" w:hAnsi="Times New Roman" w:cs="Times New Roman"/>
            <w:noProof/>
          </w:rPr>
          <w:t>Figure 22 (a) Schematic diagram of sea surface temperature and atmospheric overturning circulations in the SCSSA (Yang et al. 2024) (b) Known global impacts of climate change in the SCSSA (Yang et al. 2024)</w:t>
        </w:r>
        <w:r>
          <w:rPr>
            <w:noProof/>
            <w:webHidden/>
          </w:rPr>
          <w:tab/>
        </w:r>
        <w:r>
          <w:rPr>
            <w:noProof/>
            <w:webHidden/>
          </w:rPr>
          <w:fldChar w:fldCharType="begin"/>
        </w:r>
        <w:r>
          <w:rPr>
            <w:noProof/>
            <w:webHidden/>
          </w:rPr>
          <w:instrText xml:space="preserve"> PAGEREF _Toc217297609 \h </w:instrText>
        </w:r>
        <w:r>
          <w:rPr>
            <w:noProof/>
            <w:webHidden/>
          </w:rPr>
        </w:r>
        <w:r>
          <w:rPr>
            <w:noProof/>
            <w:webHidden/>
          </w:rPr>
          <w:fldChar w:fldCharType="separate"/>
        </w:r>
        <w:r w:rsidR="00F33716">
          <w:rPr>
            <w:noProof/>
            <w:webHidden/>
          </w:rPr>
          <w:t>28</w:t>
        </w:r>
        <w:r>
          <w:rPr>
            <w:noProof/>
            <w:webHidden/>
          </w:rPr>
          <w:fldChar w:fldCharType="end"/>
        </w:r>
      </w:hyperlink>
    </w:p>
    <w:p w14:paraId="53AC9E66" w14:textId="2C6590C0"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0" w:history="1">
        <w:r w:rsidRPr="00920807">
          <w:rPr>
            <w:rStyle w:val="Hyperlink"/>
            <w:rFonts w:ascii="Times New Roman" w:hAnsi="Times New Roman" w:cs="Times New Roman"/>
            <w:noProof/>
          </w:rPr>
          <w:t>Figure 23  Mangrove, Coral, Seagrass and Wetland Distribution</w:t>
        </w:r>
        <w:r>
          <w:rPr>
            <w:noProof/>
            <w:webHidden/>
          </w:rPr>
          <w:tab/>
        </w:r>
        <w:r>
          <w:rPr>
            <w:noProof/>
            <w:webHidden/>
          </w:rPr>
          <w:fldChar w:fldCharType="begin"/>
        </w:r>
        <w:r>
          <w:rPr>
            <w:noProof/>
            <w:webHidden/>
          </w:rPr>
          <w:instrText xml:space="preserve"> PAGEREF _Toc217297610 \h </w:instrText>
        </w:r>
        <w:r>
          <w:rPr>
            <w:noProof/>
            <w:webHidden/>
          </w:rPr>
        </w:r>
        <w:r>
          <w:rPr>
            <w:noProof/>
            <w:webHidden/>
          </w:rPr>
          <w:fldChar w:fldCharType="separate"/>
        </w:r>
        <w:r w:rsidR="00F33716">
          <w:rPr>
            <w:noProof/>
            <w:webHidden/>
          </w:rPr>
          <w:t>36</w:t>
        </w:r>
        <w:r>
          <w:rPr>
            <w:noProof/>
            <w:webHidden/>
          </w:rPr>
          <w:fldChar w:fldCharType="end"/>
        </w:r>
      </w:hyperlink>
    </w:p>
    <w:p w14:paraId="20459E53" w14:textId="697AD89C"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1" w:history="1">
        <w:r w:rsidRPr="00920807">
          <w:rPr>
            <w:rStyle w:val="Hyperlink"/>
            <w:rFonts w:ascii="Times New Roman" w:hAnsi="Times New Roman" w:cs="Times New Roman"/>
            <w:noProof/>
          </w:rPr>
          <w:t>Figure 24 Regional Variability in Coral Habitat Extent Within Indonesian Marine Protected Areas</w:t>
        </w:r>
        <w:r>
          <w:rPr>
            <w:noProof/>
            <w:webHidden/>
          </w:rPr>
          <w:tab/>
        </w:r>
        <w:r>
          <w:rPr>
            <w:noProof/>
            <w:webHidden/>
          </w:rPr>
          <w:fldChar w:fldCharType="begin"/>
        </w:r>
        <w:r>
          <w:rPr>
            <w:noProof/>
            <w:webHidden/>
          </w:rPr>
          <w:instrText xml:space="preserve"> PAGEREF _Toc217297611 \h </w:instrText>
        </w:r>
        <w:r>
          <w:rPr>
            <w:noProof/>
            <w:webHidden/>
          </w:rPr>
        </w:r>
        <w:r>
          <w:rPr>
            <w:noProof/>
            <w:webHidden/>
          </w:rPr>
          <w:fldChar w:fldCharType="separate"/>
        </w:r>
        <w:r w:rsidR="00F33716">
          <w:rPr>
            <w:noProof/>
            <w:webHidden/>
          </w:rPr>
          <w:t>36</w:t>
        </w:r>
        <w:r>
          <w:rPr>
            <w:noProof/>
            <w:webHidden/>
          </w:rPr>
          <w:fldChar w:fldCharType="end"/>
        </w:r>
      </w:hyperlink>
    </w:p>
    <w:p w14:paraId="29D7A5E1" w14:textId="053B2176"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2" w:history="1">
        <w:r w:rsidRPr="00920807">
          <w:rPr>
            <w:rStyle w:val="Hyperlink"/>
            <w:rFonts w:ascii="Times New Roman" w:hAnsi="Times New Roman" w:cs="Times New Roman"/>
            <w:noProof/>
          </w:rPr>
          <w:t>Figure 25 Regional Variability in Seagrass Habitat Extent Within Indonesian Marine Protected Areas</w:t>
        </w:r>
        <w:r>
          <w:rPr>
            <w:noProof/>
            <w:webHidden/>
          </w:rPr>
          <w:tab/>
        </w:r>
        <w:r>
          <w:rPr>
            <w:noProof/>
            <w:webHidden/>
          </w:rPr>
          <w:fldChar w:fldCharType="begin"/>
        </w:r>
        <w:r>
          <w:rPr>
            <w:noProof/>
            <w:webHidden/>
          </w:rPr>
          <w:instrText xml:space="preserve"> PAGEREF _Toc217297612 \h </w:instrText>
        </w:r>
        <w:r>
          <w:rPr>
            <w:noProof/>
            <w:webHidden/>
          </w:rPr>
        </w:r>
        <w:r>
          <w:rPr>
            <w:noProof/>
            <w:webHidden/>
          </w:rPr>
          <w:fldChar w:fldCharType="separate"/>
        </w:r>
        <w:r w:rsidR="00F33716">
          <w:rPr>
            <w:noProof/>
            <w:webHidden/>
          </w:rPr>
          <w:t>37</w:t>
        </w:r>
        <w:r>
          <w:rPr>
            <w:noProof/>
            <w:webHidden/>
          </w:rPr>
          <w:fldChar w:fldCharType="end"/>
        </w:r>
      </w:hyperlink>
    </w:p>
    <w:p w14:paraId="51036667" w14:textId="58DB6BC1"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3" w:history="1">
        <w:r w:rsidRPr="00920807">
          <w:rPr>
            <w:rStyle w:val="Hyperlink"/>
            <w:rFonts w:ascii="Times New Roman" w:hAnsi="Times New Roman" w:cs="Times New Roman"/>
            <w:noProof/>
          </w:rPr>
          <w:t xml:space="preserve">Figure 26 </w:t>
        </w:r>
        <w:r w:rsidRPr="00920807">
          <w:rPr>
            <w:rStyle w:val="Hyperlink"/>
            <w:rFonts w:ascii="Times New Roman" w:eastAsia="Times New Roman" w:hAnsi="Times New Roman" w:cs="Times New Roman"/>
            <w:noProof/>
            <w:lang w:val="en-GB" w:eastAsia="en-GB"/>
          </w:rPr>
          <w:t>Seagrass connectivity of Enhalus acroides biodiversity (Hadi, et al, 2023)</w:t>
        </w:r>
        <w:r>
          <w:rPr>
            <w:noProof/>
            <w:webHidden/>
          </w:rPr>
          <w:tab/>
        </w:r>
        <w:r>
          <w:rPr>
            <w:noProof/>
            <w:webHidden/>
          </w:rPr>
          <w:fldChar w:fldCharType="begin"/>
        </w:r>
        <w:r>
          <w:rPr>
            <w:noProof/>
            <w:webHidden/>
          </w:rPr>
          <w:instrText xml:space="preserve"> PAGEREF _Toc217297613 \h </w:instrText>
        </w:r>
        <w:r>
          <w:rPr>
            <w:noProof/>
            <w:webHidden/>
          </w:rPr>
        </w:r>
        <w:r>
          <w:rPr>
            <w:noProof/>
            <w:webHidden/>
          </w:rPr>
          <w:fldChar w:fldCharType="separate"/>
        </w:r>
        <w:r w:rsidR="00F33716">
          <w:rPr>
            <w:noProof/>
            <w:webHidden/>
          </w:rPr>
          <w:t>39</w:t>
        </w:r>
        <w:r>
          <w:rPr>
            <w:noProof/>
            <w:webHidden/>
          </w:rPr>
          <w:fldChar w:fldCharType="end"/>
        </w:r>
      </w:hyperlink>
    </w:p>
    <w:p w14:paraId="0A7C6A11" w14:textId="43499D2B"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4" w:history="1">
        <w:r w:rsidRPr="00920807">
          <w:rPr>
            <w:rStyle w:val="Hyperlink"/>
            <w:rFonts w:ascii="Times New Roman" w:hAnsi="Times New Roman" w:cs="Times New Roman"/>
            <w:noProof/>
          </w:rPr>
          <w:t>Figure 27  The distribution of EETS species in Indonesia</w:t>
        </w:r>
        <w:r>
          <w:rPr>
            <w:noProof/>
            <w:webHidden/>
          </w:rPr>
          <w:tab/>
        </w:r>
        <w:r>
          <w:rPr>
            <w:noProof/>
            <w:webHidden/>
          </w:rPr>
          <w:fldChar w:fldCharType="begin"/>
        </w:r>
        <w:r>
          <w:rPr>
            <w:noProof/>
            <w:webHidden/>
          </w:rPr>
          <w:instrText xml:space="preserve"> PAGEREF _Toc217297614 \h </w:instrText>
        </w:r>
        <w:r>
          <w:rPr>
            <w:noProof/>
            <w:webHidden/>
          </w:rPr>
        </w:r>
        <w:r>
          <w:rPr>
            <w:noProof/>
            <w:webHidden/>
          </w:rPr>
          <w:fldChar w:fldCharType="separate"/>
        </w:r>
        <w:r w:rsidR="00F33716">
          <w:rPr>
            <w:noProof/>
            <w:webHidden/>
          </w:rPr>
          <w:t>41</w:t>
        </w:r>
        <w:r>
          <w:rPr>
            <w:noProof/>
            <w:webHidden/>
          </w:rPr>
          <w:fldChar w:fldCharType="end"/>
        </w:r>
      </w:hyperlink>
    </w:p>
    <w:p w14:paraId="61FDD030" w14:textId="1D26597E"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5" w:history="1">
        <w:r w:rsidRPr="00920807">
          <w:rPr>
            <w:rStyle w:val="Hyperlink"/>
            <w:rFonts w:ascii="Times New Roman" w:hAnsi="Times New Roman" w:cs="Times New Roman"/>
            <w:noProof/>
          </w:rPr>
          <w:t>Figure 28  South China Sea Indonesia’s part (red box)</w:t>
        </w:r>
        <w:r>
          <w:rPr>
            <w:noProof/>
            <w:webHidden/>
          </w:rPr>
          <w:tab/>
        </w:r>
        <w:r>
          <w:rPr>
            <w:noProof/>
            <w:webHidden/>
          </w:rPr>
          <w:fldChar w:fldCharType="begin"/>
        </w:r>
        <w:r>
          <w:rPr>
            <w:noProof/>
            <w:webHidden/>
          </w:rPr>
          <w:instrText xml:space="preserve"> PAGEREF _Toc217297615 \h </w:instrText>
        </w:r>
        <w:r>
          <w:rPr>
            <w:noProof/>
            <w:webHidden/>
          </w:rPr>
        </w:r>
        <w:r>
          <w:rPr>
            <w:noProof/>
            <w:webHidden/>
          </w:rPr>
          <w:fldChar w:fldCharType="separate"/>
        </w:r>
        <w:r w:rsidR="00F33716">
          <w:rPr>
            <w:noProof/>
            <w:webHidden/>
          </w:rPr>
          <w:t>51</w:t>
        </w:r>
        <w:r>
          <w:rPr>
            <w:noProof/>
            <w:webHidden/>
          </w:rPr>
          <w:fldChar w:fldCharType="end"/>
        </w:r>
      </w:hyperlink>
    </w:p>
    <w:p w14:paraId="61289C40" w14:textId="41BD510F"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6" w:history="1">
        <w:r w:rsidRPr="00920807">
          <w:rPr>
            <w:rStyle w:val="Hyperlink"/>
            <w:rFonts w:ascii="Times New Roman" w:hAnsi="Times New Roman" w:cs="Times New Roman"/>
            <w:noProof/>
          </w:rPr>
          <w:t>Figure 29 Estimates of total volume (tonnes) of uneaten feed (become waste) Aquaculture (tonnes) in several provinces in the area around the SCS from 2019 to 2024 (source: Indonesia Fisheries Statistics 2020, 2021, 2022, 2023, 2024).</w:t>
        </w:r>
        <w:r>
          <w:rPr>
            <w:noProof/>
            <w:webHidden/>
          </w:rPr>
          <w:tab/>
        </w:r>
        <w:r>
          <w:rPr>
            <w:noProof/>
            <w:webHidden/>
          </w:rPr>
          <w:fldChar w:fldCharType="begin"/>
        </w:r>
        <w:r>
          <w:rPr>
            <w:noProof/>
            <w:webHidden/>
          </w:rPr>
          <w:instrText xml:space="preserve"> PAGEREF _Toc217297616 \h </w:instrText>
        </w:r>
        <w:r>
          <w:rPr>
            <w:noProof/>
            <w:webHidden/>
          </w:rPr>
        </w:r>
        <w:r>
          <w:rPr>
            <w:noProof/>
            <w:webHidden/>
          </w:rPr>
          <w:fldChar w:fldCharType="separate"/>
        </w:r>
        <w:r w:rsidR="00F33716">
          <w:rPr>
            <w:noProof/>
            <w:webHidden/>
          </w:rPr>
          <w:t>52</w:t>
        </w:r>
        <w:r>
          <w:rPr>
            <w:noProof/>
            <w:webHidden/>
          </w:rPr>
          <w:fldChar w:fldCharType="end"/>
        </w:r>
      </w:hyperlink>
    </w:p>
    <w:p w14:paraId="6DFF22C8" w14:textId="7BE17766"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7" w:history="1">
        <w:r w:rsidRPr="00920807">
          <w:rPr>
            <w:rStyle w:val="Hyperlink"/>
            <w:rFonts w:ascii="Times New Roman" w:hAnsi="Times New Roman" w:cs="Times New Roman"/>
            <w:noProof/>
          </w:rPr>
          <w:t>Figure 30 Distribution of subsidized urea fertilizer in the agricultural sector (tonnes) in the provinces adjacent to SCS area (source: Environment Statistics of Indonesia 2020, 2021, 2022, 2023, 2024)</w:t>
        </w:r>
        <w:r>
          <w:rPr>
            <w:noProof/>
            <w:webHidden/>
          </w:rPr>
          <w:tab/>
        </w:r>
        <w:r>
          <w:rPr>
            <w:noProof/>
            <w:webHidden/>
          </w:rPr>
          <w:fldChar w:fldCharType="begin"/>
        </w:r>
        <w:r>
          <w:rPr>
            <w:noProof/>
            <w:webHidden/>
          </w:rPr>
          <w:instrText xml:space="preserve"> PAGEREF _Toc217297617 \h </w:instrText>
        </w:r>
        <w:r>
          <w:rPr>
            <w:noProof/>
            <w:webHidden/>
          </w:rPr>
        </w:r>
        <w:r>
          <w:rPr>
            <w:noProof/>
            <w:webHidden/>
          </w:rPr>
          <w:fldChar w:fldCharType="separate"/>
        </w:r>
        <w:r w:rsidR="00F33716">
          <w:rPr>
            <w:noProof/>
            <w:webHidden/>
          </w:rPr>
          <w:t>52</w:t>
        </w:r>
        <w:r>
          <w:rPr>
            <w:noProof/>
            <w:webHidden/>
          </w:rPr>
          <w:fldChar w:fldCharType="end"/>
        </w:r>
      </w:hyperlink>
    </w:p>
    <w:p w14:paraId="6FE64332" w14:textId="2AA7179F"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8" w:history="1">
        <w:r w:rsidRPr="00920807">
          <w:rPr>
            <w:rStyle w:val="Hyperlink"/>
            <w:rFonts w:ascii="Times New Roman" w:hAnsi="Times New Roman" w:cs="Times New Roman"/>
            <w:noProof/>
          </w:rPr>
          <w:t>Figure 31 Distribution of subsidized urea fertilizer in the agricultural sector (tonnes) in the provinces adjacent to SCS area (source: Environment Statistics of Indonesia 2020, 2021, 2022, 2023, 2024)</w:t>
        </w:r>
        <w:r>
          <w:rPr>
            <w:noProof/>
            <w:webHidden/>
          </w:rPr>
          <w:tab/>
        </w:r>
        <w:r>
          <w:rPr>
            <w:noProof/>
            <w:webHidden/>
          </w:rPr>
          <w:fldChar w:fldCharType="begin"/>
        </w:r>
        <w:r>
          <w:rPr>
            <w:noProof/>
            <w:webHidden/>
          </w:rPr>
          <w:instrText xml:space="preserve"> PAGEREF _Toc217297618 \h </w:instrText>
        </w:r>
        <w:r>
          <w:rPr>
            <w:noProof/>
            <w:webHidden/>
          </w:rPr>
        </w:r>
        <w:r>
          <w:rPr>
            <w:noProof/>
            <w:webHidden/>
          </w:rPr>
          <w:fldChar w:fldCharType="separate"/>
        </w:r>
        <w:r w:rsidR="00F33716">
          <w:rPr>
            <w:noProof/>
            <w:webHidden/>
          </w:rPr>
          <w:t>53</w:t>
        </w:r>
        <w:r>
          <w:rPr>
            <w:noProof/>
            <w:webHidden/>
          </w:rPr>
          <w:fldChar w:fldCharType="end"/>
        </w:r>
      </w:hyperlink>
    </w:p>
    <w:p w14:paraId="6FACCE9F" w14:textId="6651A72A"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19" w:history="1">
        <w:r w:rsidRPr="00920807">
          <w:rPr>
            <w:rStyle w:val="Hyperlink"/>
            <w:rFonts w:ascii="Times New Roman" w:hAnsi="Times New Roman" w:cs="Times New Roman"/>
            <w:noProof/>
          </w:rPr>
          <w:t>Figure 32 Volume of hazardous waste (B3) Tonnes from each of the provinces in the SCS region (source: Environment Statistics of Indonesia, 2020, 2021, 2022, 2023, 2024).</w:t>
        </w:r>
        <w:r>
          <w:rPr>
            <w:noProof/>
            <w:webHidden/>
          </w:rPr>
          <w:tab/>
        </w:r>
        <w:r>
          <w:rPr>
            <w:noProof/>
            <w:webHidden/>
          </w:rPr>
          <w:fldChar w:fldCharType="begin"/>
        </w:r>
        <w:r>
          <w:rPr>
            <w:noProof/>
            <w:webHidden/>
          </w:rPr>
          <w:instrText xml:space="preserve"> PAGEREF _Toc217297619 \h </w:instrText>
        </w:r>
        <w:r>
          <w:rPr>
            <w:noProof/>
            <w:webHidden/>
          </w:rPr>
        </w:r>
        <w:r>
          <w:rPr>
            <w:noProof/>
            <w:webHidden/>
          </w:rPr>
          <w:fldChar w:fldCharType="separate"/>
        </w:r>
        <w:r w:rsidR="00F33716">
          <w:rPr>
            <w:noProof/>
            <w:webHidden/>
          </w:rPr>
          <w:t>53</w:t>
        </w:r>
        <w:r>
          <w:rPr>
            <w:noProof/>
            <w:webHidden/>
          </w:rPr>
          <w:fldChar w:fldCharType="end"/>
        </w:r>
      </w:hyperlink>
    </w:p>
    <w:p w14:paraId="537F9489" w14:textId="04764C61"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0" w:history="1">
        <w:r w:rsidRPr="00920807">
          <w:rPr>
            <w:rStyle w:val="Hyperlink"/>
            <w:rFonts w:ascii="Times New Roman" w:hAnsi="Times New Roman" w:cs="Times New Roman"/>
            <w:noProof/>
          </w:rPr>
          <w:t>Figure 33  Annual riverine pollutant loads of NH</w:t>
        </w:r>
        <w:r w:rsidRPr="00920807">
          <w:rPr>
            <w:rStyle w:val="Hyperlink"/>
            <w:rFonts w:ascii="Times New Roman" w:hAnsi="Times New Roman" w:cs="Times New Roman"/>
            <w:noProof/>
            <w:vertAlign w:val="subscript"/>
          </w:rPr>
          <w:t>3</w:t>
        </w:r>
        <w:r w:rsidRPr="00920807">
          <w:rPr>
            <w:rStyle w:val="Hyperlink"/>
            <w:rFonts w:ascii="Times New Roman" w:hAnsi="Times New Roman" w:cs="Times New Roman"/>
            <w:noProof/>
          </w:rPr>
          <w:t>-N (upper chart), TSS (middle chart) and Total Coliform (lower chart) of each river into South China Sea waters (source: data analysis 2025)</w:t>
        </w:r>
        <w:r>
          <w:rPr>
            <w:noProof/>
            <w:webHidden/>
          </w:rPr>
          <w:tab/>
        </w:r>
        <w:r>
          <w:rPr>
            <w:noProof/>
            <w:webHidden/>
          </w:rPr>
          <w:fldChar w:fldCharType="begin"/>
        </w:r>
        <w:r>
          <w:rPr>
            <w:noProof/>
            <w:webHidden/>
          </w:rPr>
          <w:instrText xml:space="preserve"> PAGEREF _Toc217297620 \h </w:instrText>
        </w:r>
        <w:r>
          <w:rPr>
            <w:noProof/>
            <w:webHidden/>
          </w:rPr>
        </w:r>
        <w:r>
          <w:rPr>
            <w:noProof/>
            <w:webHidden/>
          </w:rPr>
          <w:fldChar w:fldCharType="separate"/>
        </w:r>
        <w:r w:rsidR="00F33716">
          <w:rPr>
            <w:noProof/>
            <w:webHidden/>
          </w:rPr>
          <w:t>54</w:t>
        </w:r>
        <w:r>
          <w:rPr>
            <w:noProof/>
            <w:webHidden/>
          </w:rPr>
          <w:fldChar w:fldCharType="end"/>
        </w:r>
      </w:hyperlink>
    </w:p>
    <w:p w14:paraId="60721F76" w14:textId="0CB8B636"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1" w:history="1">
        <w:r w:rsidRPr="00920807">
          <w:rPr>
            <w:rStyle w:val="Hyperlink"/>
            <w:rFonts w:ascii="Times New Roman" w:hAnsi="Times New Roman" w:cs="Times New Roman"/>
            <w:noProof/>
          </w:rPr>
          <w:t>Figure 34 Annual solid waste generation based on municipality, regencies and provinces 2022-2023 (source: Environment Statistics of Indonesia, 2020, 2021, 2022, 2023, 2024).</w:t>
        </w:r>
        <w:r>
          <w:rPr>
            <w:noProof/>
            <w:webHidden/>
          </w:rPr>
          <w:tab/>
        </w:r>
        <w:r>
          <w:rPr>
            <w:noProof/>
            <w:webHidden/>
          </w:rPr>
          <w:fldChar w:fldCharType="begin"/>
        </w:r>
        <w:r>
          <w:rPr>
            <w:noProof/>
            <w:webHidden/>
          </w:rPr>
          <w:instrText xml:space="preserve"> PAGEREF _Toc217297621 \h </w:instrText>
        </w:r>
        <w:r>
          <w:rPr>
            <w:noProof/>
            <w:webHidden/>
          </w:rPr>
        </w:r>
        <w:r>
          <w:rPr>
            <w:noProof/>
            <w:webHidden/>
          </w:rPr>
          <w:fldChar w:fldCharType="separate"/>
        </w:r>
        <w:r w:rsidR="00F33716">
          <w:rPr>
            <w:noProof/>
            <w:webHidden/>
          </w:rPr>
          <w:t>55</w:t>
        </w:r>
        <w:r>
          <w:rPr>
            <w:noProof/>
            <w:webHidden/>
          </w:rPr>
          <w:fldChar w:fldCharType="end"/>
        </w:r>
      </w:hyperlink>
    </w:p>
    <w:p w14:paraId="152DEDF4" w14:textId="2FC2D14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2" w:history="1">
        <w:r w:rsidRPr="00920807">
          <w:rPr>
            <w:rStyle w:val="Hyperlink"/>
            <w:rFonts w:ascii="Times New Roman" w:hAnsi="Times New Roman" w:cs="Times New Roman"/>
            <w:noProof/>
          </w:rPr>
          <w:t>Figure 35   RWQI calculated at each province for the period between 2019-2023 (source: Environment Statistics of Indonesia, 2020, 2021, 2022, 2023, 2024)</w:t>
        </w:r>
        <w:r>
          <w:rPr>
            <w:noProof/>
            <w:webHidden/>
          </w:rPr>
          <w:tab/>
        </w:r>
        <w:r>
          <w:rPr>
            <w:noProof/>
            <w:webHidden/>
          </w:rPr>
          <w:fldChar w:fldCharType="begin"/>
        </w:r>
        <w:r>
          <w:rPr>
            <w:noProof/>
            <w:webHidden/>
          </w:rPr>
          <w:instrText xml:space="preserve"> PAGEREF _Toc217297622 \h </w:instrText>
        </w:r>
        <w:r>
          <w:rPr>
            <w:noProof/>
            <w:webHidden/>
          </w:rPr>
        </w:r>
        <w:r>
          <w:rPr>
            <w:noProof/>
            <w:webHidden/>
          </w:rPr>
          <w:fldChar w:fldCharType="separate"/>
        </w:r>
        <w:r w:rsidR="00F33716">
          <w:rPr>
            <w:noProof/>
            <w:webHidden/>
          </w:rPr>
          <w:t>56</w:t>
        </w:r>
        <w:r>
          <w:rPr>
            <w:noProof/>
            <w:webHidden/>
          </w:rPr>
          <w:fldChar w:fldCharType="end"/>
        </w:r>
      </w:hyperlink>
    </w:p>
    <w:p w14:paraId="1E0E5554" w14:textId="15838851"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3" w:history="1">
        <w:r w:rsidRPr="00920807">
          <w:rPr>
            <w:rStyle w:val="Hyperlink"/>
            <w:rFonts w:ascii="Times New Roman" w:hAnsi="Times New Roman" w:cs="Times New Roman"/>
            <w:noProof/>
          </w:rPr>
          <w:t>Figure 36</w:t>
        </w:r>
        <w:r w:rsidRPr="00920807">
          <w:rPr>
            <w:rStyle w:val="Hyperlink"/>
            <w:rFonts w:ascii="Times New Roman" w:hAnsi="Times New Roman" w:cs="Times New Roman"/>
            <w:i/>
            <w:iCs/>
            <w:noProof/>
          </w:rPr>
          <w:t xml:space="preserve"> </w:t>
        </w:r>
        <w:r w:rsidRPr="00920807">
          <w:rPr>
            <w:rStyle w:val="Hyperlink"/>
            <w:rFonts w:ascii="Times New Roman" w:hAnsi="Times New Roman" w:cs="Times New Roman"/>
            <w:noProof/>
          </w:rPr>
          <w:t>Distribution of marine water quality index (IKAL) values across the provinces associated with Indonesia’s South China Sea (SCS) region (source: Environment Statistics of Indonesia, 2020, 2021, 2022, 2023, 2024).</w:t>
        </w:r>
        <w:r>
          <w:rPr>
            <w:noProof/>
            <w:webHidden/>
          </w:rPr>
          <w:tab/>
        </w:r>
        <w:r>
          <w:rPr>
            <w:noProof/>
            <w:webHidden/>
          </w:rPr>
          <w:fldChar w:fldCharType="begin"/>
        </w:r>
        <w:r>
          <w:rPr>
            <w:noProof/>
            <w:webHidden/>
          </w:rPr>
          <w:instrText xml:space="preserve"> PAGEREF _Toc217297623 \h </w:instrText>
        </w:r>
        <w:r>
          <w:rPr>
            <w:noProof/>
            <w:webHidden/>
          </w:rPr>
        </w:r>
        <w:r>
          <w:rPr>
            <w:noProof/>
            <w:webHidden/>
          </w:rPr>
          <w:fldChar w:fldCharType="separate"/>
        </w:r>
        <w:r w:rsidR="00F33716">
          <w:rPr>
            <w:noProof/>
            <w:webHidden/>
          </w:rPr>
          <w:t>57</w:t>
        </w:r>
        <w:r>
          <w:rPr>
            <w:noProof/>
            <w:webHidden/>
          </w:rPr>
          <w:fldChar w:fldCharType="end"/>
        </w:r>
      </w:hyperlink>
    </w:p>
    <w:p w14:paraId="26EC2706" w14:textId="1C0E456D"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4" w:history="1">
        <w:r w:rsidRPr="00920807">
          <w:rPr>
            <w:rStyle w:val="Hyperlink"/>
            <w:rFonts w:ascii="Times New Roman" w:hAnsi="Times New Roman" w:cs="Times New Roman"/>
            <w:noProof/>
          </w:rPr>
          <w:t xml:space="preserve">Figure 37  Hydrodynamics process in the South China Sea (above) and around Bintan Island where oil frequently stranded (source: </w:t>
        </w:r>
        <w:r w:rsidRPr="00920807">
          <w:rPr>
            <w:rStyle w:val="Hyperlink"/>
            <w:rFonts w:ascii="Times New Roman" w:hAnsi="Times New Roman" w:cs="Times New Roman"/>
            <w:b/>
            <w:bCs/>
            <w:noProof/>
          </w:rPr>
          <w:t>Wang et al., 2019; Kok et al., 2021; Nie et al., 2023</w:t>
        </w:r>
        <w:r w:rsidRPr="00920807">
          <w:rPr>
            <w:rStyle w:val="Hyperlink"/>
            <w:rFonts w:ascii="Times New Roman" w:hAnsi="Times New Roman" w:cs="Times New Roman"/>
            <w:noProof/>
          </w:rPr>
          <w:t>)</w:t>
        </w:r>
        <w:r>
          <w:rPr>
            <w:noProof/>
            <w:webHidden/>
          </w:rPr>
          <w:tab/>
        </w:r>
        <w:r>
          <w:rPr>
            <w:noProof/>
            <w:webHidden/>
          </w:rPr>
          <w:fldChar w:fldCharType="begin"/>
        </w:r>
        <w:r>
          <w:rPr>
            <w:noProof/>
            <w:webHidden/>
          </w:rPr>
          <w:instrText xml:space="preserve"> PAGEREF _Toc217297624 \h </w:instrText>
        </w:r>
        <w:r>
          <w:rPr>
            <w:noProof/>
            <w:webHidden/>
          </w:rPr>
        </w:r>
        <w:r>
          <w:rPr>
            <w:noProof/>
            <w:webHidden/>
          </w:rPr>
          <w:fldChar w:fldCharType="separate"/>
        </w:r>
        <w:r w:rsidR="00F33716">
          <w:rPr>
            <w:noProof/>
            <w:webHidden/>
          </w:rPr>
          <w:t>58</w:t>
        </w:r>
        <w:r>
          <w:rPr>
            <w:noProof/>
            <w:webHidden/>
          </w:rPr>
          <w:fldChar w:fldCharType="end"/>
        </w:r>
      </w:hyperlink>
    </w:p>
    <w:p w14:paraId="4CA1CACD" w14:textId="5252F754"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5" w:history="1">
        <w:r w:rsidRPr="00920807">
          <w:rPr>
            <w:rStyle w:val="Hyperlink"/>
            <w:rFonts w:ascii="Times New Roman" w:hAnsi="Times New Roman" w:cs="Times New Roman"/>
            <w:noProof/>
          </w:rPr>
          <w:t xml:space="preserve">Figure 38 The South China Sea’s shipping lanes connecting the Mallaca Strait and the South China Sea passing through the Indonesia’s province of Riau Kepulauan (source: </w:t>
        </w:r>
        <w:r w:rsidRPr="00920807">
          <w:rPr>
            <w:rStyle w:val="Hyperlink"/>
            <w:rFonts w:ascii="Times New Roman" w:hAnsi="Times New Roman" w:cs="Times New Roman"/>
            <w:b/>
            <w:bCs/>
            <w:noProof/>
          </w:rPr>
          <w:t>ERIA, 2016</w:t>
        </w:r>
        <w:r w:rsidRPr="00920807">
          <w:rPr>
            <w:rStyle w:val="Hyperlink"/>
            <w:rFonts w:ascii="Times New Roman" w:hAnsi="Times New Roman" w:cs="Times New Roman"/>
            <w:noProof/>
          </w:rPr>
          <w:t>)</w:t>
        </w:r>
        <w:r>
          <w:rPr>
            <w:noProof/>
            <w:webHidden/>
          </w:rPr>
          <w:tab/>
        </w:r>
        <w:r>
          <w:rPr>
            <w:noProof/>
            <w:webHidden/>
          </w:rPr>
          <w:fldChar w:fldCharType="begin"/>
        </w:r>
        <w:r>
          <w:rPr>
            <w:noProof/>
            <w:webHidden/>
          </w:rPr>
          <w:instrText xml:space="preserve"> PAGEREF _Toc217297625 \h </w:instrText>
        </w:r>
        <w:r>
          <w:rPr>
            <w:noProof/>
            <w:webHidden/>
          </w:rPr>
        </w:r>
        <w:r>
          <w:rPr>
            <w:noProof/>
            <w:webHidden/>
          </w:rPr>
          <w:fldChar w:fldCharType="separate"/>
        </w:r>
        <w:r w:rsidR="00F33716">
          <w:rPr>
            <w:noProof/>
            <w:webHidden/>
          </w:rPr>
          <w:t>59</w:t>
        </w:r>
        <w:r>
          <w:rPr>
            <w:noProof/>
            <w:webHidden/>
          </w:rPr>
          <w:fldChar w:fldCharType="end"/>
        </w:r>
      </w:hyperlink>
    </w:p>
    <w:p w14:paraId="75EDE818" w14:textId="66C1D05E"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6" w:history="1">
        <w:r w:rsidRPr="00920807">
          <w:rPr>
            <w:rStyle w:val="Hyperlink"/>
            <w:rFonts w:ascii="Times New Roman" w:hAnsi="Times New Roman" w:cs="Times New Roman"/>
            <w:noProof/>
          </w:rPr>
          <w:t>Figure 39 Marine pollution caused by oil sludge on the Bintan Coastal, Indonesia, in 2023 (</w:t>
        </w:r>
        <w:r w:rsidRPr="00920807">
          <w:rPr>
            <w:rStyle w:val="Hyperlink"/>
            <w:rFonts w:ascii="Times New Roman" w:hAnsi="Times New Roman" w:cs="Times New Roman"/>
            <w:b/>
            <w:bCs/>
            <w:noProof/>
          </w:rPr>
          <w:t>Purnaweni et al., 2022; Thahira et al., 2023</w:t>
        </w:r>
        <w:r w:rsidRPr="00920807">
          <w:rPr>
            <w:rStyle w:val="Hyperlink"/>
            <w:rFonts w:ascii="Times New Roman" w:hAnsi="Times New Roman" w:cs="Times New Roman"/>
            <w:noProof/>
          </w:rPr>
          <w:t>)</w:t>
        </w:r>
        <w:r>
          <w:rPr>
            <w:noProof/>
            <w:webHidden/>
          </w:rPr>
          <w:tab/>
        </w:r>
        <w:r>
          <w:rPr>
            <w:noProof/>
            <w:webHidden/>
          </w:rPr>
          <w:fldChar w:fldCharType="begin"/>
        </w:r>
        <w:r>
          <w:rPr>
            <w:noProof/>
            <w:webHidden/>
          </w:rPr>
          <w:instrText xml:space="preserve"> PAGEREF _Toc217297626 \h </w:instrText>
        </w:r>
        <w:r>
          <w:rPr>
            <w:noProof/>
            <w:webHidden/>
          </w:rPr>
        </w:r>
        <w:r>
          <w:rPr>
            <w:noProof/>
            <w:webHidden/>
          </w:rPr>
          <w:fldChar w:fldCharType="separate"/>
        </w:r>
        <w:r w:rsidR="00F33716">
          <w:rPr>
            <w:noProof/>
            <w:webHidden/>
          </w:rPr>
          <w:t>60</w:t>
        </w:r>
        <w:r>
          <w:rPr>
            <w:noProof/>
            <w:webHidden/>
          </w:rPr>
          <w:fldChar w:fldCharType="end"/>
        </w:r>
      </w:hyperlink>
    </w:p>
    <w:p w14:paraId="42EDE7D1" w14:textId="695151A6"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7" w:history="1">
        <w:r w:rsidRPr="00920807">
          <w:rPr>
            <w:rStyle w:val="Hyperlink"/>
            <w:rFonts w:ascii="Times New Roman" w:hAnsi="Times New Roman" w:cs="Times New Roman"/>
            <w:noProof/>
          </w:rPr>
          <w:t>Figure 40 Coverage of the SCS sub-area that is part of WPPNRI 711</w:t>
        </w:r>
        <w:r>
          <w:rPr>
            <w:noProof/>
            <w:webHidden/>
          </w:rPr>
          <w:tab/>
        </w:r>
        <w:r>
          <w:rPr>
            <w:noProof/>
            <w:webHidden/>
          </w:rPr>
          <w:fldChar w:fldCharType="begin"/>
        </w:r>
        <w:r>
          <w:rPr>
            <w:noProof/>
            <w:webHidden/>
          </w:rPr>
          <w:instrText xml:space="preserve"> PAGEREF _Toc217297627 \h </w:instrText>
        </w:r>
        <w:r>
          <w:rPr>
            <w:noProof/>
            <w:webHidden/>
          </w:rPr>
        </w:r>
        <w:r>
          <w:rPr>
            <w:noProof/>
            <w:webHidden/>
          </w:rPr>
          <w:fldChar w:fldCharType="separate"/>
        </w:r>
        <w:r w:rsidR="00F33716">
          <w:rPr>
            <w:noProof/>
            <w:webHidden/>
          </w:rPr>
          <w:t>69</w:t>
        </w:r>
        <w:r>
          <w:rPr>
            <w:noProof/>
            <w:webHidden/>
          </w:rPr>
          <w:fldChar w:fldCharType="end"/>
        </w:r>
      </w:hyperlink>
    </w:p>
    <w:p w14:paraId="3BE30395" w14:textId="3B72B7D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8" w:history="1">
        <w:r w:rsidRPr="00920807">
          <w:rPr>
            <w:rStyle w:val="Hyperlink"/>
            <w:rFonts w:ascii="Times New Roman" w:hAnsi="Times New Roman" w:cs="Times New Roman"/>
            <w:noProof/>
          </w:rPr>
          <w:t>Figure 41 Capture fisheries production in the South China Sea from 1950 to 2019 (FAO, 2022)</w:t>
        </w:r>
        <w:r>
          <w:rPr>
            <w:noProof/>
            <w:webHidden/>
          </w:rPr>
          <w:tab/>
        </w:r>
        <w:r>
          <w:rPr>
            <w:noProof/>
            <w:webHidden/>
          </w:rPr>
          <w:fldChar w:fldCharType="begin"/>
        </w:r>
        <w:r>
          <w:rPr>
            <w:noProof/>
            <w:webHidden/>
          </w:rPr>
          <w:instrText xml:space="preserve"> PAGEREF _Toc217297628 \h </w:instrText>
        </w:r>
        <w:r>
          <w:rPr>
            <w:noProof/>
            <w:webHidden/>
          </w:rPr>
        </w:r>
        <w:r>
          <w:rPr>
            <w:noProof/>
            <w:webHidden/>
          </w:rPr>
          <w:fldChar w:fldCharType="separate"/>
        </w:r>
        <w:r w:rsidR="00F33716">
          <w:rPr>
            <w:noProof/>
            <w:webHidden/>
          </w:rPr>
          <w:t>70</w:t>
        </w:r>
        <w:r>
          <w:rPr>
            <w:noProof/>
            <w:webHidden/>
          </w:rPr>
          <w:fldChar w:fldCharType="end"/>
        </w:r>
      </w:hyperlink>
    </w:p>
    <w:p w14:paraId="0F0D4FFC" w14:textId="725F60DE"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29" w:history="1">
        <w:r w:rsidRPr="00920807">
          <w:rPr>
            <w:rStyle w:val="Hyperlink"/>
            <w:rFonts w:ascii="Times New Roman" w:hAnsi="Times New Roman" w:cs="Times New Roman"/>
            <w:noProof/>
          </w:rPr>
          <w:t>Figure 42 Capture fisheries by species group production in the South China Sea from 1950-2019 (FAO, 2022)</w:t>
        </w:r>
        <w:r>
          <w:rPr>
            <w:noProof/>
            <w:webHidden/>
          </w:rPr>
          <w:tab/>
        </w:r>
        <w:r>
          <w:rPr>
            <w:noProof/>
            <w:webHidden/>
          </w:rPr>
          <w:fldChar w:fldCharType="begin"/>
        </w:r>
        <w:r>
          <w:rPr>
            <w:noProof/>
            <w:webHidden/>
          </w:rPr>
          <w:instrText xml:space="preserve"> PAGEREF _Toc217297629 \h </w:instrText>
        </w:r>
        <w:r>
          <w:rPr>
            <w:noProof/>
            <w:webHidden/>
          </w:rPr>
        </w:r>
        <w:r>
          <w:rPr>
            <w:noProof/>
            <w:webHidden/>
          </w:rPr>
          <w:fldChar w:fldCharType="separate"/>
        </w:r>
        <w:r w:rsidR="00F33716">
          <w:rPr>
            <w:noProof/>
            <w:webHidden/>
          </w:rPr>
          <w:t>71</w:t>
        </w:r>
        <w:r>
          <w:rPr>
            <w:noProof/>
            <w:webHidden/>
          </w:rPr>
          <w:fldChar w:fldCharType="end"/>
        </w:r>
      </w:hyperlink>
    </w:p>
    <w:p w14:paraId="0CC23CC2" w14:textId="30384C8C"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0" w:history="1">
        <w:r w:rsidRPr="00920807">
          <w:rPr>
            <w:rStyle w:val="Hyperlink"/>
            <w:rFonts w:ascii="Times New Roman" w:hAnsi="Times New Roman" w:cs="Times New Roman"/>
            <w:noProof/>
          </w:rPr>
          <w:t>Figure 43 Freshwater production potential from 1960 to 2020 (FAO, 2022)</w:t>
        </w:r>
        <w:r>
          <w:rPr>
            <w:noProof/>
            <w:webHidden/>
          </w:rPr>
          <w:tab/>
        </w:r>
        <w:r>
          <w:rPr>
            <w:noProof/>
            <w:webHidden/>
          </w:rPr>
          <w:fldChar w:fldCharType="begin"/>
        </w:r>
        <w:r>
          <w:rPr>
            <w:noProof/>
            <w:webHidden/>
          </w:rPr>
          <w:instrText xml:space="preserve"> PAGEREF _Toc217297630 \h </w:instrText>
        </w:r>
        <w:r>
          <w:rPr>
            <w:noProof/>
            <w:webHidden/>
          </w:rPr>
        </w:r>
        <w:r>
          <w:rPr>
            <w:noProof/>
            <w:webHidden/>
          </w:rPr>
          <w:fldChar w:fldCharType="separate"/>
        </w:r>
        <w:r w:rsidR="00F33716">
          <w:rPr>
            <w:noProof/>
            <w:webHidden/>
          </w:rPr>
          <w:t>72</w:t>
        </w:r>
        <w:r>
          <w:rPr>
            <w:noProof/>
            <w:webHidden/>
          </w:rPr>
          <w:fldChar w:fldCharType="end"/>
        </w:r>
      </w:hyperlink>
    </w:p>
    <w:p w14:paraId="12A19986" w14:textId="197354A5"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1" w:history="1">
        <w:r w:rsidRPr="00920807">
          <w:rPr>
            <w:rStyle w:val="Hyperlink"/>
            <w:rFonts w:ascii="Times New Roman" w:hAnsi="Times New Roman" w:cs="Times New Roman"/>
            <w:noProof/>
          </w:rPr>
          <w:t>Figure 44  Production potential (FAO, 2022)</w:t>
        </w:r>
        <w:r>
          <w:rPr>
            <w:noProof/>
            <w:webHidden/>
          </w:rPr>
          <w:tab/>
        </w:r>
        <w:r>
          <w:rPr>
            <w:noProof/>
            <w:webHidden/>
          </w:rPr>
          <w:fldChar w:fldCharType="begin"/>
        </w:r>
        <w:r>
          <w:rPr>
            <w:noProof/>
            <w:webHidden/>
          </w:rPr>
          <w:instrText xml:space="preserve"> PAGEREF _Toc217297631 \h </w:instrText>
        </w:r>
        <w:r>
          <w:rPr>
            <w:noProof/>
            <w:webHidden/>
          </w:rPr>
        </w:r>
        <w:r>
          <w:rPr>
            <w:noProof/>
            <w:webHidden/>
          </w:rPr>
          <w:fldChar w:fldCharType="separate"/>
        </w:r>
        <w:r w:rsidR="00F33716">
          <w:rPr>
            <w:noProof/>
            <w:webHidden/>
          </w:rPr>
          <w:t>72</w:t>
        </w:r>
        <w:r>
          <w:rPr>
            <w:noProof/>
            <w:webHidden/>
          </w:rPr>
          <w:fldChar w:fldCharType="end"/>
        </w:r>
      </w:hyperlink>
    </w:p>
    <w:p w14:paraId="5C8B6240" w14:textId="5576C4E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2" w:history="1">
        <w:r w:rsidRPr="00920807">
          <w:rPr>
            <w:rStyle w:val="Hyperlink"/>
            <w:rFonts w:ascii="Times New Roman" w:hAnsi="Times New Roman" w:cs="Times New Roman"/>
            <w:noProof/>
          </w:rPr>
          <w:t>Figure 45  Fish production (tonnes) by fisheries sector in the South China Sea from 1950 to 2019</w:t>
        </w:r>
        <w:r>
          <w:rPr>
            <w:noProof/>
            <w:webHidden/>
          </w:rPr>
          <w:tab/>
        </w:r>
        <w:r>
          <w:rPr>
            <w:noProof/>
            <w:webHidden/>
          </w:rPr>
          <w:fldChar w:fldCharType="begin"/>
        </w:r>
        <w:r>
          <w:rPr>
            <w:noProof/>
            <w:webHidden/>
          </w:rPr>
          <w:instrText xml:space="preserve"> PAGEREF _Toc217297632 \h </w:instrText>
        </w:r>
        <w:r>
          <w:rPr>
            <w:noProof/>
            <w:webHidden/>
          </w:rPr>
        </w:r>
        <w:r>
          <w:rPr>
            <w:noProof/>
            <w:webHidden/>
          </w:rPr>
          <w:fldChar w:fldCharType="separate"/>
        </w:r>
        <w:r w:rsidR="00F33716">
          <w:rPr>
            <w:noProof/>
            <w:webHidden/>
          </w:rPr>
          <w:t>73</w:t>
        </w:r>
        <w:r>
          <w:rPr>
            <w:noProof/>
            <w:webHidden/>
          </w:rPr>
          <w:fldChar w:fldCharType="end"/>
        </w:r>
      </w:hyperlink>
    </w:p>
    <w:p w14:paraId="6A451068" w14:textId="706C8107"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3" w:history="1">
        <w:r w:rsidRPr="00920807">
          <w:rPr>
            <w:rStyle w:val="Hyperlink"/>
            <w:rFonts w:ascii="Times New Roman" w:hAnsi="Times New Roman" w:cs="Times New Roman"/>
            <w:noProof/>
          </w:rPr>
          <w:t>Figure 46 Fish production (tonnes) in the South China Sea from 1950-2019 (FAO, 2022)</w:t>
        </w:r>
        <w:r>
          <w:rPr>
            <w:noProof/>
            <w:webHidden/>
          </w:rPr>
          <w:tab/>
        </w:r>
        <w:r>
          <w:rPr>
            <w:noProof/>
            <w:webHidden/>
          </w:rPr>
          <w:fldChar w:fldCharType="begin"/>
        </w:r>
        <w:r>
          <w:rPr>
            <w:noProof/>
            <w:webHidden/>
          </w:rPr>
          <w:instrText xml:space="preserve"> PAGEREF _Toc217297633 \h </w:instrText>
        </w:r>
        <w:r>
          <w:rPr>
            <w:noProof/>
            <w:webHidden/>
          </w:rPr>
        </w:r>
        <w:r>
          <w:rPr>
            <w:noProof/>
            <w:webHidden/>
          </w:rPr>
          <w:fldChar w:fldCharType="separate"/>
        </w:r>
        <w:r w:rsidR="00F33716">
          <w:rPr>
            <w:noProof/>
            <w:webHidden/>
          </w:rPr>
          <w:t>74</w:t>
        </w:r>
        <w:r>
          <w:rPr>
            <w:noProof/>
            <w:webHidden/>
          </w:rPr>
          <w:fldChar w:fldCharType="end"/>
        </w:r>
      </w:hyperlink>
    </w:p>
    <w:p w14:paraId="769359D8" w14:textId="24A81411"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4" w:history="1">
        <w:r w:rsidRPr="00920807">
          <w:rPr>
            <w:rStyle w:val="Hyperlink"/>
            <w:rFonts w:ascii="Times New Roman" w:hAnsi="Times New Roman" w:cs="Times New Roman"/>
            <w:noProof/>
          </w:rPr>
          <w:t>Figure 47 Fish production value in the South China Sea from 1950-2019 (FAO, 2022)</w:t>
        </w:r>
        <w:r>
          <w:rPr>
            <w:noProof/>
            <w:webHidden/>
          </w:rPr>
          <w:tab/>
        </w:r>
        <w:r>
          <w:rPr>
            <w:noProof/>
            <w:webHidden/>
          </w:rPr>
          <w:fldChar w:fldCharType="begin"/>
        </w:r>
        <w:r>
          <w:rPr>
            <w:noProof/>
            <w:webHidden/>
          </w:rPr>
          <w:instrText xml:space="preserve"> PAGEREF _Toc217297634 \h </w:instrText>
        </w:r>
        <w:r>
          <w:rPr>
            <w:noProof/>
            <w:webHidden/>
          </w:rPr>
        </w:r>
        <w:r>
          <w:rPr>
            <w:noProof/>
            <w:webHidden/>
          </w:rPr>
          <w:fldChar w:fldCharType="separate"/>
        </w:r>
        <w:r w:rsidR="00F33716">
          <w:rPr>
            <w:noProof/>
            <w:webHidden/>
          </w:rPr>
          <w:t>75</w:t>
        </w:r>
        <w:r>
          <w:rPr>
            <w:noProof/>
            <w:webHidden/>
          </w:rPr>
          <w:fldChar w:fldCharType="end"/>
        </w:r>
      </w:hyperlink>
    </w:p>
    <w:p w14:paraId="0DEA9B2C" w14:textId="005D7178"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5" w:history="1">
        <w:r w:rsidRPr="00920807">
          <w:rPr>
            <w:rStyle w:val="Hyperlink"/>
            <w:rFonts w:ascii="Times New Roman" w:hAnsi="Times New Roman" w:cs="Times New Roman"/>
            <w:noProof/>
          </w:rPr>
          <w:t>Figure 48 Number of fleets in the South China Sea from 1950 to 2019</w:t>
        </w:r>
        <w:r>
          <w:rPr>
            <w:noProof/>
            <w:webHidden/>
          </w:rPr>
          <w:tab/>
        </w:r>
        <w:r>
          <w:rPr>
            <w:noProof/>
            <w:webHidden/>
          </w:rPr>
          <w:fldChar w:fldCharType="begin"/>
        </w:r>
        <w:r>
          <w:rPr>
            <w:noProof/>
            <w:webHidden/>
          </w:rPr>
          <w:instrText xml:space="preserve"> PAGEREF _Toc217297635 \h </w:instrText>
        </w:r>
        <w:r>
          <w:rPr>
            <w:noProof/>
            <w:webHidden/>
          </w:rPr>
        </w:r>
        <w:r>
          <w:rPr>
            <w:noProof/>
            <w:webHidden/>
          </w:rPr>
          <w:fldChar w:fldCharType="separate"/>
        </w:r>
        <w:r w:rsidR="00F33716">
          <w:rPr>
            <w:noProof/>
            <w:webHidden/>
          </w:rPr>
          <w:t>77</w:t>
        </w:r>
        <w:r>
          <w:rPr>
            <w:noProof/>
            <w:webHidden/>
          </w:rPr>
          <w:fldChar w:fldCharType="end"/>
        </w:r>
      </w:hyperlink>
    </w:p>
    <w:p w14:paraId="7C4FA971" w14:textId="18F9A4B4"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6" w:history="1">
        <w:r w:rsidRPr="00920807">
          <w:rPr>
            <w:rStyle w:val="Hyperlink"/>
            <w:rFonts w:ascii="Times New Roman" w:hAnsi="Times New Roman" w:cs="Times New Roman"/>
            <w:noProof/>
          </w:rPr>
          <w:t xml:space="preserve">Figure 49 </w:t>
        </w:r>
        <w:r w:rsidRPr="00920807">
          <w:rPr>
            <w:rStyle w:val="Hyperlink"/>
            <w:rFonts w:ascii="Times New Roman" w:eastAsia="Times New Roman" w:hAnsi="Times New Roman" w:cs="Times New Roman"/>
            <w:noProof/>
          </w:rPr>
          <w:t xml:space="preserve"> Projected change in fisheries catch potential in the South China Sea (WPPNRI 711) from 1990 to 2025, adapted from Cheung et al. (2016), Palomares &amp; Pauly (2020), and IPCC (2022).</w:t>
        </w:r>
        <w:r>
          <w:rPr>
            <w:noProof/>
            <w:webHidden/>
          </w:rPr>
          <w:tab/>
        </w:r>
        <w:r>
          <w:rPr>
            <w:noProof/>
            <w:webHidden/>
          </w:rPr>
          <w:fldChar w:fldCharType="begin"/>
        </w:r>
        <w:r>
          <w:rPr>
            <w:noProof/>
            <w:webHidden/>
          </w:rPr>
          <w:instrText xml:space="preserve"> PAGEREF _Toc217297636 \h </w:instrText>
        </w:r>
        <w:r>
          <w:rPr>
            <w:noProof/>
            <w:webHidden/>
          </w:rPr>
        </w:r>
        <w:r>
          <w:rPr>
            <w:noProof/>
            <w:webHidden/>
          </w:rPr>
          <w:fldChar w:fldCharType="separate"/>
        </w:r>
        <w:r w:rsidR="00F33716">
          <w:rPr>
            <w:noProof/>
            <w:webHidden/>
          </w:rPr>
          <w:t>78</w:t>
        </w:r>
        <w:r>
          <w:rPr>
            <w:noProof/>
            <w:webHidden/>
          </w:rPr>
          <w:fldChar w:fldCharType="end"/>
        </w:r>
      </w:hyperlink>
    </w:p>
    <w:p w14:paraId="172458AD" w14:textId="26D2C12B"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7" w:history="1">
        <w:r w:rsidRPr="00920807">
          <w:rPr>
            <w:rStyle w:val="Hyperlink"/>
            <w:rFonts w:ascii="Times New Roman" w:hAnsi="Times New Roman" w:cs="Times New Roman"/>
            <w:noProof/>
          </w:rPr>
          <w:t>Figure 50 Aquaculture production by province from 1998 to 2024</w:t>
        </w:r>
        <w:r>
          <w:rPr>
            <w:noProof/>
            <w:webHidden/>
          </w:rPr>
          <w:tab/>
        </w:r>
        <w:r>
          <w:rPr>
            <w:noProof/>
            <w:webHidden/>
          </w:rPr>
          <w:fldChar w:fldCharType="begin"/>
        </w:r>
        <w:r>
          <w:rPr>
            <w:noProof/>
            <w:webHidden/>
          </w:rPr>
          <w:instrText xml:space="preserve"> PAGEREF _Toc217297637 \h </w:instrText>
        </w:r>
        <w:r>
          <w:rPr>
            <w:noProof/>
            <w:webHidden/>
          </w:rPr>
        </w:r>
        <w:r>
          <w:rPr>
            <w:noProof/>
            <w:webHidden/>
          </w:rPr>
          <w:fldChar w:fldCharType="separate"/>
        </w:r>
        <w:r w:rsidR="00F33716">
          <w:rPr>
            <w:noProof/>
            <w:webHidden/>
          </w:rPr>
          <w:t>80</w:t>
        </w:r>
        <w:r>
          <w:rPr>
            <w:noProof/>
            <w:webHidden/>
          </w:rPr>
          <w:fldChar w:fldCharType="end"/>
        </w:r>
      </w:hyperlink>
    </w:p>
    <w:p w14:paraId="686AABA7" w14:textId="604AB345"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8" w:history="1">
        <w:r w:rsidRPr="00920807">
          <w:rPr>
            <w:rStyle w:val="Hyperlink"/>
            <w:rFonts w:ascii="Times New Roman" w:hAnsi="Times New Roman" w:cs="Times New Roman"/>
            <w:noProof/>
          </w:rPr>
          <w:t>Figure 51 Spatial distribution of multiyear warm season (1982-2020) in the SCS (Li et al., 2022)</w:t>
        </w:r>
        <w:r>
          <w:rPr>
            <w:noProof/>
            <w:webHidden/>
          </w:rPr>
          <w:tab/>
        </w:r>
        <w:r>
          <w:rPr>
            <w:noProof/>
            <w:webHidden/>
          </w:rPr>
          <w:fldChar w:fldCharType="begin"/>
        </w:r>
        <w:r>
          <w:rPr>
            <w:noProof/>
            <w:webHidden/>
          </w:rPr>
          <w:instrText xml:space="preserve"> PAGEREF _Toc217297638 \h </w:instrText>
        </w:r>
        <w:r>
          <w:rPr>
            <w:noProof/>
            <w:webHidden/>
          </w:rPr>
        </w:r>
        <w:r>
          <w:rPr>
            <w:noProof/>
            <w:webHidden/>
          </w:rPr>
          <w:fldChar w:fldCharType="separate"/>
        </w:r>
        <w:r w:rsidR="00F33716">
          <w:rPr>
            <w:noProof/>
            <w:webHidden/>
          </w:rPr>
          <w:t>81</w:t>
        </w:r>
        <w:r>
          <w:rPr>
            <w:noProof/>
            <w:webHidden/>
          </w:rPr>
          <w:fldChar w:fldCharType="end"/>
        </w:r>
      </w:hyperlink>
    </w:p>
    <w:p w14:paraId="5F481875" w14:textId="36BF54F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39" w:history="1">
        <w:r w:rsidRPr="00920807">
          <w:rPr>
            <w:rStyle w:val="Hyperlink"/>
            <w:rFonts w:ascii="Times New Roman" w:hAnsi="Times New Roman" w:cs="Times New Roman"/>
            <w:noProof/>
          </w:rPr>
          <w:t>Figure 52  Study Area Governance</w:t>
        </w:r>
        <w:r>
          <w:rPr>
            <w:noProof/>
            <w:webHidden/>
          </w:rPr>
          <w:tab/>
        </w:r>
        <w:r>
          <w:rPr>
            <w:noProof/>
            <w:webHidden/>
          </w:rPr>
          <w:fldChar w:fldCharType="begin"/>
        </w:r>
        <w:r>
          <w:rPr>
            <w:noProof/>
            <w:webHidden/>
          </w:rPr>
          <w:instrText xml:space="preserve"> PAGEREF _Toc217297639 \h </w:instrText>
        </w:r>
        <w:r>
          <w:rPr>
            <w:noProof/>
            <w:webHidden/>
          </w:rPr>
        </w:r>
        <w:r>
          <w:rPr>
            <w:noProof/>
            <w:webHidden/>
          </w:rPr>
          <w:fldChar w:fldCharType="separate"/>
        </w:r>
        <w:r w:rsidR="00F33716">
          <w:rPr>
            <w:noProof/>
            <w:webHidden/>
          </w:rPr>
          <w:t>87</w:t>
        </w:r>
        <w:r>
          <w:rPr>
            <w:noProof/>
            <w:webHidden/>
          </w:rPr>
          <w:fldChar w:fldCharType="end"/>
        </w:r>
      </w:hyperlink>
    </w:p>
    <w:p w14:paraId="6BDF24D5" w14:textId="3060F137"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40" w:history="1">
        <w:r w:rsidRPr="00920807">
          <w:rPr>
            <w:rStyle w:val="Hyperlink"/>
            <w:rFonts w:ascii="Times New Roman" w:hAnsi="Times New Roman" w:cs="Times New Roman"/>
            <w:noProof/>
          </w:rPr>
          <w:t xml:space="preserve">Figure 53 </w:t>
        </w:r>
        <w:r w:rsidRPr="00920807">
          <w:rPr>
            <w:rStyle w:val="Hyperlink"/>
            <w:rFonts w:ascii="Times New Roman" w:hAnsi="Times New Roman" w:cs="Times New Roman"/>
            <w:noProof/>
            <w:lang w:val="en-ID"/>
          </w:rPr>
          <w:t>The Economic Growth of Indonesia 2016-2023</w:t>
        </w:r>
        <w:r>
          <w:rPr>
            <w:noProof/>
            <w:webHidden/>
          </w:rPr>
          <w:tab/>
        </w:r>
        <w:r>
          <w:rPr>
            <w:noProof/>
            <w:webHidden/>
          </w:rPr>
          <w:fldChar w:fldCharType="begin"/>
        </w:r>
        <w:r>
          <w:rPr>
            <w:noProof/>
            <w:webHidden/>
          </w:rPr>
          <w:instrText xml:space="preserve"> PAGEREF _Toc217297640 \h </w:instrText>
        </w:r>
        <w:r>
          <w:rPr>
            <w:noProof/>
            <w:webHidden/>
          </w:rPr>
        </w:r>
        <w:r>
          <w:rPr>
            <w:noProof/>
            <w:webHidden/>
          </w:rPr>
          <w:fldChar w:fldCharType="separate"/>
        </w:r>
        <w:r w:rsidR="00F33716">
          <w:rPr>
            <w:noProof/>
            <w:webHidden/>
          </w:rPr>
          <w:t>88</w:t>
        </w:r>
        <w:r>
          <w:rPr>
            <w:noProof/>
            <w:webHidden/>
          </w:rPr>
          <w:fldChar w:fldCharType="end"/>
        </w:r>
      </w:hyperlink>
    </w:p>
    <w:p w14:paraId="6A94E188" w14:textId="70835B5F"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41" w:history="1">
        <w:r w:rsidRPr="00920807">
          <w:rPr>
            <w:rStyle w:val="Hyperlink"/>
            <w:rFonts w:ascii="Times New Roman" w:hAnsi="Times New Roman" w:cs="Times New Roman"/>
            <w:noProof/>
          </w:rPr>
          <w:t xml:space="preserve">Figure 54 </w:t>
        </w:r>
        <w:r w:rsidRPr="00920807">
          <w:rPr>
            <w:rStyle w:val="Hyperlink"/>
            <w:rFonts w:ascii="Times New Roman" w:hAnsi="Times New Roman" w:cs="Times New Roman"/>
            <w:noProof/>
            <w:lang w:val="en-ID"/>
          </w:rPr>
          <w:t>Number (Million people) and Percentage of Poor Population by Island, March 2023</w:t>
        </w:r>
        <w:r>
          <w:rPr>
            <w:noProof/>
            <w:webHidden/>
          </w:rPr>
          <w:tab/>
        </w:r>
        <w:r>
          <w:rPr>
            <w:noProof/>
            <w:webHidden/>
          </w:rPr>
          <w:fldChar w:fldCharType="begin"/>
        </w:r>
        <w:r>
          <w:rPr>
            <w:noProof/>
            <w:webHidden/>
          </w:rPr>
          <w:instrText xml:space="preserve"> PAGEREF _Toc217297641 \h </w:instrText>
        </w:r>
        <w:r>
          <w:rPr>
            <w:noProof/>
            <w:webHidden/>
          </w:rPr>
        </w:r>
        <w:r>
          <w:rPr>
            <w:noProof/>
            <w:webHidden/>
          </w:rPr>
          <w:fldChar w:fldCharType="separate"/>
        </w:r>
        <w:r w:rsidR="00F33716">
          <w:rPr>
            <w:noProof/>
            <w:webHidden/>
          </w:rPr>
          <w:t>88</w:t>
        </w:r>
        <w:r>
          <w:rPr>
            <w:noProof/>
            <w:webHidden/>
          </w:rPr>
          <w:fldChar w:fldCharType="end"/>
        </w:r>
      </w:hyperlink>
    </w:p>
    <w:p w14:paraId="6C9D1CA8" w14:textId="345AC7D5"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42" w:history="1">
        <w:r w:rsidRPr="00920807">
          <w:rPr>
            <w:rStyle w:val="Hyperlink"/>
            <w:rFonts w:ascii="Times New Roman" w:hAnsi="Times New Roman" w:cs="Times New Roman"/>
            <w:noProof/>
          </w:rPr>
          <w:t xml:space="preserve">Figure 55  </w:t>
        </w:r>
        <w:r w:rsidRPr="00920807">
          <w:rPr>
            <w:rStyle w:val="Hyperlink"/>
            <w:rFonts w:ascii="Times New Roman" w:hAnsi="Times New Roman" w:cs="Times New Roman"/>
            <w:noProof/>
            <w:lang w:val="en-ID"/>
          </w:rPr>
          <w:t>Growth of National</w:t>
        </w:r>
        <w:r w:rsidRPr="00920807">
          <w:rPr>
            <w:rStyle w:val="Hyperlink"/>
            <w:rFonts w:ascii="Times New Roman" w:hAnsi="Times New Roman" w:cs="Times New Roman"/>
            <w:noProof/>
          </w:rPr>
          <w:t xml:space="preserve"> GDP and Maritime GDP Growth at Current Price</w:t>
        </w:r>
        <w:r>
          <w:rPr>
            <w:noProof/>
            <w:webHidden/>
          </w:rPr>
          <w:tab/>
        </w:r>
        <w:r>
          <w:rPr>
            <w:noProof/>
            <w:webHidden/>
          </w:rPr>
          <w:fldChar w:fldCharType="begin"/>
        </w:r>
        <w:r>
          <w:rPr>
            <w:noProof/>
            <w:webHidden/>
          </w:rPr>
          <w:instrText xml:space="preserve"> PAGEREF _Toc217297642 \h </w:instrText>
        </w:r>
        <w:r>
          <w:rPr>
            <w:noProof/>
            <w:webHidden/>
          </w:rPr>
        </w:r>
        <w:r>
          <w:rPr>
            <w:noProof/>
            <w:webHidden/>
          </w:rPr>
          <w:fldChar w:fldCharType="separate"/>
        </w:r>
        <w:r w:rsidR="00F33716">
          <w:rPr>
            <w:noProof/>
            <w:webHidden/>
          </w:rPr>
          <w:t>89</w:t>
        </w:r>
        <w:r>
          <w:rPr>
            <w:noProof/>
            <w:webHidden/>
          </w:rPr>
          <w:fldChar w:fldCharType="end"/>
        </w:r>
      </w:hyperlink>
    </w:p>
    <w:p w14:paraId="62615BB4" w14:textId="38AB474F"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43" w:history="1">
        <w:r w:rsidRPr="00920807">
          <w:rPr>
            <w:rStyle w:val="Hyperlink"/>
            <w:rFonts w:ascii="Times New Roman" w:hAnsi="Times New Roman" w:cs="Times New Roman"/>
            <w:noProof/>
          </w:rPr>
          <w:t>Figure 56 Overall networks/interactions of all indicators of pollution, ecosystem, fisheries, socioeconomics and governance</w:t>
        </w:r>
        <w:r>
          <w:rPr>
            <w:noProof/>
            <w:webHidden/>
          </w:rPr>
          <w:tab/>
        </w:r>
        <w:r>
          <w:rPr>
            <w:noProof/>
            <w:webHidden/>
          </w:rPr>
          <w:fldChar w:fldCharType="begin"/>
        </w:r>
        <w:r>
          <w:rPr>
            <w:noProof/>
            <w:webHidden/>
          </w:rPr>
          <w:instrText xml:space="preserve"> PAGEREF _Toc217297643 \h </w:instrText>
        </w:r>
        <w:r>
          <w:rPr>
            <w:noProof/>
            <w:webHidden/>
          </w:rPr>
        </w:r>
        <w:r>
          <w:rPr>
            <w:noProof/>
            <w:webHidden/>
          </w:rPr>
          <w:fldChar w:fldCharType="separate"/>
        </w:r>
        <w:r w:rsidR="00F33716">
          <w:rPr>
            <w:noProof/>
            <w:webHidden/>
          </w:rPr>
          <w:t>104</w:t>
        </w:r>
        <w:r>
          <w:rPr>
            <w:noProof/>
            <w:webHidden/>
          </w:rPr>
          <w:fldChar w:fldCharType="end"/>
        </w:r>
      </w:hyperlink>
    </w:p>
    <w:p w14:paraId="4C080033" w14:textId="087B2AAC"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44" w:history="1">
        <w:r w:rsidRPr="00920807">
          <w:rPr>
            <w:rStyle w:val="Hyperlink"/>
            <w:rFonts w:ascii="Times New Roman" w:hAnsi="Times New Roman" w:cs="Times New Roman"/>
            <w:noProof/>
          </w:rPr>
          <w:t>Figure 57 Interactions of the Most Connected Indicators in Relations to Other Indicators for Each Domain</w:t>
        </w:r>
        <w:r>
          <w:rPr>
            <w:noProof/>
            <w:webHidden/>
          </w:rPr>
          <w:tab/>
        </w:r>
        <w:r>
          <w:rPr>
            <w:noProof/>
            <w:webHidden/>
          </w:rPr>
          <w:fldChar w:fldCharType="begin"/>
        </w:r>
        <w:r>
          <w:rPr>
            <w:noProof/>
            <w:webHidden/>
          </w:rPr>
          <w:instrText xml:space="preserve"> PAGEREF _Toc217297644 \h </w:instrText>
        </w:r>
        <w:r>
          <w:rPr>
            <w:noProof/>
            <w:webHidden/>
          </w:rPr>
        </w:r>
        <w:r>
          <w:rPr>
            <w:noProof/>
            <w:webHidden/>
          </w:rPr>
          <w:fldChar w:fldCharType="separate"/>
        </w:r>
        <w:r w:rsidR="00F33716">
          <w:rPr>
            <w:noProof/>
            <w:webHidden/>
          </w:rPr>
          <w:t>105</w:t>
        </w:r>
        <w:r>
          <w:rPr>
            <w:noProof/>
            <w:webHidden/>
          </w:rPr>
          <w:fldChar w:fldCharType="end"/>
        </w:r>
      </w:hyperlink>
    </w:p>
    <w:p w14:paraId="69FC8F5F" w14:textId="18427BC9"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45" w:history="1">
        <w:r w:rsidRPr="00920807">
          <w:rPr>
            <w:rStyle w:val="Hyperlink"/>
            <w:rFonts w:ascii="Times New Roman" w:hAnsi="Times New Roman" w:cs="Times New Roman"/>
            <w:noProof/>
          </w:rPr>
          <w:t>Figure 58 Risk classes and spatial distribution of risk based on driver and receiver characteristics of the analytical units.</w:t>
        </w:r>
        <w:r>
          <w:rPr>
            <w:noProof/>
            <w:webHidden/>
          </w:rPr>
          <w:tab/>
        </w:r>
        <w:r>
          <w:rPr>
            <w:noProof/>
            <w:webHidden/>
          </w:rPr>
          <w:fldChar w:fldCharType="begin"/>
        </w:r>
        <w:r>
          <w:rPr>
            <w:noProof/>
            <w:webHidden/>
          </w:rPr>
          <w:instrText xml:space="preserve"> PAGEREF _Toc217297645 \h </w:instrText>
        </w:r>
        <w:r>
          <w:rPr>
            <w:noProof/>
            <w:webHidden/>
          </w:rPr>
        </w:r>
        <w:r>
          <w:rPr>
            <w:noProof/>
            <w:webHidden/>
          </w:rPr>
          <w:fldChar w:fldCharType="separate"/>
        </w:r>
        <w:r w:rsidR="00F33716">
          <w:rPr>
            <w:noProof/>
            <w:webHidden/>
          </w:rPr>
          <w:t>106</w:t>
        </w:r>
        <w:r>
          <w:rPr>
            <w:noProof/>
            <w:webHidden/>
          </w:rPr>
          <w:fldChar w:fldCharType="end"/>
        </w:r>
      </w:hyperlink>
    </w:p>
    <w:p w14:paraId="79018BD9" w14:textId="19153077" w:rsidR="00DD6E5D" w:rsidRDefault="00DD6E5D" w:rsidP="00DD6E5D">
      <w:pPr>
        <w:jc w:val="both"/>
        <w:rPr>
          <w:rFonts w:ascii="Times New Roman" w:hAnsi="Times New Roman" w:cs="Times New Roman"/>
          <w:bCs/>
          <w:sz w:val="22"/>
          <w:szCs w:val="22"/>
        </w:rPr>
      </w:pPr>
      <w:r>
        <w:rPr>
          <w:rFonts w:ascii="Times New Roman" w:hAnsi="Times New Roman" w:cs="Times New Roman"/>
          <w:bCs/>
          <w:sz w:val="22"/>
          <w:szCs w:val="22"/>
        </w:rPr>
        <w:fldChar w:fldCharType="end"/>
      </w:r>
    </w:p>
    <w:p w14:paraId="286456C9" w14:textId="77777777" w:rsidR="00DD6E5D" w:rsidRDefault="00DD6E5D" w:rsidP="00DD6E5D">
      <w:pPr>
        <w:jc w:val="both"/>
        <w:rPr>
          <w:rFonts w:ascii="Times New Roman" w:hAnsi="Times New Roman" w:cs="Times New Roman"/>
          <w:bCs/>
          <w:sz w:val="22"/>
          <w:szCs w:val="22"/>
        </w:rPr>
      </w:pPr>
    </w:p>
    <w:p w14:paraId="4E32EF5A" w14:textId="13153A2C" w:rsidR="00DD6E5D" w:rsidRDefault="00DD6E5D">
      <w:pPr>
        <w:rPr>
          <w:rFonts w:ascii="Times New Roman" w:hAnsi="Times New Roman" w:cs="Times New Roman"/>
          <w:bCs/>
          <w:sz w:val="22"/>
          <w:szCs w:val="22"/>
        </w:rPr>
      </w:pPr>
      <w:r>
        <w:rPr>
          <w:rFonts w:ascii="Times New Roman" w:hAnsi="Times New Roman" w:cs="Times New Roman"/>
          <w:bCs/>
          <w:sz w:val="22"/>
          <w:szCs w:val="22"/>
        </w:rPr>
        <w:br w:type="page"/>
      </w:r>
    </w:p>
    <w:p w14:paraId="3C63222B" w14:textId="7195C2B3" w:rsidR="00DD6E5D" w:rsidRDefault="00DD6E5D" w:rsidP="00FD2540">
      <w:pPr>
        <w:jc w:val="center"/>
        <w:rPr>
          <w:rFonts w:ascii="Times New Roman" w:hAnsi="Times New Roman" w:cs="Times New Roman"/>
          <w:b/>
          <w:color w:val="006FC0"/>
          <w:sz w:val="28"/>
          <w:szCs w:val="28"/>
        </w:rPr>
      </w:pPr>
      <w:r>
        <w:rPr>
          <w:rFonts w:ascii="Times New Roman" w:hAnsi="Times New Roman" w:cs="Times New Roman"/>
          <w:b/>
          <w:color w:val="006FC0"/>
          <w:sz w:val="28"/>
          <w:szCs w:val="28"/>
        </w:rPr>
        <w:lastRenderedPageBreak/>
        <w:t xml:space="preserve">Table </w:t>
      </w:r>
      <w:r w:rsidRPr="005D336D">
        <w:rPr>
          <w:rFonts w:ascii="Times New Roman" w:hAnsi="Times New Roman" w:cs="Times New Roman"/>
          <w:b/>
          <w:color w:val="006FC0"/>
          <w:sz w:val="28"/>
          <w:szCs w:val="28"/>
        </w:rPr>
        <w:t>Contents</w:t>
      </w:r>
    </w:p>
    <w:p w14:paraId="7FE922F1" w14:textId="77777777" w:rsidR="00FD2540" w:rsidRDefault="00FD2540" w:rsidP="00FD2540">
      <w:pPr>
        <w:jc w:val="center"/>
        <w:rPr>
          <w:rFonts w:ascii="Times New Roman" w:hAnsi="Times New Roman" w:cs="Times New Roman"/>
          <w:b/>
          <w:color w:val="006FC0"/>
          <w:sz w:val="28"/>
          <w:szCs w:val="28"/>
        </w:rPr>
      </w:pPr>
    </w:p>
    <w:p w14:paraId="5DD18618" w14:textId="3EDB08C5" w:rsidR="00CB4999" w:rsidRDefault="00DD6E5D">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r>
        <w:rPr>
          <w:rFonts w:ascii="Times New Roman" w:hAnsi="Times New Roman" w:cs="Times New Roman"/>
          <w:sz w:val="22"/>
          <w:szCs w:val="22"/>
        </w:rPr>
        <w:fldChar w:fldCharType="begin"/>
      </w:r>
      <w:r>
        <w:rPr>
          <w:rFonts w:ascii="Times New Roman" w:hAnsi="Times New Roman" w:cs="Times New Roman"/>
          <w:sz w:val="22"/>
          <w:szCs w:val="22"/>
        </w:rPr>
        <w:instrText xml:space="preserve"> TOC \h \z \c "Table" </w:instrText>
      </w:r>
      <w:r>
        <w:rPr>
          <w:rFonts w:ascii="Times New Roman" w:hAnsi="Times New Roman" w:cs="Times New Roman"/>
          <w:sz w:val="22"/>
          <w:szCs w:val="22"/>
        </w:rPr>
        <w:fldChar w:fldCharType="separate"/>
      </w:r>
      <w:hyperlink w:anchor="_Toc217297646" w:history="1">
        <w:r w:rsidR="00CB4999" w:rsidRPr="00F55BB2">
          <w:rPr>
            <w:rStyle w:val="Hyperlink"/>
            <w:rFonts w:ascii="Times New Roman" w:hAnsi="Times New Roman" w:cs="Times New Roman"/>
            <w:noProof/>
          </w:rPr>
          <w:t>Table 1 Distribution of Employed Persons Aged 15 Years and Over by Province and Major Industry, 2024</w:t>
        </w:r>
        <w:r w:rsidR="00CB4999">
          <w:rPr>
            <w:noProof/>
            <w:webHidden/>
          </w:rPr>
          <w:tab/>
        </w:r>
        <w:r w:rsidR="00CB4999">
          <w:rPr>
            <w:noProof/>
            <w:webHidden/>
          </w:rPr>
          <w:fldChar w:fldCharType="begin"/>
        </w:r>
        <w:r w:rsidR="00CB4999">
          <w:rPr>
            <w:noProof/>
            <w:webHidden/>
          </w:rPr>
          <w:instrText xml:space="preserve"> PAGEREF _Toc217297646 \h </w:instrText>
        </w:r>
        <w:r w:rsidR="00CB4999">
          <w:rPr>
            <w:noProof/>
            <w:webHidden/>
          </w:rPr>
        </w:r>
        <w:r w:rsidR="00CB4999">
          <w:rPr>
            <w:noProof/>
            <w:webHidden/>
          </w:rPr>
          <w:fldChar w:fldCharType="separate"/>
        </w:r>
        <w:r w:rsidR="00F33716">
          <w:rPr>
            <w:noProof/>
            <w:webHidden/>
          </w:rPr>
          <w:t>25</w:t>
        </w:r>
        <w:r w:rsidR="00CB4999">
          <w:rPr>
            <w:noProof/>
            <w:webHidden/>
          </w:rPr>
          <w:fldChar w:fldCharType="end"/>
        </w:r>
      </w:hyperlink>
    </w:p>
    <w:p w14:paraId="4A122B33" w14:textId="49068344"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47" w:history="1">
        <w:r w:rsidRPr="00F55BB2">
          <w:rPr>
            <w:rStyle w:val="Hyperlink"/>
            <w:rFonts w:ascii="Times New Roman" w:hAnsi="Times New Roman" w:cs="Times New Roman"/>
            <w:noProof/>
          </w:rPr>
          <w:t>Table 2</w:t>
        </w:r>
        <w:r w:rsidRPr="00F55BB2">
          <w:rPr>
            <w:rStyle w:val="Hyperlink"/>
            <w:rFonts w:ascii="Times New Roman" w:hAnsi="Times New Roman" w:cs="Times New Roman"/>
            <w:b/>
            <w:bCs/>
            <w:noProof/>
          </w:rPr>
          <w:t xml:space="preserve"> </w:t>
        </w:r>
        <w:r w:rsidRPr="00F55BB2">
          <w:rPr>
            <w:rStyle w:val="Hyperlink"/>
            <w:rFonts w:ascii="Times New Roman" w:hAnsi="Times New Roman" w:cs="Times New Roman"/>
            <w:noProof/>
          </w:rPr>
          <w:t>Average of Net Wage/Salary per Month of Employee by Province and Main Occupation (rupiahs), 2024</w:t>
        </w:r>
        <w:r>
          <w:rPr>
            <w:noProof/>
            <w:webHidden/>
          </w:rPr>
          <w:tab/>
        </w:r>
        <w:r>
          <w:rPr>
            <w:noProof/>
            <w:webHidden/>
          </w:rPr>
          <w:fldChar w:fldCharType="begin"/>
        </w:r>
        <w:r>
          <w:rPr>
            <w:noProof/>
            <w:webHidden/>
          </w:rPr>
          <w:instrText xml:space="preserve"> PAGEREF _Toc217297647 \h </w:instrText>
        </w:r>
        <w:r>
          <w:rPr>
            <w:noProof/>
            <w:webHidden/>
          </w:rPr>
        </w:r>
        <w:r>
          <w:rPr>
            <w:noProof/>
            <w:webHidden/>
          </w:rPr>
          <w:fldChar w:fldCharType="separate"/>
        </w:r>
        <w:r w:rsidR="00F33716">
          <w:rPr>
            <w:noProof/>
            <w:webHidden/>
          </w:rPr>
          <w:t>25</w:t>
        </w:r>
        <w:r>
          <w:rPr>
            <w:noProof/>
            <w:webHidden/>
          </w:rPr>
          <w:fldChar w:fldCharType="end"/>
        </w:r>
      </w:hyperlink>
    </w:p>
    <w:p w14:paraId="36100D42" w14:textId="3F8B2646"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48" w:history="1">
        <w:r w:rsidRPr="00F55BB2">
          <w:rPr>
            <w:rStyle w:val="Hyperlink"/>
            <w:rFonts w:ascii="Times New Roman" w:hAnsi="Times New Roman" w:cs="Times New Roman"/>
            <w:noProof/>
          </w:rPr>
          <w:t>Table 3 Provincial Minimum Wages per month (Rupiahs)</w:t>
        </w:r>
        <w:r>
          <w:rPr>
            <w:noProof/>
            <w:webHidden/>
          </w:rPr>
          <w:tab/>
        </w:r>
        <w:r>
          <w:rPr>
            <w:noProof/>
            <w:webHidden/>
          </w:rPr>
          <w:fldChar w:fldCharType="begin"/>
        </w:r>
        <w:r>
          <w:rPr>
            <w:noProof/>
            <w:webHidden/>
          </w:rPr>
          <w:instrText xml:space="preserve"> PAGEREF _Toc217297648 \h </w:instrText>
        </w:r>
        <w:r>
          <w:rPr>
            <w:noProof/>
            <w:webHidden/>
          </w:rPr>
        </w:r>
        <w:r>
          <w:rPr>
            <w:noProof/>
            <w:webHidden/>
          </w:rPr>
          <w:fldChar w:fldCharType="separate"/>
        </w:r>
        <w:r w:rsidR="00F33716">
          <w:rPr>
            <w:noProof/>
            <w:webHidden/>
          </w:rPr>
          <w:t>26</w:t>
        </w:r>
        <w:r>
          <w:rPr>
            <w:noProof/>
            <w:webHidden/>
          </w:rPr>
          <w:fldChar w:fldCharType="end"/>
        </w:r>
      </w:hyperlink>
    </w:p>
    <w:p w14:paraId="20D96CA1" w14:textId="604C767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49" w:history="1">
        <w:r w:rsidRPr="00F55BB2">
          <w:rPr>
            <w:rStyle w:val="Hyperlink"/>
            <w:rFonts w:ascii="Times New Roman" w:hAnsi="Times New Roman" w:cs="Times New Roman"/>
            <w:noProof/>
          </w:rPr>
          <w:t>Table 4</w:t>
        </w:r>
        <w:r w:rsidRPr="00F55BB2">
          <w:rPr>
            <w:rStyle w:val="Hyperlink"/>
            <w:rFonts w:ascii="Times New Roman" w:hAnsi="Times New Roman" w:cs="Times New Roman"/>
            <w:b/>
            <w:bCs/>
            <w:noProof/>
          </w:rPr>
          <w:t xml:space="preserve"> </w:t>
        </w:r>
        <w:r w:rsidRPr="00F55BB2">
          <w:rPr>
            <w:rStyle w:val="Hyperlink"/>
            <w:rFonts w:ascii="Times New Roman" w:hAnsi="Times New Roman" w:cs="Times New Roman"/>
            <w:noProof/>
          </w:rPr>
          <w:t>Production Volume and Production Value of Fish Capture by Province and Type of Captures, 2023</w:t>
        </w:r>
        <w:r>
          <w:rPr>
            <w:noProof/>
            <w:webHidden/>
          </w:rPr>
          <w:tab/>
        </w:r>
        <w:r>
          <w:rPr>
            <w:noProof/>
            <w:webHidden/>
          </w:rPr>
          <w:fldChar w:fldCharType="begin"/>
        </w:r>
        <w:r>
          <w:rPr>
            <w:noProof/>
            <w:webHidden/>
          </w:rPr>
          <w:instrText xml:space="preserve"> PAGEREF _Toc217297649 \h </w:instrText>
        </w:r>
        <w:r>
          <w:rPr>
            <w:noProof/>
            <w:webHidden/>
          </w:rPr>
        </w:r>
        <w:r>
          <w:rPr>
            <w:noProof/>
            <w:webHidden/>
          </w:rPr>
          <w:fldChar w:fldCharType="separate"/>
        </w:r>
        <w:r w:rsidR="00F33716">
          <w:rPr>
            <w:noProof/>
            <w:webHidden/>
          </w:rPr>
          <w:t>27</w:t>
        </w:r>
        <w:r>
          <w:rPr>
            <w:noProof/>
            <w:webHidden/>
          </w:rPr>
          <w:fldChar w:fldCharType="end"/>
        </w:r>
      </w:hyperlink>
    </w:p>
    <w:p w14:paraId="5029132F" w14:textId="046550F0"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0" w:history="1">
        <w:r w:rsidRPr="00F55BB2">
          <w:rPr>
            <w:rStyle w:val="Hyperlink"/>
            <w:rFonts w:ascii="Times New Roman" w:hAnsi="Times New Roman" w:cs="Times New Roman"/>
            <w:noProof/>
          </w:rPr>
          <w:t>Table 5</w:t>
        </w:r>
        <w:r w:rsidRPr="00F55BB2">
          <w:rPr>
            <w:rStyle w:val="Hyperlink"/>
            <w:rFonts w:ascii="Times New Roman" w:eastAsia="Times New Roman" w:hAnsi="Times New Roman" w:cs="Times New Roman"/>
            <w:noProof/>
            <w:lang w:val="id-ID" w:eastAsia="id-ID"/>
          </w:rPr>
          <w:t xml:space="preserve"> Production Volume and Production Value of Aquaculture by Province and Type of Culture, 2023</w:t>
        </w:r>
        <w:r>
          <w:rPr>
            <w:noProof/>
            <w:webHidden/>
          </w:rPr>
          <w:tab/>
        </w:r>
        <w:r>
          <w:rPr>
            <w:noProof/>
            <w:webHidden/>
          </w:rPr>
          <w:fldChar w:fldCharType="begin"/>
        </w:r>
        <w:r>
          <w:rPr>
            <w:noProof/>
            <w:webHidden/>
          </w:rPr>
          <w:instrText xml:space="preserve"> PAGEREF _Toc217297650 \h </w:instrText>
        </w:r>
        <w:r>
          <w:rPr>
            <w:noProof/>
            <w:webHidden/>
          </w:rPr>
        </w:r>
        <w:r>
          <w:rPr>
            <w:noProof/>
            <w:webHidden/>
          </w:rPr>
          <w:fldChar w:fldCharType="separate"/>
        </w:r>
        <w:r w:rsidR="00F33716">
          <w:rPr>
            <w:noProof/>
            <w:webHidden/>
          </w:rPr>
          <w:t>28</w:t>
        </w:r>
        <w:r>
          <w:rPr>
            <w:noProof/>
            <w:webHidden/>
          </w:rPr>
          <w:fldChar w:fldCharType="end"/>
        </w:r>
      </w:hyperlink>
    </w:p>
    <w:p w14:paraId="52D1E2D7" w14:textId="24BD1CA8"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1" w:history="1">
        <w:r w:rsidRPr="00F55BB2">
          <w:rPr>
            <w:rStyle w:val="Hyperlink"/>
            <w:rFonts w:ascii="Times New Roman" w:hAnsi="Times New Roman" w:cs="Times New Roman"/>
            <w:noProof/>
          </w:rPr>
          <w:t>Table 6</w:t>
        </w:r>
        <w:r w:rsidRPr="00F55BB2">
          <w:rPr>
            <w:rStyle w:val="Hyperlink"/>
            <w:rFonts w:ascii="Times New Roman" w:hAnsi="Times New Roman" w:cs="Times New Roman"/>
            <w:b/>
            <w:bCs/>
            <w:noProof/>
          </w:rPr>
          <w:t xml:space="preserve"> </w:t>
        </w:r>
        <w:r w:rsidRPr="00F55BB2">
          <w:rPr>
            <w:rStyle w:val="Hyperlink"/>
            <w:rFonts w:ascii="Times New Roman" w:hAnsi="Times New Roman" w:cs="Times New Roman"/>
            <w:noProof/>
          </w:rPr>
          <w:t>Risk Assessment of Socio-economic</w:t>
        </w:r>
        <w:r>
          <w:rPr>
            <w:noProof/>
            <w:webHidden/>
          </w:rPr>
          <w:tab/>
        </w:r>
        <w:r>
          <w:rPr>
            <w:noProof/>
            <w:webHidden/>
          </w:rPr>
          <w:fldChar w:fldCharType="begin"/>
        </w:r>
        <w:r>
          <w:rPr>
            <w:noProof/>
            <w:webHidden/>
          </w:rPr>
          <w:instrText xml:space="preserve"> PAGEREF _Toc217297651 \h </w:instrText>
        </w:r>
        <w:r>
          <w:rPr>
            <w:noProof/>
            <w:webHidden/>
          </w:rPr>
        </w:r>
        <w:r>
          <w:rPr>
            <w:noProof/>
            <w:webHidden/>
          </w:rPr>
          <w:fldChar w:fldCharType="separate"/>
        </w:r>
        <w:r w:rsidR="00F33716">
          <w:rPr>
            <w:noProof/>
            <w:webHidden/>
          </w:rPr>
          <w:t>29</w:t>
        </w:r>
        <w:r>
          <w:rPr>
            <w:noProof/>
            <w:webHidden/>
          </w:rPr>
          <w:fldChar w:fldCharType="end"/>
        </w:r>
      </w:hyperlink>
    </w:p>
    <w:p w14:paraId="58F83A1B" w14:textId="7343922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2" w:history="1">
        <w:r w:rsidRPr="00F55BB2">
          <w:rPr>
            <w:rStyle w:val="Hyperlink"/>
            <w:rFonts w:ascii="Times New Roman" w:hAnsi="Times New Roman" w:cs="Times New Roman"/>
            <w:noProof/>
          </w:rPr>
          <w:t>Table 7</w:t>
        </w:r>
        <w:r w:rsidRPr="00F55BB2">
          <w:rPr>
            <w:rStyle w:val="Hyperlink"/>
            <w:rFonts w:ascii="Times New Roman" w:hAnsi="Times New Roman" w:cs="Times New Roman"/>
            <w:b/>
            <w:bCs/>
            <w:noProof/>
          </w:rPr>
          <w:t xml:space="preserve"> </w:t>
        </w:r>
        <w:r w:rsidRPr="00F55BB2">
          <w:rPr>
            <w:rStyle w:val="Hyperlink"/>
            <w:rFonts w:ascii="Times New Roman" w:hAnsi="Times New Roman" w:cs="Times New Roman"/>
            <w:noProof/>
          </w:rPr>
          <w:t>Climate-Environmental Threats</w:t>
        </w:r>
        <w:r>
          <w:rPr>
            <w:noProof/>
            <w:webHidden/>
          </w:rPr>
          <w:tab/>
        </w:r>
        <w:r>
          <w:rPr>
            <w:noProof/>
            <w:webHidden/>
          </w:rPr>
          <w:fldChar w:fldCharType="begin"/>
        </w:r>
        <w:r>
          <w:rPr>
            <w:noProof/>
            <w:webHidden/>
          </w:rPr>
          <w:instrText xml:space="preserve"> PAGEREF _Toc217297652 \h </w:instrText>
        </w:r>
        <w:r>
          <w:rPr>
            <w:noProof/>
            <w:webHidden/>
          </w:rPr>
        </w:r>
        <w:r>
          <w:rPr>
            <w:noProof/>
            <w:webHidden/>
          </w:rPr>
          <w:fldChar w:fldCharType="separate"/>
        </w:r>
        <w:r w:rsidR="00F33716">
          <w:rPr>
            <w:noProof/>
            <w:webHidden/>
          </w:rPr>
          <w:t>29</w:t>
        </w:r>
        <w:r>
          <w:rPr>
            <w:noProof/>
            <w:webHidden/>
          </w:rPr>
          <w:fldChar w:fldCharType="end"/>
        </w:r>
      </w:hyperlink>
    </w:p>
    <w:p w14:paraId="45D9FC25" w14:textId="71952DE6"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3" w:history="1">
        <w:r w:rsidRPr="00F55BB2">
          <w:rPr>
            <w:rStyle w:val="Hyperlink"/>
            <w:rFonts w:ascii="Times New Roman" w:hAnsi="Times New Roman" w:cs="Times New Roman"/>
            <w:noProof/>
          </w:rPr>
          <w:t>Table 8 Critical Gaps Limiting Coastal Adaptation Effectiveness</w:t>
        </w:r>
        <w:r>
          <w:rPr>
            <w:noProof/>
            <w:webHidden/>
          </w:rPr>
          <w:tab/>
        </w:r>
        <w:r>
          <w:rPr>
            <w:noProof/>
            <w:webHidden/>
          </w:rPr>
          <w:fldChar w:fldCharType="begin"/>
        </w:r>
        <w:r>
          <w:rPr>
            <w:noProof/>
            <w:webHidden/>
          </w:rPr>
          <w:instrText xml:space="preserve"> PAGEREF _Toc217297653 \h </w:instrText>
        </w:r>
        <w:r>
          <w:rPr>
            <w:noProof/>
            <w:webHidden/>
          </w:rPr>
        </w:r>
        <w:r>
          <w:rPr>
            <w:noProof/>
            <w:webHidden/>
          </w:rPr>
          <w:fldChar w:fldCharType="separate"/>
        </w:r>
        <w:r w:rsidR="00F33716">
          <w:rPr>
            <w:noProof/>
            <w:webHidden/>
          </w:rPr>
          <w:t>30</w:t>
        </w:r>
        <w:r>
          <w:rPr>
            <w:noProof/>
            <w:webHidden/>
          </w:rPr>
          <w:fldChar w:fldCharType="end"/>
        </w:r>
      </w:hyperlink>
    </w:p>
    <w:p w14:paraId="56AAE537" w14:textId="687481B5"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4" w:history="1">
        <w:r w:rsidRPr="00F55BB2">
          <w:rPr>
            <w:rStyle w:val="Hyperlink"/>
            <w:rFonts w:ascii="Times New Roman" w:hAnsi="Times New Roman" w:cs="Times New Roman"/>
            <w:noProof/>
          </w:rPr>
          <w:t>Table 9</w:t>
        </w:r>
        <w:r w:rsidRPr="00F55BB2">
          <w:rPr>
            <w:rStyle w:val="Hyperlink"/>
            <w:rFonts w:ascii="Times New Roman" w:hAnsi="Times New Roman" w:cs="Times New Roman"/>
            <w:b/>
            <w:bCs/>
            <w:noProof/>
          </w:rPr>
          <w:t xml:space="preserve"> </w:t>
        </w:r>
        <w:r w:rsidRPr="00F55BB2">
          <w:rPr>
            <w:rStyle w:val="Hyperlink"/>
            <w:rFonts w:ascii="Times New Roman" w:hAnsi="Times New Roman" w:cs="Times New Roman"/>
            <w:noProof/>
          </w:rPr>
          <w:t>Strategic Coastal Adaptation Actions with Regional Cooperation Potential</w:t>
        </w:r>
        <w:r>
          <w:rPr>
            <w:noProof/>
            <w:webHidden/>
          </w:rPr>
          <w:tab/>
        </w:r>
        <w:r>
          <w:rPr>
            <w:noProof/>
            <w:webHidden/>
          </w:rPr>
          <w:fldChar w:fldCharType="begin"/>
        </w:r>
        <w:r>
          <w:rPr>
            <w:noProof/>
            <w:webHidden/>
          </w:rPr>
          <w:instrText xml:space="preserve"> PAGEREF _Toc217297654 \h </w:instrText>
        </w:r>
        <w:r>
          <w:rPr>
            <w:noProof/>
            <w:webHidden/>
          </w:rPr>
        </w:r>
        <w:r>
          <w:rPr>
            <w:noProof/>
            <w:webHidden/>
          </w:rPr>
          <w:fldChar w:fldCharType="separate"/>
        </w:r>
        <w:r w:rsidR="00F33716">
          <w:rPr>
            <w:noProof/>
            <w:webHidden/>
          </w:rPr>
          <w:t>31</w:t>
        </w:r>
        <w:r>
          <w:rPr>
            <w:noProof/>
            <w:webHidden/>
          </w:rPr>
          <w:fldChar w:fldCharType="end"/>
        </w:r>
      </w:hyperlink>
    </w:p>
    <w:p w14:paraId="75285DA6" w14:textId="2F74B574"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5" w:history="1">
        <w:r w:rsidRPr="00F55BB2">
          <w:rPr>
            <w:rStyle w:val="Hyperlink"/>
            <w:rFonts w:ascii="Times New Roman" w:hAnsi="Times New Roman" w:cs="Times New Roman"/>
            <w:noProof/>
          </w:rPr>
          <w:t>Table 10</w:t>
        </w:r>
        <w:r w:rsidRPr="00F55BB2">
          <w:rPr>
            <w:rStyle w:val="Hyperlink"/>
            <w:rFonts w:ascii="Times New Roman" w:eastAsia="Times New Roman" w:hAnsi="Times New Roman" w:cs="Times New Roman"/>
            <w:noProof/>
            <w:lang w:val="en-GB" w:eastAsia="en-GB"/>
          </w:rPr>
          <w:t xml:space="preserve">  Sensitivity issue in Indonesia region</w:t>
        </w:r>
        <w:r>
          <w:rPr>
            <w:noProof/>
            <w:webHidden/>
          </w:rPr>
          <w:tab/>
        </w:r>
        <w:r>
          <w:rPr>
            <w:noProof/>
            <w:webHidden/>
          </w:rPr>
          <w:fldChar w:fldCharType="begin"/>
        </w:r>
        <w:r>
          <w:rPr>
            <w:noProof/>
            <w:webHidden/>
          </w:rPr>
          <w:instrText xml:space="preserve"> PAGEREF _Toc217297655 \h </w:instrText>
        </w:r>
        <w:r>
          <w:rPr>
            <w:noProof/>
            <w:webHidden/>
          </w:rPr>
        </w:r>
        <w:r>
          <w:rPr>
            <w:noProof/>
            <w:webHidden/>
          </w:rPr>
          <w:fldChar w:fldCharType="separate"/>
        </w:r>
        <w:r w:rsidR="00F33716">
          <w:rPr>
            <w:noProof/>
            <w:webHidden/>
          </w:rPr>
          <w:t>39</w:t>
        </w:r>
        <w:r>
          <w:rPr>
            <w:noProof/>
            <w:webHidden/>
          </w:rPr>
          <w:fldChar w:fldCharType="end"/>
        </w:r>
      </w:hyperlink>
    </w:p>
    <w:p w14:paraId="289D8E03" w14:textId="66085F53"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6" w:history="1">
        <w:r w:rsidRPr="00F55BB2">
          <w:rPr>
            <w:rStyle w:val="Hyperlink"/>
            <w:rFonts w:ascii="Times New Roman" w:hAnsi="Times New Roman" w:cs="Times New Roman"/>
            <w:noProof/>
          </w:rPr>
          <w:t>Table 11</w:t>
        </w:r>
        <w:r w:rsidRPr="00F55BB2">
          <w:rPr>
            <w:rStyle w:val="Hyperlink"/>
            <w:rFonts w:ascii="Times New Roman" w:eastAsia="Times New Roman" w:hAnsi="Times New Roman" w:cs="Times New Roman"/>
            <w:noProof/>
            <w:lang w:val="en-GB" w:eastAsia="en-GB"/>
          </w:rPr>
          <w:t xml:space="preserve"> The main identified issues and their descriptions</w:t>
        </w:r>
        <w:r>
          <w:rPr>
            <w:noProof/>
            <w:webHidden/>
          </w:rPr>
          <w:tab/>
        </w:r>
        <w:r>
          <w:rPr>
            <w:noProof/>
            <w:webHidden/>
          </w:rPr>
          <w:fldChar w:fldCharType="begin"/>
        </w:r>
        <w:r>
          <w:rPr>
            <w:noProof/>
            <w:webHidden/>
          </w:rPr>
          <w:instrText xml:space="preserve"> PAGEREF _Toc217297656 \h </w:instrText>
        </w:r>
        <w:r>
          <w:rPr>
            <w:noProof/>
            <w:webHidden/>
          </w:rPr>
        </w:r>
        <w:r>
          <w:rPr>
            <w:noProof/>
            <w:webHidden/>
          </w:rPr>
          <w:fldChar w:fldCharType="separate"/>
        </w:r>
        <w:r w:rsidR="00F33716">
          <w:rPr>
            <w:noProof/>
            <w:webHidden/>
          </w:rPr>
          <w:t>42</w:t>
        </w:r>
        <w:r>
          <w:rPr>
            <w:noProof/>
            <w:webHidden/>
          </w:rPr>
          <w:fldChar w:fldCharType="end"/>
        </w:r>
      </w:hyperlink>
    </w:p>
    <w:p w14:paraId="3F5DC15D" w14:textId="618BEB5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7" w:history="1">
        <w:r w:rsidRPr="00F55BB2">
          <w:rPr>
            <w:rStyle w:val="Hyperlink"/>
            <w:rFonts w:ascii="Times New Roman" w:hAnsi="Times New Roman" w:cs="Times New Roman"/>
            <w:noProof/>
          </w:rPr>
          <w:t>Table 12 Key issu and recommendation action and regional cooperation</w:t>
        </w:r>
        <w:r>
          <w:rPr>
            <w:noProof/>
            <w:webHidden/>
          </w:rPr>
          <w:tab/>
        </w:r>
        <w:r>
          <w:rPr>
            <w:noProof/>
            <w:webHidden/>
          </w:rPr>
          <w:fldChar w:fldCharType="begin"/>
        </w:r>
        <w:r>
          <w:rPr>
            <w:noProof/>
            <w:webHidden/>
          </w:rPr>
          <w:instrText xml:space="preserve"> PAGEREF _Toc217297657 \h </w:instrText>
        </w:r>
        <w:r>
          <w:rPr>
            <w:noProof/>
            <w:webHidden/>
          </w:rPr>
        </w:r>
        <w:r>
          <w:rPr>
            <w:noProof/>
            <w:webHidden/>
          </w:rPr>
          <w:fldChar w:fldCharType="separate"/>
        </w:r>
        <w:r w:rsidR="00F33716">
          <w:rPr>
            <w:noProof/>
            <w:webHidden/>
          </w:rPr>
          <w:t>43</w:t>
        </w:r>
        <w:r>
          <w:rPr>
            <w:noProof/>
            <w:webHidden/>
          </w:rPr>
          <w:fldChar w:fldCharType="end"/>
        </w:r>
      </w:hyperlink>
    </w:p>
    <w:p w14:paraId="0ACFD013" w14:textId="69CFC9C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8" w:history="1">
        <w:r w:rsidRPr="00F55BB2">
          <w:rPr>
            <w:rStyle w:val="Hyperlink"/>
            <w:rFonts w:ascii="Times New Roman" w:hAnsi="Times New Roman" w:cs="Times New Roman"/>
            <w:noProof/>
          </w:rPr>
          <w:t>Table 13  Recommendations for reducing pollution in the Indonesian South China Sea (SCS) Region</w:t>
        </w:r>
        <w:r>
          <w:rPr>
            <w:noProof/>
            <w:webHidden/>
          </w:rPr>
          <w:tab/>
        </w:r>
        <w:r>
          <w:rPr>
            <w:noProof/>
            <w:webHidden/>
          </w:rPr>
          <w:fldChar w:fldCharType="begin"/>
        </w:r>
        <w:r>
          <w:rPr>
            <w:noProof/>
            <w:webHidden/>
          </w:rPr>
          <w:instrText xml:space="preserve"> PAGEREF _Toc217297658 \h </w:instrText>
        </w:r>
        <w:r>
          <w:rPr>
            <w:noProof/>
            <w:webHidden/>
          </w:rPr>
        </w:r>
        <w:r>
          <w:rPr>
            <w:noProof/>
            <w:webHidden/>
          </w:rPr>
          <w:fldChar w:fldCharType="separate"/>
        </w:r>
        <w:r w:rsidR="00F33716">
          <w:rPr>
            <w:noProof/>
            <w:webHidden/>
          </w:rPr>
          <w:t>63</w:t>
        </w:r>
        <w:r>
          <w:rPr>
            <w:noProof/>
            <w:webHidden/>
          </w:rPr>
          <w:fldChar w:fldCharType="end"/>
        </w:r>
      </w:hyperlink>
    </w:p>
    <w:p w14:paraId="616E20B9" w14:textId="2746E6AF"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59" w:history="1">
        <w:r w:rsidRPr="00F55BB2">
          <w:rPr>
            <w:rStyle w:val="Hyperlink"/>
            <w:rFonts w:ascii="Times New Roman" w:hAnsi="Times New Roman" w:cs="Times New Roman"/>
            <w:noProof/>
          </w:rPr>
          <w:t>Table 14 Number of fleets by fishing boats and gears</w:t>
        </w:r>
        <w:r>
          <w:rPr>
            <w:noProof/>
            <w:webHidden/>
          </w:rPr>
          <w:tab/>
        </w:r>
        <w:r>
          <w:rPr>
            <w:noProof/>
            <w:webHidden/>
          </w:rPr>
          <w:fldChar w:fldCharType="begin"/>
        </w:r>
        <w:r>
          <w:rPr>
            <w:noProof/>
            <w:webHidden/>
          </w:rPr>
          <w:instrText xml:space="preserve"> PAGEREF _Toc217297659 \h </w:instrText>
        </w:r>
        <w:r>
          <w:rPr>
            <w:noProof/>
            <w:webHidden/>
          </w:rPr>
        </w:r>
        <w:r>
          <w:rPr>
            <w:noProof/>
            <w:webHidden/>
          </w:rPr>
          <w:fldChar w:fldCharType="separate"/>
        </w:r>
        <w:r w:rsidR="00F33716">
          <w:rPr>
            <w:noProof/>
            <w:webHidden/>
          </w:rPr>
          <w:t>73</w:t>
        </w:r>
        <w:r>
          <w:rPr>
            <w:noProof/>
            <w:webHidden/>
          </w:rPr>
          <w:fldChar w:fldCharType="end"/>
        </w:r>
      </w:hyperlink>
    </w:p>
    <w:p w14:paraId="58EA3F68" w14:textId="0915A52C"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0" w:history="1">
        <w:r w:rsidRPr="00F55BB2">
          <w:rPr>
            <w:rStyle w:val="Hyperlink"/>
            <w:rFonts w:ascii="Times New Roman" w:hAnsi="Times New Roman" w:cs="Times New Roman"/>
            <w:noProof/>
          </w:rPr>
          <w:t>Table 15 Exploitation level in the South China Sea from 1950 to 2019</w:t>
        </w:r>
        <w:r>
          <w:rPr>
            <w:noProof/>
            <w:webHidden/>
          </w:rPr>
          <w:tab/>
        </w:r>
        <w:r>
          <w:rPr>
            <w:noProof/>
            <w:webHidden/>
          </w:rPr>
          <w:fldChar w:fldCharType="begin"/>
        </w:r>
        <w:r>
          <w:rPr>
            <w:noProof/>
            <w:webHidden/>
          </w:rPr>
          <w:instrText xml:space="preserve"> PAGEREF _Toc217297660 \h </w:instrText>
        </w:r>
        <w:r>
          <w:rPr>
            <w:noProof/>
            <w:webHidden/>
          </w:rPr>
        </w:r>
        <w:r>
          <w:rPr>
            <w:noProof/>
            <w:webHidden/>
          </w:rPr>
          <w:fldChar w:fldCharType="separate"/>
        </w:r>
        <w:r w:rsidR="00F33716">
          <w:rPr>
            <w:noProof/>
            <w:webHidden/>
          </w:rPr>
          <w:t>75</w:t>
        </w:r>
        <w:r>
          <w:rPr>
            <w:noProof/>
            <w:webHidden/>
          </w:rPr>
          <w:fldChar w:fldCharType="end"/>
        </w:r>
      </w:hyperlink>
    </w:p>
    <w:p w14:paraId="2D8F6FB2" w14:textId="070F412A"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1" w:history="1">
        <w:r w:rsidRPr="00F55BB2">
          <w:rPr>
            <w:rStyle w:val="Hyperlink"/>
            <w:rFonts w:ascii="Times New Roman" w:hAnsi="Times New Roman" w:cs="Times New Roman"/>
            <w:noProof/>
          </w:rPr>
          <w:t>Table 16 Environmental data of the South China Sea</w:t>
        </w:r>
        <w:r>
          <w:rPr>
            <w:noProof/>
            <w:webHidden/>
          </w:rPr>
          <w:tab/>
        </w:r>
        <w:r>
          <w:rPr>
            <w:noProof/>
            <w:webHidden/>
          </w:rPr>
          <w:fldChar w:fldCharType="begin"/>
        </w:r>
        <w:r>
          <w:rPr>
            <w:noProof/>
            <w:webHidden/>
          </w:rPr>
          <w:instrText xml:space="preserve"> PAGEREF _Toc217297661 \h </w:instrText>
        </w:r>
        <w:r>
          <w:rPr>
            <w:noProof/>
            <w:webHidden/>
          </w:rPr>
        </w:r>
        <w:r>
          <w:rPr>
            <w:noProof/>
            <w:webHidden/>
          </w:rPr>
          <w:fldChar w:fldCharType="separate"/>
        </w:r>
        <w:r w:rsidR="00F33716">
          <w:rPr>
            <w:noProof/>
            <w:webHidden/>
          </w:rPr>
          <w:t>77</w:t>
        </w:r>
        <w:r>
          <w:rPr>
            <w:noProof/>
            <w:webHidden/>
          </w:rPr>
          <w:fldChar w:fldCharType="end"/>
        </w:r>
      </w:hyperlink>
    </w:p>
    <w:p w14:paraId="72BCBD41" w14:textId="0D0E2BC0"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2" w:history="1">
        <w:r w:rsidRPr="00F55BB2">
          <w:rPr>
            <w:rStyle w:val="Hyperlink"/>
            <w:rFonts w:ascii="Times New Roman" w:hAnsi="Times New Roman" w:cs="Times New Roman"/>
            <w:noProof/>
          </w:rPr>
          <w:t>Table 17: Aquaculture production of the seven provinces in the South China Sea</w:t>
        </w:r>
        <w:r>
          <w:rPr>
            <w:noProof/>
            <w:webHidden/>
          </w:rPr>
          <w:tab/>
        </w:r>
        <w:r>
          <w:rPr>
            <w:noProof/>
            <w:webHidden/>
          </w:rPr>
          <w:fldChar w:fldCharType="begin"/>
        </w:r>
        <w:r>
          <w:rPr>
            <w:noProof/>
            <w:webHidden/>
          </w:rPr>
          <w:instrText xml:space="preserve"> PAGEREF _Toc217297662 \h </w:instrText>
        </w:r>
        <w:r>
          <w:rPr>
            <w:noProof/>
            <w:webHidden/>
          </w:rPr>
        </w:r>
        <w:r>
          <w:rPr>
            <w:noProof/>
            <w:webHidden/>
          </w:rPr>
          <w:fldChar w:fldCharType="separate"/>
        </w:r>
        <w:r w:rsidR="00F33716">
          <w:rPr>
            <w:noProof/>
            <w:webHidden/>
          </w:rPr>
          <w:t>80</w:t>
        </w:r>
        <w:r>
          <w:rPr>
            <w:noProof/>
            <w:webHidden/>
          </w:rPr>
          <w:fldChar w:fldCharType="end"/>
        </w:r>
      </w:hyperlink>
    </w:p>
    <w:p w14:paraId="4DB54C4A" w14:textId="6F2B9603"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3" w:history="1">
        <w:r w:rsidRPr="00F55BB2">
          <w:rPr>
            <w:rStyle w:val="Hyperlink"/>
            <w:rFonts w:ascii="Times New Roman" w:hAnsi="Times New Roman" w:cs="Times New Roman"/>
            <w:noProof/>
          </w:rPr>
          <w:t xml:space="preserve">Table 18 </w:t>
        </w:r>
        <w:r w:rsidRPr="00F55BB2">
          <w:rPr>
            <w:rStyle w:val="Hyperlink"/>
            <w:rFonts w:ascii="Times New Roman" w:hAnsi="Times New Roman" w:cs="Times New Roman"/>
            <w:bCs/>
            <w:noProof/>
          </w:rPr>
          <w:t>Legal and institutional mapping, and stakeholders related to coastal and marine management in the South China Sea and Gulf of Thailand</w:t>
        </w:r>
        <w:r>
          <w:rPr>
            <w:noProof/>
            <w:webHidden/>
          </w:rPr>
          <w:tab/>
        </w:r>
        <w:r>
          <w:rPr>
            <w:noProof/>
            <w:webHidden/>
          </w:rPr>
          <w:fldChar w:fldCharType="begin"/>
        </w:r>
        <w:r>
          <w:rPr>
            <w:noProof/>
            <w:webHidden/>
          </w:rPr>
          <w:instrText xml:space="preserve"> PAGEREF _Toc217297663 \h </w:instrText>
        </w:r>
        <w:r>
          <w:rPr>
            <w:noProof/>
            <w:webHidden/>
          </w:rPr>
        </w:r>
        <w:r>
          <w:rPr>
            <w:noProof/>
            <w:webHidden/>
          </w:rPr>
          <w:fldChar w:fldCharType="separate"/>
        </w:r>
        <w:r w:rsidR="00F33716">
          <w:rPr>
            <w:noProof/>
            <w:webHidden/>
          </w:rPr>
          <w:t>90</w:t>
        </w:r>
        <w:r>
          <w:rPr>
            <w:noProof/>
            <w:webHidden/>
          </w:rPr>
          <w:fldChar w:fldCharType="end"/>
        </w:r>
      </w:hyperlink>
    </w:p>
    <w:p w14:paraId="3F3C9F74" w14:textId="4C06FE65"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4" w:history="1">
        <w:r w:rsidRPr="00F55BB2">
          <w:rPr>
            <w:rStyle w:val="Hyperlink"/>
            <w:rFonts w:ascii="Times New Roman" w:hAnsi="Times New Roman" w:cs="Times New Roman"/>
            <w:noProof/>
          </w:rPr>
          <w:t>Table 19 Legal Basis of International and Indonesia Regulation concerning to South China Sea waters</w:t>
        </w:r>
        <w:r>
          <w:rPr>
            <w:noProof/>
            <w:webHidden/>
          </w:rPr>
          <w:tab/>
        </w:r>
        <w:r>
          <w:rPr>
            <w:noProof/>
            <w:webHidden/>
          </w:rPr>
          <w:fldChar w:fldCharType="begin"/>
        </w:r>
        <w:r>
          <w:rPr>
            <w:noProof/>
            <w:webHidden/>
          </w:rPr>
          <w:instrText xml:space="preserve"> PAGEREF _Toc217297664 \h </w:instrText>
        </w:r>
        <w:r>
          <w:rPr>
            <w:noProof/>
            <w:webHidden/>
          </w:rPr>
        </w:r>
        <w:r>
          <w:rPr>
            <w:noProof/>
            <w:webHidden/>
          </w:rPr>
          <w:fldChar w:fldCharType="separate"/>
        </w:r>
        <w:r w:rsidR="00F33716">
          <w:rPr>
            <w:noProof/>
            <w:webHidden/>
          </w:rPr>
          <w:t>91</w:t>
        </w:r>
        <w:r>
          <w:rPr>
            <w:noProof/>
            <w:webHidden/>
          </w:rPr>
          <w:fldChar w:fldCharType="end"/>
        </w:r>
      </w:hyperlink>
    </w:p>
    <w:p w14:paraId="13BE068D" w14:textId="77417DE3"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5" w:history="1">
        <w:r w:rsidRPr="00F55BB2">
          <w:rPr>
            <w:rStyle w:val="Hyperlink"/>
            <w:rFonts w:ascii="Times New Roman" w:hAnsi="Times New Roman" w:cs="Times New Roman"/>
            <w:noProof/>
          </w:rPr>
          <w:t>Table 20</w:t>
        </w:r>
        <w:r w:rsidRPr="00F55BB2">
          <w:rPr>
            <w:rStyle w:val="Hyperlink"/>
            <w:rFonts w:ascii="Times New Roman" w:eastAsia="Times New Roman" w:hAnsi="Times New Roman" w:cs="Times New Roman"/>
            <w:noProof/>
          </w:rPr>
          <w:t xml:space="preserve"> Governance Performance and Effectiveness of Indonesia for South China Sea Waters</w:t>
        </w:r>
        <w:r>
          <w:rPr>
            <w:noProof/>
            <w:webHidden/>
          </w:rPr>
          <w:tab/>
        </w:r>
        <w:r>
          <w:rPr>
            <w:noProof/>
            <w:webHidden/>
          </w:rPr>
          <w:fldChar w:fldCharType="begin"/>
        </w:r>
        <w:r>
          <w:rPr>
            <w:noProof/>
            <w:webHidden/>
          </w:rPr>
          <w:instrText xml:space="preserve"> PAGEREF _Toc217297665 \h </w:instrText>
        </w:r>
        <w:r>
          <w:rPr>
            <w:noProof/>
            <w:webHidden/>
          </w:rPr>
        </w:r>
        <w:r>
          <w:rPr>
            <w:noProof/>
            <w:webHidden/>
          </w:rPr>
          <w:fldChar w:fldCharType="separate"/>
        </w:r>
        <w:r w:rsidR="00F33716">
          <w:rPr>
            <w:noProof/>
            <w:webHidden/>
          </w:rPr>
          <w:t>96</w:t>
        </w:r>
        <w:r>
          <w:rPr>
            <w:noProof/>
            <w:webHidden/>
          </w:rPr>
          <w:fldChar w:fldCharType="end"/>
        </w:r>
      </w:hyperlink>
    </w:p>
    <w:p w14:paraId="7C0E07CA" w14:textId="34420DF9"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6" w:history="1">
        <w:r w:rsidRPr="00F55BB2">
          <w:rPr>
            <w:rStyle w:val="Hyperlink"/>
            <w:rFonts w:ascii="Times New Roman" w:hAnsi="Times New Roman" w:cs="Times New Roman"/>
            <w:noProof/>
          </w:rPr>
          <w:t>Table 21 Average Score level of Formal Arrangement Completeness for Governance of SCS</w:t>
        </w:r>
        <w:r>
          <w:rPr>
            <w:noProof/>
            <w:webHidden/>
          </w:rPr>
          <w:tab/>
        </w:r>
        <w:r>
          <w:rPr>
            <w:noProof/>
            <w:webHidden/>
          </w:rPr>
          <w:fldChar w:fldCharType="begin"/>
        </w:r>
        <w:r>
          <w:rPr>
            <w:noProof/>
            <w:webHidden/>
          </w:rPr>
          <w:instrText xml:space="preserve"> PAGEREF _Toc217297666 \h </w:instrText>
        </w:r>
        <w:r>
          <w:rPr>
            <w:noProof/>
            <w:webHidden/>
          </w:rPr>
        </w:r>
        <w:r>
          <w:rPr>
            <w:noProof/>
            <w:webHidden/>
          </w:rPr>
          <w:fldChar w:fldCharType="separate"/>
        </w:r>
        <w:r w:rsidR="00F33716">
          <w:rPr>
            <w:noProof/>
            <w:webHidden/>
          </w:rPr>
          <w:t>97</w:t>
        </w:r>
        <w:r>
          <w:rPr>
            <w:noProof/>
            <w:webHidden/>
          </w:rPr>
          <w:fldChar w:fldCharType="end"/>
        </w:r>
      </w:hyperlink>
    </w:p>
    <w:p w14:paraId="414DD5E8" w14:textId="6B8FDCF6"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7" w:history="1">
        <w:r w:rsidRPr="00F55BB2">
          <w:rPr>
            <w:rStyle w:val="Hyperlink"/>
            <w:rFonts w:ascii="Times New Roman" w:hAnsi="Times New Roman" w:cs="Times New Roman"/>
            <w:noProof/>
          </w:rPr>
          <w:t>Table 22  Integration between key stakeholders on transboundary issues formal arrangement</w:t>
        </w:r>
        <w:r>
          <w:rPr>
            <w:noProof/>
            <w:webHidden/>
          </w:rPr>
          <w:tab/>
        </w:r>
        <w:r>
          <w:rPr>
            <w:noProof/>
            <w:webHidden/>
          </w:rPr>
          <w:fldChar w:fldCharType="begin"/>
        </w:r>
        <w:r>
          <w:rPr>
            <w:noProof/>
            <w:webHidden/>
          </w:rPr>
          <w:instrText xml:space="preserve"> PAGEREF _Toc217297667 \h </w:instrText>
        </w:r>
        <w:r>
          <w:rPr>
            <w:noProof/>
            <w:webHidden/>
          </w:rPr>
        </w:r>
        <w:r>
          <w:rPr>
            <w:noProof/>
            <w:webHidden/>
          </w:rPr>
          <w:fldChar w:fldCharType="separate"/>
        </w:r>
        <w:r w:rsidR="00F33716">
          <w:rPr>
            <w:noProof/>
            <w:webHidden/>
          </w:rPr>
          <w:t>97</w:t>
        </w:r>
        <w:r>
          <w:rPr>
            <w:noProof/>
            <w:webHidden/>
          </w:rPr>
          <w:fldChar w:fldCharType="end"/>
        </w:r>
      </w:hyperlink>
    </w:p>
    <w:p w14:paraId="6213F2FB" w14:textId="2F8AA1EE"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8" w:history="1">
        <w:r w:rsidRPr="00F55BB2">
          <w:rPr>
            <w:rStyle w:val="Hyperlink"/>
            <w:rFonts w:ascii="Times New Roman" w:hAnsi="Times New Roman" w:cs="Times New Roman"/>
            <w:noProof/>
          </w:rPr>
          <w:t>Table 23 Stakeholder Engagement on Formal Arrangement</w:t>
        </w:r>
        <w:r>
          <w:rPr>
            <w:noProof/>
            <w:webHidden/>
          </w:rPr>
          <w:tab/>
        </w:r>
        <w:r>
          <w:rPr>
            <w:noProof/>
            <w:webHidden/>
          </w:rPr>
          <w:fldChar w:fldCharType="begin"/>
        </w:r>
        <w:r>
          <w:rPr>
            <w:noProof/>
            <w:webHidden/>
          </w:rPr>
          <w:instrText xml:space="preserve"> PAGEREF _Toc217297668 \h </w:instrText>
        </w:r>
        <w:r>
          <w:rPr>
            <w:noProof/>
            <w:webHidden/>
          </w:rPr>
        </w:r>
        <w:r>
          <w:rPr>
            <w:noProof/>
            <w:webHidden/>
          </w:rPr>
          <w:fldChar w:fldCharType="separate"/>
        </w:r>
        <w:r w:rsidR="00F33716">
          <w:rPr>
            <w:noProof/>
            <w:webHidden/>
          </w:rPr>
          <w:t>97</w:t>
        </w:r>
        <w:r>
          <w:rPr>
            <w:noProof/>
            <w:webHidden/>
          </w:rPr>
          <w:fldChar w:fldCharType="end"/>
        </w:r>
      </w:hyperlink>
    </w:p>
    <w:p w14:paraId="325D6EE3" w14:textId="78007B6E"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69" w:history="1">
        <w:r w:rsidRPr="00F55BB2">
          <w:rPr>
            <w:rStyle w:val="Hyperlink"/>
            <w:rFonts w:ascii="Times New Roman" w:hAnsi="Times New Roman" w:cs="Times New Roman"/>
            <w:noProof/>
          </w:rPr>
          <w:t>Table 24 Governance Risk Classification</w:t>
        </w:r>
        <w:r>
          <w:rPr>
            <w:noProof/>
            <w:webHidden/>
          </w:rPr>
          <w:tab/>
        </w:r>
        <w:r>
          <w:rPr>
            <w:noProof/>
            <w:webHidden/>
          </w:rPr>
          <w:fldChar w:fldCharType="begin"/>
        </w:r>
        <w:r>
          <w:rPr>
            <w:noProof/>
            <w:webHidden/>
          </w:rPr>
          <w:instrText xml:space="preserve"> PAGEREF _Toc217297669 \h </w:instrText>
        </w:r>
        <w:r>
          <w:rPr>
            <w:noProof/>
            <w:webHidden/>
          </w:rPr>
        </w:r>
        <w:r>
          <w:rPr>
            <w:noProof/>
            <w:webHidden/>
          </w:rPr>
          <w:fldChar w:fldCharType="separate"/>
        </w:r>
        <w:r w:rsidR="00F33716">
          <w:rPr>
            <w:noProof/>
            <w:webHidden/>
          </w:rPr>
          <w:t>97</w:t>
        </w:r>
        <w:r>
          <w:rPr>
            <w:noProof/>
            <w:webHidden/>
          </w:rPr>
          <w:fldChar w:fldCharType="end"/>
        </w:r>
      </w:hyperlink>
    </w:p>
    <w:p w14:paraId="4573BCED" w14:textId="2CBA0382"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70" w:history="1">
        <w:r w:rsidRPr="00F55BB2">
          <w:rPr>
            <w:rStyle w:val="Hyperlink"/>
            <w:rFonts w:ascii="Times New Roman" w:hAnsi="Times New Roman" w:cs="Times New Roman"/>
            <w:noProof/>
          </w:rPr>
          <w:t>Table 25 Aggregate Score of Governance Risk of Indonesia for SCS water</w:t>
        </w:r>
        <w:r>
          <w:rPr>
            <w:noProof/>
            <w:webHidden/>
          </w:rPr>
          <w:tab/>
        </w:r>
        <w:r>
          <w:rPr>
            <w:noProof/>
            <w:webHidden/>
          </w:rPr>
          <w:fldChar w:fldCharType="begin"/>
        </w:r>
        <w:r>
          <w:rPr>
            <w:noProof/>
            <w:webHidden/>
          </w:rPr>
          <w:instrText xml:space="preserve"> PAGEREF _Toc217297670 \h </w:instrText>
        </w:r>
        <w:r>
          <w:rPr>
            <w:noProof/>
            <w:webHidden/>
          </w:rPr>
        </w:r>
        <w:r>
          <w:rPr>
            <w:noProof/>
            <w:webHidden/>
          </w:rPr>
          <w:fldChar w:fldCharType="separate"/>
        </w:r>
        <w:r w:rsidR="00F33716">
          <w:rPr>
            <w:noProof/>
            <w:webHidden/>
          </w:rPr>
          <w:t>98</w:t>
        </w:r>
        <w:r>
          <w:rPr>
            <w:noProof/>
            <w:webHidden/>
          </w:rPr>
          <w:fldChar w:fldCharType="end"/>
        </w:r>
      </w:hyperlink>
    </w:p>
    <w:p w14:paraId="0423AE5D" w14:textId="6E3D218C"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71" w:history="1">
        <w:r w:rsidRPr="00F55BB2">
          <w:rPr>
            <w:rStyle w:val="Hyperlink"/>
            <w:rFonts w:ascii="Times New Roman" w:hAnsi="Times New Roman" w:cs="Times New Roman"/>
            <w:noProof/>
          </w:rPr>
          <w:t>Table 26 Domain and Indicators Used in the Interactions/Network Analysis</w:t>
        </w:r>
        <w:r>
          <w:rPr>
            <w:noProof/>
            <w:webHidden/>
          </w:rPr>
          <w:tab/>
        </w:r>
        <w:r>
          <w:rPr>
            <w:noProof/>
            <w:webHidden/>
          </w:rPr>
          <w:fldChar w:fldCharType="begin"/>
        </w:r>
        <w:r>
          <w:rPr>
            <w:noProof/>
            <w:webHidden/>
          </w:rPr>
          <w:instrText xml:space="preserve"> PAGEREF _Toc217297671 \h </w:instrText>
        </w:r>
        <w:r>
          <w:rPr>
            <w:noProof/>
            <w:webHidden/>
          </w:rPr>
        </w:r>
        <w:r>
          <w:rPr>
            <w:noProof/>
            <w:webHidden/>
          </w:rPr>
          <w:fldChar w:fldCharType="separate"/>
        </w:r>
        <w:r w:rsidR="00F33716">
          <w:rPr>
            <w:noProof/>
            <w:webHidden/>
          </w:rPr>
          <w:t>102</w:t>
        </w:r>
        <w:r>
          <w:rPr>
            <w:noProof/>
            <w:webHidden/>
          </w:rPr>
          <w:fldChar w:fldCharType="end"/>
        </w:r>
      </w:hyperlink>
    </w:p>
    <w:p w14:paraId="67E4C63A" w14:textId="4FD751A1" w:rsidR="00CB4999" w:rsidRDefault="00CB4999">
      <w:pPr>
        <w:pStyle w:val="TableofFigures"/>
        <w:tabs>
          <w:tab w:val="right" w:leader="dot" w:pos="9737"/>
        </w:tabs>
        <w:rPr>
          <w:rFonts w:asciiTheme="minorHAnsi" w:eastAsiaTheme="minorEastAsia" w:hAnsiTheme="minorHAnsi" w:cstheme="minorBidi"/>
          <w:noProof/>
          <w:kern w:val="2"/>
          <w:lang w:val="en-GB" w:eastAsia="en-GB"/>
          <w14:ligatures w14:val="standardContextual"/>
        </w:rPr>
      </w:pPr>
      <w:hyperlink w:anchor="_Toc217297672" w:history="1">
        <w:r w:rsidRPr="00F55BB2">
          <w:rPr>
            <w:rStyle w:val="Hyperlink"/>
            <w:rFonts w:ascii="Times New Roman" w:hAnsi="Times New Roman" w:cs="Times New Roman"/>
            <w:noProof/>
          </w:rPr>
          <w:t>Table 27 Additional indicators for each component of future environmental management are proposed based on an assessment of existing interactions among components in the management of the Indonesian sector of the South China Sea (SCS).</w:t>
        </w:r>
        <w:r>
          <w:rPr>
            <w:noProof/>
            <w:webHidden/>
          </w:rPr>
          <w:tab/>
        </w:r>
        <w:r>
          <w:rPr>
            <w:noProof/>
            <w:webHidden/>
          </w:rPr>
          <w:fldChar w:fldCharType="begin"/>
        </w:r>
        <w:r>
          <w:rPr>
            <w:noProof/>
            <w:webHidden/>
          </w:rPr>
          <w:instrText xml:space="preserve"> PAGEREF _Toc217297672 \h </w:instrText>
        </w:r>
        <w:r>
          <w:rPr>
            <w:noProof/>
            <w:webHidden/>
          </w:rPr>
        </w:r>
        <w:r>
          <w:rPr>
            <w:noProof/>
            <w:webHidden/>
          </w:rPr>
          <w:fldChar w:fldCharType="separate"/>
        </w:r>
        <w:r w:rsidR="00F33716">
          <w:rPr>
            <w:noProof/>
            <w:webHidden/>
          </w:rPr>
          <w:t>108</w:t>
        </w:r>
        <w:r>
          <w:rPr>
            <w:noProof/>
            <w:webHidden/>
          </w:rPr>
          <w:fldChar w:fldCharType="end"/>
        </w:r>
      </w:hyperlink>
    </w:p>
    <w:p w14:paraId="5D9D8E64" w14:textId="4E9591DC" w:rsidR="00DD6E5D" w:rsidRDefault="00DD6E5D" w:rsidP="00DD6E5D">
      <w:pPr>
        <w:jc w:val="both"/>
        <w:rPr>
          <w:rFonts w:ascii="Times New Roman" w:hAnsi="Times New Roman" w:cs="Times New Roman"/>
          <w:sz w:val="22"/>
          <w:szCs w:val="22"/>
        </w:rPr>
      </w:pPr>
      <w:r>
        <w:rPr>
          <w:rFonts w:ascii="Times New Roman" w:hAnsi="Times New Roman" w:cs="Times New Roman"/>
          <w:sz w:val="22"/>
          <w:szCs w:val="22"/>
        </w:rPr>
        <w:fldChar w:fldCharType="end"/>
      </w:r>
    </w:p>
    <w:p w14:paraId="306561BB" w14:textId="77777777" w:rsidR="00DD6E5D" w:rsidRPr="00DD6E5D" w:rsidRDefault="00DD6E5D" w:rsidP="00DD6E5D">
      <w:pPr>
        <w:jc w:val="both"/>
        <w:rPr>
          <w:rFonts w:ascii="Times New Roman" w:hAnsi="Times New Roman" w:cs="Times New Roman"/>
          <w:bCs/>
          <w:sz w:val="22"/>
          <w:szCs w:val="22"/>
        </w:rPr>
      </w:pPr>
    </w:p>
    <w:p w14:paraId="6EE84FB3" w14:textId="4399D065" w:rsidR="005D336D" w:rsidRDefault="00DD6E5D">
      <w:pPr>
        <w:rPr>
          <w:rFonts w:ascii="Times New Roman" w:hAnsi="Times New Roman" w:cs="Times New Roman"/>
          <w:sz w:val="22"/>
          <w:szCs w:val="22"/>
        </w:rPr>
      </w:pPr>
      <w:r>
        <w:rPr>
          <w:rFonts w:ascii="Times New Roman" w:hAnsi="Times New Roman" w:cs="Times New Roman"/>
          <w:sz w:val="22"/>
          <w:szCs w:val="22"/>
        </w:rPr>
        <w:br w:type="page"/>
      </w:r>
    </w:p>
    <w:p w14:paraId="3830BAD1" w14:textId="003EF031" w:rsidR="00796862" w:rsidRPr="00652E1F" w:rsidRDefault="00A315BC" w:rsidP="007F0F81">
      <w:pPr>
        <w:pStyle w:val="BodyText"/>
        <w:spacing w:before="188"/>
        <w:jc w:val="center"/>
        <w:outlineLvl w:val="0"/>
        <w:rPr>
          <w:rFonts w:ascii="Times New Roman" w:hAnsi="Times New Roman" w:cs="Times New Roman"/>
          <w:b/>
          <w:bCs/>
          <w:color w:val="0070C0"/>
          <w:sz w:val="32"/>
          <w:szCs w:val="32"/>
        </w:rPr>
      </w:pPr>
      <w:bookmarkStart w:id="5" w:name="_Toc216438879"/>
      <w:bookmarkStart w:id="6" w:name="_Toc217297533"/>
      <w:r w:rsidRPr="00652E1F">
        <w:rPr>
          <w:rFonts w:ascii="Times New Roman" w:hAnsi="Times New Roman" w:cs="Times New Roman"/>
          <w:b/>
          <w:bCs/>
          <w:color w:val="0070C0"/>
          <w:sz w:val="32"/>
          <w:szCs w:val="32"/>
        </w:rPr>
        <w:lastRenderedPageBreak/>
        <w:t>Technical Summary</w:t>
      </w:r>
      <w:bookmarkEnd w:id="5"/>
      <w:bookmarkEnd w:id="6"/>
    </w:p>
    <w:p w14:paraId="5C26CE92" w14:textId="4E20CED7" w:rsidR="00796862" w:rsidRPr="00FD6872" w:rsidRDefault="00CA3F18" w:rsidP="00FD6872">
      <w:pPr>
        <w:pStyle w:val="Heading1"/>
        <w:numPr>
          <w:ilvl w:val="0"/>
          <w:numId w:val="152"/>
        </w:numPr>
        <w:ind w:left="426" w:hanging="426"/>
        <w:rPr>
          <w:rFonts w:ascii="Times New Roman" w:eastAsiaTheme="minorEastAsia" w:hAnsi="Times New Roman" w:cs="Times New Roman"/>
          <w:bCs/>
          <w:color w:val="0070C0"/>
          <w:sz w:val="32"/>
          <w:szCs w:val="32"/>
        </w:rPr>
      </w:pPr>
      <w:bookmarkStart w:id="7" w:name="_bookmark1"/>
      <w:bookmarkStart w:id="8" w:name="_Toc216438880"/>
      <w:bookmarkStart w:id="9" w:name="_Toc217297534"/>
      <w:bookmarkEnd w:id="7"/>
      <w:r w:rsidRPr="00FD6872">
        <w:rPr>
          <w:rFonts w:ascii="Times New Roman" w:eastAsiaTheme="minorEastAsia" w:hAnsi="Times New Roman" w:cs="Times New Roman"/>
          <w:bCs/>
          <w:color w:val="0070C0"/>
          <w:sz w:val="32"/>
          <w:szCs w:val="32"/>
        </w:rPr>
        <w:t>INTRODUCTION</w:t>
      </w:r>
      <w:bookmarkEnd w:id="8"/>
      <w:bookmarkEnd w:id="9"/>
    </w:p>
    <w:p w14:paraId="5C161B38" w14:textId="08E59C82" w:rsidR="00796862" w:rsidRDefault="00796862" w:rsidP="006437D0">
      <w:pPr>
        <w:pStyle w:val="BodyText"/>
        <w:spacing w:after="0" w:line="240" w:lineRule="auto"/>
        <w:ind w:right="720"/>
        <w:jc w:val="both"/>
        <w:rPr>
          <w:rFonts w:ascii="Times New Roman" w:eastAsia="Calibri" w:hAnsi="Times New Roman" w:cs="Times New Roman"/>
          <w:lang w:val="en-ID"/>
        </w:rPr>
      </w:pPr>
      <w:r w:rsidRPr="000118A3">
        <w:rPr>
          <w:rFonts w:ascii="Times New Roman" w:eastAsia="Calibri" w:hAnsi="Times New Roman" w:cs="Times New Roman"/>
          <w:lang w:val="en-ID"/>
        </w:rPr>
        <w:t xml:space="preserve">The SCS SAP Project is complemented by the UNEP/GEF initiative entitled “Establishment and Operation of a Regional System of Fisheries Refugia in the South China Sea and Gulf of Thailand,” implemented by SEAFDEC in Cambodia, Indonesia, Malaysia, the Philippines, Thailand, and Viet Nam. The project aims to operationalize and expand a regional network of fisheries refugia in order to strengthen the management of fisheries resources and the ecological linkages with critical marine habitats. This effort contributes directly to achieving the medium- and long-term objectives of the fisheries component of the Strategic Action Programme for the South China Sea. Further information is available at: </w:t>
      </w:r>
      <w:hyperlink r:id="rId15" w:tgtFrame="_new" w:history="1">
        <w:r w:rsidRPr="000118A3">
          <w:rPr>
            <w:rFonts w:ascii="Times New Roman" w:hAnsi="Times New Roman" w:cs="Times New Roman"/>
            <w:lang w:val="en-ID"/>
          </w:rPr>
          <w:t>https://fisheries-refugia.org/</w:t>
        </w:r>
      </w:hyperlink>
      <w:r w:rsidRPr="000118A3">
        <w:rPr>
          <w:rFonts w:ascii="Times New Roman" w:eastAsia="Calibri" w:hAnsi="Times New Roman" w:cs="Times New Roman"/>
          <w:lang w:val="en-ID"/>
        </w:rPr>
        <w:t>.</w:t>
      </w:r>
    </w:p>
    <w:p w14:paraId="012A4083" w14:textId="697C0ADD" w:rsidR="00A315BC" w:rsidRDefault="00427697" w:rsidP="006437D0">
      <w:pPr>
        <w:pStyle w:val="BodyText"/>
        <w:spacing w:before="120" w:after="0" w:line="240" w:lineRule="auto"/>
        <w:ind w:right="720"/>
        <w:jc w:val="both"/>
        <w:rPr>
          <w:rFonts w:ascii="Times New Roman" w:eastAsia="Calibri" w:hAnsi="Times New Roman" w:cs="Times New Roman"/>
          <w:lang w:val="en-ID"/>
        </w:rPr>
      </w:pPr>
      <w:r w:rsidRPr="00427697">
        <w:rPr>
          <w:rFonts w:ascii="Times New Roman" w:eastAsia="Calibri" w:hAnsi="Times New Roman" w:cs="Times New Roman"/>
        </w:rPr>
        <w:t>The research locations for the Transboundary Diagnostic Analysis (TDA)</w:t>
      </w:r>
      <w:r>
        <w:rPr>
          <w:rFonts w:ascii="Times New Roman" w:eastAsia="Calibri" w:hAnsi="Times New Roman" w:cs="Times New Roman"/>
        </w:rPr>
        <w:t xml:space="preserve"> of Indonesia</w:t>
      </w:r>
      <w:r w:rsidRPr="00427697">
        <w:rPr>
          <w:rFonts w:ascii="Times New Roman" w:eastAsia="Calibri" w:hAnsi="Times New Roman" w:cs="Times New Roman"/>
        </w:rPr>
        <w:t xml:space="preserve"> comprise five key sites: Bangka and Belitung Regency in Bangka Belitung Province; Bintan and Mapur Island in Kepulauan Riau Province; Batu Ampar in West Kalimantan Province; and Berbak Sembilang National Park in South Sumatra and Jambi Provinces, as presented in Figure </w:t>
      </w:r>
      <w:r w:rsidR="008709D8">
        <w:rPr>
          <w:rFonts w:ascii="Times New Roman" w:eastAsia="Calibri" w:hAnsi="Times New Roman" w:cs="Times New Roman"/>
        </w:rPr>
        <w:t>1.</w:t>
      </w:r>
      <w:r w:rsidRPr="00427697">
        <w:rPr>
          <w:rFonts w:ascii="Times New Roman" w:eastAsia="Calibri" w:hAnsi="Times New Roman" w:cs="Times New Roman"/>
        </w:rPr>
        <w:t>1</w:t>
      </w:r>
      <w:r w:rsidR="00F814EE">
        <w:rPr>
          <w:rFonts w:ascii="Times New Roman" w:eastAsia="Calibri" w:hAnsi="Times New Roman" w:cs="Times New Roman"/>
        </w:rPr>
        <w:t xml:space="preserve"> </w:t>
      </w:r>
    </w:p>
    <w:p w14:paraId="13DF4E68" w14:textId="34E9B93D" w:rsidR="00A315BC" w:rsidRPr="00A315BC" w:rsidRDefault="00A315BC" w:rsidP="00A315BC">
      <w:pPr>
        <w:pStyle w:val="BodyText"/>
        <w:spacing w:before="82" w:line="360" w:lineRule="auto"/>
        <w:ind w:right="719"/>
        <w:jc w:val="both"/>
        <w:rPr>
          <w:rFonts w:ascii="Times New Roman" w:hAnsi="Times New Roman" w:cs="Times New Roman"/>
          <w:lang w:val="en-ID"/>
        </w:rPr>
      </w:pPr>
      <w:r w:rsidRPr="00A315BC">
        <w:rPr>
          <w:rFonts w:ascii="Times New Roman" w:hAnsi="Times New Roman" w:cs="Times New Roman"/>
          <w:noProof/>
          <w:lang w:val="en-ID"/>
        </w:rPr>
        <w:drawing>
          <wp:inline distT="0" distB="0" distL="0" distR="0" wp14:anchorId="31834448" wp14:editId="4831568E">
            <wp:extent cx="5777123" cy="4087906"/>
            <wp:effectExtent l="0" t="0" r="1905" b="1905"/>
            <wp:docPr id="176591685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89490" cy="4096657"/>
                    </a:xfrm>
                    <a:prstGeom prst="rect">
                      <a:avLst/>
                    </a:prstGeom>
                    <a:noFill/>
                    <a:ln>
                      <a:noFill/>
                    </a:ln>
                  </pic:spPr>
                </pic:pic>
              </a:graphicData>
            </a:graphic>
          </wp:inline>
        </w:drawing>
      </w:r>
    </w:p>
    <w:p w14:paraId="1FD827D5" w14:textId="391604AF" w:rsidR="00A315BC" w:rsidRDefault="004846F4" w:rsidP="006437D0">
      <w:pPr>
        <w:pStyle w:val="Caption"/>
        <w:spacing w:after="0"/>
        <w:jc w:val="center"/>
        <w:rPr>
          <w:rFonts w:ascii="Times New Roman" w:eastAsia="Calibri" w:hAnsi="Times New Roman" w:cs="Times New Roman"/>
          <w:i w:val="0"/>
          <w:iCs w:val="0"/>
          <w:sz w:val="24"/>
          <w:szCs w:val="24"/>
        </w:rPr>
      </w:pPr>
      <w:bookmarkStart w:id="10" w:name="_Toc217297588"/>
      <w:r w:rsidRPr="007F0F81">
        <w:rPr>
          <w:rFonts w:ascii="Times New Roman" w:hAnsi="Times New Roman" w:cs="Times New Roman"/>
          <w:i w:val="0"/>
          <w:iCs w:val="0"/>
          <w:sz w:val="24"/>
          <w:szCs w:val="24"/>
        </w:rPr>
        <w:t xml:space="preserve">Figure </w:t>
      </w:r>
      <w:r w:rsidR="005D262E">
        <w:rPr>
          <w:rFonts w:ascii="Times New Roman" w:hAnsi="Times New Roman" w:cs="Times New Roman"/>
          <w:i w:val="0"/>
          <w:iCs w:val="0"/>
          <w:sz w:val="24"/>
          <w:szCs w:val="24"/>
        </w:rPr>
        <w:fldChar w:fldCharType="begin"/>
      </w:r>
      <w:r w:rsidR="005D262E">
        <w:rPr>
          <w:rFonts w:ascii="Times New Roman" w:hAnsi="Times New Roman" w:cs="Times New Roman"/>
          <w:i w:val="0"/>
          <w:iCs w:val="0"/>
          <w:sz w:val="24"/>
          <w:szCs w:val="24"/>
        </w:rPr>
        <w:instrText xml:space="preserve"> SEQ Figure \* ARABIC </w:instrText>
      </w:r>
      <w:r w:rsidR="005D262E">
        <w:rPr>
          <w:rFonts w:ascii="Times New Roman" w:hAnsi="Times New Roman" w:cs="Times New Roman"/>
          <w:i w:val="0"/>
          <w:iCs w:val="0"/>
          <w:sz w:val="24"/>
          <w:szCs w:val="24"/>
        </w:rPr>
        <w:fldChar w:fldCharType="separate"/>
      </w:r>
      <w:r w:rsidR="00F33716">
        <w:rPr>
          <w:rFonts w:ascii="Times New Roman" w:hAnsi="Times New Roman" w:cs="Times New Roman"/>
          <w:i w:val="0"/>
          <w:iCs w:val="0"/>
          <w:noProof/>
          <w:sz w:val="24"/>
          <w:szCs w:val="24"/>
        </w:rPr>
        <w:t>1</w:t>
      </w:r>
      <w:r w:rsidR="005D262E">
        <w:rPr>
          <w:rFonts w:ascii="Times New Roman" w:hAnsi="Times New Roman" w:cs="Times New Roman"/>
          <w:i w:val="0"/>
          <w:iCs w:val="0"/>
          <w:sz w:val="24"/>
          <w:szCs w:val="24"/>
        </w:rPr>
        <w:fldChar w:fldCharType="end"/>
      </w:r>
      <w:r w:rsidR="00427697" w:rsidRPr="007F0F81">
        <w:rPr>
          <w:rFonts w:ascii="Times New Roman" w:hAnsi="Times New Roman" w:cs="Times New Roman"/>
          <w:i w:val="0"/>
          <w:iCs w:val="0"/>
          <w:sz w:val="24"/>
          <w:szCs w:val="24"/>
        </w:rPr>
        <w:t xml:space="preserve">  </w:t>
      </w:r>
      <w:r w:rsidR="00427697" w:rsidRPr="007F0F81">
        <w:rPr>
          <w:rFonts w:ascii="Times New Roman" w:eastAsia="Calibri" w:hAnsi="Times New Roman" w:cs="Times New Roman"/>
          <w:i w:val="0"/>
          <w:iCs w:val="0"/>
          <w:sz w:val="24"/>
          <w:szCs w:val="24"/>
        </w:rPr>
        <w:t>The research locations for the Transboundary Diagnostic Analysis (TDA)</w:t>
      </w:r>
      <w:bookmarkEnd w:id="10"/>
    </w:p>
    <w:p w14:paraId="470DC307" w14:textId="77777777" w:rsidR="00AE7A71" w:rsidRPr="00AE7A71" w:rsidRDefault="00AE7A71" w:rsidP="00AE7A71">
      <w:pPr>
        <w:rPr>
          <w:lang w:val="en-US" w:eastAsia="en-US"/>
        </w:rPr>
      </w:pPr>
    </w:p>
    <w:p w14:paraId="571F1D24" w14:textId="1E457B7E" w:rsidR="00796862" w:rsidRPr="00AE7A71" w:rsidRDefault="00AE7A71" w:rsidP="00AE7A71">
      <w:pPr>
        <w:pStyle w:val="Heading2"/>
      </w:pPr>
      <w:bookmarkStart w:id="11" w:name="_Toc217297535"/>
      <w:r w:rsidRPr="00AE7A71">
        <w:t xml:space="preserve">1.1 </w:t>
      </w:r>
      <w:r>
        <w:tab/>
      </w:r>
      <w:r w:rsidR="00796862" w:rsidRPr="00AE7A71">
        <w:t>The Project Objective</w:t>
      </w:r>
      <w:bookmarkEnd w:id="11"/>
    </w:p>
    <w:p w14:paraId="27F5C469" w14:textId="16B2D940" w:rsidR="00797D92" w:rsidRPr="000118A3" w:rsidRDefault="00796862" w:rsidP="00427697">
      <w:pPr>
        <w:pStyle w:val="BodyText"/>
        <w:numPr>
          <w:ilvl w:val="0"/>
          <w:numId w:val="88"/>
        </w:numPr>
        <w:spacing w:before="188"/>
        <w:ind w:left="851"/>
        <w:rPr>
          <w:rFonts w:ascii="Times New Roman" w:eastAsia="Calibri" w:hAnsi="Times New Roman" w:cs="Times New Roman"/>
          <w:lang w:val="en-ID"/>
        </w:rPr>
      </w:pPr>
      <w:r w:rsidRPr="000118A3">
        <w:rPr>
          <w:rFonts w:ascii="Times New Roman" w:hAnsi="Times New Roman" w:cs="Times New Roman"/>
        </w:rPr>
        <w:t>The objective of the</w:t>
      </w:r>
      <w:r w:rsidRPr="000118A3">
        <w:rPr>
          <w:rFonts w:ascii="Times New Roman" w:eastAsia="Calibri" w:hAnsi="Times New Roman" w:cs="Times New Roman"/>
          <w:lang w:val="en-ID"/>
        </w:rPr>
        <w:t xml:space="preserve"> project is to support participating countries in achieving the targets of the approved Strategic Action Programme (SAP) for the marine and coastal environment of the South China Sea and Gulf of Thailand, through the implementation of National Action Plans in alignment </w:t>
      </w:r>
      <w:r w:rsidRPr="000118A3">
        <w:rPr>
          <w:rFonts w:ascii="Times New Roman" w:eastAsia="Calibri" w:hAnsi="Times New Roman" w:cs="Times New Roman"/>
          <w:lang w:val="en-ID"/>
        </w:rPr>
        <w:lastRenderedPageBreak/>
        <w:t>with the SAP, and by strengthening regional coordination mechanisms for effective SAP implementation.</w:t>
      </w:r>
    </w:p>
    <w:p w14:paraId="5CE6BE46" w14:textId="7B2BD2CD" w:rsidR="00797D92" w:rsidRPr="000118A3" w:rsidRDefault="00796862" w:rsidP="00427697">
      <w:pPr>
        <w:pStyle w:val="NormalWeb"/>
        <w:numPr>
          <w:ilvl w:val="0"/>
          <w:numId w:val="88"/>
        </w:numPr>
        <w:ind w:left="851"/>
        <w:jc w:val="both"/>
        <w:rPr>
          <w:rFonts w:eastAsia="Calibri"/>
          <w:sz w:val="22"/>
          <w:szCs w:val="22"/>
          <w:lang w:val="en-ID" w:eastAsia="en-ID"/>
        </w:rPr>
      </w:pPr>
      <w:r w:rsidRPr="000118A3">
        <w:rPr>
          <w:rFonts w:eastAsia="Calibri"/>
          <w:sz w:val="22"/>
          <w:szCs w:val="22"/>
          <w:lang w:val="en-ID" w:eastAsia="en-ID"/>
        </w:rPr>
        <w:t>The project will also contribute to global commitments, including the Sustainable Development Goals (SDGs), Agenda 2030, and the Convention on Biological Diversity (CBD) Post-2020 Global Biodiversity Framework.</w:t>
      </w:r>
    </w:p>
    <w:p w14:paraId="6F536DD8" w14:textId="57721740" w:rsidR="00A70310" w:rsidRPr="00A315BC" w:rsidRDefault="00796862" w:rsidP="00427697">
      <w:pPr>
        <w:pStyle w:val="NormalWeb"/>
        <w:numPr>
          <w:ilvl w:val="0"/>
          <w:numId w:val="88"/>
        </w:numPr>
        <w:ind w:left="851"/>
        <w:jc w:val="both"/>
        <w:rPr>
          <w:sz w:val="22"/>
          <w:szCs w:val="22"/>
        </w:rPr>
      </w:pPr>
      <w:r w:rsidRPr="000118A3">
        <w:rPr>
          <w:rFonts w:eastAsia="Calibri"/>
          <w:sz w:val="22"/>
          <w:szCs w:val="22"/>
          <w:lang w:val="en-ID" w:eastAsia="en-ID"/>
        </w:rPr>
        <w:t>Activities will be implemented across local, national, and regional levels through three main components, with the aim of achieving the outcomes associated with Components 1, 2, and 3</w:t>
      </w:r>
    </w:p>
    <w:p w14:paraId="5573C6D8" w14:textId="7D9B2BED" w:rsidR="000118A3" w:rsidRPr="00427697" w:rsidRDefault="00AE7A71" w:rsidP="00AE7A71">
      <w:pPr>
        <w:pStyle w:val="Heading2"/>
      </w:pPr>
      <w:bookmarkStart w:id="12" w:name="_Toc217297536"/>
      <w:r>
        <w:t xml:space="preserve">1.2 </w:t>
      </w:r>
      <w:r>
        <w:tab/>
      </w:r>
      <w:r w:rsidR="00A315BC" w:rsidRPr="00427697">
        <w:t>Assessment Methodology</w:t>
      </w:r>
      <w:bookmarkEnd w:id="12"/>
      <w:r w:rsidR="00A315BC" w:rsidRPr="00427697">
        <w:t xml:space="preserve"> </w:t>
      </w:r>
    </w:p>
    <w:p w14:paraId="2B7FA92F" w14:textId="36BCCBB7" w:rsidR="00A315BC" w:rsidRPr="007F0F81" w:rsidRDefault="006437D0" w:rsidP="006437D0">
      <w:pPr>
        <w:pStyle w:val="NormalWeb"/>
        <w:spacing w:before="120" w:beforeAutospacing="0"/>
        <w:jc w:val="both"/>
        <w:rPr>
          <w:sz w:val="22"/>
          <w:szCs w:val="22"/>
        </w:rPr>
      </w:pPr>
      <w:r w:rsidRPr="000118A3">
        <w:rPr>
          <w:noProof/>
        </w:rPr>
        <mc:AlternateContent>
          <mc:Choice Requires="wpg">
            <w:drawing>
              <wp:anchor distT="0" distB="0" distL="0" distR="0" simplePos="0" relativeHeight="251672576" behindDoc="1" locked="0" layoutInCell="1" allowOverlap="1" wp14:anchorId="73D5A705" wp14:editId="0903D687">
                <wp:simplePos x="0" y="0"/>
                <wp:positionH relativeFrom="page">
                  <wp:posOffset>897038</wp:posOffset>
                </wp:positionH>
                <wp:positionV relativeFrom="paragraph">
                  <wp:posOffset>1162042</wp:posOffset>
                </wp:positionV>
                <wp:extent cx="5892800" cy="3321685"/>
                <wp:effectExtent l="0" t="0" r="0" b="0"/>
                <wp:wrapTopAndBottom/>
                <wp:docPr id="30"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92800" cy="3321685"/>
                          <a:chOff x="0" y="0"/>
                          <a:chExt cx="5892800" cy="3321685"/>
                        </a:xfrm>
                      </wpg:grpSpPr>
                      <pic:pic xmlns:pic="http://schemas.openxmlformats.org/drawingml/2006/picture">
                        <pic:nvPicPr>
                          <pic:cNvPr id="31" name="Image 31" descr="A diagram of a diagram of a global environment  AI-generated content may be incorrect. (Rectangle)"/>
                          <pic:cNvPicPr/>
                        </pic:nvPicPr>
                        <pic:blipFill>
                          <a:blip r:embed="rId17" cstate="print"/>
                          <a:stretch>
                            <a:fillRect/>
                          </a:stretch>
                        </pic:blipFill>
                        <pic:spPr>
                          <a:xfrm>
                            <a:off x="347878" y="320936"/>
                            <a:ext cx="5181138" cy="2792441"/>
                          </a:xfrm>
                          <a:prstGeom prst="rect">
                            <a:avLst/>
                          </a:prstGeom>
                        </pic:spPr>
                      </pic:pic>
                      <wps:wsp>
                        <wps:cNvPr id="32" name="Graphic 32"/>
                        <wps:cNvSpPr/>
                        <wps:spPr>
                          <a:xfrm>
                            <a:off x="3175" y="3175"/>
                            <a:ext cx="5886450" cy="3315335"/>
                          </a:xfrm>
                          <a:custGeom>
                            <a:avLst/>
                            <a:gdLst/>
                            <a:ahLst/>
                            <a:cxnLst/>
                            <a:rect l="l" t="t" r="r" b="b"/>
                            <a:pathLst>
                              <a:path w="5886450" h="3315335">
                                <a:moveTo>
                                  <a:pt x="0" y="3315335"/>
                                </a:moveTo>
                                <a:lnTo>
                                  <a:pt x="5886069" y="3315335"/>
                                </a:lnTo>
                                <a:lnTo>
                                  <a:pt x="5886069" y="0"/>
                                </a:lnTo>
                                <a:lnTo>
                                  <a:pt x="0" y="0"/>
                                </a:lnTo>
                                <a:lnTo>
                                  <a:pt x="0" y="3315335"/>
                                </a:lnTo>
                                <a:close/>
                              </a:path>
                            </a:pathLst>
                          </a:custGeom>
                          <a:ln w="635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C54EF0E" id="Group 30" o:spid="_x0000_s1026" style="position:absolute;margin-left:70.65pt;margin-top:91.5pt;width:464pt;height:261.55pt;z-index:-251643904;mso-wrap-distance-left:0;mso-wrap-distance-right:0;mso-position-horizontal-relative:page" coordsize="58928,3321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1" o:spid="_x0000_s1027" type="#_x0000_t75" alt="A diagram of a diagram of a global environment  AI-generated content may be incorrect. (Rectangle)" style="position:absolute;left:3478;top:3209;width:51812;height:27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">
                  <v:imagedata r:id="rId18" o:title="A diagram of a diagram of a global environment  AI-generated content may be incorrect"/>
                </v:shape>
                <v:shape id="Graphic 32" o:spid="_x0000_s1028" style="position:absolute;left:31;top:31;width:58865;height:33154;visibility:visible;mso-wrap-style:square;v-text-anchor:top" coordsize="5886450,3315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" path="m,3315335r5886069,l5886069,,,,,3315335xe" filled="f" strokeweight=".5pt">
                  <v:path arrowok="t"/>
                </v:shape>
                <w10:wrap type="topAndBottom" anchorx="page"/>
              </v:group>
            </w:pict>
          </mc:Fallback>
        </mc:AlternateContent>
      </w:r>
      <w:r w:rsidR="00A315BC" w:rsidRPr="008D070F">
        <w:rPr>
          <w:rFonts w:eastAsia="Calibri"/>
          <w:sz w:val="22"/>
          <w:szCs w:val="22"/>
          <w:lang w:val="en-ID"/>
        </w:rPr>
        <w:t xml:space="preserve">The current TDA update aims to underpin a shift from assessing environmental states to evaluating concomitant risks to ecosystems, people, and livelihoods. It also sharpens an integrated view of governance at national and regional scales that enables formulating multi-focal strategic actions. The national TDA reports will provide fine-scale inputs at the level of watersheds and countries in this integrated assessment. Quantitative directional indicators can be used to compare magnitudes of change across subnational scales and across countries and convert levels of risk at </w:t>
      </w:r>
      <w:r w:rsidR="00A315BC" w:rsidRPr="007F0F81">
        <w:rPr>
          <w:rFonts w:eastAsia="Calibri"/>
          <w:sz w:val="22"/>
          <w:szCs w:val="22"/>
          <w:lang w:val="en-ID"/>
        </w:rPr>
        <w:t>national and LME scales, see Figure</w:t>
      </w:r>
      <w:r w:rsidR="008709D8" w:rsidRPr="007F0F81">
        <w:rPr>
          <w:rFonts w:eastAsia="Calibri"/>
          <w:sz w:val="22"/>
          <w:szCs w:val="22"/>
          <w:lang w:val="en-ID"/>
        </w:rPr>
        <w:t xml:space="preserve"> 1.</w:t>
      </w:r>
      <w:r w:rsidR="00A315BC" w:rsidRPr="007F0F81">
        <w:rPr>
          <w:rFonts w:eastAsia="Calibri"/>
          <w:sz w:val="22"/>
          <w:szCs w:val="22"/>
          <w:lang w:val="en-ID"/>
        </w:rPr>
        <w:t xml:space="preserve"> </w:t>
      </w:r>
      <w:r w:rsidR="00427697" w:rsidRPr="007F0F81">
        <w:rPr>
          <w:rFonts w:eastAsia="Calibri"/>
          <w:sz w:val="22"/>
          <w:szCs w:val="22"/>
          <w:lang w:val="en-ID"/>
        </w:rPr>
        <w:t>2</w:t>
      </w:r>
      <w:r w:rsidR="00A315BC" w:rsidRPr="007F0F81">
        <w:rPr>
          <w:rFonts w:eastAsia="Calibri"/>
          <w:sz w:val="22"/>
          <w:szCs w:val="22"/>
          <w:lang w:val="en-ID"/>
        </w:rPr>
        <w:t xml:space="preserve">. </w:t>
      </w:r>
    </w:p>
    <w:p w14:paraId="706F82F5" w14:textId="776460E7" w:rsidR="00A315BC" w:rsidRPr="007F0F81" w:rsidRDefault="004846F4" w:rsidP="004846F4">
      <w:pPr>
        <w:pStyle w:val="Caption"/>
        <w:jc w:val="center"/>
        <w:rPr>
          <w:rFonts w:ascii="Times New Roman" w:eastAsia="Calibri" w:hAnsi="Times New Roman" w:cs="Times New Roman"/>
          <w:i w:val="0"/>
          <w:iCs w:val="0"/>
          <w:sz w:val="22"/>
          <w:szCs w:val="22"/>
          <w:lang w:val="en-ID"/>
        </w:rPr>
      </w:pPr>
      <w:bookmarkStart w:id="13" w:name="_Toc217297589"/>
      <w:r w:rsidRPr="007F0F81">
        <w:rPr>
          <w:rFonts w:ascii="Times New Roman" w:hAnsi="Times New Roman" w:cs="Times New Roman"/>
          <w:i w:val="0"/>
          <w:iCs w:val="0"/>
          <w:sz w:val="22"/>
          <w:szCs w:val="22"/>
        </w:rPr>
        <w:t xml:space="preserve">Figure </w:t>
      </w:r>
      <w:r w:rsidR="005D262E">
        <w:rPr>
          <w:rFonts w:ascii="Times New Roman" w:hAnsi="Times New Roman" w:cs="Times New Roman"/>
          <w:i w:val="0"/>
          <w:iCs w:val="0"/>
          <w:sz w:val="22"/>
          <w:szCs w:val="22"/>
        </w:rPr>
        <w:fldChar w:fldCharType="begin"/>
      </w:r>
      <w:r w:rsidR="005D262E">
        <w:rPr>
          <w:rFonts w:ascii="Times New Roman" w:hAnsi="Times New Roman" w:cs="Times New Roman"/>
          <w:i w:val="0"/>
          <w:iCs w:val="0"/>
          <w:sz w:val="22"/>
          <w:szCs w:val="22"/>
        </w:rPr>
        <w:instrText xml:space="preserve"> SEQ Figure \* ARABIC </w:instrText>
      </w:r>
      <w:r w:rsidR="005D262E">
        <w:rPr>
          <w:rFonts w:ascii="Times New Roman" w:hAnsi="Times New Roman" w:cs="Times New Roman"/>
          <w:i w:val="0"/>
          <w:iCs w:val="0"/>
          <w:sz w:val="22"/>
          <w:szCs w:val="22"/>
        </w:rPr>
        <w:fldChar w:fldCharType="separate"/>
      </w:r>
      <w:r w:rsidR="00F33716">
        <w:rPr>
          <w:rFonts w:ascii="Times New Roman" w:hAnsi="Times New Roman" w:cs="Times New Roman"/>
          <w:i w:val="0"/>
          <w:iCs w:val="0"/>
          <w:noProof/>
          <w:sz w:val="22"/>
          <w:szCs w:val="22"/>
        </w:rPr>
        <w:t>2</w:t>
      </w:r>
      <w:r w:rsidR="005D262E">
        <w:rPr>
          <w:rFonts w:ascii="Times New Roman" w:hAnsi="Times New Roman" w:cs="Times New Roman"/>
          <w:i w:val="0"/>
          <w:iCs w:val="0"/>
          <w:sz w:val="22"/>
          <w:szCs w:val="22"/>
        </w:rPr>
        <w:fldChar w:fldCharType="end"/>
      </w:r>
      <w:r w:rsidRPr="007F0F81">
        <w:rPr>
          <w:rFonts w:ascii="Times New Roman" w:hAnsi="Times New Roman" w:cs="Times New Roman"/>
          <w:i w:val="0"/>
          <w:iCs w:val="0"/>
          <w:sz w:val="22"/>
          <w:szCs w:val="22"/>
        </w:rPr>
        <w:t xml:space="preserve"> </w:t>
      </w:r>
      <w:r w:rsidR="00A315BC" w:rsidRPr="007F0F81">
        <w:rPr>
          <w:rFonts w:ascii="Times New Roman" w:eastAsia="Calibri" w:hAnsi="Times New Roman" w:cs="Times New Roman"/>
          <w:i w:val="0"/>
          <w:iCs w:val="0"/>
          <w:sz w:val="22"/>
          <w:szCs w:val="22"/>
          <w:lang w:val="en-ID"/>
        </w:rPr>
        <w:t>Assessment methodology</w:t>
      </w:r>
      <w:bookmarkEnd w:id="13"/>
    </w:p>
    <w:p w14:paraId="61F812FC" w14:textId="04FD3B9F" w:rsidR="008709D8" w:rsidRDefault="008709D8">
      <w:pPr>
        <w:rPr>
          <w:lang w:val="en-ID" w:eastAsia="en-US"/>
        </w:rPr>
      </w:pPr>
      <w:r>
        <w:rPr>
          <w:lang w:val="en-ID" w:eastAsia="en-US"/>
        </w:rPr>
        <w:br w:type="page"/>
      </w:r>
    </w:p>
    <w:p w14:paraId="22E58FBE" w14:textId="02534FBD" w:rsidR="00D56F0F" w:rsidRPr="00792ED3" w:rsidRDefault="00427697" w:rsidP="00792ED3">
      <w:pPr>
        <w:pStyle w:val="Heading1"/>
        <w:rPr>
          <w:rFonts w:ascii="Times New Roman" w:eastAsiaTheme="minorEastAsia" w:hAnsi="Times New Roman" w:cs="Times New Roman"/>
          <w:bCs/>
          <w:color w:val="0070C0"/>
          <w:sz w:val="32"/>
          <w:szCs w:val="32"/>
        </w:rPr>
      </w:pPr>
      <w:bookmarkStart w:id="14" w:name="_bookmark3"/>
      <w:bookmarkStart w:id="15" w:name="_Toc216438881"/>
      <w:bookmarkStart w:id="16" w:name="_Toc217297537"/>
      <w:bookmarkEnd w:id="14"/>
      <w:r w:rsidRPr="00652E1F">
        <w:rPr>
          <w:rFonts w:ascii="Times New Roman" w:eastAsiaTheme="minorEastAsia" w:hAnsi="Times New Roman" w:cs="Times New Roman"/>
          <w:bCs/>
          <w:color w:val="0070C0"/>
          <w:sz w:val="32"/>
          <w:szCs w:val="32"/>
        </w:rPr>
        <w:lastRenderedPageBreak/>
        <w:t xml:space="preserve">2. </w:t>
      </w:r>
      <w:r w:rsidR="00D55762">
        <w:rPr>
          <w:rFonts w:ascii="Times New Roman" w:eastAsiaTheme="minorEastAsia" w:hAnsi="Times New Roman" w:cs="Times New Roman"/>
          <w:bCs/>
          <w:color w:val="0070C0"/>
          <w:sz w:val="32"/>
          <w:szCs w:val="32"/>
        </w:rPr>
        <w:tab/>
      </w:r>
      <w:r w:rsidR="00CA3F18" w:rsidRPr="00652E1F">
        <w:rPr>
          <w:rFonts w:ascii="Times New Roman" w:eastAsiaTheme="minorEastAsia" w:hAnsi="Times New Roman" w:cs="Times New Roman"/>
          <w:bCs/>
          <w:color w:val="0070C0"/>
          <w:sz w:val="32"/>
          <w:szCs w:val="32"/>
        </w:rPr>
        <w:t>SOCIO-ECONOMIC</w:t>
      </w:r>
      <w:bookmarkEnd w:id="15"/>
      <w:r w:rsidR="00792ED3">
        <w:rPr>
          <w:rFonts w:ascii="Times New Roman" w:eastAsiaTheme="minorEastAsia" w:hAnsi="Times New Roman" w:cs="Times New Roman"/>
          <w:bCs/>
          <w:color w:val="0070C0"/>
          <w:sz w:val="32"/>
          <w:szCs w:val="32"/>
        </w:rPr>
        <w:t xml:space="preserve">: </w:t>
      </w:r>
      <w:r w:rsidR="00223F84" w:rsidRPr="00C641E1">
        <w:rPr>
          <w:rFonts w:ascii="Times New Roman" w:hAnsi="Times New Roman" w:cs="Times New Roman"/>
          <w:bCs/>
          <w:color w:val="0070C0"/>
          <w:sz w:val="28"/>
          <w:szCs w:val="28"/>
        </w:rPr>
        <w:t xml:space="preserve">Socio-Economic Conditions and Climate Risks in the South China Sea– A Multi </w:t>
      </w:r>
      <w:r w:rsidR="00C23CF4" w:rsidRPr="00C641E1">
        <w:rPr>
          <w:rFonts w:ascii="Times New Roman" w:hAnsi="Times New Roman" w:cs="Times New Roman"/>
          <w:bCs/>
          <w:color w:val="0070C0"/>
          <w:sz w:val="28"/>
          <w:szCs w:val="28"/>
        </w:rPr>
        <w:t>Regional Analysis</w:t>
      </w:r>
      <w:r w:rsidR="00223F84" w:rsidRPr="00C641E1">
        <w:rPr>
          <w:rFonts w:ascii="Times New Roman" w:hAnsi="Times New Roman" w:cs="Times New Roman"/>
          <w:bCs/>
          <w:color w:val="0070C0"/>
          <w:sz w:val="28"/>
          <w:szCs w:val="28"/>
        </w:rPr>
        <w:t xml:space="preserve"> of Eastern-Southern Sumatera and Western Kalimantan Coastal Area to Strengthen Indonesia’s Coastal and Marine Resilience</w:t>
      </w:r>
      <w:bookmarkEnd w:id="16"/>
    </w:p>
    <w:p w14:paraId="2CEF03D6" w14:textId="42540C07" w:rsidR="00223F84" w:rsidRPr="00223F84" w:rsidRDefault="00223F84" w:rsidP="00223F84">
      <w:pPr>
        <w:pStyle w:val="BodyText"/>
        <w:spacing w:before="188"/>
        <w:jc w:val="center"/>
        <w:rPr>
          <w:rFonts w:ascii="Times New Roman" w:hAnsi="Times New Roman" w:cs="Times New Roman"/>
        </w:rPr>
      </w:pPr>
      <w:r w:rsidRPr="00223F84">
        <w:rPr>
          <w:rFonts w:ascii="Times New Roman" w:hAnsi="Times New Roman" w:cs="Times New Roman"/>
        </w:rPr>
        <w:t>Luky Adrianto</w:t>
      </w:r>
      <w:r w:rsidRPr="00223F84">
        <w:rPr>
          <w:rFonts w:ascii="Times New Roman" w:hAnsi="Times New Roman" w:cs="Times New Roman"/>
          <w:vertAlign w:val="superscript"/>
        </w:rPr>
        <w:t>1,2</w:t>
      </w:r>
      <w:r w:rsidRPr="00223F84">
        <w:rPr>
          <w:rFonts w:ascii="Times New Roman" w:hAnsi="Times New Roman" w:cs="Times New Roman"/>
        </w:rPr>
        <w:t>, Akhmad Nurhijayat</w:t>
      </w:r>
      <w:r w:rsidRPr="00223F84">
        <w:rPr>
          <w:rFonts w:ascii="Times New Roman" w:hAnsi="Times New Roman" w:cs="Times New Roman"/>
          <w:vertAlign w:val="superscript"/>
        </w:rPr>
        <w:t>1</w:t>
      </w:r>
      <w:r w:rsidRPr="00223F84">
        <w:rPr>
          <w:rFonts w:ascii="Times New Roman" w:hAnsi="Times New Roman" w:cs="Times New Roman"/>
        </w:rPr>
        <w:t>, Ainnur Widiastuti Khoirunnisa</w:t>
      </w:r>
      <w:r w:rsidRPr="00223F84">
        <w:rPr>
          <w:rFonts w:ascii="Times New Roman" w:hAnsi="Times New Roman" w:cs="Times New Roman"/>
          <w:vertAlign w:val="superscript"/>
        </w:rPr>
        <w:t>1</w:t>
      </w:r>
      <w:r>
        <w:rPr>
          <w:rFonts w:ascii="Times New Roman" w:hAnsi="Times New Roman" w:cs="Times New Roman"/>
        </w:rPr>
        <w:t xml:space="preserve">, Isdahartati </w:t>
      </w:r>
      <w:r w:rsidRPr="00223F84">
        <w:rPr>
          <w:rFonts w:ascii="Times New Roman" w:hAnsi="Times New Roman" w:cs="Times New Roman"/>
          <w:vertAlign w:val="superscript"/>
        </w:rPr>
        <w:t>1</w:t>
      </w:r>
    </w:p>
    <w:p w14:paraId="6872F41E" w14:textId="77777777" w:rsidR="00223F84" w:rsidRPr="00223F84" w:rsidRDefault="00223F84" w:rsidP="006437D0">
      <w:pPr>
        <w:pStyle w:val="BodyText"/>
        <w:spacing w:after="0" w:line="240" w:lineRule="auto"/>
        <w:rPr>
          <w:rFonts w:ascii="Times New Roman" w:hAnsi="Times New Roman" w:cs="Times New Roman"/>
        </w:rPr>
      </w:pPr>
      <w:r w:rsidRPr="00223F84">
        <w:rPr>
          <w:rFonts w:ascii="Times New Roman" w:hAnsi="Times New Roman" w:cs="Times New Roman"/>
        </w:rPr>
        <w:t>1) Center for Coastal and Marine Resources Studies, IPB University</w:t>
      </w:r>
    </w:p>
    <w:p w14:paraId="1D0C18C3" w14:textId="77777777" w:rsidR="00223F84" w:rsidRPr="00223F84" w:rsidRDefault="00223F84" w:rsidP="006437D0">
      <w:pPr>
        <w:pStyle w:val="BodyText"/>
        <w:spacing w:after="0" w:line="240" w:lineRule="auto"/>
        <w:rPr>
          <w:rFonts w:ascii="Times New Roman" w:hAnsi="Times New Roman" w:cs="Times New Roman"/>
        </w:rPr>
      </w:pPr>
      <w:r w:rsidRPr="00223F84">
        <w:rPr>
          <w:rFonts w:ascii="Times New Roman" w:hAnsi="Times New Roman" w:cs="Times New Roman"/>
        </w:rPr>
        <w:t>2) Faculty of Fisheries and Marine Sciences, IPB University</w:t>
      </w:r>
    </w:p>
    <w:p w14:paraId="2AE6EB23" w14:textId="0B69E1A2" w:rsidR="00223F84" w:rsidRPr="000118A3" w:rsidRDefault="00223F84" w:rsidP="00223F84">
      <w:pPr>
        <w:pStyle w:val="BodyText"/>
        <w:spacing w:before="188"/>
        <w:jc w:val="center"/>
        <w:rPr>
          <w:rFonts w:ascii="Times New Roman" w:hAnsi="Times New Roman" w:cs="Times New Roman"/>
          <w:b/>
          <w:bCs/>
          <w:color w:val="0070C0"/>
        </w:rPr>
      </w:pPr>
      <w:r>
        <w:rPr>
          <w:rFonts w:ascii="Times New Roman" w:hAnsi="Times New Roman" w:cs="Times New Roman"/>
          <w:b/>
          <w:bCs/>
          <w:color w:val="0070C0"/>
        </w:rPr>
        <w:t>Abstract</w:t>
      </w:r>
    </w:p>
    <w:p w14:paraId="3EEFDF61" w14:textId="1ABBE2ED" w:rsidR="004B2B73" w:rsidRDefault="004B2B73" w:rsidP="00427697">
      <w:pPr>
        <w:pStyle w:val="BodyText"/>
        <w:spacing w:before="188"/>
        <w:jc w:val="both"/>
        <w:rPr>
          <w:rFonts w:ascii="Times New Roman" w:hAnsi="Times New Roman" w:cs="Times New Roman"/>
        </w:rPr>
      </w:pPr>
      <w:r w:rsidRPr="000118A3">
        <w:rPr>
          <w:rFonts w:ascii="Times New Roman" w:hAnsi="Times New Roman" w:cs="Times New Roman"/>
        </w:rPr>
        <w:t>Indonesia’s coastal regions face intensifying social-ecological pressures driven by climate change, habitat degradation, and strong economic reliance on natural resources. This study assesses socio-economic vulnerability and climate risks across five key sites</w:t>
      </w:r>
      <w:r w:rsidR="008709D8">
        <w:rPr>
          <w:rFonts w:ascii="Times New Roman" w:hAnsi="Times New Roman" w:cs="Times New Roman"/>
        </w:rPr>
        <w:t xml:space="preserve"> </w:t>
      </w:r>
      <w:r w:rsidRPr="000118A3">
        <w:rPr>
          <w:rFonts w:ascii="Times New Roman" w:hAnsi="Times New Roman" w:cs="Times New Roman"/>
        </w:rPr>
        <w:t xml:space="preserve">Bangka, Belitung, Mapur Island, Batu Ampar of Eastern Sumatera and </w:t>
      </w:r>
      <w:r w:rsidR="008709D8">
        <w:rPr>
          <w:rFonts w:ascii="Times New Roman" w:hAnsi="Times New Roman" w:cs="Times New Roman"/>
        </w:rPr>
        <w:t xml:space="preserve">Berbak </w:t>
      </w:r>
      <w:r w:rsidRPr="000118A3">
        <w:rPr>
          <w:rFonts w:ascii="Times New Roman" w:hAnsi="Times New Roman" w:cs="Times New Roman"/>
        </w:rPr>
        <w:t>Sembilang National Park of Western Kalimantan</w:t>
      </w:r>
      <w:r w:rsidR="008709D8">
        <w:rPr>
          <w:rFonts w:ascii="Times New Roman" w:hAnsi="Times New Roman" w:cs="Times New Roman"/>
        </w:rPr>
        <w:t xml:space="preserve"> </w:t>
      </w:r>
      <w:r w:rsidRPr="000118A3">
        <w:rPr>
          <w:rFonts w:ascii="Times New Roman" w:hAnsi="Times New Roman" w:cs="Times New Roman"/>
        </w:rPr>
        <w:t xml:space="preserve">representing diverse coastal systems dependent on small-scale fisheries, mangrove and coral reef ecosystems, and, in Bangka, tin mining. Results show that sea-level rise, tidal flooding, shoreline erosion, and seawater intrusion are increasingly disrupting ecosystem functions and threatening local fisheries-based livelihoods. Each site exhibits distinct characteristics: Bangka experiences severe human-induced stress from intensive mining, while Mapur, Belitung, and </w:t>
      </w:r>
      <w:r w:rsidR="008709D8">
        <w:rPr>
          <w:rFonts w:ascii="Times New Roman" w:hAnsi="Times New Roman" w:cs="Times New Roman"/>
        </w:rPr>
        <w:t xml:space="preserve">Berbak </w:t>
      </w:r>
      <w:r w:rsidRPr="000118A3">
        <w:rPr>
          <w:rFonts w:ascii="Times New Roman" w:hAnsi="Times New Roman" w:cs="Times New Roman"/>
        </w:rPr>
        <w:t>Sembilang contain high-value ecosystems that remain essential for food security and fisheries productivity. Overall, the findings highlight that coastal vulnerability varies across locations and is shaped by the interaction of ecological conditions, livelihood dependence, and localized climate impacts. Strengthening resilience requires integrated, site-specific strategies that combine ecosystem-based management with targeted socio-economic adaptation measures</w:t>
      </w:r>
    </w:p>
    <w:p w14:paraId="7A64A9DA" w14:textId="36E01C2A" w:rsidR="00D56F0F" w:rsidRPr="000118A3" w:rsidRDefault="00223F84" w:rsidP="007F0F81">
      <w:pPr>
        <w:pStyle w:val="BodyText"/>
        <w:numPr>
          <w:ilvl w:val="1"/>
          <w:numId w:val="140"/>
        </w:numPr>
        <w:spacing w:before="188"/>
        <w:ind w:left="426"/>
        <w:outlineLvl w:val="1"/>
        <w:rPr>
          <w:rFonts w:ascii="Times New Roman" w:hAnsi="Times New Roman" w:cs="Times New Roman"/>
          <w:b/>
          <w:bCs/>
          <w:color w:val="0070C0"/>
        </w:rPr>
      </w:pPr>
      <w:bookmarkStart w:id="17" w:name="_Toc217297538"/>
      <w:r>
        <w:rPr>
          <w:rFonts w:ascii="Times New Roman" w:hAnsi="Times New Roman" w:cs="Times New Roman"/>
          <w:b/>
          <w:bCs/>
          <w:color w:val="0070C0"/>
        </w:rPr>
        <w:t>Introduction</w:t>
      </w:r>
      <w:bookmarkEnd w:id="17"/>
    </w:p>
    <w:p w14:paraId="539BC965" w14:textId="3DD836D5" w:rsidR="004B2B73" w:rsidRPr="000118A3" w:rsidRDefault="004B2B73" w:rsidP="00652E1F">
      <w:pPr>
        <w:jc w:val="both"/>
        <w:rPr>
          <w:rFonts w:ascii="Times New Roman" w:hAnsi="Times New Roman" w:cs="Times New Roman"/>
          <w:sz w:val="22"/>
          <w:szCs w:val="22"/>
        </w:rPr>
      </w:pPr>
      <w:r w:rsidRPr="000118A3">
        <w:rPr>
          <w:rFonts w:ascii="Times New Roman" w:hAnsi="Times New Roman" w:cs="Times New Roman"/>
          <w:sz w:val="22"/>
          <w:szCs w:val="22"/>
        </w:rPr>
        <w:t>The study sites Bangka Regency, Belitung Regency, Mapur Island of Eastern Sumatera, Sembilang National Park of Southern Sumatera and Batu Ampar of Western Kalimantan</w:t>
      </w:r>
      <w:r w:rsidR="008709D8">
        <w:rPr>
          <w:rFonts w:ascii="Times New Roman" w:hAnsi="Times New Roman" w:cs="Times New Roman"/>
          <w:sz w:val="22"/>
          <w:szCs w:val="22"/>
        </w:rPr>
        <w:t xml:space="preserve"> </w:t>
      </w:r>
      <w:r w:rsidRPr="000118A3">
        <w:rPr>
          <w:rFonts w:ascii="Times New Roman" w:hAnsi="Times New Roman" w:cs="Times New Roman"/>
          <w:sz w:val="22"/>
          <w:szCs w:val="22"/>
        </w:rPr>
        <w:t>represent frontline zones of human–environment interaction in Indonesia’s coastal regions. Local economies in these areas rely heavily on small-scale fisheries, the integrity of coastal ecosystems such as mangroves and coral reefs, and, in some locations, extractive industries such as tin mining in Bangka. This dependence reflects regional economic characteristics documented in previous studies (FAO 2025; Bidayani et al., 2023; BPS 2024).</w:t>
      </w:r>
    </w:p>
    <w:p w14:paraId="1A89FC83" w14:textId="15EFA746" w:rsidR="004B2B73" w:rsidRPr="000118A3" w:rsidRDefault="004B2B73" w:rsidP="006437D0">
      <w:pPr>
        <w:spacing w:before="120"/>
        <w:jc w:val="both"/>
        <w:rPr>
          <w:rFonts w:ascii="Times New Roman" w:hAnsi="Times New Roman" w:cs="Times New Roman"/>
          <w:sz w:val="22"/>
          <w:szCs w:val="22"/>
        </w:rPr>
      </w:pPr>
      <w:r w:rsidRPr="000118A3">
        <w:rPr>
          <w:rFonts w:ascii="Times New Roman" w:hAnsi="Times New Roman" w:cs="Times New Roman"/>
          <w:sz w:val="22"/>
          <w:szCs w:val="22"/>
        </w:rPr>
        <w:t xml:space="preserve">Climate- and coastal-related threats emerge as cross-cutting issues across all sites. Sea-level rise, tidal flooding, coastal erosion, and seawater intrusion have reduced productive land, disrupted fisheries supply </w:t>
      </w:r>
      <w:r w:rsidR="008709D8" w:rsidRPr="000118A3">
        <w:rPr>
          <w:rFonts w:ascii="Times New Roman" w:hAnsi="Times New Roman" w:cs="Times New Roman"/>
          <w:sz w:val="22"/>
          <w:szCs w:val="22"/>
        </w:rPr>
        <w:t>chains and</w:t>
      </w:r>
      <w:r w:rsidRPr="000118A3">
        <w:rPr>
          <w:rFonts w:ascii="Times New Roman" w:hAnsi="Times New Roman" w:cs="Times New Roman"/>
          <w:sz w:val="22"/>
          <w:szCs w:val="22"/>
        </w:rPr>
        <w:t xml:space="preserve"> weakened the carrying capacity of coastal ecosystems (IPCC 2025; KKP 2024). These patterns are consistent with global evidence on the impacts of climate change on vulnerable coastal and island regions.</w:t>
      </w:r>
    </w:p>
    <w:p w14:paraId="3AA8F8BE" w14:textId="2AA3E442" w:rsidR="004B2B73" w:rsidRPr="000118A3" w:rsidRDefault="004B2B73" w:rsidP="006437D0">
      <w:pPr>
        <w:spacing w:before="120"/>
        <w:jc w:val="both"/>
        <w:rPr>
          <w:rFonts w:ascii="Times New Roman" w:hAnsi="Times New Roman" w:cs="Times New Roman"/>
          <w:sz w:val="22"/>
          <w:szCs w:val="22"/>
        </w:rPr>
      </w:pPr>
      <w:r w:rsidRPr="000118A3">
        <w:rPr>
          <w:rFonts w:ascii="Times New Roman" w:hAnsi="Times New Roman" w:cs="Times New Roman"/>
          <w:sz w:val="22"/>
          <w:szCs w:val="22"/>
        </w:rPr>
        <w:t xml:space="preserve">Despite sharing similar reliance on natural resources, each location exhibits distinct socio-economic dynamics. Bangka faces severe anthropogenic pressure from intensive tin mining, which drives habitat degradation and spatial competition. In contrast, Mapur Island and parts of </w:t>
      </w:r>
      <w:r w:rsidR="008709D8">
        <w:rPr>
          <w:rFonts w:ascii="Times New Roman" w:hAnsi="Times New Roman" w:cs="Times New Roman"/>
          <w:sz w:val="22"/>
          <w:szCs w:val="22"/>
        </w:rPr>
        <w:t xml:space="preserve">Berbak </w:t>
      </w:r>
      <w:r w:rsidRPr="000118A3">
        <w:rPr>
          <w:rFonts w:ascii="Times New Roman" w:hAnsi="Times New Roman" w:cs="Times New Roman"/>
          <w:sz w:val="22"/>
          <w:szCs w:val="22"/>
        </w:rPr>
        <w:t>Sembilang maintain high-value ecosystems, where mangroves and coral reefs support sustainable fisheries, local food security, and emerging ecotourism opportunities (Ibrahim 2023; Silvus 2018).</w:t>
      </w:r>
    </w:p>
    <w:p w14:paraId="6B05EFE5" w14:textId="2DA0AAA2" w:rsidR="00D56F0F" w:rsidRDefault="004B2B73" w:rsidP="00652E1F">
      <w:pPr>
        <w:pStyle w:val="BodyText"/>
        <w:spacing w:before="188"/>
        <w:jc w:val="both"/>
        <w:rPr>
          <w:rFonts w:ascii="Times New Roman" w:hAnsi="Times New Roman" w:cs="Times New Roman"/>
        </w:rPr>
      </w:pPr>
      <w:r w:rsidRPr="000118A3">
        <w:rPr>
          <w:rFonts w:ascii="Times New Roman" w:eastAsia="Calibri" w:hAnsi="Times New Roman" w:cs="Times New Roman"/>
        </w:rPr>
        <w:t>These</w:t>
      </w:r>
      <w:r w:rsidRPr="000118A3">
        <w:rPr>
          <w:rFonts w:ascii="Times New Roman" w:hAnsi="Times New Roman" w:cs="Times New Roman"/>
        </w:rPr>
        <w:t xml:space="preserve"> findings highlight the need for coastal management strategies that are location-specific yet integrated. Such strategies must combine ecosystem-based conservation with socio-economic interventions to strengthen the climate resilience of coastal communities. Ecosystem protection, sustainable resource use, and proactive climate-risk anticipation are essential to achieving a balance between human well-being and environmental sustainability. Geographically, the five study areas exhibit diverse biophysical and administrative characteristics. The Bangka Belitung Islands Province</w:t>
      </w:r>
      <w:r w:rsidR="008709D8">
        <w:rPr>
          <w:rFonts w:ascii="Times New Roman" w:hAnsi="Times New Roman" w:cs="Times New Roman"/>
        </w:rPr>
        <w:t xml:space="preserve"> </w:t>
      </w:r>
      <w:r w:rsidRPr="000118A3">
        <w:rPr>
          <w:rFonts w:ascii="Times New Roman" w:hAnsi="Times New Roman" w:cs="Times New Roman"/>
        </w:rPr>
        <w:t>79.90% of which is marine area</w:t>
      </w:r>
      <w:r w:rsidR="008709D8">
        <w:rPr>
          <w:rFonts w:ascii="Times New Roman" w:hAnsi="Times New Roman" w:cs="Times New Roman"/>
        </w:rPr>
        <w:t xml:space="preserve"> </w:t>
      </w:r>
      <w:r w:rsidRPr="000118A3">
        <w:rPr>
          <w:rFonts w:ascii="Times New Roman" w:hAnsi="Times New Roman" w:cs="Times New Roman"/>
        </w:rPr>
        <w:t xml:space="preserve">includes Bangka and Belitung Regencies, both characterized by tropical climates, hilly landscapes, and abundant natural resources </w:t>
      </w:r>
      <w:r w:rsidRPr="000118A3">
        <w:rPr>
          <w:rFonts w:ascii="Times New Roman" w:hAnsi="Times New Roman" w:cs="Times New Roman"/>
        </w:rPr>
        <w:lastRenderedPageBreak/>
        <w:t xml:space="preserve">such as fisheries, agriculture, and marine tourism (BPS 2019; Adibrata et al., 2023). In West Kalimantan, Kubu Raya Regency consists largely of lowlands and swamps, with Batu Ampar serving as a key coastal zone facing the Natuna Sea. In Riau Province, Mapur Island within Bintan Regency features low-lying coastal terrain with coral reef and seagrass ecosystems that support traditional fisheries. Meanwhile, </w:t>
      </w:r>
      <w:r w:rsidR="008709D8">
        <w:rPr>
          <w:rFonts w:ascii="Times New Roman" w:hAnsi="Times New Roman" w:cs="Times New Roman"/>
        </w:rPr>
        <w:t xml:space="preserve">Berbak </w:t>
      </w:r>
      <w:r w:rsidRPr="000118A3">
        <w:rPr>
          <w:rFonts w:ascii="Times New Roman" w:hAnsi="Times New Roman" w:cs="Times New Roman"/>
        </w:rPr>
        <w:t xml:space="preserve">Sembilang National Park in South Sumatra is a major coastal biodiversity hotspot, encompassing extensive mangrove forests, freshwater swamps, and estuarine waters that play vital roles in coastal protection and traditional fisheries livelihoods (Febriansyah et al., 2019). Overall, the profile of these sites illustrates that the interplay between biophysical conditions, anthropogenic pressures, and climate challenges demands an adaptive, integrated, and evidence-based approach to coastal management. </w:t>
      </w:r>
    </w:p>
    <w:p w14:paraId="03FB133B" w14:textId="38BE2DE7" w:rsidR="00427697" w:rsidRPr="00652E1F" w:rsidRDefault="00427697" w:rsidP="007F0F81">
      <w:pPr>
        <w:pStyle w:val="BodyText"/>
        <w:numPr>
          <w:ilvl w:val="1"/>
          <w:numId w:val="140"/>
        </w:numPr>
        <w:spacing w:before="188"/>
        <w:ind w:left="426"/>
        <w:outlineLvl w:val="1"/>
        <w:rPr>
          <w:rFonts w:ascii="Times New Roman" w:hAnsi="Times New Roman" w:cs="Times New Roman"/>
          <w:b/>
          <w:bCs/>
          <w:color w:val="0070C0"/>
        </w:rPr>
      </w:pPr>
      <w:r w:rsidRPr="00652E1F">
        <w:rPr>
          <w:rFonts w:ascii="Times New Roman" w:hAnsi="Times New Roman" w:cs="Times New Roman"/>
          <w:b/>
          <w:bCs/>
          <w:color w:val="0070C0"/>
        </w:rPr>
        <w:t xml:space="preserve"> </w:t>
      </w:r>
      <w:bookmarkStart w:id="18" w:name="_Toc217297539"/>
      <w:r w:rsidRPr="00652E1F">
        <w:rPr>
          <w:rFonts w:ascii="Times New Roman" w:hAnsi="Times New Roman" w:cs="Times New Roman"/>
          <w:b/>
          <w:bCs/>
          <w:color w:val="0070C0"/>
        </w:rPr>
        <w:t>Key Finding Concern</w:t>
      </w:r>
      <w:bookmarkEnd w:id="18"/>
    </w:p>
    <w:p w14:paraId="775CBF22" w14:textId="40B8DCEA" w:rsidR="00C050DB" w:rsidRPr="00C050DB" w:rsidRDefault="00C050DB" w:rsidP="006437D0">
      <w:pPr>
        <w:pStyle w:val="NormalWeb"/>
        <w:spacing w:before="0" w:beforeAutospacing="0" w:after="0" w:afterAutospacing="0"/>
        <w:jc w:val="both"/>
        <w:rPr>
          <w:rFonts w:eastAsiaTheme="minorEastAsia"/>
          <w:sz w:val="22"/>
          <w:szCs w:val="22"/>
          <w:lang w:val="en" w:eastAsia="en-ID"/>
        </w:rPr>
      </w:pPr>
      <w:r w:rsidRPr="00C050DB">
        <w:rPr>
          <w:rFonts w:eastAsiaTheme="minorEastAsia"/>
          <w:sz w:val="22"/>
          <w:szCs w:val="22"/>
          <w:lang w:val="en" w:eastAsia="en-ID"/>
        </w:rPr>
        <w:t>The study sites</w:t>
      </w:r>
      <w:r>
        <w:rPr>
          <w:rFonts w:eastAsiaTheme="minorEastAsia"/>
          <w:sz w:val="22"/>
          <w:szCs w:val="22"/>
          <w:lang w:val="en" w:eastAsia="en-ID"/>
        </w:rPr>
        <w:t xml:space="preserve"> </w:t>
      </w:r>
      <w:r w:rsidRPr="00C050DB">
        <w:rPr>
          <w:rFonts w:eastAsiaTheme="minorEastAsia"/>
          <w:sz w:val="22"/>
          <w:szCs w:val="22"/>
          <w:lang w:val="en" w:eastAsia="en-ID"/>
        </w:rPr>
        <w:t xml:space="preserve">Bangka, Belitung, </w:t>
      </w:r>
      <w:r w:rsidR="004D4503">
        <w:rPr>
          <w:rFonts w:eastAsiaTheme="minorEastAsia"/>
          <w:sz w:val="22"/>
          <w:szCs w:val="22"/>
          <w:lang w:val="en" w:eastAsia="en-ID"/>
        </w:rPr>
        <w:t xml:space="preserve">Bintan, </w:t>
      </w:r>
      <w:r w:rsidRPr="00C050DB">
        <w:rPr>
          <w:rFonts w:eastAsiaTheme="minorEastAsia"/>
          <w:sz w:val="22"/>
          <w:szCs w:val="22"/>
          <w:lang w:val="en" w:eastAsia="en-ID"/>
        </w:rPr>
        <w:t>Mapur Island, Batu Ampar, and Berbak Sembilang National Park</w:t>
      </w:r>
      <w:r>
        <w:rPr>
          <w:rFonts w:eastAsiaTheme="minorEastAsia"/>
          <w:sz w:val="22"/>
          <w:szCs w:val="22"/>
          <w:lang w:val="en" w:eastAsia="en-ID"/>
        </w:rPr>
        <w:t xml:space="preserve"> </w:t>
      </w:r>
      <w:r w:rsidRPr="00C050DB">
        <w:rPr>
          <w:rFonts w:eastAsiaTheme="minorEastAsia"/>
          <w:sz w:val="22"/>
          <w:szCs w:val="22"/>
          <w:lang w:val="en" w:eastAsia="en-ID"/>
        </w:rPr>
        <w:t>reflect strong human</w:t>
      </w:r>
      <w:r>
        <w:rPr>
          <w:rFonts w:eastAsiaTheme="minorEastAsia"/>
          <w:sz w:val="22"/>
          <w:szCs w:val="22"/>
          <w:lang w:val="en" w:eastAsia="en-ID"/>
        </w:rPr>
        <w:t xml:space="preserve"> </w:t>
      </w:r>
      <w:r w:rsidRPr="00C050DB">
        <w:rPr>
          <w:rFonts w:eastAsiaTheme="minorEastAsia"/>
          <w:sz w:val="22"/>
          <w:szCs w:val="22"/>
          <w:lang w:val="en" w:eastAsia="en-ID"/>
        </w:rPr>
        <w:t>environment interactions in Indonesia’s coastal zones. Local economies depend on small-scale fisheries, healthy mangroves and coral reefs, and, in Bangka, tin mining.</w:t>
      </w:r>
    </w:p>
    <w:p w14:paraId="3C1D6DFE" w14:textId="77777777" w:rsidR="00C050DB" w:rsidRPr="00C050DB" w:rsidRDefault="00C050DB" w:rsidP="006437D0">
      <w:pPr>
        <w:pStyle w:val="NormalWeb"/>
        <w:spacing w:before="120" w:beforeAutospacing="0" w:after="0" w:afterAutospacing="0"/>
        <w:jc w:val="both"/>
        <w:rPr>
          <w:rFonts w:eastAsiaTheme="minorEastAsia"/>
          <w:sz w:val="22"/>
          <w:szCs w:val="22"/>
          <w:lang w:val="en" w:eastAsia="en-ID"/>
        </w:rPr>
      </w:pPr>
      <w:r w:rsidRPr="00C050DB">
        <w:rPr>
          <w:rFonts w:eastAsiaTheme="minorEastAsia"/>
          <w:sz w:val="22"/>
          <w:szCs w:val="22"/>
          <w:lang w:val="en" w:eastAsia="en-ID"/>
        </w:rPr>
        <w:t>All locations face climate-related risks such as sea-level rise, erosion, tidal flooding, and seawater intrusion, which threaten land, fisheries, and ecosystem stability.</w:t>
      </w:r>
    </w:p>
    <w:p w14:paraId="50117FD1" w14:textId="270266F7" w:rsidR="00C050DB" w:rsidRPr="00C050DB" w:rsidRDefault="00C050DB" w:rsidP="006437D0">
      <w:pPr>
        <w:pStyle w:val="NormalWeb"/>
        <w:spacing w:before="120" w:beforeAutospacing="0" w:after="0" w:afterAutospacing="0"/>
        <w:jc w:val="both"/>
        <w:rPr>
          <w:rFonts w:eastAsiaTheme="minorEastAsia"/>
          <w:sz w:val="22"/>
          <w:szCs w:val="22"/>
          <w:lang w:val="en" w:eastAsia="en-ID"/>
        </w:rPr>
      </w:pPr>
      <w:r w:rsidRPr="00C050DB">
        <w:rPr>
          <w:rFonts w:eastAsiaTheme="minorEastAsia"/>
          <w:sz w:val="22"/>
          <w:szCs w:val="22"/>
          <w:lang w:val="en" w:eastAsia="en-ID"/>
        </w:rPr>
        <w:t xml:space="preserve">While all rely on natural resources, each site has distinct conditions: Bangka is heavily impacted by tin mining, whereas </w:t>
      </w:r>
      <w:r w:rsidR="004D4503">
        <w:rPr>
          <w:rFonts w:eastAsiaTheme="minorEastAsia"/>
          <w:sz w:val="22"/>
          <w:szCs w:val="22"/>
          <w:lang w:val="en" w:eastAsia="en-ID"/>
        </w:rPr>
        <w:t xml:space="preserve">Bintan, </w:t>
      </w:r>
      <w:r w:rsidRPr="00C050DB">
        <w:rPr>
          <w:rFonts w:eastAsiaTheme="minorEastAsia"/>
          <w:sz w:val="22"/>
          <w:szCs w:val="22"/>
          <w:lang w:val="en" w:eastAsia="en-ID"/>
        </w:rPr>
        <w:t xml:space="preserve">Mapur Island and </w:t>
      </w:r>
      <w:r>
        <w:rPr>
          <w:rFonts w:eastAsiaTheme="minorEastAsia"/>
          <w:sz w:val="22"/>
          <w:szCs w:val="22"/>
          <w:lang w:val="en" w:eastAsia="en-ID"/>
        </w:rPr>
        <w:t xml:space="preserve">Berbak </w:t>
      </w:r>
      <w:r w:rsidRPr="00C050DB">
        <w:rPr>
          <w:rFonts w:eastAsiaTheme="minorEastAsia"/>
          <w:sz w:val="22"/>
          <w:szCs w:val="22"/>
          <w:lang w:val="en" w:eastAsia="en-ID"/>
        </w:rPr>
        <w:t>Sembilang maintain high ecosystem value that supports fisheries, food security, and eco-tourism.</w:t>
      </w:r>
    </w:p>
    <w:p w14:paraId="4A6146E6" w14:textId="77777777" w:rsidR="00C050DB" w:rsidRPr="00C050DB" w:rsidRDefault="00C050DB" w:rsidP="006437D0">
      <w:pPr>
        <w:pStyle w:val="NormalWeb"/>
        <w:spacing w:before="120" w:beforeAutospacing="0" w:after="0" w:afterAutospacing="0"/>
        <w:jc w:val="both"/>
        <w:rPr>
          <w:rFonts w:eastAsiaTheme="minorEastAsia"/>
          <w:sz w:val="22"/>
          <w:szCs w:val="22"/>
          <w:lang w:val="en" w:eastAsia="en-ID"/>
        </w:rPr>
      </w:pPr>
      <w:r w:rsidRPr="00C050DB">
        <w:rPr>
          <w:rFonts w:eastAsiaTheme="minorEastAsia"/>
          <w:sz w:val="22"/>
          <w:szCs w:val="22"/>
          <w:lang w:val="en" w:eastAsia="en-ID"/>
        </w:rPr>
        <w:t>These findings highlight the need for location-specific yet integrated coastal management that protects ecosystems, manages resources sustainably, and strengthens community climate resilience.</w:t>
      </w:r>
    </w:p>
    <w:p w14:paraId="4A382968" w14:textId="77777777" w:rsidR="004B2B73" w:rsidRPr="00EA5590" w:rsidRDefault="004B2B73" w:rsidP="007F0F81">
      <w:pPr>
        <w:pStyle w:val="BodyText"/>
        <w:numPr>
          <w:ilvl w:val="1"/>
          <w:numId w:val="140"/>
        </w:numPr>
        <w:spacing w:before="188"/>
        <w:ind w:left="426"/>
        <w:outlineLvl w:val="1"/>
        <w:rPr>
          <w:rFonts w:ascii="Times New Roman" w:hAnsi="Times New Roman" w:cs="Times New Roman"/>
          <w:b/>
          <w:bCs/>
          <w:color w:val="0070C0"/>
        </w:rPr>
      </w:pPr>
      <w:bookmarkStart w:id="19" w:name="_Toc217297540"/>
      <w:r w:rsidRPr="00EA5590">
        <w:rPr>
          <w:rFonts w:ascii="Times New Roman" w:hAnsi="Times New Roman" w:cs="Times New Roman"/>
          <w:b/>
          <w:bCs/>
          <w:color w:val="0070C0"/>
        </w:rPr>
        <w:t>Methodology</w:t>
      </w:r>
      <w:bookmarkEnd w:id="19"/>
      <w:r w:rsidRPr="00EA5590">
        <w:rPr>
          <w:rFonts w:ascii="Times New Roman" w:hAnsi="Times New Roman" w:cs="Times New Roman"/>
          <w:b/>
          <w:bCs/>
          <w:color w:val="0070C0"/>
        </w:rPr>
        <w:t xml:space="preserve"> </w:t>
      </w:r>
    </w:p>
    <w:p w14:paraId="67995C69" w14:textId="77777777" w:rsidR="004B2B73" w:rsidRPr="000118A3" w:rsidRDefault="004B2B73" w:rsidP="00223F84">
      <w:pPr>
        <w:jc w:val="both"/>
        <w:rPr>
          <w:rFonts w:ascii="Times New Roman" w:hAnsi="Times New Roman" w:cs="Times New Roman"/>
          <w:b/>
          <w:bCs/>
          <w:sz w:val="22"/>
          <w:szCs w:val="22"/>
        </w:rPr>
      </w:pPr>
      <w:r w:rsidRPr="000118A3">
        <w:rPr>
          <w:rFonts w:ascii="Times New Roman" w:hAnsi="Times New Roman" w:cs="Times New Roman"/>
          <w:b/>
          <w:bCs/>
          <w:sz w:val="22"/>
          <w:szCs w:val="22"/>
        </w:rPr>
        <w:t>Data Types</w:t>
      </w:r>
    </w:p>
    <w:p w14:paraId="017B1BFD" w14:textId="77777777" w:rsidR="004B2B73" w:rsidRPr="000118A3" w:rsidRDefault="004B2B73" w:rsidP="00223F84">
      <w:pPr>
        <w:jc w:val="both"/>
        <w:rPr>
          <w:rFonts w:ascii="Times New Roman" w:hAnsi="Times New Roman" w:cs="Times New Roman"/>
          <w:sz w:val="22"/>
          <w:szCs w:val="22"/>
        </w:rPr>
      </w:pPr>
      <w:r w:rsidRPr="000118A3">
        <w:rPr>
          <w:rFonts w:ascii="Times New Roman" w:hAnsi="Times New Roman" w:cs="Times New Roman"/>
          <w:sz w:val="22"/>
          <w:szCs w:val="22"/>
        </w:rPr>
        <w:t>This study applies a mixed-methods approach, combining secondary data, literature review, and primary data collected through field surveys and Focus Group Discussions (FGDs). This approach provides a comprehensive understanding of socio-economic conditions, coastal activities, and climate-related vulnerabilities in the study sites.</w:t>
      </w:r>
    </w:p>
    <w:p w14:paraId="790CA429" w14:textId="77777777" w:rsidR="00223F84" w:rsidRDefault="00223F84" w:rsidP="00223F84">
      <w:pPr>
        <w:jc w:val="both"/>
        <w:rPr>
          <w:rFonts w:ascii="Times New Roman" w:hAnsi="Times New Roman" w:cs="Times New Roman"/>
          <w:b/>
          <w:bCs/>
          <w:sz w:val="22"/>
          <w:szCs w:val="22"/>
        </w:rPr>
      </w:pPr>
    </w:p>
    <w:p w14:paraId="6AED6557" w14:textId="43DC649D" w:rsidR="004B2B73" w:rsidRPr="000118A3" w:rsidRDefault="004B2B73" w:rsidP="00223F84">
      <w:pPr>
        <w:jc w:val="both"/>
        <w:rPr>
          <w:rFonts w:ascii="Times New Roman" w:hAnsi="Times New Roman" w:cs="Times New Roman"/>
          <w:b/>
          <w:bCs/>
          <w:sz w:val="22"/>
          <w:szCs w:val="22"/>
        </w:rPr>
      </w:pPr>
      <w:r w:rsidRPr="000118A3">
        <w:rPr>
          <w:rFonts w:ascii="Times New Roman" w:hAnsi="Times New Roman" w:cs="Times New Roman"/>
          <w:b/>
          <w:bCs/>
          <w:sz w:val="22"/>
          <w:szCs w:val="22"/>
        </w:rPr>
        <w:t>Data Analysis</w:t>
      </w:r>
    </w:p>
    <w:p w14:paraId="3055AFCC" w14:textId="7FE4FA72" w:rsidR="004B2B73" w:rsidRPr="000118A3" w:rsidRDefault="004B2B73" w:rsidP="00223F84">
      <w:pPr>
        <w:jc w:val="both"/>
        <w:rPr>
          <w:rFonts w:ascii="Times New Roman" w:hAnsi="Times New Roman" w:cs="Times New Roman"/>
          <w:sz w:val="22"/>
          <w:szCs w:val="22"/>
        </w:rPr>
      </w:pPr>
      <w:r w:rsidRPr="000118A3">
        <w:rPr>
          <w:rFonts w:ascii="Times New Roman" w:hAnsi="Times New Roman" w:cs="Times New Roman"/>
          <w:sz w:val="22"/>
          <w:szCs w:val="22"/>
        </w:rPr>
        <w:t>Data were analyzed using a descriptive–visual approach that integrates descriptive statistics with spatial mapping to uncover key patterns and contrasts across coastal sites. This method is effective for capturing the diverse socio-economic dynamics and climate vulnerabilities present along Indonesia’s maritime zone bordering the South China Sea. Five study sites</w:t>
      </w:r>
      <w:r w:rsidR="008709D8">
        <w:rPr>
          <w:rFonts w:ascii="Times New Roman" w:hAnsi="Times New Roman" w:cs="Times New Roman"/>
          <w:sz w:val="22"/>
          <w:szCs w:val="22"/>
        </w:rPr>
        <w:t xml:space="preserve"> </w:t>
      </w:r>
      <w:r w:rsidRPr="000118A3">
        <w:rPr>
          <w:rFonts w:ascii="Times New Roman" w:hAnsi="Times New Roman" w:cs="Times New Roman"/>
          <w:sz w:val="22"/>
          <w:szCs w:val="22"/>
        </w:rPr>
        <w:t xml:space="preserve">Bangka, Belitung, Mapur Island, Batu Ampar, and </w:t>
      </w:r>
      <w:r w:rsidR="008709D8">
        <w:rPr>
          <w:rFonts w:ascii="Times New Roman" w:hAnsi="Times New Roman" w:cs="Times New Roman"/>
          <w:sz w:val="22"/>
          <w:szCs w:val="22"/>
        </w:rPr>
        <w:t xml:space="preserve">Berbak </w:t>
      </w:r>
      <w:r w:rsidRPr="000118A3">
        <w:rPr>
          <w:rFonts w:ascii="Times New Roman" w:hAnsi="Times New Roman" w:cs="Times New Roman"/>
          <w:sz w:val="22"/>
          <w:szCs w:val="22"/>
        </w:rPr>
        <w:t>Sembilang National Park—were selected based on:</w:t>
      </w:r>
    </w:p>
    <w:p w14:paraId="6245E76B" w14:textId="77777777" w:rsidR="004B2B73" w:rsidRPr="000118A3" w:rsidRDefault="004B2B73" w:rsidP="00223F84">
      <w:pPr>
        <w:numPr>
          <w:ilvl w:val="0"/>
          <w:numId w:val="133"/>
        </w:numPr>
        <w:spacing w:after="160" w:line="278" w:lineRule="auto"/>
        <w:ind w:left="709"/>
        <w:jc w:val="both"/>
        <w:rPr>
          <w:rFonts w:ascii="Times New Roman" w:hAnsi="Times New Roman" w:cs="Times New Roman"/>
          <w:sz w:val="22"/>
          <w:szCs w:val="22"/>
        </w:rPr>
      </w:pPr>
      <w:r w:rsidRPr="000118A3">
        <w:rPr>
          <w:rFonts w:ascii="Times New Roman" w:hAnsi="Times New Roman" w:cs="Times New Roman"/>
          <w:b/>
          <w:bCs/>
          <w:sz w:val="22"/>
          <w:szCs w:val="22"/>
        </w:rPr>
        <w:t>their representation of major coastal social–ecological systems situated within or influenced by the South China Sea region</w:t>
      </w:r>
      <w:r w:rsidRPr="000118A3">
        <w:rPr>
          <w:rFonts w:ascii="Times New Roman" w:hAnsi="Times New Roman" w:cs="Times New Roman"/>
          <w:sz w:val="22"/>
          <w:szCs w:val="22"/>
        </w:rPr>
        <w:t>;</w:t>
      </w:r>
    </w:p>
    <w:p w14:paraId="2ECBEA8F" w14:textId="77777777" w:rsidR="004B2B73" w:rsidRPr="000118A3" w:rsidRDefault="004B2B73" w:rsidP="00223F84">
      <w:pPr>
        <w:numPr>
          <w:ilvl w:val="0"/>
          <w:numId w:val="133"/>
        </w:numPr>
        <w:spacing w:after="160" w:line="278" w:lineRule="auto"/>
        <w:ind w:left="709"/>
        <w:jc w:val="both"/>
        <w:rPr>
          <w:rFonts w:ascii="Times New Roman" w:hAnsi="Times New Roman" w:cs="Times New Roman"/>
          <w:sz w:val="22"/>
          <w:szCs w:val="22"/>
        </w:rPr>
      </w:pPr>
      <w:r w:rsidRPr="000118A3">
        <w:rPr>
          <w:rFonts w:ascii="Times New Roman" w:hAnsi="Times New Roman" w:cs="Times New Roman"/>
          <w:b/>
          <w:bCs/>
          <w:sz w:val="22"/>
          <w:szCs w:val="22"/>
        </w:rPr>
        <w:t>their high exposure to climate hazards</w:t>
      </w:r>
      <w:r w:rsidRPr="000118A3">
        <w:rPr>
          <w:rFonts w:ascii="Times New Roman" w:hAnsi="Times New Roman" w:cs="Times New Roman"/>
          <w:sz w:val="22"/>
          <w:szCs w:val="22"/>
        </w:rPr>
        <w:t>, including sea-level rise, tidal flooding, shoreline erosion, and saltwater intrusion; and</w:t>
      </w:r>
    </w:p>
    <w:p w14:paraId="5FF23EFF" w14:textId="77777777" w:rsidR="004B2B73" w:rsidRPr="000118A3" w:rsidRDefault="004B2B73" w:rsidP="00223F84">
      <w:pPr>
        <w:numPr>
          <w:ilvl w:val="0"/>
          <w:numId w:val="133"/>
        </w:numPr>
        <w:spacing w:after="160" w:line="278" w:lineRule="auto"/>
        <w:ind w:left="709"/>
        <w:jc w:val="both"/>
        <w:rPr>
          <w:rFonts w:ascii="Times New Roman" w:hAnsi="Times New Roman" w:cs="Times New Roman"/>
          <w:sz w:val="22"/>
          <w:szCs w:val="22"/>
        </w:rPr>
      </w:pPr>
      <w:r w:rsidRPr="000118A3">
        <w:rPr>
          <w:rFonts w:ascii="Times New Roman" w:hAnsi="Times New Roman" w:cs="Times New Roman"/>
          <w:b/>
          <w:bCs/>
          <w:sz w:val="22"/>
          <w:szCs w:val="22"/>
        </w:rPr>
        <w:t>their contrasting anthropogenic pressures</w:t>
      </w:r>
      <w:r w:rsidRPr="000118A3">
        <w:rPr>
          <w:rFonts w:ascii="Times New Roman" w:hAnsi="Times New Roman" w:cs="Times New Roman"/>
          <w:sz w:val="22"/>
          <w:szCs w:val="22"/>
        </w:rPr>
        <w:t>, ranging from intensive tin mining in Bangka, traditional fisheries and emerging tourism in Belitung and Mapur Island, low-lying geomorphological vulnerability in Batu Ampar, to the ecologically rich and conservation-critical wetlands of Sembilang.</w:t>
      </w:r>
    </w:p>
    <w:p w14:paraId="07CCE63E" w14:textId="33A257C5" w:rsidR="004D4503" w:rsidRDefault="004B2B73" w:rsidP="004D4503">
      <w:pPr>
        <w:ind w:left="284"/>
        <w:jc w:val="both"/>
        <w:rPr>
          <w:rFonts w:ascii="Times New Roman" w:hAnsi="Times New Roman" w:cs="Times New Roman"/>
          <w:noProof/>
          <w:sz w:val="22"/>
          <w:szCs w:val="22"/>
        </w:rPr>
      </w:pPr>
      <w:r w:rsidRPr="000118A3">
        <w:rPr>
          <w:rFonts w:ascii="Times New Roman" w:hAnsi="Times New Roman" w:cs="Times New Roman"/>
          <w:sz w:val="22"/>
          <w:szCs w:val="22"/>
        </w:rPr>
        <w:t>These differences provide a strong basis for cross-site comparison and offer insight into how socio-ecological vulnerability manifests across coastal zones connected</w:t>
      </w:r>
      <w:r w:rsidR="004D4503">
        <w:rPr>
          <w:rFonts w:ascii="Times New Roman" w:hAnsi="Times New Roman" w:cs="Times New Roman"/>
          <w:sz w:val="22"/>
          <w:szCs w:val="22"/>
        </w:rPr>
        <w:t xml:space="preserve"> </w:t>
      </w:r>
      <w:r w:rsidRPr="000118A3">
        <w:rPr>
          <w:rFonts w:ascii="Times New Roman" w:hAnsi="Times New Roman" w:cs="Times New Roman"/>
          <w:sz w:val="22"/>
          <w:szCs w:val="22"/>
        </w:rPr>
        <w:t>directly or indirectly</w:t>
      </w:r>
      <w:r w:rsidR="004D4503">
        <w:rPr>
          <w:rFonts w:ascii="Times New Roman" w:hAnsi="Times New Roman" w:cs="Times New Roman"/>
          <w:sz w:val="22"/>
          <w:szCs w:val="22"/>
        </w:rPr>
        <w:t xml:space="preserve"> </w:t>
      </w:r>
      <w:r w:rsidRPr="000118A3">
        <w:rPr>
          <w:rFonts w:ascii="Times New Roman" w:hAnsi="Times New Roman" w:cs="Times New Roman"/>
          <w:sz w:val="22"/>
          <w:szCs w:val="22"/>
        </w:rPr>
        <w:t xml:space="preserve">to the broader South China Sea system (Figure </w:t>
      </w:r>
      <w:r w:rsidR="00B16E45">
        <w:rPr>
          <w:rFonts w:ascii="Times New Roman" w:hAnsi="Times New Roman" w:cs="Times New Roman"/>
          <w:sz w:val="22"/>
          <w:szCs w:val="22"/>
        </w:rPr>
        <w:t>3</w:t>
      </w:r>
      <w:r w:rsidRPr="000118A3">
        <w:rPr>
          <w:rFonts w:ascii="Times New Roman" w:hAnsi="Times New Roman" w:cs="Times New Roman"/>
          <w:sz w:val="22"/>
          <w:szCs w:val="22"/>
        </w:rPr>
        <w:t>).</w:t>
      </w:r>
      <w:r w:rsidRPr="000118A3">
        <w:rPr>
          <w:rFonts w:ascii="Times New Roman" w:hAnsi="Times New Roman" w:cs="Times New Roman"/>
          <w:noProof/>
          <w:sz w:val="22"/>
          <w:szCs w:val="22"/>
        </w:rPr>
        <w:t xml:space="preserve"> </w:t>
      </w:r>
    </w:p>
    <w:p w14:paraId="6B67AEAD" w14:textId="6F757315" w:rsidR="004B2B73" w:rsidRPr="000118A3" w:rsidRDefault="004B2B73" w:rsidP="00C641E1">
      <w:pPr>
        <w:ind w:left="284"/>
        <w:jc w:val="center"/>
        <w:rPr>
          <w:rFonts w:ascii="Times New Roman" w:hAnsi="Times New Roman" w:cs="Times New Roman"/>
          <w:sz w:val="22"/>
          <w:szCs w:val="22"/>
        </w:rPr>
      </w:pPr>
      <w:r w:rsidRPr="000118A3">
        <w:rPr>
          <w:rFonts w:ascii="Times New Roman" w:hAnsi="Times New Roman" w:cs="Times New Roman"/>
          <w:noProof/>
          <w:sz w:val="22"/>
          <w:szCs w:val="22"/>
        </w:rPr>
        <w:lastRenderedPageBreak/>
        <w:drawing>
          <wp:inline distT="0" distB="0" distL="0" distR="0" wp14:anchorId="0B35F470" wp14:editId="5DB24794">
            <wp:extent cx="4692650" cy="3319683"/>
            <wp:effectExtent l="0" t="0" r="0" b="0"/>
            <wp:docPr id="1928611459" name="Picture 2" descr="A map of the north and south americ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611459" name="Picture 2" descr="A map of the north and south america&#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4704313" cy="3327933"/>
                    </a:xfrm>
                    <a:prstGeom prst="rect">
                      <a:avLst/>
                    </a:prstGeom>
                    <a:noFill/>
                    <a:ln>
                      <a:noFill/>
                    </a:ln>
                  </pic:spPr>
                </pic:pic>
              </a:graphicData>
            </a:graphic>
          </wp:inline>
        </w:drawing>
      </w:r>
    </w:p>
    <w:p w14:paraId="03A50E39" w14:textId="50022BF1" w:rsidR="004B2B73" w:rsidRPr="000118A3" w:rsidRDefault="004B2B73" w:rsidP="004B2B73">
      <w:pPr>
        <w:jc w:val="center"/>
        <w:rPr>
          <w:rFonts w:ascii="Times New Roman" w:hAnsi="Times New Roman" w:cs="Times New Roman"/>
          <w:sz w:val="22"/>
          <w:szCs w:val="22"/>
        </w:rPr>
      </w:pPr>
    </w:p>
    <w:p w14:paraId="6E1F5F6B" w14:textId="0A78CEFA" w:rsidR="004B2B73" w:rsidRPr="00B16E45" w:rsidRDefault="00B16E45" w:rsidP="00B16E45">
      <w:pPr>
        <w:pStyle w:val="Caption"/>
        <w:jc w:val="center"/>
        <w:rPr>
          <w:rFonts w:ascii="Times New Roman" w:hAnsi="Times New Roman" w:cs="Times New Roman"/>
          <w:i w:val="0"/>
          <w:iCs w:val="0"/>
          <w:color w:val="000000" w:themeColor="text1"/>
          <w:sz w:val="24"/>
          <w:szCs w:val="24"/>
        </w:rPr>
      </w:pPr>
      <w:bookmarkStart w:id="20" w:name="_Toc217297590"/>
      <w:r w:rsidRPr="00B16E45">
        <w:rPr>
          <w:rFonts w:ascii="Times New Roman" w:hAnsi="Times New Roman" w:cs="Times New Roman"/>
          <w:i w:val="0"/>
          <w:iCs w:val="0"/>
          <w:color w:val="000000" w:themeColor="text1"/>
          <w:sz w:val="24"/>
          <w:szCs w:val="24"/>
        </w:rPr>
        <w:t xml:space="preserve">Figure </w:t>
      </w:r>
      <w:r w:rsidR="005D262E">
        <w:rPr>
          <w:rFonts w:ascii="Times New Roman" w:hAnsi="Times New Roman" w:cs="Times New Roman"/>
          <w:i w:val="0"/>
          <w:iCs w:val="0"/>
          <w:color w:val="000000" w:themeColor="text1"/>
          <w:sz w:val="24"/>
          <w:szCs w:val="24"/>
        </w:rPr>
        <w:fldChar w:fldCharType="begin"/>
      </w:r>
      <w:r w:rsidR="005D262E">
        <w:rPr>
          <w:rFonts w:ascii="Times New Roman" w:hAnsi="Times New Roman" w:cs="Times New Roman"/>
          <w:i w:val="0"/>
          <w:iCs w:val="0"/>
          <w:color w:val="000000" w:themeColor="text1"/>
          <w:sz w:val="24"/>
          <w:szCs w:val="24"/>
        </w:rPr>
        <w:instrText xml:space="preserve"> SEQ Figure \* ARABIC </w:instrText>
      </w:r>
      <w:r w:rsid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3</w:t>
      </w:r>
      <w:r w:rsidR="005D262E">
        <w:rPr>
          <w:rFonts w:ascii="Times New Roman" w:hAnsi="Times New Roman" w:cs="Times New Roman"/>
          <w:i w:val="0"/>
          <w:iCs w:val="0"/>
          <w:color w:val="000000" w:themeColor="text1"/>
          <w:sz w:val="24"/>
          <w:szCs w:val="24"/>
        </w:rPr>
        <w:fldChar w:fldCharType="end"/>
      </w:r>
      <w:r w:rsidRPr="00B16E45">
        <w:rPr>
          <w:rFonts w:ascii="Times New Roman" w:hAnsi="Times New Roman" w:cs="Times New Roman"/>
          <w:b/>
          <w:bCs/>
          <w:i w:val="0"/>
          <w:iCs w:val="0"/>
          <w:color w:val="000000" w:themeColor="text1"/>
          <w:sz w:val="24"/>
          <w:szCs w:val="24"/>
        </w:rPr>
        <w:t xml:space="preserve"> </w:t>
      </w:r>
      <w:r w:rsidR="004B2B73" w:rsidRPr="00B16E45">
        <w:rPr>
          <w:rFonts w:ascii="Times New Roman" w:hAnsi="Times New Roman" w:cs="Times New Roman"/>
          <w:i w:val="0"/>
          <w:iCs w:val="0"/>
          <w:color w:val="000000" w:themeColor="text1"/>
          <w:sz w:val="24"/>
          <w:szCs w:val="24"/>
        </w:rPr>
        <w:t xml:space="preserve">Research </w:t>
      </w:r>
      <w:r w:rsidR="008709D8" w:rsidRPr="00B16E45">
        <w:rPr>
          <w:rFonts w:ascii="Times New Roman" w:hAnsi="Times New Roman" w:cs="Times New Roman"/>
          <w:i w:val="0"/>
          <w:iCs w:val="0"/>
          <w:color w:val="000000" w:themeColor="text1"/>
          <w:sz w:val="24"/>
          <w:szCs w:val="24"/>
        </w:rPr>
        <w:t>Location Socio</w:t>
      </w:r>
      <w:r w:rsidR="004D4503" w:rsidRPr="00B16E45">
        <w:rPr>
          <w:rFonts w:ascii="Times New Roman" w:hAnsi="Times New Roman" w:cs="Times New Roman"/>
          <w:i w:val="0"/>
          <w:iCs w:val="0"/>
          <w:color w:val="000000" w:themeColor="text1"/>
          <w:sz w:val="24"/>
          <w:szCs w:val="24"/>
        </w:rPr>
        <w:t>-economic</w:t>
      </w:r>
      <w:bookmarkEnd w:id="20"/>
    </w:p>
    <w:p w14:paraId="777282DB" w14:textId="77777777" w:rsidR="008709D8" w:rsidRPr="000118A3" w:rsidRDefault="008709D8" w:rsidP="004B2B73">
      <w:pPr>
        <w:jc w:val="center"/>
        <w:rPr>
          <w:rFonts w:ascii="Times New Roman" w:hAnsi="Times New Roman" w:cs="Times New Roman"/>
          <w:sz w:val="22"/>
          <w:szCs w:val="22"/>
        </w:rPr>
      </w:pPr>
    </w:p>
    <w:p w14:paraId="01BA06E7" w14:textId="09087375" w:rsidR="007A69A3" w:rsidRPr="000118A3" w:rsidRDefault="007A69A3" w:rsidP="007F0F81">
      <w:pPr>
        <w:pStyle w:val="BodyText"/>
        <w:numPr>
          <w:ilvl w:val="1"/>
          <w:numId w:val="140"/>
        </w:numPr>
        <w:spacing w:before="120" w:after="0" w:line="240" w:lineRule="auto"/>
        <w:ind w:left="426"/>
        <w:outlineLvl w:val="1"/>
        <w:rPr>
          <w:rFonts w:ascii="Times New Roman" w:hAnsi="Times New Roman" w:cs="Times New Roman"/>
          <w:b/>
          <w:bCs/>
          <w:color w:val="0070C0"/>
        </w:rPr>
      </w:pPr>
      <w:bookmarkStart w:id="21" w:name="_Toc217297541"/>
      <w:r w:rsidRPr="000118A3">
        <w:rPr>
          <w:rFonts w:ascii="Times New Roman" w:hAnsi="Times New Roman" w:cs="Times New Roman"/>
          <w:b/>
          <w:bCs/>
          <w:color w:val="0070C0"/>
        </w:rPr>
        <w:t>Results and Discussion</w:t>
      </w:r>
      <w:bookmarkEnd w:id="21"/>
    </w:p>
    <w:p w14:paraId="53069FCE" w14:textId="03FF30FF" w:rsidR="007A69A3" w:rsidRPr="000118A3" w:rsidRDefault="007A69A3" w:rsidP="006437D0">
      <w:pPr>
        <w:pStyle w:val="BodyText"/>
        <w:numPr>
          <w:ilvl w:val="2"/>
          <w:numId w:val="140"/>
        </w:numPr>
        <w:spacing w:before="120" w:after="0" w:line="240" w:lineRule="auto"/>
        <w:rPr>
          <w:rFonts w:ascii="Times New Roman" w:hAnsi="Times New Roman" w:cs="Times New Roman"/>
          <w:b/>
          <w:bCs/>
          <w:color w:val="0070C0"/>
        </w:rPr>
      </w:pPr>
      <w:r w:rsidRPr="000118A3">
        <w:rPr>
          <w:rFonts w:ascii="Times New Roman" w:hAnsi="Times New Roman" w:cs="Times New Roman"/>
          <w:b/>
          <w:bCs/>
          <w:color w:val="0070C0"/>
        </w:rPr>
        <w:t>Current Socioeconomics Status based on Indicator Group</w:t>
      </w:r>
    </w:p>
    <w:p w14:paraId="2958FC81" w14:textId="4D26D679" w:rsidR="007A69A3" w:rsidRPr="000118A3" w:rsidRDefault="007A69A3" w:rsidP="006437D0">
      <w:pPr>
        <w:pStyle w:val="BodyText"/>
        <w:numPr>
          <w:ilvl w:val="3"/>
          <w:numId w:val="140"/>
        </w:numPr>
        <w:spacing w:after="0" w:line="240" w:lineRule="auto"/>
        <w:rPr>
          <w:rFonts w:ascii="Times New Roman" w:hAnsi="Times New Roman" w:cs="Times New Roman"/>
          <w:b/>
          <w:bCs/>
          <w:color w:val="0070C0"/>
        </w:rPr>
      </w:pPr>
      <w:r w:rsidRPr="000118A3">
        <w:rPr>
          <w:rFonts w:ascii="Times New Roman" w:hAnsi="Times New Roman" w:cs="Times New Roman"/>
          <w:b/>
          <w:bCs/>
          <w:color w:val="0070C0"/>
        </w:rPr>
        <w:t>Demographic Conditions</w:t>
      </w:r>
    </w:p>
    <w:p w14:paraId="5948E732" w14:textId="77777777" w:rsidR="007A69A3" w:rsidRPr="000118A3" w:rsidRDefault="007A69A3" w:rsidP="008709D8">
      <w:pPr>
        <w:spacing w:before="120"/>
        <w:rPr>
          <w:rFonts w:ascii="Times New Roman" w:hAnsi="Times New Roman" w:cs="Times New Roman"/>
          <w:b/>
          <w:bCs/>
          <w:sz w:val="22"/>
          <w:szCs w:val="22"/>
        </w:rPr>
      </w:pPr>
      <w:r w:rsidRPr="000118A3">
        <w:rPr>
          <w:rFonts w:ascii="Times New Roman" w:hAnsi="Times New Roman" w:cs="Times New Roman"/>
          <w:b/>
          <w:bCs/>
          <w:sz w:val="22"/>
          <w:szCs w:val="22"/>
        </w:rPr>
        <w:t>SE1-1. Subnational coastal populations</w:t>
      </w:r>
    </w:p>
    <w:p w14:paraId="5CDA5FB3" w14:textId="3AAA0265" w:rsidR="007A69A3" w:rsidRDefault="007A69A3" w:rsidP="00223F84">
      <w:pPr>
        <w:jc w:val="both"/>
        <w:rPr>
          <w:rFonts w:ascii="Times New Roman" w:hAnsi="Times New Roman" w:cs="Times New Roman"/>
          <w:sz w:val="22"/>
          <w:szCs w:val="22"/>
        </w:rPr>
      </w:pPr>
      <w:r w:rsidRPr="000118A3">
        <w:rPr>
          <w:rFonts w:ascii="Times New Roman" w:hAnsi="Times New Roman" w:cs="Times New Roman"/>
          <w:sz w:val="22"/>
          <w:szCs w:val="22"/>
        </w:rPr>
        <w:t xml:space="preserve">The coastal population in the study areas has continued to increase over time. South Sumatra has the largest coastal population, while the Bangka Belitung Islands have the smallest. These differences are influenced by the size of coastal areas and coastline length, which determine settlement capacity (Cisneros et al., 2016). Regions with long coastlines, such as South Sumatra and West Kalimantan, tend to have larger populations (Djunarsjah et al., 2023). Geographic conditions, accessibility, as well as economic factors and urbanization also contribute to this trend, particularly because major coastal cities like Palembang and Pontianak serve as population hubs (BPS, 2024). The demographic information is illustrated in Figure </w:t>
      </w:r>
      <w:r w:rsidR="00B16E45">
        <w:rPr>
          <w:rFonts w:ascii="Times New Roman" w:hAnsi="Times New Roman" w:cs="Times New Roman"/>
          <w:sz w:val="22"/>
          <w:szCs w:val="22"/>
        </w:rPr>
        <w:t>4</w:t>
      </w:r>
      <w:r w:rsidRPr="000118A3">
        <w:rPr>
          <w:rFonts w:ascii="Times New Roman" w:hAnsi="Times New Roman" w:cs="Times New Roman"/>
          <w:sz w:val="22"/>
          <w:szCs w:val="22"/>
        </w:rPr>
        <w:t>.</w:t>
      </w:r>
    </w:p>
    <w:p w14:paraId="2B8F9DC1" w14:textId="77777777" w:rsidR="00B16E45" w:rsidRDefault="00B16E45" w:rsidP="00223F84">
      <w:pPr>
        <w:jc w:val="both"/>
        <w:rPr>
          <w:rFonts w:ascii="Times New Roman" w:hAnsi="Times New Roman" w:cs="Times New Roman"/>
          <w:sz w:val="22"/>
          <w:szCs w:val="22"/>
        </w:rPr>
      </w:pPr>
    </w:p>
    <w:p w14:paraId="077E5864" w14:textId="77777777" w:rsidR="00B16E45" w:rsidRDefault="00B16E45" w:rsidP="00223F84">
      <w:pPr>
        <w:jc w:val="both"/>
        <w:rPr>
          <w:rFonts w:ascii="Times New Roman" w:hAnsi="Times New Roman" w:cs="Times New Roman"/>
          <w:sz w:val="22"/>
          <w:szCs w:val="22"/>
        </w:rPr>
      </w:pPr>
    </w:p>
    <w:p w14:paraId="175B3950" w14:textId="77777777" w:rsidR="008709D8" w:rsidRPr="000118A3" w:rsidRDefault="008709D8" w:rsidP="00223F84">
      <w:pPr>
        <w:jc w:val="both"/>
        <w:rPr>
          <w:rFonts w:ascii="Times New Roman" w:hAnsi="Times New Roman" w:cs="Times New Roman"/>
          <w:sz w:val="22"/>
          <w:szCs w:val="22"/>
        </w:rPr>
      </w:pPr>
    </w:p>
    <w:p w14:paraId="40963D81" w14:textId="77777777" w:rsidR="007A69A3" w:rsidRPr="000118A3" w:rsidRDefault="007A69A3" w:rsidP="007A69A3">
      <w:pPr>
        <w:ind w:left="284"/>
        <w:jc w:val="center"/>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highlight w:val="yellow"/>
        </w:rPr>
        <w:drawing>
          <wp:inline distT="0" distB="0" distL="0" distR="0" wp14:anchorId="2E45C433" wp14:editId="15C03B61">
            <wp:extent cx="3422072" cy="1735084"/>
            <wp:effectExtent l="0" t="0" r="6985" b="0"/>
            <wp:docPr id="897104248" name="Picture 3"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104248" name="Picture 3" descr="A graph of a number of people&#10;&#10;AI-generated content may be incorrec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91262" cy="1770165"/>
                    </a:xfrm>
                    <a:prstGeom prst="rect">
                      <a:avLst/>
                    </a:prstGeom>
                    <a:noFill/>
                    <a:ln>
                      <a:noFill/>
                    </a:ln>
                  </pic:spPr>
                </pic:pic>
              </a:graphicData>
            </a:graphic>
          </wp:inline>
        </w:drawing>
      </w:r>
    </w:p>
    <w:p w14:paraId="5EC251C8" w14:textId="46D48917" w:rsidR="007A69A3" w:rsidRPr="00B16E45" w:rsidRDefault="00B16E45" w:rsidP="00B16E45">
      <w:pPr>
        <w:pStyle w:val="Caption"/>
        <w:jc w:val="center"/>
        <w:rPr>
          <w:rFonts w:ascii="Times New Roman" w:hAnsi="Times New Roman" w:cs="Times New Roman"/>
          <w:i w:val="0"/>
          <w:iCs w:val="0"/>
          <w:color w:val="000000" w:themeColor="text1"/>
          <w:sz w:val="24"/>
          <w:szCs w:val="24"/>
        </w:rPr>
      </w:pPr>
      <w:bookmarkStart w:id="22" w:name="_Toc217297591"/>
      <w:r w:rsidRPr="00B16E45">
        <w:rPr>
          <w:rFonts w:ascii="Times New Roman" w:hAnsi="Times New Roman" w:cs="Times New Roman"/>
          <w:i w:val="0"/>
          <w:iCs w:val="0"/>
          <w:color w:val="000000" w:themeColor="text1"/>
          <w:sz w:val="24"/>
          <w:szCs w:val="24"/>
        </w:rPr>
        <w:t xml:space="preserve">Figure </w:t>
      </w:r>
      <w:r w:rsidR="005D262E">
        <w:rPr>
          <w:rFonts w:ascii="Times New Roman" w:hAnsi="Times New Roman" w:cs="Times New Roman"/>
          <w:i w:val="0"/>
          <w:iCs w:val="0"/>
          <w:color w:val="000000" w:themeColor="text1"/>
          <w:sz w:val="24"/>
          <w:szCs w:val="24"/>
        </w:rPr>
        <w:fldChar w:fldCharType="begin"/>
      </w:r>
      <w:r w:rsidR="005D262E">
        <w:rPr>
          <w:rFonts w:ascii="Times New Roman" w:hAnsi="Times New Roman" w:cs="Times New Roman"/>
          <w:i w:val="0"/>
          <w:iCs w:val="0"/>
          <w:color w:val="000000" w:themeColor="text1"/>
          <w:sz w:val="24"/>
          <w:szCs w:val="24"/>
        </w:rPr>
        <w:instrText xml:space="preserve"> SEQ Figure \* ARABIC </w:instrText>
      </w:r>
      <w:r w:rsid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4</w:t>
      </w:r>
      <w:r w:rsidR="005D262E">
        <w:rPr>
          <w:rFonts w:ascii="Times New Roman" w:hAnsi="Times New Roman" w:cs="Times New Roman"/>
          <w:i w:val="0"/>
          <w:iCs w:val="0"/>
          <w:color w:val="000000" w:themeColor="text1"/>
          <w:sz w:val="24"/>
          <w:szCs w:val="24"/>
        </w:rPr>
        <w:fldChar w:fldCharType="end"/>
      </w:r>
      <w:r w:rsidR="007A69A3" w:rsidRPr="00B16E45">
        <w:rPr>
          <w:rFonts w:ascii="Times New Roman" w:hAnsi="Times New Roman" w:cs="Times New Roman"/>
          <w:i w:val="0"/>
          <w:iCs w:val="0"/>
          <w:color w:val="000000" w:themeColor="text1"/>
          <w:sz w:val="24"/>
          <w:szCs w:val="24"/>
        </w:rPr>
        <w:t xml:space="preserve"> Subnational Coastal Population (Persons – thousands)</w:t>
      </w:r>
      <w:r w:rsidR="007A69A3" w:rsidRPr="00B16E45">
        <w:rPr>
          <w:rFonts w:ascii="Times New Roman" w:hAnsi="Times New Roman" w:cs="Times New Roman"/>
          <w:i w:val="0"/>
          <w:iCs w:val="0"/>
          <w:color w:val="000000" w:themeColor="text1"/>
          <w:sz w:val="24"/>
          <w:szCs w:val="24"/>
        </w:rPr>
        <w:br/>
        <w:t>(Data source: Statistics of Indonesia)</w:t>
      </w:r>
      <w:bookmarkEnd w:id="22"/>
    </w:p>
    <w:p w14:paraId="5FC85047" w14:textId="77777777" w:rsidR="007A69A3" w:rsidRPr="000118A3" w:rsidRDefault="007A69A3" w:rsidP="007A69A3">
      <w:pPr>
        <w:ind w:left="284"/>
        <w:jc w:val="both"/>
        <w:rPr>
          <w:rFonts w:ascii="Times New Roman" w:eastAsia="Times New Roman" w:hAnsi="Times New Roman" w:cs="Times New Roman"/>
          <w:sz w:val="22"/>
          <w:szCs w:val="22"/>
        </w:rPr>
      </w:pPr>
    </w:p>
    <w:p w14:paraId="22BC9FD7" w14:textId="12A9E95E" w:rsidR="007A69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The study locations show a declining sex ratio from 2020 to 2025, indicating a reduced dominance of the male population. This trend is linked to migration patterns, especially the movement of male workers into industrial and mining sectors. Weeks (2015) notes that demographic changes, including sex ratio shifts, are strongly shaped by mobility and urbanization. The Riau Islands and Bangka Belitung have higher sex ratios than the other regions because their major economic sectors</w:t>
      </w:r>
      <w:r w:rsidR="008709D8">
        <w:rPr>
          <w:rFonts w:ascii="Times New Roman" w:hAnsi="Times New Roman" w:cs="Times New Roman"/>
          <w:sz w:val="22"/>
          <w:szCs w:val="22"/>
        </w:rPr>
        <w:t xml:space="preserve"> </w:t>
      </w:r>
      <w:r w:rsidRPr="000118A3">
        <w:rPr>
          <w:rFonts w:ascii="Times New Roman" w:hAnsi="Times New Roman" w:cs="Times New Roman"/>
          <w:sz w:val="22"/>
          <w:szCs w:val="22"/>
        </w:rPr>
        <w:t>fisheries, mining, and logistics</w:t>
      </w:r>
      <w:r w:rsidR="008709D8">
        <w:rPr>
          <w:rFonts w:ascii="Times New Roman" w:hAnsi="Times New Roman" w:cs="Times New Roman"/>
          <w:sz w:val="22"/>
          <w:szCs w:val="22"/>
        </w:rPr>
        <w:t xml:space="preserve"> </w:t>
      </w:r>
      <w:r w:rsidRPr="000118A3">
        <w:rPr>
          <w:rFonts w:ascii="Times New Roman" w:hAnsi="Times New Roman" w:cs="Times New Roman"/>
          <w:sz w:val="22"/>
          <w:szCs w:val="22"/>
        </w:rPr>
        <w:t xml:space="preserve">employ more men. However, the recent decline may reflect changes in local economic structures and growing participation of women in both informal and formal sectors. This is consistent with gender-responsive coastal development approaches that promote equal access to economic opportunities and decision-making (FAO, 2020). The sex ratio distribution for the study areas is shown in Figure </w:t>
      </w:r>
      <w:r w:rsidR="00B16E45">
        <w:rPr>
          <w:rFonts w:ascii="Times New Roman" w:hAnsi="Times New Roman" w:cs="Times New Roman"/>
          <w:sz w:val="22"/>
          <w:szCs w:val="22"/>
        </w:rPr>
        <w:t>5</w:t>
      </w:r>
      <w:r w:rsidRPr="000118A3">
        <w:rPr>
          <w:rFonts w:ascii="Times New Roman" w:hAnsi="Times New Roman" w:cs="Times New Roman"/>
          <w:sz w:val="22"/>
          <w:szCs w:val="22"/>
        </w:rPr>
        <w:t>.</w:t>
      </w:r>
    </w:p>
    <w:p w14:paraId="2D633EDC" w14:textId="77777777" w:rsidR="004D4503" w:rsidRPr="000118A3" w:rsidRDefault="004D4503" w:rsidP="004D4503">
      <w:pPr>
        <w:ind w:left="284"/>
        <w:jc w:val="center"/>
        <w:rPr>
          <w:rFonts w:ascii="Times New Roman" w:hAnsi="Times New Roman" w:cs="Times New Roman"/>
          <w:sz w:val="22"/>
          <w:szCs w:val="22"/>
        </w:rPr>
      </w:pPr>
    </w:p>
    <w:p w14:paraId="394CD219" w14:textId="77777777" w:rsidR="007A69A3" w:rsidRPr="000118A3" w:rsidRDefault="007A69A3" w:rsidP="004D4503">
      <w:pPr>
        <w:ind w:left="284"/>
        <w:jc w:val="center"/>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rPr>
        <w:drawing>
          <wp:inline distT="0" distB="0" distL="0" distR="0" wp14:anchorId="0B20DB56" wp14:editId="49BB8740">
            <wp:extent cx="5301095" cy="1125916"/>
            <wp:effectExtent l="19050" t="19050" r="13970" b="17145"/>
            <wp:docPr id="972098501" name="Picture 1" descr="A graph with numbers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098501" name="Picture 1" descr="A graph with numbers and a number&#10;&#10;AI-generated content may be incorrect."/>
                    <pic:cNvPicPr/>
                  </pic:nvPicPr>
                  <pic:blipFill>
                    <a:blip r:embed="rId21"/>
                    <a:stretch>
                      <a:fillRect/>
                    </a:stretch>
                  </pic:blipFill>
                  <pic:spPr>
                    <a:xfrm>
                      <a:off x="0" y="0"/>
                      <a:ext cx="5307489" cy="1127274"/>
                    </a:xfrm>
                    <a:prstGeom prst="rect">
                      <a:avLst/>
                    </a:prstGeom>
                    <a:ln>
                      <a:solidFill>
                        <a:schemeClr val="bg2">
                          <a:lumMod val="90000"/>
                        </a:schemeClr>
                      </a:solidFill>
                    </a:ln>
                  </pic:spPr>
                </pic:pic>
              </a:graphicData>
            </a:graphic>
          </wp:inline>
        </w:drawing>
      </w:r>
    </w:p>
    <w:p w14:paraId="5324DE80" w14:textId="693DD000" w:rsidR="007A69A3" w:rsidRPr="00B16E45" w:rsidRDefault="00B16E45" w:rsidP="00B16E45">
      <w:pPr>
        <w:pStyle w:val="Caption"/>
        <w:jc w:val="center"/>
        <w:rPr>
          <w:rFonts w:ascii="Times New Roman" w:hAnsi="Times New Roman" w:cs="Times New Roman"/>
          <w:i w:val="0"/>
          <w:iCs w:val="0"/>
          <w:color w:val="000000" w:themeColor="text1"/>
          <w:sz w:val="24"/>
          <w:szCs w:val="24"/>
        </w:rPr>
      </w:pPr>
      <w:bookmarkStart w:id="23" w:name="_Toc217297592"/>
      <w:r w:rsidRPr="00B16E45">
        <w:rPr>
          <w:rFonts w:ascii="Times New Roman" w:hAnsi="Times New Roman" w:cs="Times New Roman"/>
          <w:i w:val="0"/>
          <w:iCs w:val="0"/>
          <w:color w:val="000000" w:themeColor="text1"/>
          <w:sz w:val="24"/>
          <w:szCs w:val="24"/>
        </w:rPr>
        <w:t xml:space="preserve">Figure </w:t>
      </w:r>
      <w:r w:rsidR="005D262E">
        <w:rPr>
          <w:rFonts w:ascii="Times New Roman" w:hAnsi="Times New Roman" w:cs="Times New Roman"/>
          <w:i w:val="0"/>
          <w:iCs w:val="0"/>
          <w:color w:val="000000" w:themeColor="text1"/>
          <w:sz w:val="24"/>
          <w:szCs w:val="24"/>
        </w:rPr>
        <w:fldChar w:fldCharType="begin"/>
      </w:r>
      <w:r w:rsidR="005D262E">
        <w:rPr>
          <w:rFonts w:ascii="Times New Roman" w:hAnsi="Times New Roman" w:cs="Times New Roman"/>
          <w:i w:val="0"/>
          <w:iCs w:val="0"/>
          <w:color w:val="000000" w:themeColor="text1"/>
          <w:sz w:val="24"/>
          <w:szCs w:val="24"/>
        </w:rPr>
        <w:instrText xml:space="preserve"> SEQ Figure \* ARABIC </w:instrText>
      </w:r>
      <w:r w:rsid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5</w:t>
      </w:r>
      <w:r w:rsidR="005D262E">
        <w:rPr>
          <w:rFonts w:ascii="Times New Roman" w:hAnsi="Times New Roman" w:cs="Times New Roman"/>
          <w:i w:val="0"/>
          <w:iCs w:val="0"/>
          <w:color w:val="000000" w:themeColor="text1"/>
          <w:sz w:val="24"/>
          <w:szCs w:val="24"/>
        </w:rPr>
        <w:fldChar w:fldCharType="end"/>
      </w:r>
      <w:r w:rsidR="008709D8" w:rsidRPr="00B16E45">
        <w:rPr>
          <w:rFonts w:ascii="Times New Roman" w:hAnsi="Times New Roman" w:cs="Times New Roman"/>
          <w:b/>
          <w:bCs/>
          <w:i w:val="0"/>
          <w:iCs w:val="0"/>
          <w:color w:val="000000" w:themeColor="text1"/>
          <w:sz w:val="24"/>
          <w:szCs w:val="24"/>
        </w:rPr>
        <w:t xml:space="preserve"> </w:t>
      </w:r>
      <w:r w:rsidR="007A69A3" w:rsidRPr="00B16E45">
        <w:rPr>
          <w:rFonts w:ascii="Times New Roman" w:hAnsi="Times New Roman" w:cs="Times New Roman"/>
          <w:i w:val="0"/>
          <w:iCs w:val="0"/>
          <w:color w:val="000000" w:themeColor="text1"/>
          <w:sz w:val="24"/>
          <w:szCs w:val="24"/>
        </w:rPr>
        <w:t>Population Sex Ratio in the Study Locations</w:t>
      </w:r>
      <w:r w:rsidR="007A69A3" w:rsidRPr="00B16E45">
        <w:rPr>
          <w:rFonts w:ascii="Times New Roman" w:hAnsi="Times New Roman" w:cs="Times New Roman"/>
          <w:i w:val="0"/>
          <w:iCs w:val="0"/>
          <w:color w:val="000000" w:themeColor="text1"/>
          <w:sz w:val="24"/>
          <w:szCs w:val="24"/>
        </w:rPr>
        <w:br/>
        <w:t>(Data Source: Statistics of Indonesia)</w:t>
      </w:r>
      <w:bookmarkEnd w:id="23"/>
    </w:p>
    <w:p w14:paraId="4878B109" w14:textId="77777777" w:rsidR="007A69A3" w:rsidRPr="000118A3" w:rsidRDefault="007A69A3" w:rsidP="007A69A3">
      <w:pPr>
        <w:ind w:left="284"/>
        <w:jc w:val="center"/>
        <w:rPr>
          <w:rFonts w:ascii="Times New Roman" w:eastAsia="Times New Roman" w:hAnsi="Times New Roman" w:cs="Times New Roman"/>
          <w:color w:val="000000"/>
          <w:sz w:val="22"/>
          <w:szCs w:val="22"/>
        </w:rPr>
      </w:pPr>
    </w:p>
    <w:p w14:paraId="592C8C9F" w14:textId="77777777" w:rsidR="007A69A3" w:rsidRPr="000118A3" w:rsidRDefault="007A69A3" w:rsidP="007A69A3">
      <w:pPr>
        <w:ind w:left="284"/>
        <w:rPr>
          <w:rFonts w:ascii="Times New Roman" w:hAnsi="Times New Roman" w:cs="Times New Roman"/>
          <w:b/>
          <w:bCs/>
          <w:sz w:val="22"/>
          <w:szCs w:val="22"/>
        </w:rPr>
      </w:pPr>
      <w:r w:rsidRPr="000118A3">
        <w:rPr>
          <w:rFonts w:ascii="Times New Roman" w:hAnsi="Times New Roman" w:cs="Times New Roman"/>
          <w:b/>
          <w:bCs/>
          <w:sz w:val="22"/>
          <w:szCs w:val="22"/>
        </w:rPr>
        <w:t>SE1-2. Areas of subnational first level administrative region</w:t>
      </w:r>
    </w:p>
    <w:p w14:paraId="1D1B8E40" w14:textId="34E86A46" w:rsidR="007A69A3" w:rsidRPr="000118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 xml:space="preserve">The land area distribution across the four provinces shows geographic differences that directly influence coastal socio-economic development. West Kalimantan and South Sumatra have large land areas and long coastlines, giving them substantial potential for coastal and marine resources. However, this often creates spatial inequality, especially in access to infrastructure, markets, and public services between coastal and urban zones (Setiawan et al., 2021). From a Resilience Theory perspective (Folke et al., 2016), large territories require diverse strategies, including integrated maritime transportation, stronger local market networks, and protection of key ecosystems. In contrast, the Riau Islands Province is smaller but strategically located along international trade routes, allowing it to adopt faster-growing economic models based on maritime services and cross-border trade. Nurhidayah et al. (2023) highlight that small but strategically positioned provinces can maximize marine logistics, coastal tourism, and high–value fisheries. The distribution of subnational first-level administrative areas is illustrated in Figure </w:t>
      </w:r>
      <w:r w:rsidR="00B16E45">
        <w:rPr>
          <w:rFonts w:ascii="Times New Roman" w:hAnsi="Times New Roman" w:cs="Times New Roman"/>
          <w:sz w:val="22"/>
          <w:szCs w:val="22"/>
        </w:rPr>
        <w:t>6</w:t>
      </w:r>
      <w:r w:rsidRPr="000118A3">
        <w:rPr>
          <w:rFonts w:ascii="Times New Roman" w:hAnsi="Times New Roman" w:cs="Times New Roman"/>
          <w:sz w:val="22"/>
          <w:szCs w:val="22"/>
        </w:rPr>
        <w:t>.</w:t>
      </w:r>
    </w:p>
    <w:p w14:paraId="452CE299" w14:textId="77777777" w:rsidR="007A69A3" w:rsidRPr="00B16E45" w:rsidRDefault="007A69A3" w:rsidP="00B16E45">
      <w:pPr>
        <w:ind w:left="284"/>
        <w:jc w:val="center"/>
        <w:rPr>
          <w:rFonts w:ascii="Times New Roman" w:hAnsi="Times New Roman" w:cs="Times New Roman"/>
          <w:color w:val="000000" w:themeColor="text1"/>
        </w:rPr>
      </w:pPr>
      <w:r w:rsidRPr="00B16E45">
        <w:rPr>
          <w:rFonts w:ascii="Times New Roman" w:hAnsi="Times New Roman" w:cs="Times New Roman"/>
          <w:noProof/>
          <w:color w:val="000000" w:themeColor="text1"/>
        </w:rPr>
        <w:drawing>
          <wp:inline distT="0" distB="0" distL="0" distR="0" wp14:anchorId="25E7965A" wp14:editId="3A408010">
            <wp:extent cx="5943600" cy="1794510"/>
            <wp:effectExtent l="19050" t="19050" r="19050" b="15240"/>
            <wp:docPr id="165376779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67798" name="Picture 1" descr="A screenshot of a computer&#10;&#10;AI-generated content may be incorrect."/>
                    <pic:cNvPicPr/>
                  </pic:nvPicPr>
                  <pic:blipFill>
                    <a:blip r:embed="rId22"/>
                    <a:stretch>
                      <a:fillRect/>
                    </a:stretch>
                  </pic:blipFill>
                  <pic:spPr>
                    <a:xfrm>
                      <a:off x="0" y="0"/>
                      <a:ext cx="5943600" cy="1794510"/>
                    </a:xfrm>
                    <a:prstGeom prst="rect">
                      <a:avLst/>
                    </a:prstGeom>
                    <a:ln>
                      <a:solidFill>
                        <a:schemeClr val="bg2">
                          <a:lumMod val="90000"/>
                        </a:schemeClr>
                      </a:solidFill>
                    </a:ln>
                  </pic:spPr>
                </pic:pic>
              </a:graphicData>
            </a:graphic>
          </wp:inline>
        </w:drawing>
      </w:r>
    </w:p>
    <w:p w14:paraId="65FDEE02" w14:textId="59500DEC" w:rsidR="007A69A3" w:rsidRPr="00B16E45" w:rsidRDefault="00B16E45" w:rsidP="00B16E45">
      <w:pPr>
        <w:pStyle w:val="Caption"/>
        <w:jc w:val="center"/>
        <w:rPr>
          <w:rFonts w:ascii="Times New Roman" w:hAnsi="Times New Roman" w:cs="Times New Roman"/>
          <w:i w:val="0"/>
          <w:iCs w:val="0"/>
          <w:color w:val="000000" w:themeColor="text1"/>
          <w:sz w:val="24"/>
          <w:szCs w:val="24"/>
        </w:rPr>
      </w:pPr>
      <w:bookmarkStart w:id="24" w:name="_Toc217297593"/>
      <w:r w:rsidRPr="00B16E45">
        <w:rPr>
          <w:rFonts w:ascii="Times New Roman" w:hAnsi="Times New Roman" w:cs="Times New Roman"/>
          <w:i w:val="0"/>
          <w:iCs w:val="0"/>
          <w:color w:val="000000" w:themeColor="text1"/>
          <w:sz w:val="24"/>
          <w:szCs w:val="24"/>
        </w:rPr>
        <w:t xml:space="preserve">Figure </w:t>
      </w:r>
      <w:r w:rsidR="005D262E">
        <w:rPr>
          <w:rFonts w:ascii="Times New Roman" w:hAnsi="Times New Roman" w:cs="Times New Roman"/>
          <w:i w:val="0"/>
          <w:iCs w:val="0"/>
          <w:color w:val="000000" w:themeColor="text1"/>
          <w:sz w:val="24"/>
          <w:szCs w:val="24"/>
        </w:rPr>
        <w:fldChar w:fldCharType="begin"/>
      </w:r>
      <w:r w:rsidR="005D262E">
        <w:rPr>
          <w:rFonts w:ascii="Times New Roman" w:hAnsi="Times New Roman" w:cs="Times New Roman"/>
          <w:i w:val="0"/>
          <w:iCs w:val="0"/>
          <w:color w:val="000000" w:themeColor="text1"/>
          <w:sz w:val="24"/>
          <w:szCs w:val="24"/>
        </w:rPr>
        <w:instrText xml:space="preserve"> SEQ Figure \* ARABIC </w:instrText>
      </w:r>
      <w:r w:rsid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6</w:t>
      </w:r>
      <w:r w:rsidR="005D262E">
        <w:rPr>
          <w:rFonts w:ascii="Times New Roman" w:hAnsi="Times New Roman" w:cs="Times New Roman"/>
          <w:i w:val="0"/>
          <w:iCs w:val="0"/>
          <w:color w:val="000000" w:themeColor="text1"/>
          <w:sz w:val="24"/>
          <w:szCs w:val="24"/>
        </w:rPr>
        <w:fldChar w:fldCharType="end"/>
      </w:r>
      <w:r w:rsidR="007A69A3" w:rsidRPr="00B16E45">
        <w:rPr>
          <w:rFonts w:ascii="Times New Roman" w:hAnsi="Times New Roman" w:cs="Times New Roman"/>
          <w:i w:val="0"/>
          <w:iCs w:val="0"/>
          <w:color w:val="000000" w:themeColor="text1"/>
          <w:sz w:val="24"/>
          <w:szCs w:val="24"/>
        </w:rPr>
        <w:t xml:space="preserve"> Areas of Subnational First-Level Administrative Regions</w:t>
      </w:r>
      <w:r w:rsidR="007A69A3" w:rsidRPr="00B16E45">
        <w:rPr>
          <w:rFonts w:ascii="Times New Roman" w:hAnsi="Times New Roman" w:cs="Times New Roman"/>
          <w:i w:val="0"/>
          <w:iCs w:val="0"/>
          <w:color w:val="000000" w:themeColor="text1"/>
          <w:sz w:val="24"/>
          <w:szCs w:val="24"/>
        </w:rPr>
        <w:br/>
        <w:t>(Data Source: Statistics of Indonesia)</w:t>
      </w:r>
      <w:bookmarkEnd w:id="24"/>
    </w:p>
    <w:p w14:paraId="59A0A82E" w14:textId="77777777" w:rsidR="007A69A3" w:rsidRPr="000118A3" w:rsidRDefault="007A69A3" w:rsidP="007A69A3">
      <w:pPr>
        <w:ind w:left="284"/>
        <w:jc w:val="center"/>
        <w:rPr>
          <w:rFonts w:ascii="Times New Roman" w:hAnsi="Times New Roman" w:cs="Times New Roman"/>
          <w:sz w:val="22"/>
          <w:szCs w:val="22"/>
        </w:rPr>
      </w:pPr>
    </w:p>
    <w:p w14:paraId="0360C44E" w14:textId="77777777" w:rsidR="007A69A3" w:rsidRPr="000118A3" w:rsidRDefault="007A69A3" w:rsidP="007A69A3">
      <w:pPr>
        <w:ind w:left="284"/>
        <w:rPr>
          <w:rFonts w:ascii="Times New Roman" w:hAnsi="Times New Roman" w:cs="Times New Roman"/>
          <w:sz w:val="22"/>
          <w:szCs w:val="22"/>
          <w:lang w:val="id-ID"/>
        </w:rPr>
      </w:pPr>
    </w:p>
    <w:p w14:paraId="675921DC" w14:textId="77777777" w:rsidR="007A69A3" w:rsidRPr="000118A3" w:rsidRDefault="007A69A3" w:rsidP="007A69A3">
      <w:pPr>
        <w:ind w:left="284"/>
        <w:rPr>
          <w:rFonts w:ascii="Times New Roman" w:hAnsi="Times New Roman" w:cs="Times New Roman"/>
          <w:b/>
          <w:bCs/>
          <w:sz w:val="22"/>
          <w:szCs w:val="22"/>
          <w:highlight w:val="yellow"/>
        </w:rPr>
      </w:pPr>
      <w:r w:rsidRPr="000118A3">
        <w:rPr>
          <w:rFonts w:ascii="Times New Roman" w:hAnsi="Times New Roman" w:cs="Times New Roman"/>
          <w:b/>
          <w:bCs/>
          <w:sz w:val="22"/>
          <w:szCs w:val="22"/>
        </w:rPr>
        <w:t>SE1-3. Subnational coastal populations as % of national</w:t>
      </w:r>
    </w:p>
    <w:p w14:paraId="6174DE45" w14:textId="77777777" w:rsidR="007A69A3" w:rsidRPr="000118A3" w:rsidRDefault="007A69A3" w:rsidP="007A69A3">
      <w:pPr>
        <w:ind w:left="284"/>
        <w:rPr>
          <w:rFonts w:ascii="Times New Roman" w:hAnsi="Times New Roman" w:cs="Times New Roman"/>
          <w:b/>
          <w:bCs/>
          <w:sz w:val="22"/>
          <w:szCs w:val="22"/>
        </w:rPr>
      </w:pPr>
      <w:r w:rsidRPr="000118A3">
        <w:rPr>
          <w:rFonts w:ascii="Times New Roman" w:hAnsi="Times New Roman" w:cs="Times New Roman"/>
          <w:b/>
          <w:bCs/>
          <w:sz w:val="22"/>
          <w:szCs w:val="22"/>
        </w:rPr>
        <w:t>Population Distribution</w:t>
      </w:r>
    </w:p>
    <w:p w14:paraId="5B7FE5BD" w14:textId="42C3C321" w:rsidR="007A69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lastRenderedPageBreak/>
        <w:t xml:space="preserve">During 2020–2025, South Sumatra contributed the largest proportion of coastal population to the national total (around 3.13–3.14%), followed by West Kalimantan at about 2%, while Bangka Belitung and the Riau Islands each accounted for less than 1%. These differences reflect varying demographic capacities that may shape coastal economic activity. Adrianto et al. (2019) note that provinces with larger coastal populations tend to have a wider labor base for fisheries, maritime, and trade sectors. However, high population concentration also increases pressure on coastal resources if not supported by sustainable management. The population distribution is shown in Figure </w:t>
      </w:r>
      <w:r w:rsidR="00B16E45">
        <w:rPr>
          <w:rFonts w:ascii="Times New Roman" w:hAnsi="Times New Roman" w:cs="Times New Roman"/>
          <w:sz w:val="22"/>
          <w:szCs w:val="22"/>
        </w:rPr>
        <w:t>7</w:t>
      </w:r>
      <w:r w:rsidRPr="000118A3">
        <w:rPr>
          <w:rFonts w:ascii="Times New Roman" w:hAnsi="Times New Roman" w:cs="Times New Roman"/>
          <w:sz w:val="22"/>
          <w:szCs w:val="22"/>
        </w:rPr>
        <w:t>.</w:t>
      </w:r>
    </w:p>
    <w:p w14:paraId="214CDFC7" w14:textId="77777777" w:rsidR="004D4503" w:rsidRPr="000118A3" w:rsidRDefault="004D4503" w:rsidP="007A69A3">
      <w:pPr>
        <w:ind w:left="284"/>
        <w:jc w:val="both"/>
        <w:rPr>
          <w:rFonts w:ascii="Times New Roman" w:hAnsi="Times New Roman" w:cs="Times New Roman"/>
          <w:sz w:val="22"/>
          <w:szCs w:val="22"/>
        </w:rPr>
      </w:pPr>
    </w:p>
    <w:p w14:paraId="549D7A58" w14:textId="77777777" w:rsidR="007A69A3" w:rsidRPr="000118A3" w:rsidRDefault="007A69A3" w:rsidP="007A69A3">
      <w:pPr>
        <w:ind w:left="284"/>
        <w:jc w:val="both"/>
        <w:rPr>
          <w:rFonts w:ascii="Times New Roman" w:hAnsi="Times New Roman" w:cs="Times New Roman"/>
          <w:b/>
          <w:bCs/>
          <w:sz w:val="22"/>
          <w:szCs w:val="22"/>
          <w:highlight w:val="yellow"/>
        </w:rPr>
      </w:pPr>
      <w:r w:rsidRPr="000118A3">
        <w:rPr>
          <w:rFonts w:ascii="Times New Roman" w:hAnsi="Times New Roman" w:cs="Times New Roman"/>
          <w:noProof/>
          <w:sz w:val="22"/>
          <w:szCs w:val="22"/>
          <w:shd w:val="clear" w:color="auto" w:fill="D9D9D9" w:themeFill="background1" w:themeFillShade="D9"/>
        </w:rPr>
        <w:drawing>
          <wp:inline distT="0" distB="0" distL="0" distR="0" wp14:anchorId="7DDC390F" wp14:editId="577DA92C">
            <wp:extent cx="5943600" cy="1662430"/>
            <wp:effectExtent l="19050" t="19050" r="19050" b="13970"/>
            <wp:docPr id="2110835552" name="Picture 1" descr="A graph of numbers and a number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835552" name="Picture 1" descr="A graph of numbers and a number of numbers&#10;&#10;AI-generated content may be incorrect."/>
                    <pic:cNvPicPr/>
                  </pic:nvPicPr>
                  <pic:blipFill>
                    <a:blip r:embed="rId23"/>
                    <a:stretch>
                      <a:fillRect/>
                    </a:stretch>
                  </pic:blipFill>
                  <pic:spPr>
                    <a:xfrm>
                      <a:off x="0" y="0"/>
                      <a:ext cx="5943600" cy="1662430"/>
                    </a:xfrm>
                    <a:prstGeom prst="rect">
                      <a:avLst/>
                    </a:prstGeom>
                    <a:ln>
                      <a:solidFill>
                        <a:schemeClr val="bg2">
                          <a:lumMod val="90000"/>
                        </a:schemeClr>
                      </a:solidFill>
                    </a:ln>
                  </pic:spPr>
                </pic:pic>
              </a:graphicData>
            </a:graphic>
          </wp:inline>
        </w:drawing>
      </w:r>
    </w:p>
    <w:p w14:paraId="386B7762" w14:textId="7CA48174" w:rsidR="007A69A3" w:rsidRPr="00B16E45" w:rsidRDefault="00B16E45" w:rsidP="00B16E45">
      <w:pPr>
        <w:pStyle w:val="Caption"/>
        <w:jc w:val="center"/>
        <w:rPr>
          <w:rFonts w:ascii="Times New Roman" w:hAnsi="Times New Roman" w:cs="Times New Roman"/>
          <w:i w:val="0"/>
          <w:iCs w:val="0"/>
          <w:color w:val="000000" w:themeColor="text1"/>
          <w:sz w:val="24"/>
          <w:szCs w:val="24"/>
        </w:rPr>
      </w:pPr>
      <w:bookmarkStart w:id="25" w:name="_Toc217297594"/>
      <w:r w:rsidRPr="00B16E45">
        <w:rPr>
          <w:rFonts w:ascii="Times New Roman" w:hAnsi="Times New Roman" w:cs="Times New Roman"/>
          <w:i w:val="0"/>
          <w:iCs w:val="0"/>
          <w:color w:val="000000" w:themeColor="text1"/>
          <w:sz w:val="24"/>
          <w:szCs w:val="24"/>
        </w:rPr>
        <w:t xml:space="preserve">Figure </w:t>
      </w:r>
      <w:r w:rsidR="005D262E">
        <w:rPr>
          <w:rFonts w:ascii="Times New Roman" w:hAnsi="Times New Roman" w:cs="Times New Roman"/>
          <w:i w:val="0"/>
          <w:iCs w:val="0"/>
          <w:color w:val="000000" w:themeColor="text1"/>
          <w:sz w:val="24"/>
          <w:szCs w:val="24"/>
        </w:rPr>
        <w:fldChar w:fldCharType="begin"/>
      </w:r>
      <w:r w:rsidR="005D262E">
        <w:rPr>
          <w:rFonts w:ascii="Times New Roman" w:hAnsi="Times New Roman" w:cs="Times New Roman"/>
          <w:i w:val="0"/>
          <w:iCs w:val="0"/>
          <w:color w:val="000000" w:themeColor="text1"/>
          <w:sz w:val="24"/>
          <w:szCs w:val="24"/>
        </w:rPr>
        <w:instrText xml:space="preserve"> SEQ Figure \* ARABIC </w:instrText>
      </w:r>
      <w:r w:rsid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7</w:t>
      </w:r>
      <w:r w:rsidR="005D262E">
        <w:rPr>
          <w:rFonts w:ascii="Times New Roman" w:hAnsi="Times New Roman" w:cs="Times New Roman"/>
          <w:i w:val="0"/>
          <w:iCs w:val="0"/>
          <w:color w:val="000000" w:themeColor="text1"/>
          <w:sz w:val="24"/>
          <w:szCs w:val="24"/>
        </w:rPr>
        <w:fldChar w:fldCharType="end"/>
      </w:r>
      <w:r w:rsidRPr="00B16E45">
        <w:rPr>
          <w:rFonts w:ascii="Times New Roman" w:hAnsi="Times New Roman" w:cs="Times New Roman"/>
          <w:b/>
          <w:bCs/>
          <w:i w:val="0"/>
          <w:iCs w:val="0"/>
          <w:color w:val="000000" w:themeColor="text1"/>
          <w:sz w:val="24"/>
          <w:szCs w:val="24"/>
        </w:rPr>
        <w:t xml:space="preserve"> </w:t>
      </w:r>
      <w:r w:rsidR="007A69A3" w:rsidRPr="00B16E45">
        <w:rPr>
          <w:rFonts w:ascii="Times New Roman" w:hAnsi="Times New Roman" w:cs="Times New Roman"/>
          <w:i w:val="0"/>
          <w:iCs w:val="0"/>
          <w:color w:val="000000" w:themeColor="text1"/>
          <w:sz w:val="24"/>
          <w:szCs w:val="24"/>
        </w:rPr>
        <w:t>Population Distribution (%) in the Study Locations</w:t>
      </w:r>
      <w:r w:rsidR="007A69A3" w:rsidRPr="00B16E45">
        <w:rPr>
          <w:rFonts w:ascii="Times New Roman" w:hAnsi="Times New Roman" w:cs="Times New Roman"/>
          <w:i w:val="0"/>
          <w:iCs w:val="0"/>
          <w:color w:val="000000" w:themeColor="text1"/>
          <w:sz w:val="24"/>
          <w:szCs w:val="24"/>
        </w:rPr>
        <w:br/>
        <w:t>(Data Source: Statistics Indonesia)</w:t>
      </w:r>
      <w:bookmarkEnd w:id="25"/>
    </w:p>
    <w:p w14:paraId="0DCFB648" w14:textId="77777777" w:rsidR="007A69A3" w:rsidRPr="000118A3" w:rsidRDefault="007A69A3" w:rsidP="007A69A3">
      <w:pPr>
        <w:ind w:left="284"/>
        <w:jc w:val="center"/>
        <w:rPr>
          <w:rFonts w:ascii="Times New Roman" w:hAnsi="Times New Roman" w:cs="Times New Roman"/>
          <w:sz w:val="22"/>
          <w:szCs w:val="22"/>
          <w:lang w:val="id-ID"/>
        </w:rPr>
      </w:pPr>
    </w:p>
    <w:p w14:paraId="7490AD2A" w14:textId="77777777" w:rsidR="007A69A3" w:rsidRPr="000118A3" w:rsidRDefault="007A69A3" w:rsidP="007A69A3">
      <w:pPr>
        <w:ind w:left="284"/>
        <w:rPr>
          <w:rFonts w:ascii="Times New Roman" w:hAnsi="Times New Roman" w:cs="Times New Roman"/>
          <w:b/>
          <w:bCs/>
          <w:sz w:val="22"/>
          <w:szCs w:val="22"/>
        </w:rPr>
      </w:pPr>
      <w:r w:rsidRPr="000118A3">
        <w:rPr>
          <w:rFonts w:ascii="Times New Roman" w:hAnsi="Times New Roman" w:cs="Times New Roman"/>
          <w:b/>
          <w:bCs/>
          <w:sz w:val="22"/>
          <w:szCs w:val="22"/>
        </w:rPr>
        <w:t>SE1-4. Subnational Coastal region areas as % of national area</w:t>
      </w:r>
    </w:p>
    <w:p w14:paraId="6D500942" w14:textId="2F2B1BBB" w:rsidR="007A69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 xml:space="preserve">The four provinces contribute differently to Indonesia’s total land area of 1,919,440 km². West Kalimantan has the largest coastal area at 147,037.04 km² (7.66%), reflecting its long coastline and broad landmass, which support fisheries, aquaculture, and port development. South Sumatra follows with 86,771.68 km² (4.52%), characterized by major river estuaries such as the Musi, Banyuasin, and Ogan that function as transport corridors and centers of coastal economic activity. The Bangka Belitung Islands cover 16,690.13 km² (0.87%), a small land proportion for an archipelagic province but rich in marine and mineral resources, particularly tin. These areas, however, face environmental pressures from mining and land-use change. The Riau Islands have the smallest coastal area at 8,269.71 km² (0.43%), yet their strategic position along the Malacca Strait and North Natuna Sea makes them economically and geopolitically important, with strengths in fisheries, trade, tourism, and port services. Overall, the variation in coastal area proportions reflects differing physical characteristics, resource potentials, and management challenges. Provinces with large coastal areas have greater marine economic opportunities but also require robust governance to maintain ecosystem sustainability. The proportional distribution of coastal areas is shown in Figure </w:t>
      </w:r>
      <w:r w:rsidR="00B16E45">
        <w:rPr>
          <w:rFonts w:ascii="Times New Roman" w:hAnsi="Times New Roman" w:cs="Times New Roman"/>
          <w:sz w:val="22"/>
          <w:szCs w:val="22"/>
        </w:rPr>
        <w:t>8</w:t>
      </w:r>
      <w:r w:rsidRPr="000118A3">
        <w:rPr>
          <w:rFonts w:ascii="Times New Roman" w:hAnsi="Times New Roman" w:cs="Times New Roman"/>
          <w:sz w:val="22"/>
          <w:szCs w:val="22"/>
        </w:rPr>
        <w:t>.</w:t>
      </w:r>
    </w:p>
    <w:p w14:paraId="18D860DE" w14:textId="77777777" w:rsidR="005D2B89" w:rsidRPr="000118A3" w:rsidRDefault="005D2B89" w:rsidP="007A69A3">
      <w:pPr>
        <w:ind w:left="284"/>
        <w:jc w:val="both"/>
        <w:rPr>
          <w:rFonts w:ascii="Times New Roman" w:hAnsi="Times New Roman" w:cs="Times New Roman"/>
          <w:sz w:val="22"/>
          <w:szCs w:val="22"/>
        </w:rPr>
      </w:pPr>
    </w:p>
    <w:p w14:paraId="3280237C" w14:textId="77777777" w:rsidR="007A69A3" w:rsidRPr="000118A3" w:rsidRDefault="007A69A3" w:rsidP="005D2B89">
      <w:pPr>
        <w:ind w:left="284"/>
        <w:jc w:val="center"/>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1F35FCCE" wp14:editId="230CB1EB">
            <wp:extent cx="3592251" cy="2483490"/>
            <wp:effectExtent l="19050" t="19050" r="27305" b="12065"/>
            <wp:docPr id="320071451" name="Picture 1" descr="A graph with numbers and a b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071451" name="Picture 1" descr="A graph with numbers and a bar&#10;&#10;AI-generated content may be incorrect."/>
                    <pic:cNvPicPr/>
                  </pic:nvPicPr>
                  <pic:blipFill>
                    <a:blip r:embed="rId24"/>
                    <a:stretch>
                      <a:fillRect/>
                    </a:stretch>
                  </pic:blipFill>
                  <pic:spPr>
                    <a:xfrm>
                      <a:off x="0" y="0"/>
                      <a:ext cx="3603097" cy="2490988"/>
                    </a:xfrm>
                    <a:prstGeom prst="rect">
                      <a:avLst/>
                    </a:prstGeom>
                    <a:ln>
                      <a:solidFill>
                        <a:schemeClr val="bg1">
                          <a:lumMod val="85000"/>
                        </a:schemeClr>
                      </a:solidFill>
                    </a:ln>
                  </pic:spPr>
                </pic:pic>
              </a:graphicData>
            </a:graphic>
          </wp:inline>
        </w:drawing>
      </w:r>
    </w:p>
    <w:p w14:paraId="78DE2549" w14:textId="70A54C33" w:rsidR="007A69A3" w:rsidRPr="00B16E45" w:rsidRDefault="00B16E45" w:rsidP="00B16E45">
      <w:pPr>
        <w:pStyle w:val="Caption"/>
        <w:jc w:val="center"/>
        <w:rPr>
          <w:rFonts w:ascii="Times New Roman" w:hAnsi="Times New Roman" w:cs="Times New Roman"/>
          <w:i w:val="0"/>
          <w:iCs w:val="0"/>
          <w:color w:val="000000" w:themeColor="text1"/>
          <w:sz w:val="24"/>
          <w:szCs w:val="24"/>
        </w:rPr>
      </w:pPr>
      <w:bookmarkStart w:id="26" w:name="_Toc217297595"/>
      <w:r w:rsidRPr="00B16E45">
        <w:rPr>
          <w:rFonts w:ascii="Times New Roman" w:hAnsi="Times New Roman" w:cs="Times New Roman"/>
          <w:i w:val="0"/>
          <w:iCs w:val="0"/>
          <w:color w:val="000000" w:themeColor="text1"/>
          <w:sz w:val="24"/>
          <w:szCs w:val="24"/>
        </w:rPr>
        <w:lastRenderedPageBreak/>
        <w:t xml:space="preserve">Figure </w:t>
      </w:r>
      <w:r w:rsidR="005D262E">
        <w:rPr>
          <w:rFonts w:ascii="Times New Roman" w:hAnsi="Times New Roman" w:cs="Times New Roman"/>
          <w:i w:val="0"/>
          <w:iCs w:val="0"/>
          <w:color w:val="000000" w:themeColor="text1"/>
          <w:sz w:val="24"/>
          <w:szCs w:val="24"/>
        </w:rPr>
        <w:fldChar w:fldCharType="begin"/>
      </w:r>
      <w:r w:rsidR="005D262E">
        <w:rPr>
          <w:rFonts w:ascii="Times New Roman" w:hAnsi="Times New Roman" w:cs="Times New Roman"/>
          <w:i w:val="0"/>
          <w:iCs w:val="0"/>
          <w:color w:val="000000" w:themeColor="text1"/>
          <w:sz w:val="24"/>
          <w:szCs w:val="24"/>
        </w:rPr>
        <w:instrText xml:space="preserve"> SEQ Figure \* ARABIC </w:instrText>
      </w:r>
      <w:r w:rsid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8</w:t>
      </w:r>
      <w:r w:rsidR="005D262E">
        <w:rPr>
          <w:rFonts w:ascii="Times New Roman" w:hAnsi="Times New Roman" w:cs="Times New Roman"/>
          <w:i w:val="0"/>
          <w:iCs w:val="0"/>
          <w:color w:val="000000" w:themeColor="text1"/>
          <w:sz w:val="24"/>
          <w:szCs w:val="24"/>
        </w:rPr>
        <w:fldChar w:fldCharType="end"/>
      </w:r>
      <w:r w:rsidRPr="00B16E45">
        <w:rPr>
          <w:rFonts w:ascii="Times New Roman" w:hAnsi="Times New Roman" w:cs="Times New Roman"/>
          <w:b/>
          <w:bCs/>
          <w:i w:val="0"/>
          <w:iCs w:val="0"/>
          <w:color w:val="000000" w:themeColor="text1"/>
          <w:sz w:val="24"/>
          <w:szCs w:val="24"/>
        </w:rPr>
        <w:t xml:space="preserve"> </w:t>
      </w:r>
      <w:r w:rsidR="007A69A3" w:rsidRPr="00B16E45">
        <w:rPr>
          <w:rFonts w:ascii="Times New Roman" w:hAnsi="Times New Roman" w:cs="Times New Roman"/>
          <w:i w:val="0"/>
          <w:iCs w:val="0"/>
          <w:color w:val="000000" w:themeColor="text1"/>
          <w:sz w:val="24"/>
          <w:szCs w:val="24"/>
        </w:rPr>
        <w:t>Subnational Coastal Region Areas as a Percentage of the National Area in the Study Locations (Data Source: Statistics of Indonesia)</w:t>
      </w:r>
      <w:bookmarkEnd w:id="26"/>
    </w:p>
    <w:p w14:paraId="5837D1F6" w14:textId="77777777" w:rsidR="00223F84" w:rsidRDefault="00223F84" w:rsidP="007A69A3">
      <w:pPr>
        <w:ind w:left="284"/>
        <w:rPr>
          <w:rFonts w:ascii="Times New Roman" w:hAnsi="Times New Roman" w:cs="Times New Roman"/>
          <w:b/>
          <w:bCs/>
          <w:sz w:val="22"/>
          <w:szCs w:val="22"/>
        </w:rPr>
      </w:pPr>
    </w:p>
    <w:p w14:paraId="7D49482B" w14:textId="46B9928C" w:rsidR="007A69A3" w:rsidRPr="000118A3" w:rsidRDefault="007A69A3" w:rsidP="007A69A3">
      <w:pPr>
        <w:ind w:left="284"/>
        <w:rPr>
          <w:rFonts w:ascii="Times New Roman" w:hAnsi="Times New Roman" w:cs="Times New Roman"/>
          <w:b/>
          <w:bCs/>
          <w:sz w:val="22"/>
          <w:szCs w:val="22"/>
          <w:highlight w:val="yellow"/>
        </w:rPr>
      </w:pPr>
      <w:r w:rsidRPr="000118A3">
        <w:rPr>
          <w:rFonts w:ascii="Times New Roman" w:hAnsi="Times New Roman" w:cs="Times New Roman"/>
          <w:b/>
          <w:bCs/>
          <w:sz w:val="22"/>
          <w:szCs w:val="22"/>
        </w:rPr>
        <w:t>SE1-5. Annual population changes</w:t>
      </w:r>
    </w:p>
    <w:p w14:paraId="7F1ACC8C" w14:textId="3F0C5578" w:rsidR="004D450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 xml:space="preserve">Annual population change in South Sumatra, West Kalimantan, Bangka Belitung, and the Riau Islands was assessed for 2010–2020, 2020–2024, and 2020–2025. All provinces show positive growth but with different trajectories. From 2010–2020, the Riau Islands grew fastest (2.02%) due to in-migration and BBK industrial expansion, followed by Bangka Belitung (1.70%). South Sumatra and West Kalimantan grew steadily at 1.25%. During 2020–2024, growth slowed in most provinces—linked to reduced mobility during COVID-19. South Sumatra dropped to 1.15%, Bangka Belitung to 1.36%, and the Riau Islands to 1.50%. In contrast, West Kalimantan rose to 1.62% due to new infrastructure and industrial development. For 2020–2025, the slowdown continued modestly: South Sumatra (1.12%), Bangka Belitung (1.34%), Riau Islands (1.48%). West Kalimantan remained relatively high at 1.60%. These variations reflect differing economic structures and migration drivers, where industrial hubs and resource-rich regions attract more population growth. Understanding these trends is essential for regional planning, labor policies, and preparing for challenges such as climate change and rapid urbanization (see Figure </w:t>
      </w:r>
      <w:r w:rsidR="00B16E45">
        <w:rPr>
          <w:rFonts w:ascii="Times New Roman" w:hAnsi="Times New Roman" w:cs="Times New Roman"/>
          <w:sz w:val="22"/>
          <w:szCs w:val="22"/>
        </w:rPr>
        <w:t>9</w:t>
      </w:r>
      <w:r w:rsidRPr="000118A3">
        <w:rPr>
          <w:rFonts w:ascii="Times New Roman" w:hAnsi="Times New Roman" w:cs="Times New Roman"/>
          <w:sz w:val="22"/>
          <w:szCs w:val="22"/>
        </w:rPr>
        <w:t>).</w:t>
      </w:r>
    </w:p>
    <w:p w14:paraId="1F8335CF" w14:textId="77777777" w:rsidR="004D4503" w:rsidRDefault="004D4503" w:rsidP="007A69A3">
      <w:pPr>
        <w:ind w:left="284"/>
        <w:jc w:val="both"/>
        <w:rPr>
          <w:rFonts w:ascii="Times New Roman" w:hAnsi="Times New Roman" w:cs="Times New Roman"/>
          <w:sz w:val="22"/>
          <w:szCs w:val="22"/>
        </w:rPr>
      </w:pPr>
    </w:p>
    <w:p w14:paraId="7F629420" w14:textId="7B0B647B" w:rsidR="007A69A3" w:rsidRPr="000118A3" w:rsidRDefault="007A69A3" w:rsidP="004D4503">
      <w:pPr>
        <w:ind w:left="284"/>
        <w:jc w:val="center"/>
        <w:rPr>
          <w:rFonts w:ascii="Times New Roman" w:hAnsi="Times New Roman" w:cs="Times New Roman"/>
          <w:sz w:val="22"/>
          <w:szCs w:val="22"/>
        </w:rPr>
      </w:pPr>
      <w:r w:rsidRPr="000118A3">
        <w:rPr>
          <w:rFonts w:ascii="Times New Roman" w:hAnsi="Times New Roman" w:cs="Times New Roman"/>
          <w:b/>
          <w:bCs/>
          <w:noProof/>
          <w:color w:val="0070C0"/>
          <w:sz w:val="22"/>
          <w:szCs w:val="22"/>
        </w:rPr>
        <w:drawing>
          <wp:inline distT="0" distB="0" distL="0" distR="0" wp14:anchorId="51BFD7F7" wp14:editId="581A0CC5">
            <wp:extent cx="4614405" cy="1330092"/>
            <wp:effectExtent l="19050" t="19050" r="15240" b="22860"/>
            <wp:docPr id="4684711" name="Picture 1" descr="A graph with numbers and a number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4711" name="Picture 1" descr="A graph with numbers and a number of numbers&#10;&#10;AI-generated content may be incorrect."/>
                    <pic:cNvPicPr/>
                  </pic:nvPicPr>
                  <pic:blipFill>
                    <a:blip r:embed="rId25"/>
                    <a:stretch>
                      <a:fillRect/>
                    </a:stretch>
                  </pic:blipFill>
                  <pic:spPr>
                    <a:xfrm>
                      <a:off x="0" y="0"/>
                      <a:ext cx="4660407" cy="1343352"/>
                    </a:xfrm>
                    <a:prstGeom prst="rect">
                      <a:avLst/>
                    </a:prstGeom>
                    <a:ln>
                      <a:solidFill>
                        <a:schemeClr val="bg2">
                          <a:lumMod val="90000"/>
                        </a:schemeClr>
                      </a:solidFill>
                    </a:ln>
                  </pic:spPr>
                </pic:pic>
              </a:graphicData>
            </a:graphic>
          </wp:inline>
        </w:drawing>
      </w:r>
    </w:p>
    <w:p w14:paraId="4A659BF4" w14:textId="1D20F8F7" w:rsidR="00B16E45" w:rsidRDefault="00B16E45" w:rsidP="00B16E45">
      <w:pPr>
        <w:pStyle w:val="Caption"/>
        <w:jc w:val="center"/>
        <w:rPr>
          <w:rFonts w:ascii="Times New Roman" w:hAnsi="Times New Roman" w:cs="Times New Roman"/>
          <w:i w:val="0"/>
          <w:iCs w:val="0"/>
          <w:color w:val="000000" w:themeColor="text1"/>
          <w:sz w:val="24"/>
          <w:szCs w:val="24"/>
        </w:rPr>
      </w:pPr>
      <w:bookmarkStart w:id="27" w:name="_Toc217297596"/>
      <w:r w:rsidRPr="00B16E45">
        <w:rPr>
          <w:rFonts w:ascii="Times New Roman" w:hAnsi="Times New Roman" w:cs="Times New Roman"/>
          <w:i w:val="0"/>
          <w:iCs w:val="0"/>
          <w:color w:val="000000" w:themeColor="text1"/>
          <w:sz w:val="24"/>
          <w:szCs w:val="24"/>
        </w:rPr>
        <w:t xml:space="preserve">Figure </w:t>
      </w:r>
      <w:r w:rsidR="005D262E">
        <w:rPr>
          <w:rFonts w:ascii="Times New Roman" w:hAnsi="Times New Roman" w:cs="Times New Roman"/>
          <w:i w:val="0"/>
          <w:iCs w:val="0"/>
          <w:color w:val="000000" w:themeColor="text1"/>
          <w:sz w:val="24"/>
          <w:szCs w:val="24"/>
        </w:rPr>
        <w:fldChar w:fldCharType="begin"/>
      </w:r>
      <w:r w:rsidR="005D262E">
        <w:rPr>
          <w:rFonts w:ascii="Times New Roman" w:hAnsi="Times New Roman" w:cs="Times New Roman"/>
          <w:i w:val="0"/>
          <w:iCs w:val="0"/>
          <w:color w:val="000000" w:themeColor="text1"/>
          <w:sz w:val="24"/>
          <w:szCs w:val="24"/>
        </w:rPr>
        <w:instrText xml:space="preserve"> SEQ Figure \* ARABIC </w:instrText>
      </w:r>
      <w:r w:rsid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9</w:t>
      </w:r>
      <w:r w:rsidR="005D262E">
        <w:rPr>
          <w:rFonts w:ascii="Times New Roman" w:hAnsi="Times New Roman" w:cs="Times New Roman"/>
          <w:i w:val="0"/>
          <w:iCs w:val="0"/>
          <w:color w:val="000000" w:themeColor="text1"/>
          <w:sz w:val="24"/>
          <w:szCs w:val="24"/>
        </w:rPr>
        <w:fldChar w:fldCharType="end"/>
      </w:r>
      <w:r w:rsidRPr="00B16E45">
        <w:rPr>
          <w:rFonts w:ascii="Times New Roman" w:hAnsi="Times New Roman" w:cs="Times New Roman"/>
          <w:b/>
          <w:bCs/>
          <w:i w:val="0"/>
          <w:iCs w:val="0"/>
          <w:color w:val="000000" w:themeColor="text1"/>
          <w:sz w:val="24"/>
          <w:szCs w:val="24"/>
        </w:rPr>
        <w:t xml:space="preserve"> </w:t>
      </w:r>
      <w:r w:rsidR="007A69A3" w:rsidRPr="00B16E45">
        <w:rPr>
          <w:rFonts w:ascii="Times New Roman" w:hAnsi="Times New Roman" w:cs="Times New Roman"/>
          <w:i w:val="0"/>
          <w:iCs w:val="0"/>
          <w:color w:val="000000" w:themeColor="text1"/>
          <w:sz w:val="24"/>
          <w:szCs w:val="24"/>
        </w:rPr>
        <w:t>Percentage Change per Year (Growth or Attrition) in the Study Locations</w:t>
      </w:r>
      <w:bookmarkEnd w:id="27"/>
      <w:r w:rsidR="007A69A3" w:rsidRPr="00B16E45">
        <w:rPr>
          <w:rFonts w:ascii="Times New Roman" w:hAnsi="Times New Roman" w:cs="Times New Roman"/>
          <w:i w:val="0"/>
          <w:iCs w:val="0"/>
          <w:color w:val="000000" w:themeColor="text1"/>
          <w:sz w:val="24"/>
          <w:szCs w:val="24"/>
        </w:rPr>
        <w:t xml:space="preserve"> </w:t>
      </w:r>
    </w:p>
    <w:p w14:paraId="03D98F3B" w14:textId="36E355F6" w:rsidR="007A69A3" w:rsidRPr="00B16E45" w:rsidRDefault="007A69A3" w:rsidP="00B16E45">
      <w:pPr>
        <w:pStyle w:val="Caption"/>
        <w:jc w:val="center"/>
        <w:rPr>
          <w:rFonts w:ascii="Times New Roman" w:eastAsia="Times New Roman" w:hAnsi="Times New Roman" w:cs="Times New Roman"/>
          <w:i w:val="0"/>
          <w:iCs w:val="0"/>
          <w:color w:val="000000" w:themeColor="text1"/>
          <w:sz w:val="24"/>
          <w:szCs w:val="24"/>
        </w:rPr>
      </w:pPr>
      <w:r w:rsidRPr="00B16E45">
        <w:rPr>
          <w:rFonts w:ascii="Times New Roman" w:eastAsia="Times New Roman" w:hAnsi="Times New Roman" w:cs="Times New Roman"/>
          <w:i w:val="0"/>
          <w:iCs w:val="0"/>
          <w:color w:val="000000" w:themeColor="text1"/>
          <w:sz w:val="24"/>
          <w:szCs w:val="24"/>
        </w:rPr>
        <w:t>(Data Source: Statistics of Indonesia)</w:t>
      </w:r>
    </w:p>
    <w:p w14:paraId="4C588ACC" w14:textId="77777777" w:rsidR="007A69A3" w:rsidRPr="000118A3" w:rsidRDefault="007A69A3" w:rsidP="007A69A3">
      <w:pPr>
        <w:ind w:left="284"/>
        <w:rPr>
          <w:rFonts w:ascii="Times New Roman" w:eastAsia="Times New Roman" w:hAnsi="Times New Roman" w:cs="Times New Roman"/>
          <w:b/>
          <w:bCs/>
          <w:color w:val="000000"/>
          <w:sz w:val="22"/>
          <w:szCs w:val="22"/>
        </w:rPr>
      </w:pPr>
      <w:r w:rsidRPr="000118A3">
        <w:rPr>
          <w:rFonts w:ascii="Times New Roman" w:eastAsia="Times New Roman" w:hAnsi="Times New Roman" w:cs="Times New Roman"/>
          <w:b/>
          <w:bCs/>
          <w:color w:val="000000"/>
          <w:sz w:val="22"/>
          <w:szCs w:val="22"/>
        </w:rPr>
        <w:t>SE1-6. Coastal population densities</w:t>
      </w:r>
    </w:p>
    <w:p w14:paraId="316A9303" w14:textId="05209F62" w:rsidR="007A69A3" w:rsidRPr="000118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 xml:space="preserve">Coastal population density in the study areas varies significantly. The Riau Islands show the highest density, rising from 252 people/km² in 2020 to 268 people/km² in 2025. Neumann et al. (2015) note that high coastal density is typically linked to strategic locations that serve as hubs for trade, international ports, and maritime industries, which stimulate urbanization and economic growth. However, high density can also create ecological pressures, including habitat degradation, coastal pollution, and spatial conflict between industry and fisheries. West Kalimantan has the lowest density due to its large land area and dispersed settlements. This provides opportunities for resource-based coastal development with lower environmental </w:t>
      </w:r>
      <w:r w:rsidR="008709D8" w:rsidRPr="000118A3">
        <w:rPr>
          <w:rFonts w:ascii="Times New Roman" w:hAnsi="Times New Roman" w:cs="Times New Roman"/>
          <w:sz w:val="22"/>
          <w:szCs w:val="22"/>
        </w:rPr>
        <w:t>stress but</w:t>
      </w:r>
      <w:r w:rsidRPr="000118A3">
        <w:rPr>
          <w:rFonts w:ascii="Times New Roman" w:hAnsi="Times New Roman" w:cs="Times New Roman"/>
          <w:sz w:val="22"/>
          <w:szCs w:val="22"/>
        </w:rPr>
        <w:t xml:space="preserve"> also results in higher infrastructure and market access costs (Baiquni et al., 2021). Bangka Belitung and South Sumatra fall in the medium-density range, reaching 93 and 103 people/km² in 2025. According to the carrying capacity and sustainable livelihoods framework (Cinner &amp; Barnes, 2019), moderate density can be advantageous if supported by adaptive coastal governance and strong economic productivity. These density patterns are presented in Figure </w:t>
      </w:r>
      <w:r w:rsidR="005D262E">
        <w:rPr>
          <w:rFonts w:ascii="Times New Roman" w:hAnsi="Times New Roman" w:cs="Times New Roman"/>
          <w:sz w:val="22"/>
          <w:szCs w:val="22"/>
        </w:rPr>
        <w:t>10</w:t>
      </w:r>
      <w:r w:rsidRPr="000118A3">
        <w:rPr>
          <w:rFonts w:ascii="Times New Roman" w:hAnsi="Times New Roman" w:cs="Times New Roman"/>
          <w:sz w:val="22"/>
          <w:szCs w:val="22"/>
        </w:rPr>
        <w:t>.</w:t>
      </w:r>
    </w:p>
    <w:p w14:paraId="60969C1A" w14:textId="77777777" w:rsidR="007A69A3" w:rsidRPr="000118A3" w:rsidRDefault="007A69A3" w:rsidP="007A69A3">
      <w:pPr>
        <w:ind w:left="284"/>
        <w:rPr>
          <w:rFonts w:ascii="Times New Roman" w:hAnsi="Times New Roman" w:cs="Times New Roman"/>
          <w:sz w:val="22"/>
          <w:szCs w:val="22"/>
        </w:rPr>
      </w:pPr>
    </w:p>
    <w:p w14:paraId="0CEF6C43" w14:textId="77777777" w:rsidR="007A69A3" w:rsidRPr="000118A3" w:rsidRDefault="007A69A3" w:rsidP="007A69A3">
      <w:pPr>
        <w:ind w:left="284"/>
        <w:rPr>
          <w:rFonts w:ascii="Times New Roman" w:eastAsia="Times New Roman" w:hAnsi="Times New Roman" w:cs="Times New Roman"/>
          <w:color w:val="00B0F0"/>
          <w:sz w:val="22"/>
          <w:szCs w:val="22"/>
        </w:rPr>
      </w:pPr>
      <w:r w:rsidRPr="000118A3">
        <w:rPr>
          <w:rFonts w:ascii="Times New Roman" w:hAnsi="Times New Roman" w:cs="Times New Roman"/>
          <w:noProof/>
          <w:sz w:val="22"/>
          <w:szCs w:val="22"/>
        </w:rPr>
        <w:lastRenderedPageBreak/>
        <w:drawing>
          <wp:inline distT="0" distB="0" distL="0" distR="0" wp14:anchorId="214B5DF7" wp14:editId="36937508">
            <wp:extent cx="5943600" cy="1731645"/>
            <wp:effectExtent l="19050" t="19050" r="19050" b="20955"/>
            <wp:docPr id="1937808324"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808324" name="Picture 1" descr="A screenshot of a graph&#10;&#10;AI-generated content may be incorrect."/>
                    <pic:cNvPicPr/>
                  </pic:nvPicPr>
                  <pic:blipFill>
                    <a:blip r:embed="rId26"/>
                    <a:stretch>
                      <a:fillRect/>
                    </a:stretch>
                  </pic:blipFill>
                  <pic:spPr>
                    <a:xfrm>
                      <a:off x="0" y="0"/>
                      <a:ext cx="5943600" cy="1731645"/>
                    </a:xfrm>
                    <a:prstGeom prst="rect">
                      <a:avLst/>
                    </a:prstGeom>
                    <a:ln>
                      <a:solidFill>
                        <a:schemeClr val="bg2">
                          <a:lumMod val="90000"/>
                        </a:schemeClr>
                      </a:solidFill>
                    </a:ln>
                  </pic:spPr>
                </pic:pic>
              </a:graphicData>
            </a:graphic>
          </wp:inline>
        </w:drawing>
      </w:r>
    </w:p>
    <w:p w14:paraId="5818FF82" w14:textId="71714CB7" w:rsidR="007A69A3" w:rsidRPr="005D262E" w:rsidRDefault="005D262E" w:rsidP="005D262E">
      <w:pPr>
        <w:pStyle w:val="Caption"/>
        <w:jc w:val="center"/>
        <w:rPr>
          <w:rFonts w:ascii="Times New Roman" w:eastAsia="Times New Roman" w:hAnsi="Times New Roman" w:cs="Times New Roman"/>
          <w:i w:val="0"/>
          <w:iCs w:val="0"/>
          <w:color w:val="000000" w:themeColor="text1"/>
          <w:sz w:val="24"/>
          <w:szCs w:val="24"/>
        </w:rPr>
      </w:pPr>
      <w:bookmarkStart w:id="28" w:name="_Toc217297597"/>
      <w:r w:rsidRPr="005D262E">
        <w:rPr>
          <w:rFonts w:ascii="Times New Roman" w:hAnsi="Times New Roman" w:cs="Times New Roman"/>
          <w:i w:val="0"/>
          <w:iCs w:val="0"/>
          <w:color w:val="000000" w:themeColor="text1"/>
          <w:sz w:val="24"/>
          <w:szCs w:val="24"/>
        </w:rPr>
        <w:t xml:space="preserve">Figure </w:t>
      </w:r>
      <w:r w:rsidRPr="005D262E">
        <w:rPr>
          <w:rFonts w:ascii="Times New Roman" w:hAnsi="Times New Roman" w:cs="Times New Roman"/>
          <w:i w:val="0"/>
          <w:iCs w:val="0"/>
          <w:color w:val="000000" w:themeColor="text1"/>
          <w:sz w:val="24"/>
          <w:szCs w:val="24"/>
        </w:rPr>
        <w:fldChar w:fldCharType="begin"/>
      </w:r>
      <w:r w:rsidRPr="005D262E">
        <w:rPr>
          <w:rFonts w:ascii="Times New Roman" w:hAnsi="Times New Roman" w:cs="Times New Roman"/>
          <w:i w:val="0"/>
          <w:iCs w:val="0"/>
          <w:color w:val="000000" w:themeColor="text1"/>
          <w:sz w:val="24"/>
          <w:szCs w:val="24"/>
        </w:rPr>
        <w:instrText xml:space="preserve"> SEQ Figure \* ARABIC </w:instrText>
      </w:r>
      <w:r w:rsidRP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10</w:t>
      </w:r>
      <w:r w:rsidRPr="005D262E">
        <w:rPr>
          <w:rFonts w:ascii="Times New Roman" w:hAnsi="Times New Roman" w:cs="Times New Roman"/>
          <w:i w:val="0"/>
          <w:iCs w:val="0"/>
          <w:color w:val="000000" w:themeColor="text1"/>
          <w:sz w:val="24"/>
          <w:szCs w:val="24"/>
        </w:rPr>
        <w:fldChar w:fldCharType="end"/>
      </w:r>
      <w:r w:rsidRPr="005D262E">
        <w:rPr>
          <w:rFonts w:ascii="Times New Roman" w:hAnsi="Times New Roman" w:cs="Times New Roman"/>
          <w:i w:val="0"/>
          <w:iCs w:val="0"/>
          <w:color w:val="000000" w:themeColor="text1"/>
          <w:sz w:val="24"/>
          <w:szCs w:val="24"/>
        </w:rPr>
        <w:t xml:space="preserve"> </w:t>
      </w:r>
      <w:r w:rsidR="007A69A3" w:rsidRPr="005D262E">
        <w:rPr>
          <w:rFonts w:ascii="Times New Roman" w:eastAsia="Times New Roman" w:hAnsi="Times New Roman" w:cs="Times New Roman"/>
          <w:i w:val="0"/>
          <w:iCs w:val="0"/>
          <w:color w:val="000000" w:themeColor="text1"/>
          <w:sz w:val="24"/>
          <w:szCs w:val="24"/>
        </w:rPr>
        <w:t>Population Density (per sq. km) in the Study Locations</w:t>
      </w:r>
      <w:r w:rsidR="007A69A3" w:rsidRPr="005D262E">
        <w:rPr>
          <w:rFonts w:ascii="Times New Roman" w:eastAsia="Times New Roman" w:hAnsi="Times New Roman" w:cs="Times New Roman"/>
          <w:i w:val="0"/>
          <w:iCs w:val="0"/>
          <w:color w:val="000000" w:themeColor="text1"/>
          <w:sz w:val="24"/>
          <w:szCs w:val="24"/>
        </w:rPr>
        <w:br/>
        <w:t>(Data Source: Statistics of Indonesia)</w:t>
      </w:r>
      <w:bookmarkEnd w:id="28"/>
    </w:p>
    <w:p w14:paraId="520F0EC5" w14:textId="77777777" w:rsidR="007A69A3" w:rsidRPr="000118A3" w:rsidRDefault="007A69A3" w:rsidP="007A69A3">
      <w:pPr>
        <w:ind w:left="284"/>
        <w:rPr>
          <w:rFonts w:ascii="Times New Roman" w:hAnsi="Times New Roman" w:cs="Times New Roman"/>
          <w:b/>
          <w:bCs/>
          <w:sz w:val="22"/>
          <w:szCs w:val="22"/>
        </w:rPr>
      </w:pPr>
    </w:p>
    <w:p w14:paraId="3FC03418" w14:textId="77777777" w:rsidR="007A69A3" w:rsidRPr="000118A3" w:rsidRDefault="007A69A3" w:rsidP="007A69A3">
      <w:pPr>
        <w:ind w:left="284"/>
        <w:rPr>
          <w:rFonts w:ascii="Times New Roman" w:hAnsi="Times New Roman" w:cs="Times New Roman"/>
          <w:b/>
          <w:bCs/>
          <w:sz w:val="22"/>
          <w:szCs w:val="22"/>
        </w:rPr>
      </w:pPr>
      <w:r w:rsidRPr="000118A3">
        <w:rPr>
          <w:rFonts w:ascii="Times New Roman" w:hAnsi="Times New Roman" w:cs="Times New Roman"/>
          <w:b/>
          <w:bCs/>
          <w:sz w:val="22"/>
          <w:szCs w:val="22"/>
        </w:rPr>
        <w:t>SE1-7. National Coastal populations by elevation (1,3,5,7,9,10,12,20 meters above SL)</w:t>
      </w:r>
    </w:p>
    <w:p w14:paraId="4B9B495F" w14:textId="77777777" w:rsidR="007A69A3" w:rsidRPr="000118A3" w:rsidRDefault="007A69A3" w:rsidP="007A69A3">
      <w:pPr>
        <w:ind w:left="284"/>
        <w:rPr>
          <w:rFonts w:ascii="Times New Roman" w:hAnsi="Times New Roman" w:cs="Times New Roman"/>
          <w:i/>
          <w:iCs/>
          <w:sz w:val="22"/>
          <w:szCs w:val="22"/>
        </w:rPr>
      </w:pPr>
      <w:r w:rsidRPr="000118A3">
        <w:rPr>
          <w:rFonts w:ascii="Times New Roman" w:hAnsi="Times New Roman" w:cs="Times New Roman"/>
          <w:i/>
          <w:iCs/>
          <w:sz w:val="22"/>
          <w:szCs w:val="22"/>
        </w:rPr>
        <w:t>Number of Villages/Subdistricts by Province and Topographical</w:t>
      </w:r>
    </w:p>
    <w:p w14:paraId="1F5A9462" w14:textId="48E4C865" w:rsidR="007A69A3" w:rsidRPr="000118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Spatial patterns of coastal settlements across the four provinces reveal clear topographical contrasts (Figure 2.</w:t>
      </w:r>
      <w:r w:rsidR="008D070F">
        <w:rPr>
          <w:rFonts w:ascii="Times New Roman" w:hAnsi="Times New Roman" w:cs="Times New Roman"/>
          <w:sz w:val="22"/>
          <w:szCs w:val="22"/>
        </w:rPr>
        <w:t>4</w:t>
      </w:r>
      <w:r w:rsidRPr="000118A3">
        <w:rPr>
          <w:rFonts w:ascii="Times New Roman" w:hAnsi="Times New Roman" w:cs="Times New Roman"/>
          <w:sz w:val="22"/>
          <w:szCs w:val="22"/>
        </w:rPr>
        <w:t>.8). West Kalimantan consistently has the flattest coastal villages, reflecting how flat terrain supports denser settlements through easier access, transport, and maritime connectivity. Slope-area villages increased sharply from 111 (2018) to 798 (2021) before dropping to 588 (2024), likely due to migration or administrative changes. These areas face higher risks of erosion and landslides. Bangka Belitung shows stable flat-settlement numbers, while the Riau Islands saw a decline in slope settlements—from 250 (2021) to 145 (2024)—suggesting movement toward lower-lying zones linked to maritime economic opportunities. South Sumatra remains dominated by flat coastal villages but experienced a major rise in slope areas (83 to 481), indicating possible adaptation to sea-level rise and tidal flooding. Such shifts, however, may increase transport costs and reduce access to marine resources.</w:t>
      </w:r>
    </w:p>
    <w:p w14:paraId="70FB4964" w14:textId="77777777" w:rsidR="007A69A3" w:rsidRPr="000118A3" w:rsidRDefault="007A69A3" w:rsidP="00C641E1">
      <w:pPr>
        <w:ind w:left="284"/>
        <w:jc w:val="center"/>
        <w:rPr>
          <w:rFonts w:ascii="Times New Roman" w:hAnsi="Times New Roman" w:cs="Times New Roman"/>
          <w:b/>
          <w:bCs/>
          <w:color w:val="0070C0"/>
          <w:sz w:val="22"/>
          <w:szCs w:val="22"/>
        </w:rPr>
      </w:pPr>
      <w:r w:rsidRPr="000118A3">
        <w:rPr>
          <w:rFonts w:ascii="Times New Roman" w:hAnsi="Times New Roman" w:cs="Times New Roman"/>
          <w:noProof/>
          <w:sz w:val="22"/>
          <w:szCs w:val="22"/>
        </w:rPr>
        <w:drawing>
          <wp:inline distT="0" distB="0" distL="0" distR="0" wp14:anchorId="0CDA8C9D" wp14:editId="18BC77CC">
            <wp:extent cx="5695950" cy="1668013"/>
            <wp:effectExtent l="19050" t="19050" r="19050" b="27940"/>
            <wp:docPr id="1637536969" name="Picture 1" descr="A graph with numbers and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536969" name="Picture 1" descr="A graph with numbers and a number of people&#10;&#10;AI-generated content may be incorrect."/>
                    <pic:cNvPicPr/>
                  </pic:nvPicPr>
                  <pic:blipFill>
                    <a:blip r:embed="rId27"/>
                    <a:stretch>
                      <a:fillRect/>
                    </a:stretch>
                  </pic:blipFill>
                  <pic:spPr>
                    <a:xfrm>
                      <a:off x="0" y="0"/>
                      <a:ext cx="5703393" cy="1670193"/>
                    </a:xfrm>
                    <a:prstGeom prst="rect">
                      <a:avLst/>
                    </a:prstGeom>
                    <a:ln>
                      <a:solidFill>
                        <a:schemeClr val="bg2">
                          <a:lumMod val="90000"/>
                        </a:schemeClr>
                      </a:solidFill>
                    </a:ln>
                  </pic:spPr>
                </pic:pic>
              </a:graphicData>
            </a:graphic>
          </wp:inline>
        </w:drawing>
      </w:r>
    </w:p>
    <w:p w14:paraId="733B80B4" w14:textId="3557DF8D" w:rsidR="007A69A3" w:rsidRPr="005D262E" w:rsidRDefault="005D262E" w:rsidP="005D262E">
      <w:pPr>
        <w:pStyle w:val="Caption"/>
        <w:jc w:val="center"/>
        <w:rPr>
          <w:rFonts w:ascii="Times New Roman" w:eastAsia="Times New Roman" w:hAnsi="Times New Roman" w:cs="Times New Roman"/>
          <w:i w:val="0"/>
          <w:iCs w:val="0"/>
          <w:color w:val="000000" w:themeColor="text1"/>
          <w:sz w:val="24"/>
          <w:szCs w:val="24"/>
        </w:rPr>
      </w:pPr>
      <w:bookmarkStart w:id="29" w:name="_Toc217297598"/>
      <w:r w:rsidRPr="005D262E">
        <w:rPr>
          <w:rFonts w:ascii="Times New Roman" w:hAnsi="Times New Roman" w:cs="Times New Roman"/>
          <w:i w:val="0"/>
          <w:iCs w:val="0"/>
          <w:color w:val="000000" w:themeColor="text1"/>
          <w:sz w:val="24"/>
          <w:szCs w:val="24"/>
        </w:rPr>
        <w:t xml:space="preserve">Figure </w:t>
      </w:r>
      <w:r w:rsidRPr="005D262E">
        <w:rPr>
          <w:rFonts w:ascii="Times New Roman" w:hAnsi="Times New Roman" w:cs="Times New Roman"/>
          <w:i w:val="0"/>
          <w:iCs w:val="0"/>
          <w:color w:val="000000" w:themeColor="text1"/>
          <w:sz w:val="24"/>
          <w:szCs w:val="24"/>
        </w:rPr>
        <w:fldChar w:fldCharType="begin"/>
      </w:r>
      <w:r w:rsidRPr="005D262E">
        <w:rPr>
          <w:rFonts w:ascii="Times New Roman" w:hAnsi="Times New Roman" w:cs="Times New Roman"/>
          <w:i w:val="0"/>
          <w:iCs w:val="0"/>
          <w:color w:val="000000" w:themeColor="text1"/>
          <w:sz w:val="24"/>
          <w:szCs w:val="24"/>
        </w:rPr>
        <w:instrText xml:space="preserve"> SEQ Figure \* ARABIC </w:instrText>
      </w:r>
      <w:r w:rsidRP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11</w:t>
      </w:r>
      <w:r w:rsidRPr="005D262E">
        <w:rPr>
          <w:rFonts w:ascii="Times New Roman" w:hAnsi="Times New Roman" w:cs="Times New Roman"/>
          <w:i w:val="0"/>
          <w:iCs w:val="0"/>
          <w:color w:val="000000" w:themeColor="text1"/>
          <w:sz w:val="24"/>
          <w:szCs w:val="24"/>
        </w:rPr>
        <w:fldChar w:fldCharType="end"/>
      </w:r>
      <w:r w:rsidR="007A69A3" w:rsidRPr="005D262E">
        <w:rPr>
          <w:rFonts w:ascii="Times New Roman" w:hAnsi="Times New Roman" w:cs="Times New Roman"/>
          <w:i w:val="0"/>
          <w:iCs w:val="0"/>
          <w:color w:val="000000" w:themeColor="text1"/>
          <w:sz w:val="24"/>
          <w:szCs w:val="24"/>
        </w:rPr>
        <w:t xml:space="preserve"> Number of Villages/Subdistricts by Province and Topographical Areas (Valley)</w:t>
      </w:r>
      <w:bookmarkEnd w:id="29"/>
    </w:p>
    <w:p w14:paraId="4CC57180" w14:textId="77777777" w:rsidR="007A69A3" w:rsidRPr="000118A3" w:rsidRDefault="007A69A3" w:rsidP="00C641E1">
      <w:pPr>
        <w:ind w:left="284"/>
        <w:jc w:val="center"/>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rPr>
        <w:drawing>
          <wp:inline distT="0" distB="0" distL="0" distR="0" wp14:anchorId="3C1BB9CC" wp14:editId="29115D5D">
            <wp:extent cx="5816600" cy="1698373"/>
            <wp:effectExtent l="19050" t="19050" r="12700" b="16510"/>
            <wp:docPr id="1066467592"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467592" name="Picture 1" descr="A screenshot of a graph&#10;&#10;AI-generated content may be incorrect."/>
                    <pic:cNvPicPr/>
                  </pic:nvPicPr>
                  <pic:blipFill>
                    <a:blip r:embed="rId28"/>
                    <a:stretch>
                      <a:fillRect/>
                    </a:stretch>
                  </pic:blipFill>
                  <pic:spPr>
                    <a:xfrm>
                      <a:off x="0" y="0"/>
                      <a:ext cx="5822783" cy="1700178"/>
                    </a:xfrm>
                    <a:prstGeom prst="rect">
                      <a:avLst/>
                    </a:prstGeom>
                    <a:ln>
                      <a:solidFill>
                        <a:schemeClr val="bg2">
                          <a:lumMod val="90000"/>
                        </a:schemeClr>
                      </a:solidFill>
                    </a:ln>
                  </pic:spPr>
                </pic:pic>
              </a:graphicData>
            </a:graphic>
          </wp:inline>
        </w:drawing>
      </w:r>
    </w:p>
    <w:p w14:paraId="4DA01BEF" w14:textId="00DAEBB2" w:rsidR="007A69A3" w:rsidRPr="005D262E" w:rsidRDefault="005D262E" w:rsidP="005D262E">
      <w:pPr>
        <w:pStyle w:val="Caption"/>
        <w:jc w:val="center"/>
        <w:rPr>
          <w:rFonts w:ascii="Times New Roman" w:hAnsi="Times New Roman" w:cs="Times New Roman"/>
          <w:i w:val="0"/>
          <w:iCs w:val="0"/>
          <w:color w:val="000000" w:themeColor="text1"/>
          <w:sz w:val="24"/>
          <w:szCs w:val="24"/>
        </w:rPr>
      </w:pPr>
      <w:bookmarkStart w:id="30" w:name="_Toc217297599"/>
      <w:r w:rsidRPr="005D262E">
        <w:rPr>
          <w:rFonts w:ascii="Times New Roman" w:hAnsi="Times New Roman" w:cs="Times New Roman"/>
          <w:i w:val="0"/>
          <w:iCs w:val="0"/>
          <w:color w:val="000000" w:themeColor="text1"/>
          <w:sz w:val="24"/>
          <w:szCs w:val="24"/>
        </w:rPr>
        <w:t xml:space="preserve">Figure </w:t>
      </w:r>
      <w:r w:rsidRPr="005D262E">
        <w:rPr>
          <w:rFonts w:ascii="Times New Roman" w:hAnsi="Times New Roman" w:cs="Times New Roman"/>
          <w:i w:val="0"/>
          <w:iCs w:val="0"/>
          <w:color w:val="000000" w:themeColor="text1"/>
          <w:sz w:val="24"/>
          <w:szCs w:val="24"/>
        </w:rPr>
        <w:fldChar w:fldCharType="begin"/>
      </w:r>
      <w:r w:rsidRPr="005D262E">
        <w:rPr>
          <w:rFonts w:ascii="Times New Roman" w:hAnsi="Times New Roman" w:cs="Times New Roman"/>
          <w:i w:val="0"/>
          <w:iCs w:val="0"/>
          <w:color w:val="000000" w:themeColor="text1"/>
          <w:sz w:val="24"/>
          <w:szCs w:val="24"/>
        </w:rPr>
        <w:instrText xml:space="preserve"> SEQ Figure \* ARABIC </w:instrText>
      </w:r>
      <w:r w:rsidRPr="005D262E">
        <w:rPr>
          <w:rFonts w:ascii="Times New Roman" w:hAnsi="Times New Roman" w:cs="Times New Roman"/>
          <w:i w:val="0"/>
          <w:iCs w:val="0"/>
          <w:color w:val="000000" w:themeColor="text1"/>
          <w:sz w:val="24"/>
          <w:szCs w:val="24"/>
        </w:rPr>
        <w:fldChar w:fldCharType="separate"/>
      </w:r>
      <w:r w:rsidR="00F33716">
        <w:rPr>
          <w:rFonts w:ascii="Times New Roman" w:hAnsi="Times New Roman" w:cs="Times New Roman"/>
          <w:i w:val="0"/>
          <w:iCs w:val="0"/>
          <w:noProof/>
          <w:color w:val="000000" w:themeColor="text1"/>
          <w:sz w:val="24"/>
          <w:szCs w:val="24"/>
        </w:rPr>
        <w:t>12</w:t>
      </w:r>
      <w:r w:rsidRPr="005D262E">
        <w:rPr>
          <w:rFonts w:ascii="Times New Roman" w:hAnsi="Times New Roman" w:cs="Times New Roman"/>
          <w:i w:val="0"/>
          <w:iCs w:val="0"/>
          <w:color w:val="000000" w:themeColor="text1"/>
          <w:sz w:val="24"/>
          <w:szCs w:val="24"/>
        </w:rPr>
        <w:fldChar w:fldCharType="end"/>
      </w:r>
      <w:r w:rsidR="007A69A3" w:rsidRPr="005D262E">
        <w:rPr>
          <w:rFonts w:ascii="Times New Roman" w:hAnsi="Times New Roman" w:cs="Times New Roman"/>
          <w:i w:val="0"/>
          <w:iCs w:val="0"/>
          <w:color w:val="000000" w:themeColor="text1"/>
          <w:sz w:val="24"/>
          <w:szCs w:val="24"/>
        </w:rPr>
        <w:t xml:space="preserve"> Number of Villages/Subdistricts by Province and Topographical Areas (Slop)</w:t>
      </w:r>
      <w:bookmarkEnd w:id="30"/>
    </w:p>
    <w:p w14:paraId="125C70E6" w14:textId="77777777" w:rsidR="007A69A3" w:rsidRPr="000118A3" w:rsidRDefault="007A69A3" w:rsidP="00C641E1">
      <w:pPr>
        <w:ind w:left="284"/>
        <w:jc w:val="center"/>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rPr>
        <w:lastRenderedPageBreak/>
        <w:drawing>
          <wp:inline distT="0" distB="0" distL="0" distR="0" wp14:anchorId="1CA556C7" wp14:editId="74F7B39B">
            <wp:extent cx="5676900" cy="1587227"/>
            <wp:effectExtent l="19050" t="19050" r="19050" b="13335"/>
            <wp:docPr id="1722930671" name="Picture 1" descr="A graph with numbers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930671" name="Picture 1" descr="A graph with numbers and a number&#10;&#10;AI-generated content may be incorrect."/>
                    <pic:cNvPicPr/>
                  </pic:nvPicPr>
                  <pic:blipFill>
                    <a:blip r:embed="rId29"/>
                    <a:stretch>
                      <a:fillRect/>
                    </a:stretch>
                  </pic:blipFill>
                  <pic:spPr>
                    <a:xfrm>
                      <a:off x="0" y="0"/>
                      <a:ext cx="5682105" cy="1588682"/>
                    </a:xfrm>
                    <a:prstGeom prst="rect">
                      <a:avLst/>
                    </a:prstGeom>
                    <a:ln>
                      <a:solidFill>
                        <a:schemeClr val="bg2">
                          <a:lumMod val="90000"/>
                        </a:schemeClr>
                      </a:solidFill>
                    </a:ln>
                  </pic:spPr>
                </pic:pic>
              </a:graphicData>
            </a:graphic>
          </wp:inline>
        </w:drawing>
      </w:r>
    </w:p>
    <w:p w14:paraId="7F63EF8F" w14:textId="02DB6F7A" w:rsidR="007A69A3" w:rsidRPr="005D262E" w:rsidRDefault="005D262E" w:rsidP="005D262E">
      <w:pPr>
        <w:pStyle w:val="Caption"/>
        <w:jc w:val="center"/>
        <w:rPr>
          <w:rFonts w:ascii="Times New Roman" w:hAnsi="Times New Roman" w:cs="Times New Roman"/>
          <w:i w:val="0"/>
          <w:iCs w:val="0"/>
          <w:color w:val="000000" w:themeColor="text1"/>
          <w:sz w:val="22"/>
          <w:szCs w:val="22"/>
        </w:rPr>
      </w:pPr>
      <w:bookmarkStart w:id="31" w:name="_Toc217297600"/>
      <w:r w:rsidRPr="005D262E">
        <w:rPr>
          <w:rFonts w:ascii="Times New Roman" w:hAnsi="Times New Roman" w:cs="Times New Roman"/>
          <w:i w:val="0"/>
          <w:iCs w:val="0"/>
          <w:color w:val="000000" w:themeColor="text1"/>
          <w:sz w:val="22"/>
          <w:szCs w:val="22"/>
        </w:rPr>
        <w:t xml:space="preserve">Figure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Figure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13</w:t>
      </w:r>
      <w:r w:rsidRPr="005D262E">
        <w:rPr>
          <w:rFonts w:ascii="Times New Roman" w:hAnsi="Times New Roman" w:cs="Times New Roman"/>
          <w:i w:val="0"/>
          <w:iCs w:val="0"/>
          <w:color w:val="000000" w:themeColor="text1"/>
          <w:sz w:val="22"/>
          <w:szCs w:val="22"/>
        </w:rPr>
        <w:fldChar w:fldCharType="end"/>
      </w:r>
      <w:r w:rsidR="007A69A3" w:rsidRPr="005D262E">
        <w:rPr>
          <w:rFonts w:ascii="Times New Roman" w:hAnsi="Times New Roman" w:cs="Times New Roman"/>
          <w:i w:val="0"/>
          <w:iCs w:val="0"/>
          <w:color w:val="000000" w:themeColor="text1"/>
          <w:sz w:val="22"/>
          <w:szCs w:val="22"/>
        </w:rPr>
        <w:t xml:space="preserve"> Number of Villages/Subdistricts by Province and Topographical Areas (Flat)</w:t>
      </w:r>
      <w:bookmarkEnd w:id="31"/>
    </w:p>
    <w:p w14:paraId="04F03EE2" w14:textId="74AAA2DC" w:rsidR="007A69A3" w:rsidRDefault="007A69A3" w:rsidP="005D262E">
      <w:pPr>
        <w:pStyle w:val="BodyText"/>
        <w:spacing w:after="0" w:line="240" w:lineRule="auto"/>
        <w:ind w:left="284"/>
        <w:jc w:val="center"/>
        <w:rPr>
          <w:rFonts w:ascii="Times New Roman" w:eastAsia="Times New Roman" w:hAnsi="Times New Roman" w:cs="Times New Roman"/>
        </w:rPr>
      </w:pPr>
      <w:r w:rsidRPr="000118A3">
        <w:rPr>
          <w:rFonts w:ascii="Times New Roman" w:eastAsia="Times New Roman" w:hAnsi="Times New Roman" w:cs="Times New Roman"/>
        </w:rPr>
        <w:t>(Data Source: Statistics of Indonesia)</w:t>
      </w:r>
    </w:p>
    <w:p w14:paraId="334B9307" w14:textId="77777777" w:rsidR="005D2B89" w:rsidRPr="000118A3" w:rsidRDefault="005D2B89" w:rsidP="005D2B89">
      <w:pPr>
        <w:pStyle w:val="BodyText"/>
        <w:spacing w:after="0" w:line="240" w:lineRule="auto"/>
        <w:ind w:left="284"/>
        <w:rPr>
          <w:rFonts w:ascii="Times New Roman" w:hAnsi="Times New Roman" w:cs="Times New Roman"/>
          <w:b/>
          <w:bCs/>
          <w:color w:val="0070C0"/>
        </w:rPr>
      </w:pPr>
    </w:p>
    <w:p w14:paraId="12778451" w14:textId="77777777" w:rsidR="005D2B89" w:rsidRDefault="007A69A3" w:rsidP="005D2B89">
      <w:pPr>
        <w:pStyle w:val="BodyText"/>
        <w:numPr>
          <w:ilvl w:val="3"/>
          <w:numId w:val="140"/>
        </w:numPr>
        <w:spacing w:line="240" w:lineRule="auto"/>
        <w:contextualSpacing/>
        <w:rPr>
          <w:rFonts w:ascii="Times New Roman" w:hAnsi="Times New Roman" w:cs="Times New Roman"/>
          <w:b/>
          <w:bCs/>
          <w:color w:val="0070C0"/>
        </w:rPr>
      </w:pPr>
      <w:r w:rsidRPr="000118A3">
        <w:rPr>
          <w:rFonts w:ascii="Times New Roman" w:hAnsi="Times New Roman" w:cs="Times New Roman"/>
          <w:b/>
          <w:bCs/>
          <w:color w:val="0070C0"/>
        </w:rPr>
        <w:t xml:space="preserve">Human Wellbeing Conditions </w:t>
      </w:r>
    </w:p>
    <w:p w14:paraId="1A5843DC" w14:textId="0986C671" w:rsidR="007A69A3" w:rsidRPr="005D2B89" w:rsidRDefault="007A69A3" w:rsidP="005D2B89">
      <w:pPr>
        <w:pStyle w:val="BodyText"/>
        <w:spacing w:line="240" w:lineRule="auto"/>
        <w:contextualSpacing/>
        <w:rPr>
          <w:rFonts w:ascii="Times New Roman" w:hAnsi="Times New Roman" w:cs="Times New Roman"/>
          <w:b/>
          <w:bCs/>
          <w:color w:val="0070C0"/>
        </w:rPr>
      </w:pPr>
      <w:r w:rsidRPr="005D2B89">
        <w:rPr>
          <w:rFonts w:ascii="Times New Roman" w:hAnsi="Times New Roman" w:cs="Times New Roman"/>
          <w:b/>
          <w:bCs/>
        </w:rPr>
        <w:t>SE2-1 Coastal Poverty Status</w:t>
      </w:r>
    </w:p>
    <w:p w14:paraId="47301069" w14:textId="5B1C90AE" w:rsidR="007A69A3" w:rsidRPr="000118A3" w:rsidRDefault="007A69A3" w:rsidP="007A69A3">
      <w:pPr>
        <w:keepNext/>
        <w:ind w:left="284"/>
        <w:jc w:val="both"/>
        <w:rPr>
          <w:rFonts w:ascii="Times New Roman" w:hAnsi="Times New Roman" w:cs="Times New Roman"/>
          <w:sz w:val="22"/>
          <w:szCs w:val="22"/>
        </w:rPr>
      </w:pPr>
      <w:r w:rsidRPr="000118A3">
        <w:rPr>
          <w:rFonts w:ascii="Times New Roman" w:hAnsi="Times New Roman" w:cs="Times New Roman"/>
          <w:sz w:val="22"/>
          <w:szCs w:val="22"/>
        </w:rPr>
        <w:t xml:space="preserve">Figure </w:t>
      </w:r>
      <w:r w:rsidR="005D262E">
        <w:rPr>
          <w:rFonts w:ascii="Times New Roman" w:hAnsi="Times New Roman" w:cs="Times New Roman"/>
          <w:sz w:val="22"/>
          <w:szCs w:val="22"/>
        </w:rPr>
        <w:t xml:space="preserve">14 </w:t>
      </w:r>
      <w:r w:rsidRPr="000118A3">
        <w:rPr>
          <w:rFonts w:ascii="Times New Roman" w:hAnsi="Times New Roman" w:cs="Times New Roman"/>
          <w:sz w:val="22"/>
          <w:szCs w:val="22"/>
        </w:rPr>
        <w:t>presents 2024 urban and rural poverty rates across the four provinces. South Sumatra has the highest poverty (9.02% urban; 11.43% rural), while Bangka Belitung has the lowest (4.09% urban; 6.49% rural). The Riau Islands (4.36% urban; 8.55% rural) and West Kalimantan (4.62% urban; 7.26% rural) show moderate levels. In all provinces, rural poverty exceeds urban poverty, highlighting persistent challenges in infrastructure, market access, and employment for rural communities.</w:t>
      </w:r>
    </w:p>
    <w:p w14:paraId="19F25C8C" w14:textId="77777777" w:rsidR="007A69A3" w:rsidRPr="000118A3" w:rsidRDefault="007A69A3" w:rsidP="007A69A3">
      <w:pPr>
        <w:keepNext/>
        <w:ind w:left="284"/>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77F61830" wp14:editId="0C5AF016">
            <wp:extent cx="5943600" cy="1803400"/>
            <wp:effectExtent l="19050" t="19050" r="19050" b="25400"/>
            <wp:docPr id="552033067"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033067" name="Picture 1" descr="A screenshot of a graph&#10;&#10;AI-generated content may be incorrect."/>
                    <pic:cNvPicPr/>
                  </pic:nvPicPr>
                  <pic:blipFill>
                    <a:blip r:embed="rId30"/>
                    <a:stretch>
                      <a:fillRect/>
                    </a:stretch>
                  </pic:blipFill>
                  <pic:spPr>
                    <a:xfrm>
                      <a:off x="0" y="0"/>
                      <a:ext cx="5943600" cy="1803400"/>
                    </a:xfrm>
                    <a:prstGeom prst="rect">
                      <a:avLst/>
                    </a:prstGeom>
                    <a:ln>
                      <a:solidFill>
                        <a:schemeClr val="bg2">
                          <a:lumMod val="90000"/>
                        </a:schemeClr>
                      </a:solidFill>
                    </a:ln>
                  </pic:spPr>
                </pic:pic>
              </a:graphicData>
            </a:graphic>
          </wp:inline>
        </w:drawing>
      </w:r>
    </w:p>
    <w:p w14:paraId="01D51685" w14:textId="7D0B5C48" w:rsidR="007A69A3" w:rsidRPr="005D262E" w:rsidRDefault="005D262E" w:rsidP="005D262E">
      <w:pPr>
        <w:keepNext/>
        <w:jc w:val="center"/>
      </w:pPr>
      <w:bookmarkStart w:id="32" w:name="_Toc217297601"/>
      <w:r w:rsidRPr="005D262E">
        <w:rPr>
          <w:rFonts w:ascii="Times New Roman" w:hAnsi="Times New Roman" w:cs="Times New Roman"/>
          <w:sz w:val="22"/>
          <w:szCs w:val="22"/>
        </w:rPr>
        <w:t xml:space="preserve">Figure </w:t>
      </w:r>
      <w:r w:rsidRPr="005D262E">
        <w:rPr>
          <w:rFonts w:ascii="Times New Roman" w:hAnsi="Times New Roman" w:cs="Times New Roman"/>
          <w:sz w:val="22"/>
          <w:szCs w:val="22"/>
        </w:rPr>
        <w:fldChar w:fldCharType="begin"/>
      </w:r>
      <w:r w:rsidRPr="005D262E">
        <w:rPr>
          <w:rFonts w:ascii="Times New Roman" w:hAnsi="Times New Roman" w:cs="Times New Roman"/>
          <w:sz w:val="22"/>
          <w:szCs w:val="22"/>
        </w:rPr>
        <w:instrText xml:space="preserve"> SEQ Figure \* ARABIC </w:instrText>
      </w:r>
      <w:r w:rsidRPr="005D262E">
        <w:rPr>
          <w:rFonts w:ascii="Times New Roman" w:hAnsi="Times New Roman" w:cs="Times New Roman"/>
          <w:sz w:val="22"/>
          <w:szCs w:val="22"/>
        </w:rPr>
        <w:fldChar w:fldCharType="separate"/>
      </w:r>
      <w:r w:rsidR="00F33716">
        <w:rPr>
          <w:rFonts w:ascii="Times New Roman" w:hAnsi="Times New Roman" w:cs="Times New Roman"/>
          <w:noProof/>
          <w:sz w:val="22"/>
          <w:szCs w:val="22"/>
        </w:rPr>
        <w:t>14</w:t>
      </w:r>
      <w:r w:rsidRPr="005D262E">
        <w:rPr>
          <w:rFonts w:ascii="Times New Roman" w:hAnsi="Times New Roman" w:cs="Times New Roman"/>
          <w:sz w:val="22"/>
          <w:szCs w:val="22"/>
        </w:rPr>
        <w:fldChar w:fldCharType="end"/>
      </w:r>
      <w:r>
        <w:t xml:space="preserve"> </w:t>
      </w:r>
      <w:r w:rsidR="007A69A3" w:rsidRPr="000118A3">
        <w:rPr>
          <w:rFonts w:ascii="Times New Roman" w:hAnsi="Times New Roman" w:cs="Times New Roman"/>
          <w:sz w:val="22"/>
          <w:szCs w:val="22"/>
        </w:rPr>
        <w:t xml:space="preserve">Percentage of Poor Population in </w:t>
      </w:r>
      <w:r w:rsidR="000E02BA" w:rsidRPr="000118A3">
        <w:rPr>
          <w:rFonts w:ascii="Times New Roman" w:hAnsi="Times New Roman" w:cs="Times New Roman"/>
          <w:sz w:val="22"/>
          <w:szCs w:val="22"/>
        </w:rPr>
        <w:t>Study</w:t>
      </w:r>
      <w:r w:rsidR="007A69A3" w:rsidRPr="000118A3">
        <w:rPr>
          <w:rFonts w:ascii="Times New Roman" w:hAnsi="Times New Roman" w:cs="Times New Roman"/>
          <w:sz w:val="22"/>
          <w:szCs w:val="22"/>
        </w:rPr>
        <w:t xml:space="preserve"> Locations</w:t>
      </w:r>
      <w:bookmarkEnd w:id="32"/>
    </w:p>
    <w:p w14:paraId="18BD4F35" w14:textId="77777777" w:rsidR="004D4503" w:rsidRDefault="004D4503" w:rsidP="007A69A3">
      <w:pPr>
        <w:ind w:left="284"/>
        <w:rPr>
          <w:rFonts w:ascii="Times New Roman" w:hAnsi="Times New Roman" w:cs="Times New Roman"/>
          <w:b/>
          <w:bCs/>
          <w:sz w:val="22"/>
          <w:szCs w:val="22"/>
        </w:rPr>
      </w:pPr>
    </w:p>
    <w:p w14:paraId="66CD8D82" w14:textId="6E038975" w:rsidR="007A69A3" w:rsidRPr="000118A3" w:rsidRDefault="007A69A3" w:rsidP="007A69A3">
      <w:pPr>
        <w:ind w:left="284"/>
        <w:rPr>
          <w:rFonts w:ascii="Times New Roman" w:hAnsi="Times New Roman" w:cs="Times New Roman"/>
          <w:b/>
          <w:bCs/>
          <w:sz w:val="22"/>
          <w:szCs w:val="22"/>
          <w:highlight w:val="yellow"/>
        </w:rPr>
      </w:pPr>
      <w:r w:rsidRPr="000118A3">
        <w:rPr>
          <w:rFonts w:ascii="Times New Roman" w:hAnsi="Times New Roman" w:cs="Times New Roman"/>
          <w:b/>
          <w:bCs/>
          <w:sz w:val="22"/>
          <w:szCs w:val="22"/>
        </w:rPr>
        <w:t>SE2-2 Human Development Index</w:t>
      </w:r>
    </w:p>
    <w:p w14:paraId="76BA9FF9" w14:textId="77777777" w:rsidR="007A69A3" w:rsidRPr="000118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The Average Years of Schooling increased across all provinces from 2022 to 2024, with the Riau Islands recording the highest levels, rising from 10.37 years to 10.50 years. Based on human capital theory (Becker, 1993; Psacharopoulos &amp; Patrinos, 2018), higher schooling years in coastal regions indicate improved access to education and contribute to greater labor productivity. However, disparities remain. West Kalimantan reached only 7.78 years in 2024, suggesting geographic constraints or limited educational facilities in remote coastal areas (Suharto et al., 2022). These gaps have implications for the adaptive capacity of coastal communities, especially as global and maritime-related economic changes increasingly require higher skills.</w:t>
      </w:r>
    </w:p>
    <w:p w14:paraId="70980BF0" w14:textId="77777777" w:rsidR="007A69A3" w:rsidRPr="000118A3" w:rsidRDefault="007A69A3" w:rsidP="007A69A3">
      <w:pPr>
        <w:ind w:left="284"/>
        <w:jc w:val="both"/>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rPr>
        <w:drawing>
          <wp:inline distT="0" distB="0" distL="0" distR="0" wp14:anchorId="3916A5E0" wp14:editId="17B9347E">
            <wp:extent cx="5943600" cy="1791335"/>
            <wp:effectExtent l="19050" t="19050" r="19050" b="18415"/>
            <wp:docPr id="1093752876" name="Picture 1" descr="A graph with numbers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752876" name="Picture 1" descr="A graph with numbers and a number&#10;&#10;AI-generated content may be incorrect."/>
                    <pic:cNvPicPr/>
                  </pic:nvPicPr>
                  <pic:blipFill>
                    <a:blip r:embed="rId31"/>
                    <a:stretch>
                      <a:fillRect/>
                    </a:stretch>
                  </pic:blipFill>
                  <pic:spPr>
                    <a:xfrm>
                      <a:off x="0" y="0"/>
                      <a:ext cx="5943600" cy="1791335"/>
                    </a:xfrm>
                    <a:prstGeom prst="rect">
                      <a:avLst/>
                    </a:prstGeom>
                    <a:ln>
                      <a:solidFill>
                        <a:schemeClr val="bg2">
                          <a:lumMod val="90000"/>
                        </a:schemeClr>
                      </a:solidFill>
                    </a:ln>
                  </pic:spPr>
                </pic:pic>
              </a:graphicData>
            </a:graphic>
          </wp:inline>
        </w:drawing>
      </w:r>
    </w:p>
    <w:p w14:paraId="140EF964" w14:textId="53C697A0" w:rsidR="007A69A3" w:rsidRPr="005D262E" w:rsidRDefault="005D262E" w:rsidP="005D262E">
      <w:pPr>
        <w:pStyle w:val="Caption"/>
        <w:jc w:val="center"/>
        <w:rPr>
          <w:rFonts w:ascii="Times New Roman" w:eastAsia="Times New Roman" w:hAnsi="Times New Roman" w:cs="Times New Roman"/>
          <w:i w:val="0"/>
          <w:iCs w:val="0"/>
          <w:color w:val="000000" w:themeColor="text1"/>
          <w:sz w:val="22"/>
          <w:szCs w:val="22"/>
        </w:rPr>
      </w:pPr>
      <w:bookmarkStart w:id="33" w:name="_Toc217297602"/>
      <w:r w:rsidRPr="005D262E">
        <w:rPr>
          <w:rFonts w:ascii="Times New Roman" w:hAnsi="Times New Roman" w:cs="Times New Roman"/>
          <w:i w:val="0"/>
          <w:iCs w:val="0"/>
          <w:color w:val="000000" w:themeColor="text1"/>
          <w:sz w:val="22"/>
          <w:szCs w:val="22"/>
        </w:rPr>
        <w:lastRenderedPageBreak/>
        <w:t xml:space="preserve">Figure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Figure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15</w:t>
      </w:r>
      <w:r w:rsidRPr="005D262E">
        <w:rPr>
          <w:rFonts w:ascii="Times New Roman" w:hAnsi="Times New Roman" w:cs="Times New Roman"/>
          <w:i w:val="0"/>
          <w:iCs w:val="0"/>
          <w:color w:val="000000" w:themeColor="text1"/>
          <w:sz w:val="22"/>
          <w:szCs w:val="22"/>
        </w:rPr>
        <w:fldChar w:fldCharType="end"/>
      </w:r>
      <w:r w:rsidRPr="005D262E">
        <w:rPr>
          <w:rFonts w:ascii="Times New Roman" w:eastAsia="Times New Roman" w:hAnsi="Times New Roman" w:cs="Times New Roman"/>
          <w:b/>
          <w:bCs/>
          <w:i w:val="0"/>
          <w:iCs w:val="0"/>
          <w:color w:val="000000" w:themeColor="text1"/>
          <w:sz w:val="22"/>
          <w:szCs w:val="22"/>
        </w:rPr>
        <w:t xml:space="preserve"> </w:t>
      </w:r>
      <w:r w:rsidR="007A69A3" w:rsidRPr="005D262E">
        <w:rPr>
          <w:rFonts w:ascii="Times New Roman" w:eastAsia="Times New Roman" w:hAnsi="Times New Roman" w:cs="Times New Roman"/>
          <w:i w:val="0"/>
          <w:iCs w:val="0"/>
          <w:color w:val="000000" w:themeColor="text1"/>
          <w:sz w:val="22"/>
          <w:szCs w:val="22"/>
        </w:rPr>
        <w:t>Average Years of Schooling in the Study Area</w:t>
      </w:r>
      <w:bookmarkEnd w:id="33"/>
    </w:p>
    <w:p w14:paraId="1D8226E7" w14:textId="77777777" w:rsidR="007A69A3" w:rsidRPr="000118A3" w:rsidRDefault="007A69A3" w:rsidP="000E02BA">
      <w:pPr>
        <w:spacing w:before="120"/>
        <w:ind w:left="284"/>
        <w:jc w:val="both"/>
        <w:rPr>
          <w:rFonts w:ascii="Times New Roman" w:hAnsi="Times New Roman" w:cs="Times New Roman"/>
          <w:sz w:val="22"/>
          <w:szCs w:val="22"/>
        </w:rPr>
      </w:pPr>
      <w:r w:rsidRPr="000118A3">
        <w:rPr>
          <w:rFonts w:ascii="Times New Roman" w:hAnsi="Times New Roman" w:cs="Times New Roman"/>
          <w:sz w:val="22"/>
          <w:szCs w:val="22"/>
        </w:rPr>
        <w:t>In terms of Adjusted Real Expenditure per Capita, the Riau Islands recorded the highest value in 2024 at IDR 15,573 thousand, reflecting its position as a major trade and logistics hub. According to spatial inequality theory (Kanbur &amp; Venables, 2005), regions with access to international ports generally have higher purchasing power due to stronger integration with global markets. In contrast, West Kalimantan had the lowest expenditure at IDR 10,321 thousand, largely because its economy depends more on low–value primary sectors. In coastal areas, these differences in purchasing power influence community capacity to invest in education, health services, and modern fishing or aquaculture technologies.</w:t>
      </w:r>
    </w:p>
    <w:p w14:paraId="251B40E3" w14:textId="77777777" w:rsidR="007A69A3" w:rsidRPr="000118A3" w:rsidRDefault="007A69A3" w:rsidP="007A69A3">
      <w:pPr>
        <w:ind w:left="284"/>
        <w:jc w:val="both"/>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rPr>
        <w:drawing>
          <wp:inline distT="0" distB="0" distL="0" distR="0" wp14:anchorId="0213B6AF" wp14:editId="371F779A">
            <wp:extent cx="5943600" cy="1714500"/>
            <wp:effectExtent l="19050" t="19050" r="19050" b="19050"/>
            <wp:docPr id="1934091255" name="Picture 1" descr="A graph with numbers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091255" name="Picture 1" descr="A graph with numbers and a number&#10;&#10;AI-generated content may be incorrect."/>
                    <pic:cNvPicPr/>
                  </pic:nvPicPr>
                  <pic:blipFill>
                    <a:blip r:embed="rId32"/>
                    <a:stretch>
                      <a:fillRect/>
                    </a:stretch>
                  </pic:blipFill>
                  <pic:spPr>
                    <a:xfrm>
                      <a:off x="0" y="0"/>
                      <a:ext cx="5943600" cy="1714500"/>
                    </a:xfrm>
                    <a:prstGeom prst="rect">
                      <a:avLst/>
                    </a:prstGeom>
                    <a:ln>
                      <a:solidFill>
                        <a:schemeClr val="bg2">
                          <a:lumMod val="90000"/>
                        </a:schemeClr>
                      </a:solidFill>
                    </a:ln>
                  </pic:spPr>
                </pic:pic>
              </a:graphicData>
            </a:graphic>
          </wp:inline>
        </w:drawing>
      </w:r>
    </w:p>
    <w:p w14:paraId="21951D8F" w14:textId="2946BCA4" w:rsidR="007A69A3" w:rsidRPr="005D262E" w:rsidRDefault="005D262E" w:rsidP="005D262E">
      <w:pPr>
        <w:pStyle w:val="Caption"/>
        <w:jc w:val="center"/>
        <w:rPr>
          <w:rFonts w:ascii="Times New Roman" w:eastAsia="Times New Roman" w:hAnsi="Times New Roman" w:cs="Times New Roman"/>
          <w:i w:val="0"/>
          <w:iCs w:val="0"/>
          <w:color w:val="000000" w:themeColor="text1"/>
          <w:sz w:val="22"/>
          <w:szCs w:val="22"/>
        </w:rPr>
      </w:pPr>
      <w:bookmarkStart w:id="34" w:name="_Toc217297603"/>
      <w:r w:rsidRPr="005D262E">
        <w:rPr>
          <w:rFonts w:ascii="Times New Roman" w:hAnsi="Times New Roman" w:cs="Times New Roman"/>
          <w:i w:val="0"/>
          <w:iCs w:val="0"/>
          <w:color w:val="000000" w:themeColor="text1"/>
          <w:sz w:val="22"/>
          <w:szCs w:val="22"/>
        </w:rPr>
        <w:t xml:space="preserve">Figure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Figure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16</w:t>
      </w:r>
      <w:r w:rsidRPr="005D262E">
        <w:rPr>
          <w:rFonts w:ascii="Times New Roman" w:hAnsi="Times New Roman" w:cs="Times New Roman"/>
          <w:i w:val="0"/>
          <w:iCs w:val="0"/>
          <w:color w:val="000000" w:themeColor="text1"/>
          <w:sz w:val="22"/>
          <w:szCs w:val="22"/>
        </w:rPr>
        <w:fldChar w:fldCharType="end"/>
      </w:r>
      <w:r w:rsidRPr="005D262E">
        <w:rPr>
          <w:rFonts w:ascii="Times New Roman" w:eastAsia="Times New Roman" w:hAnsi="Times New Roman" w:cs="Times New Roman"/>
          <w:b/>
          <w:bCs/>
          <w:i w:val="0"/>
          <w:iCs w:val="0"/>
          <w:color w:val="000000" w:themeColor="text1"/>
          <w:sz w:val="22"/>
          <w:szCs w:val="22"/>
        </w:rPr>
        <w:t xml:space="preserve"> </w:t>
      </w:r>
      <w:r w:rsidR="007A69A3" w:rsidRPr="005D262E">
        <w:rPr>
          <w:rFonts w:ascii="Times New Roman" w:eastAsia="Times New Roman" w:hAnsi="Times New Roman" w:cs="Times New Roman"/>
          <w:i w:val="0"/>
          <w:iCs w:val="0"/>
          <w:color w:val="000000" w:themeColor="text1"/>
          <w:sz w:val="22"/>
          <w:szCs w:val="22"/>
        </w:rPr>
        <w:t>Adjusted Real Expenditure per Capita per Year in the Study Area</w:t>
      </w:r>
      <w:bookmarkEnd w:id="34"/>
    </w:p>
    <w:p w14:paraId="709BA94C" w14:textId="77777777" w:rsidR="007A69A3" w:rsidRPr="000118A3" w:rsidRDefault="007A69A3" w:rsidP="007A69A3">
      <w:pPr>
        <w:ind w:left="284"/>
        <w:rPr>
          <w:rFonts w:ascii="Times New Roman" w:eastAsia="Times New Roman" w:hAnsi="Times New Roman" w:cs="Times New Roman"/>
          <w:color w:val="00B0F0"/>
          <w:sz w:val="22"/>
          <w:szCs w:val="22"/>
        </w:rPr>
      </w:pPr>
    </w:p>
    <w:p w14:paraId="1EBACB36" w14:textId="60A16158" w:rsidR="007A69A3" w:rsidRPr="000118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 xml:space="preserve">The Human Development Index (HDI) shows a similar pattern to the previous indicators (Figure </w:t>
      </w:r>
      <w:r w:rsidR="005D262E">
        <w:rPr>
          <w:rFonts w:ascii="Times New Roman" w:hAnsi="Times New Roman" w:cs="Times New Roman"/>
          <w:sz w:val="22"/>
          <w:szCs w:val="22"/>
        </w:rPr>
        <w:t>17</w:t>
      </w:r>
      <w:r w:rsidRPr="000118A3">
        <w:rPr>
          <w:rFonts w:ascii="Times New Roman" w:hAnsi="Times New Roman" w:cs="Times New Roman"/>
          <w:sz w:val="22"/>
          <w:szCs w:val="22"/>
        </w:rPr>
        <w:t>). The Riau Islands recorded the highest HDI in 2024 at 79.89, while West Kalimantan had the lowest at 71.19. Gupta and Vegelin (2016) emphasize that human development in coastal areas must integrate economic, social, and environmental dimensions to reduce vulnerabilities from climate change and marine ecosystem degradation. The high HDI in the Riau Islands is likely supported by better education, higher expenditure, and stronger infrastructure. Meanwhile, provinces with lower HDI face the risk of a persistent structural poverty cycle unless supported by comprehensive policy reforms.</w:t>
      </w:r>
    </w:p>
    <w:p w14:paraId="7F12A12B" w14:textId="77777777" w:rsidR="007A69A3" w:rsidRPr="000118A3" w:rsidRDefault="007A69A3" w:rsidP="007A69A3">
      <w:pPr>
        <w:ind w:left="284"/>
        <w:jc w:val="center"/>
        <w:rPr>
          <w:rFonts w:ascii="Times New Roman" w:eastAsia="Times New Roman" w:hAnsi="Times New Roman" w:cs="Times New Roman"/>
          <w:color w:val="00B0F0"/>
          <w:sz w:val="22"/>
          <w:szCs w:val="22"/>
        </w:rPr>
      </w:pPr>
      <w:r w:rsidRPr="000118A3">
        <w:rPr>
          <w:rFonts w:ascii="Times New Roman" w:hAnsi="Times New Roman" w:cs="Times New Roman"/>
          <w:noProof/>
          <w:sz w:val="22"/>
          <w:szCs w:val="22"/>
        </w:rPr>
        <w:drawing>
          <wp:inline distT="0" distB="0" distL="0" distR="0" wp14:anchorId="3ABF864D" wp14:editId="608FFB7B">
            <wp:extent cx="5289917" cy="3415776"/>
            <wp:effectExtent l="0" t="0" r="0" b="0"/>
            <wp:docPr id="400698280" name="Bagan 1">
              <a:extLst xmlns:a="http://schemas.openxmlformats.org/drawingml/2006/main">
                <a:ext uri="{FF2B5EF4-FFF2-40B4-BE49-F238E27FC236}">
                  <a16:creationId xmlns:a16="http://schemas.microsoft.com/office/drawing/2014/main" id="{4D91493F-2E22-B5C0-1BB3-4DD68742C8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8BDE490" w14:textId="063DAB60" w:rsidR="007A69A3" w:rsidRPr="005D262E" w:rsidRDefault="005D262E" w:rsidP="005D262E">
      <w:pPr>
        <w:pStyle w:val="Caption"/>
        <w:jc w:val="center"/>
        <w:rPr>
          <w:rFonts w:ascii="Times New Roman" w:eastAsia="Times New Roman" w:hAnsi="Times New Roman" w:cs="Times New Roman"/>
          <w:b/>
          <w:bCs/>
          <w:i w:val="0"/>
          <w:iCs w:val="0"/>
          <w:color w:val="000000"/>
          <w:sz w:val="22"/>
          <w:szCs w:val="22"/>
        </w:rPr>
      </w:pPr>
      <w:bookmarkStart w:id="35" w:name="_Toc217297604"/>
      <w:r w:rsidRPr="005D262E">
        <w:rPr>
          <w:rFonts w:ascii="Times New Roman" w:hAnsi="Times New Roman" w:cs="Times New Roman"/>
          <w:i w:val="0"/>
          <w:iCs w:val="0"/>
          <w:color w:val="000000" w:themeColor="text1"/>
          <w:sz w:val="22"/>
          <w:szCs w:val="22"/>
        </w:rPr>
        <w:t xml:space="preserve">Figure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Figure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17</w:t>
      </w:r>
      <w:r w:rsidRPr="005D262E">
        <w:rPr>
          <w:rFonts w:ascii="Times New Roman" w:hAnsi="Times New Roman" w:cs="Times New Roman"/>
          <w:i w:val="0"/>
          <w:iCs w:val="0"/>
          <w:color w:val="000000" w:themeColor="text1"/>
          <w:sz w:val="22"/>
          <w:szCs w:val="22"/>
        </w:rPr>
        <w:fldChar w:fldCharType="end"/>
      </w:r>
      <w:r w:rsidRPr="005D262E">
        <w:rPr>
          <w:rFonts w:ascii="Times New Roman" w:hAnsi="Times New Roman" w:cs="Times New Roman"/>
          <w:i w:val="0"/>
          <w:iCs w:val="0"/>
          <w:color w:val="000000" w:themeColor="text1"/>
          <w:sz w:val="22"/>
          <w:szCs w:val="22"/>
        </w:rPr>
        <w:t xml:space="preserve"> </w:t>
      </w:r>
      <w:r w:rsidR="007A69A3" w:rsidRPr="005D262E">
        <w:rPr>
          <w:rFonts w:ascii="Times New Roman" w:eastAsia="Times New Roman" w:hAnsi="Times New Roman" w:cs="Times New Roman"/>
          <w:i w:val="0"/>
          <w:iCs w:val="0"/>
          <w:color w:val="000000" w:themeColor="text1"/>
          <w:sz w:val="22"/>
          <w:szCs w:val="22"/>
        </w:rPr>
        <w:t>Human Development Index in the Study Locations</w:t>
      </w:r>
      <w:bookmarkEnd w:id="35"/>
    </w:p>
    <w:p w14:paraId="587352A8" w14:textId="77777777" w:rsidR="007A69A3" w:rsidRPr="000118A3" w:rsidRDefault="007A69A3" w:rsidP="005D2B89">
      <w:pPr>
        <w:pStyle w:val="BodyText"/>
        <w:spacing w:after="0" w:line="240" w:lineRule="auto"/>
        <w:ind w:left="993"/>
        <w:rPr>
          <w:rFonts w:ascii="Times New Roman" w:hAnsi="Times New Roman" w:cs="Times New Roman"/>
          <w:b/>
          <w:bCs/>
          <w:color w:val="0070C0"/>
        </w:rPr>
      </w:pPr>
    </w:p>
    <w:p w14:paraId="5A52159E" w14:textId="4012039E" w:rsidR="007A69A3" w:rsidRPr="000118A3" w:rsidRDefault="007A69A3" w:rsidP="005D2B89">
      <w:pPr>
        <w:pStyle w:val="BodyText"/>
        <w:numPr>
          <w:ilvl w:val="3"/>
          <w:numId w:val="140"/>
        </w:numPr>
        <w:spacing w:after="0" w:line="240" w:lineRule="auto"/>
        <w:rPr>
          <w:rFonts w:ascii="Times New Roman" w:hAnsi="Times New Roman" w:cs="Times New Roman"/>
          <w:b/>
          <w:bCs/>
          <w:color w:val="0070C0"/>
        </w:rPr>
      </w:pPr>
      <w:r w:rsidRPr="000118A3">
        <w:rPr>
          <w:rFonts w:ascii="Times New Roman" w:hAnsi="Times New Roman" w:cs="Times New Roman"/>
          <w:b/>
          <w:bCs/>
          <w:color w:val="0070C0"/>
        </w:rPr>
        <w:lastRenderedPageBreak/>
        <w:t xml:space="preserve">Economic Activities </w:t>
      </w:r>
    </w:p>
    <w:p w14:paraId="4327D848" w14:textId="77777777" w:rsidR="007A69A3" w:rsidRPr="000118A3" w:rsidRDefault="007A69A3" w:rsidP="003D68B1">
      <w:pPr>
        <w:spacing w:before="120"/>
        <w:rPr>
          <w:rFonts w:ascii="Times New Roman" w:eastAsia="Times New Roman" w:hAnsi="Times New Roman" w:cs="Times New Roman"/>
          <w:b/>
          <w:bCs/>
          <w:sz w:val="22"/>
          <w:szCs w:val="22"/>
        </w:rPr>
      </w:pPr>
      <w:r w:rsidRPr="000118A3">
        <w:rPr>
          <w:rFonts w:ascii="Times New Roman" w:eastAsia="Times New Roman" w:hAnsi="Times New Roman" w:cs="Times New Roman"/>
          <w:b/>
          <w:bCs/>
          <w:sz w:val="22"/>
          <w:szCs w:val="22"/>
        </w:rPr>
        <w:t xml:space="preserve">SE3-1 Subnational Gross Domestic Product (GDP) </w:t>
      </w:r>
    </w:p>
    <w:p w14:paraId="4411BC69" w14:textId="66C71AE1" w:rsidR="007A69A3" w:rsidRPr="000118A3" w:rsidRDefault="007A69A3" w:rsidP="00EA5590">
      <w:pPr>
        <w:jc w:val="both"/>
        <w:rPr>
          <w:rFonts w:ascii="Times New Roman" w:eastAsia="Times New Roman" w:hAnsi="Times New Roman" w:cs="Times New Roman"/>
          <w:sz w:val="22"/>
          <w:szCs w:val="22"/>
        </w:rPr>
      </w:pPr>
      <w:r w:rsidRPr="000118A3">
        <w:rPr>
          <w:rFonts w:ascii="Times New Roman" w:eastAsia="Times New Roman" w:hAnsi="Times New Roman" w:cs="Times New Roman"/>
          <w:i/>
          <w:iCs/>
          <w:sz w:val="22"/>
          <w:szCs w:val="22"/>
        </w:rPr>
        <w:t xml:space="preserve">Gross regional Domestic Product at current market - </w:t>
      </w:r>
      <w:r w:rsidRPr="000118A3">
        <w:rPr>
          <w:rFonts w:ascii="Times New Roman" w:eastAsia="Times New Roman" w:hAnsi="Times New Roman" w:cs="Times New Roman"/>
          <w:sz w:val="22"/>
          <w:szCs w:val="22"/>
        </w:rPr>
        <w:t xml:space="preserve">The three graphs display the Gross Regional Domestic Product (GRDP) of South Sumatra, the Riau Islands, Bangka Belitung, and West Kalimantan from 2021 to 2023, shown in both Indonesian Rupiah (IDR) and U.S. Dollars (USD). GRDP increased steadily in all provinces over this period, indicating consistent nominal economic growth driven by post-pandemic recovery, inflation, and sectoral expansion. South Sumatra recorded the highest GRDP, rising from IDR 49.36 trillion (USD 34,491.2) in 2021 to IDR 62.91 trillion (USD 41,292.8) in 2023, reflecting its diversified economy in mining, manufacturing, and services. The Riau Islands remained the second-largest economy, increasing from IDR 27.56 trillion (USD 19,267.2) to IDR 33.19 trillion (USD 21,780.2), supported by maritime trade, free-trade zones, and shipyard industries. West Kalimantan’s GRDP grew from IDR 23.13 trillion (USD 16,158.6) in 2021 to IDR 27.44 trillion (USD 18,014.0) in 2023, driven mainly by agriculture, forestry, and mining. Bangka Belitung recorded the smallest GRDP, rising from IDR 8.59 trillion (USD 6,006.6) to IDR 10.26 trillion (USD 6,735.3), consistent with its reliance on tin mining and small-scale tourism, which limits rapid growth. Exchange rates—IDR 14,307.8 (2021), 14,845.7 (2022), and 15,237.0 (2023)—influenced the USD conversion but did not change the overall upward trend. GRDP values in USD still increased despite IDR depreciation. The GRDP at current market prices is presented in Figure </w:t>
      </w:r>
      <w:r w:rsidR="005D262E">
        <w:rPr>
          <w:rFonts w:ascii="Times New Roman" w:eastAsia="Times New Roman" w:hAnsi="Times New Roman" w:cs="Times New Roman"/>
          <w:sz w:val="22"/>
          <w:szCs w:val="22"/>
        </w:rPr>
        <w:t>18</w:t>
      </w:r>
      <w:r w:rsidRPr="000118A3">
        <w:rPr>
          <w:rFonts w:ascii="Times New Roman" w:eastAsia="Times New Roman" w:hAnsi="Times New Roman" w:cs="Times New Roman"/>
          <w:sz w:val="22"/>
          <w:szCs w:val="22"/>
        </w:rPr>
        <w:t>.</w:t>
      </w:r>
    </w:p>
    <w:p w14:paraId="7E6029C1" w14:textId="77777777" w:rsidR="007A69A3" w:rsidRPr="000118A3" w:rsidRDefault="007A69A3" w:rsidP="007A69A3">
      <w:pPr>
        <w:ind w:left="284"/>
        <w:jc w:val="center"/>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rPr>
        <w:drawing>
          <wp:inline distT="0" distB="0" distL="0" distR="0" wp14:anchorId="4240E877" wp14:editId="0CF5B90A">
            <wp:extent cx="5727700" cy="1665071"/>
            <wp:effectExtent l="19050" t="19050" r="25400" b="11430"/>
            <wp:docPr id="114535818" name="Picture 1" descr="A graph of numbers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35818" name="Picture 1" descr="A graph of numbers and a number&#10;&#10;AI-generated content may be incorrect."/>
                    <pic:cNvPicPr/>
                  </pic:nvPicPr>
                  <pic:blipFill>
                    <a:blip r:embed="rId34"/>
                    <a:stretch>
                      <a:fillRect/>
                    </a:stretch>
                  </pic:blipFill>
                  <pic:spPr>
                    <a:xfrm>
                      <a:off x="0" y="0"/>
                      <a:ext cx="5757233" cy="1673657"/>
                    </a:xfrm>
                    <a:prstGeom prst="rect">
                      <a:avLst/>
                    </a:prstGeom>
                    <a:ln>
                      <a:solidFill>
                        <a:schemeClr val="bg2">
                          <a:lumMod val="90000"/>
                        </a:schemeClr>
                      </a:solidFill>
                    </a:ln>
                  </pic:spPr>
                </pic:pic>
              </a:graphicData>
            </a:graphic>
          </wp:inline>
        </w:drawing>
      </w:r>
    </w:p>
    <w:p w14:paraId="4A2EBFA2" w14:textId="52778740" w:rsidR="007A69A3" w:rsidRPr="005D262E" w:rsidRDefault="005D262E" w:rsidP="005D262E">
      <w:pPr>
        <w:pStyle w:val="Caption"/>
        <w:jc w:val="center"/>
        <w:rPr>
          <w:rFonts w:ascii="Times New Roman" w:hAnsi="Times New Roman" w:cs="Times New Roman"/>
          <w:b/>
          <w:bCs/>
          <w:i w:val="0"/>
          <w:iCs w:val="0"/>
          <w:color w:val="000000" w:themeColor="text1"/>
          <w:sz w:val="22"/>
          <w:szCs w:val="22"/>
          <w:highlight w:val="yellow"/>
        </w:rPr>
      </w:pPr>
      <w:bookmarkStart w:id="36" w:name="_Toc217297605"/>
      <w:r w:rsidRPr="005D262E">
        <w:rPr>
          <w:rFonts w:ascii="Times New Roman" w:hAnsi="Times New Roman" w:cs="Times New Roman"/>
          <w:i w:val="0"/>
          <w:iCs w:val="0"/>
          <w:color w:val="000000" w:themeColor="text1"/>
          <w:sz w:val="22"/>
          <w:szCs w:val="22"/>
        </w:rPr>
        <w:t xml:space="preserve">Figure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Figure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18</w:t>
      </w:r>
      <w:r w:rsidRPr="005D262E">
        <w:rPr>
          <w:rFonts w:ascii="Times New Roman" w:hAnsi="Times New Roman" w:cs="Times New Roman"/>
          <w:i w:val="0"/>
          <w:iCs w:val="0"/>
          <w:color w:val="000000" w:themeColor="text1"/>
          <w:sz w:val="22"/>
          <w:szCs w:val="22"/>
        </w:rPr>
        <w:fldChar w:fldCharType="end"/>
      </w:r>
      <w:r w:rsidRPr="005D262E">
        <w:rPr>
          <w:rFonts w:ascii="Times New Roman" w:eastAsia="Times New Roman" w:hAnsi="Times New Roman" w:cs="Times New Roman"/>
          <w:b/>
          <w:bCs/>
          <w:i w:val="0"/>
          <w:iCs w:val="0"/>
          <w:color w:val="000000" w:themeColor="text1"/>
          <w:sz w:val="22"/>
          <w:szCs w:val="22"/>
        </w:rPr>
        <w:t xml:space="preserve"> </w:t>
      </w:r>
      <w:r w:rsidR="007A69A3" w:rsidRPr="005D262E">
        <w:rPr>
          <w:rFonts w:ascii="Times New Roman" w:eastAsia="Times New Roman" w:hAnsi="Times New Roman" w:cs="Times New Roman"/>
          <w:i w:val="0"/>
          <w:iCs w:val="0"/>
          <w:color w:val="000000" w:themeColor="text1"/>
          <w:sz w:val="22"/>
          <w:szCs w:val="22"/>
        </w:rPr>
        <w:t>presents the Gross Regional Domestic Product (GRDP) at current market prices for the study locations in 2021.</w:t>
      </w:r>
      <w:bookmarkEnd w:id="36"/>
    </w:p>
    <w:p w14:paraId="7E7A80B1" w14:textId="77777777" w:rsidR="007A69A3" w:rsidRPr="000118A3" w:rsidRDefault="007A69A3" w:rsidP="007A69A3">
      <w:pPr>
        <w:ind w:left="284"/>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rPr>
        <w:drawing>
          <wp:inline distT="0" distB="0" distL="0" distR="0" wp14:anchorId="0CF14DC1" wp14:editId="11197BC5">
            <wp:extent cx="5943600" cy="1718945"/>
            <wp:effectExtent l="19050" t="19050" r="19050" b="14605"/>
            <wp:docPr id="1292500441" name="Picture 1" descr="A graph of numbers and a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500441" name="Picture 1" descr="A graph of numbers and a number&#10;&#10;AI-generated content may be incorrect."/>
                    <pic:cNvPicPr/>
                  </pic:nvPicPr>
                  <pic:blipFill>
                    <a:blip r:embed="rId35"/>
                    <a:stretch>
                      <a:fillRect/>
                    </a:stretch>
                  </pic:blipFill>
                  <pic:spPr>
                    <a:xfrm>
                      <a:off x="0" y="0"/>
                      <a:ext cx="5943600" cy="1718945"/>
                    </a:xfrm>
                    <a:prstGeom prst="rect">
                      <a:avLst/>
                    </a:prstGeom>
                    <a:ln>
                      <a:solidFill>
                        <a:schemeClr val="bg2">
                          <a:lumMod val="90000"/>
                        </a:schemeClr>
                      </a:solidFill>
                    </a:ln>
                  </pic:spPr>
                </pic:pic>
              </a:graphicData>
            </a:graphic>
          </wp:inline>
        </w:drawing>
      </w:r>
    </w:p>
    <w:p w14:paraId="3CA7F425" w14:textId="68BB82B7" w:rsidR="007A69A3" w:rsidRPr="005D262E" w:rsidRDefault="005D262E" w:rsidP="005D262E">
      <w:pPr>
        <w:pStyle w:val="Caption"/>
        <w:jc w:val="center"/>
        <w:rPr>
          <w:rFonts w:ascii="Times New Roman" w:hAnsi="Times New Roman" w:cs="Times New Roman"/>
          <w:b/>
          <w:bCs/>
          <w:i w:val="0"/>
          <w:iCs w:val="0"/>
          <w:color w:val="000000" w:themeColor="text1"/>
          <w:sz w:val="22"/>
          <w:szCs w:val="22"/>
          <w:highlight w:val="yellow"/>
        </w:rPr>
      </w:pPr>
      <w:bookmarkStart w:id="37" w:name="_Toc217297606"/>
      <w:r w:rsidRPr="005D262E">
        <w:rPr>
          <w:rFonts w:ascii="Times New Roman" w:hAnsi="Times New Roman" w:cs="Times New Roman"/>
          <w:i w:val="0"/>
          <w:iCs w:val="0"/>
          <w:color w:val="000000" w:themeColor="text1"/>
          <w:sz w:val="22"/>
          <w:szCs w:val="22"/>
        </w:rPr>
        <w:t xml:space="preserve">Figure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Figure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19</w:t>
      </w:r>
      <w:r w:rsidRPr="005D262E">
        <w:rPr>
          <w:rFonts w:ascii="Times New Roman" w:hAnsi="Times New Roman" w:cs="Times New Roman"/>
          <w:i w:val="0"/>
          <w:iCs w:val="0"/>
          <w:color w:val="000000" w:themeColor="text1"/>
          <w:sz w:val="22"/>
          <w:szCs w:val="22"/>
        </w:rPr>
        <w:fldChar w:fldCharType="end"/>
      </w:r>
      <w:r w:rsidRPr="005D262E">
        <w:rPr>
          <w:rFonts w:ascii="Times New Roman" w:eastAsia="Times New Roman" w:hAnsi="Times New Roman" w:cs="Times New Roman"/>
          <w:b/>
          <w:bCs/>
          <w:i w:val="0"/>
          <w:iCs w:val="0"/>
          <w:color w:val="000000" w:themeColor="text1"/>
          <w:sz w:val="22"/>
          <w:szCs w:val="22"/>
        </w:rPr>
        <w:t xml:space="preserve"> </w:t>
      </w:r>
      <w:r w:rsidR="007A69A3" w:rsidRPr="005D262E">
        <w:rPr>
          <w:rFonts w:ascii="Times New Roman" w:eastAsia="Times New Roman" w:hAnsi="Times New Roman" w:cs="Times New Roman"/>
          <w:i w:val="0"/>
          <w:iCs w:val="0"/>
          <w:color w:val="000000" w:themeColor="text1"/>
          <w:sz w:val="22"/>
          <w:szCs w:val="22"/>
        </w:rPr>
        <w:t>shows the Gross Regional Domestic Product (GRDP) at current market prices for the study locations in 2022.</w:t>
      </w:r>
      <w:bookmarkEnd w:id="37"/>
    </w:p>
    <w:p w14:paraId="124E145F" w14:textId="77777777" w:rsidR="007A69A3" w:rsidRPr="000118A3" w:rsidRDefault="007A69A3" w:rsidP="007A69A3">
      <w:pPr>
        <w:ind w:left="284"/>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rPr>
        <w:lastRenderedPageBreak/>
        <w:drawing>
          <wp:inline distT="0" distB="0" distL="0" distR="0" wp14:anchorId="6BF66A53" wp14:editId="19ADEAAB">
            <wp:extent cx="5943600" cy="1715135"/>
            <wp:effectExtent l="19050" t="19050" r="19050" b="18415"/>
            <wp:docPr id="1139649270"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649270" name="Picture 1" descr="A screenshot of a graph&#10;&#10;AI-generated content may be incorrect."/>
                    <pic:cNvPicPr/>
                  </pic:nvPicPr>
                  <pic:blipFill>
                    <a:blip r:embed="rId36"/>
                    <a:stretch>
                      <a:fillRect/>
                    </a:stretch>
                  </pic:blipFill>
                  <pic:spPr>
                    <a:xfrm>
                      <a:off x="0" y="0"/>
                      <a:ext cx="5943600" cy="1715135"/>
                    </a:xfrm>
                    <a:prstGeom prst="rect">
                      <a:avLst/>
                    </a:prstGeom>
                    <a:ln>
                      <a:solidFill>
                        <a:schemeClr val="bg2">
                          <a:lumMod val="90000"/>
                        </a:schemeClr>
                      </a:solidFill>
                    </a:ln>
                  </pic:spPr>
                </pic:pic>
              </a:graphicData>
            </a:graphic>
          </wp:inline>
        </w:drawing>
      </w:r>
    </w:p>
    <w:p w14:paraId="58704DB0" w14:textId="575503ED" w:rsidR="007A69A3" w:rsidRPr="000118A3" w:rsidRDefault="005D262E" w:rsidP="005D262E">
      <w:pPr>
        <w:pStyle w:val="Caption"/>
        <w:jc w:val="center"/>
        <w:rPr>
          <w:rFonts w:ascii="Times New Roman" w:eastAsia="Times New Roman" w:hAnsi="Times New Roman" w:cs="Times New Roman"/>
          <w:color w:val="000000"/>
          <w:sz w:val="22"/>
          <w:szCs w:val="22"/>
        </w:rPr>
      </w:pPr>
      <w:bookmarkStart w:id="38" w:name="_Toc217297607"/>
      <w:r w:rsidRPr="005D262E">
        <w:rPr>
          <w:rFonts w:ascii="Times New Roman" w:hAnsi="Times New Roman" w:cs="Times New Roman"/>
          <w:i w:val="0"/>
          <w:iCs w:val="0"/>
          <w:color w:val="000000" w:themeColor="text1"/>
          <w:sz w:val="22"/>
          <w:szCs w:val="22"/>
        </w:rPr>
        <w:t xml:space="preserve">Figure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Figure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20</w:t>
      </w:r>
      <w:r w:rsidRPr="005D262E">
        <w:rPr>
          <w:rFonts w:ascii="Times New Roman" w:hAnsi="Times New Roman" w:cs="Times New Roman"/>
          <w:i w:val="0"/>
          <w:iCs w:val="0"/>
          <w:color w:val="000000" w:themeColor="text1"/>
          <w:sz w:val="22"/>
          <w:szCs w:val="22"/>
        </w:rPr>
        <w:fldChar w:fldCharType="end"/>
      </w:r>
      <w:r w:rsidRPr="005D262E">
        <w:rPr>
          <w:rFonts w:ascii="Times New Roman" w:eastAsia="Times New Roman" w:hAnsi="Times New Roman" w:cs="Times New Roman"/>
          <w:b/>
          <w:bCs/>
          <w:i w:val="0"/>
          <w:iCs w:val="0"/>
          <w:color w:val="000000" w:themeColor="text1"/>
          <w:sz w:val="22"/>
          <w:szCs w:val="22"/>
        </w:rPr>
        <w:t xml:space="preserve"> </w:t>
      </w:r>
      <w:r w:rsidR="007A69A3" w:rsidRPr="005D262E">
        <w:rPr>
          <w:rFonts w:ascii="Times New Roman" w:eastAsia="Times New Roman" w:hAnsi="Times New Roman" w:cs="Times New Roman"/>
          <w:i w:val="0"/>
          <w:iCs w:val="0"/>
          <w:color w:val="000000" w:themeColor="text1"/>
          <w:sz w:val="22"/>
          <w:szCs w:val="22"/>
        </w:rPr>
        <w:t>presents the Gross Regional Domestic Product (GRDP) at current market prices for the study locations in 2023</w:t>
      </w:r>
      <w:r w:rsidR="007A69A3" w:rsidRPr="000118A3">
        <w:rPr>
          <w:rFonts w:ascii="Times New Roman" w:eastAsia="Times New Roman" w:hAnsi="Times New Roman" w:cs="Times New Roman"/>
          <w:sz w:val="22"/>
          <w:szCs w:val="22"/>
        </w:rPr>
        <w:t>.</w:t>
      </w:r>
      <w:bookmarkEnd w:id="38"/>
    </w:p>
    <w:p w14:paraId="50B034C9" w14:textId="77777777" w:rsidR="007A69A3" w:rsidRPr="000118A3" w:rsidRDefault="007A69A3" w:rsidP="007A69A3">
      <w:pPr>
        <w:ind w:left="284"/>
        <w:rPr>
          <w:rFonts w:ascii="Times New Roman" w:eastAsia="Times New Roman" w:hAnsi="Times New Roman" w:cs="Times New Roman"/>
          <w:b/>
          <w:bCs/>
          <w:sz w:val="22"/>
          <w:szCs w:val="22"/>
        </w:rPr>
      </w:pPr>
    </w:p>
    <w:p w14:paraId="12E5D333" w14:textId="77777777" w:rsidR="007A69A3" w:rsidRPr="000118A3" w:rsidRDefault="007A69A3" w:rsidP="007A69A3">
      <w:pPr>
        <w:ind w:left="284"/>
        <w:rPr>
          <w:rFonts w:ascii="Times New Roman" w:eastAsia="Times New Roman" w:hAnsi="Times New Roman" w:cs="Times New Roman"/>
          <w:b/>
          <w:bCs/>
          <w:sz w:val="22"/>
          <w:szCs w:val="22"/>
        </w:rPr>
      </w:pPr>
      <w:r w:rsidRPr="000118A3">
        <w:rPr>
          <w:rFonts w:ascii="Times New Roman" w:eastAsia="Times New Roman" w:hAnsi="Times New Roman" w:cs="Times New Roman"/>
          <w:b/>
          <w:bCs/>
          <w:sz w:val="22"/>
          <w:szCs w:val="22"/>
        </w:rPr>
        <w:t>SE3-2 Sustainable fisheries contribution to GDP</w:t>
      </w:r>
    </w:p>
    <w:p w14:paraId="652DECE1" w14:textId="521E24B4" w:rsidR="007A69A3" w:rsidRPr="000118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Figure 2</w:t>
      </w:r>
      <w:r w:rsidR="005D262E">
        <w:rPr>
          <w:rFonts w:ascii="Times New Roman" w:hAnsi="Times New Roman" w:cs="Times New Roman"/>
          <w:sz w:val="22"/>
          <w:szCs w:val="22"/>
        </w:rPr>
        <w:t>1</w:t>
      </w:r>
      <w:r w:rsidRPr="000118A3">
        <w:rPr>
          <w:rFonts w:ascii="Times New Roman" w:hAnsi="Times New Roman" w:cs="Times New Roman"/>
          <w:sz w:val="22"/>
          <w:szCs w:val="22"/>
        </w:rPr>
        <w:t xml:space="preserve"> shows the fishery value (USD) of four coastal provinces in 2021, revealing clear economic disparities shaped by resource availability, infrastructure, and market access. The Riau Islands lead with USD 571.36 million, driven by strategic maritime location, strong export access, and diverse high-value species. Bangka Belitung follows at USD 507.37 million, supported by rich marine resources and established fishing communities, though its export capacity remains developing. West Kalimantan recorded USD 438.62 million, reflecting substantial potential but constrained by traditional fishing practices and limited cold-chain and processing facilities. South Sumatra registered the lowest value (USD 338.03 million), as fisheries play a smaller economic role amid dominant agriculture, plantations, and mining, alongside a shorter coastline. Overall, the figures highlight uneven fishery development across provinces, influenced by geography, infrastructure, technology, and integration into global value chains—informing the need for targeted policy interventions to boost efficiency, market access, and sustainable resource management in lagging areas.</w:t>
      </w:r>
    </w:p>
    <w:p w14:paraId="2DE56CC0" w14:textId="77777777" w:rsidR="007A69A3" w:rsidRPr="000118A3" w:rsidRDefault="007A69A3" w:rsidP="007A69A3">
      <w:pPr>
        <w:ind w:left="284"/>
        <w:jc w:val="center"/>
        <w:rPr>
          <w:rFonts w:ascii="Times New Roman" w:hAnsi="Times New Roman" w:cs="Times New Roman"/>
          <w:b/>
          <w:bCs/>
          <w:color w:val="0070C0"/>
          <w:sz w:val="22"/>
          <w:szCs w:val="22"/>
          <w:highlight w:val="yellow"/>
        </w:rPr>
      </w:pPr>
      <w:r w:rsidRPr="000118A3">
        <w:rPr>
          <w:rFonts w:ascii="Times New Roman" w:hAnsi="Times New Roman" w:cs="Times New Roman"/>
          <w:noProof/>
          <w:sz w:val="22"/>
          <w:szCs w:val="22"/>
          <w:highlight w:val="yellow"/>
        </w:rPr>
        <w:drawing>
          <wp:inline distT="0" distB="0" distL="0" distR="0" wp14:anchorId="7C55312F" wp14:editId="40105B24">
            <wp:extent cx="3004457" cy="2516554"/>
            <wp:effectExtent l="0" t="0" r="5715" b="0"/>
            <wp:docPr id="1831063988" name="Picture 2" descr="A graph of blue bars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063988" name="Picture 2" descr="A graph of blue bars with white text&#10;&#10;AI-generated content may be incorrect."/>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023861" cy="2532807"/>
                    </a:xfrm>
                    <a:prstGeom prst="rect">
                      <a:avLst/>
                    </a:prstGeom>
                    <a:noFill/>
                  </pic:spPr>
                </pic:pic>
              </a:graphicData>
            </a:graphic>
          </wp:inline>
        </w:drawing>
      </w:r>
    </w:p>
    <w:p w14:paraId="5589C2A3" w14:textId="25805A1F" w:rsidR="007A69A3" w:rsidRPr="005D262E" w:rsidRDefault="005D262E" w:rsidP="005D262E">
      <w:pPr>
        <w:pStyle w:val="Caption"/>
        <w:jc w:val="center"/>
        <w:rPr>
          <w:rFonts w:ascii="Times New Roman" w:hAnsi="Times New Roman" w:cs="Times New Roman"/>
          <w:i w:val="0"/>
          <w:iCs w:val="0"/>
          <w:color w:val="000000" w:themeColor="text1"/>
          <w:sz w:val="22"/>
          <w:szCs w:val="22"/>
          <w:highlight w:val="yellow"/>
        </w:rPr>
      </w:pPr>
      <w:bookmarkStart w:id="39" w:name="_Toc217297608"/>
      <w:r w:rsidRPr="005D262E">
        <w:rPr>
          <w:rFonts w:ascii="Times New Roman" w:hAnsi="Times New Roman" w:cs="Times New Roman"/>
          <w:i w:val="0"/>
          <w:iCs w:val="0"/>
          <w:color w:val="000000" w:themeColor="text1"/>
          <w:sz w:val="22"/>
          <w:szCs w:val="22"/>
        </w:rPr>
        <w:t xml:space="preserve">Figure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Figure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21</w:t>
      </w:r>
      <w:r w:rsidRPr="005D262E">
        <w:rPr>
          <w:rFonts w:ascii="Times New Roman" w:hAnsi="Times New Roman" w:cs="Times New Roman"/>
          <w:i w:val="0"/>
          <w:iCs w:val="0"/>
          <w:color w:val="000000" w:themeColor="text1"/>
          <w:sz w:val="22"/>
          <w:szCs w:val="22"/>
        </w:rPr>
        <w:fldChar w:fldCharType="end"/>
      </w:r>
      <w:r w:rsidRPr="005D262E">
        <w:rPr>
          <w:rFonts w:ascii="Times New Roman" w:eastAsia="Times New Roman" w:hAnsi="Times New Roman" w:cs="Times New Roman"/>
          <w:b/>
          <w:bCs/>
          <w:i w:val="0"/>
          <w:iCs w:val="0"/>
          <w:color w:val="000000" w:themeColor="text1"/>
          <w:sz w:val="22"/>
          <w:szCs w:val="22"/>
        </w:rPr>
        <w:t xml:space="preserve"> </w:t>
      </w:r>
      <w:r w:rsidR="007A69A3" w:rsidRPr="005D262E">
        <w:rPr>
          <w:rFonts w:ascii="Times New Roman" w:eastAsia="Times New Roman" w:hAnsi="Times New Roman" w:cs="Times New Roman"/>
          <w:i w:val="0"/>
          <w:iCs w:val="0"/>
          <w:color w:val="000000" w:themeColor="text1"/>
          <w:sz w:val="22"/>
          <w:szCs w:val="22"/>
        </w:rPr>
        <w:t>Fishery Value (Rp million) in the Research Locations in 2021 (Average exchange rate 2021: 1 USD ≈ Rp 14,308)</w:t>
      </w:r>
      <w:bookmarkEnd w:id="39"/>
    </w:p>
    <w:p w14:paraId="20FCCC98" w14:textId="3326608D" w:rsidR="007A69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Provinces with coastal-oriented economies and strong international trade linkages</w:t>
      </w:r>
      <w:r w:rsidR="004D4503">
        <w:rPr>
          <w:rFonts w:ascii="Times New Roman" w:hAnsi="Times New Roman" w:cs="Times New Roman"/>
          <w:sz w:val="22"/>
          <w:szCs w:val="22"/>
        </w:rPr>
        <w:t xml:space="preserve"> </w:t>
      </w:r>
      <w:r w:rsidRPr="000118A3">
        <w:rPr>
          <w:rFonts w:ascii="Times New Roman" w:hAnsi="Times New Roman" w:cs="Times New Roman"/>
          <w:sz w:val="22"/>
          <w:szCs w:val="22"/>
        </w:rPr>
        <w:t>such as the Riau Islands</w:t>
      </w:r>
      <w:r w:rsidR="004D4503">
        <w:rPr>
          <w:rFonts w:ascii="Times New Roman" w:hAnsi="Times New Roman" w:cs="Times New Roman"/>
          <w:sz w:val="22"/>
          <w:szCs w:val="22"/>
        </w:rPr>
        <w:t xml:space="preserve"> </w:t>
      </w:r>
      <w:r w:rsidRPr="000118A3">
        <w:rPr>
          <w:rFonts w:ascii="Times New Roman" w:hAnsi="Times New Roman" w:cs="Times New Roman"/>
          <w:sz w:val="22"/>
          <w:szCs w:val="22"/>
        </w:rPr>
        <w:t>tend to have a larger share of their labor force employed in services and manufacturing. In contrast, provinces with vast land areas and abundant natural resources, including West Kalimantan and South Sumatra, are more likely to exhibit labor dominance in agriculture, forestry, and fisheries. Bangka Belitung shows a distinct pattern shaped by its tin mining industry and growing marine tourism, resulting in a mixed distribution between primary and tertiary sectors. Understanding these employment structures is important not only for interpreting regional economic characteristics but also for informing labor policies, sectoral development priorities, and strategies to enhance productivity across provinces.</w:t>
      </w:r>
    </w:p>
    <w:p w14:paraId="02C4A4A5" w14:textId="77777777" w:rsidR="004D4503" w:rsidRPr="000118A3" w:rsidRDefault="004D4503" w:rsidP="007A69A3">
      <w:pPr>
        <w:ind w:left="284"/>
        <w:jc w:val="both"/>
        <w:rPr>
          <w:rFonts w:ascii="Times New Roman" w:hAnsi="Times New Roman" w:cs="Times New Roman"/>
          <w:sz w:val="22"/>
          <w:szCs w:val="22"/>
        </w:rPr>
      </w:pPr>
    </w:p>
    <w:p w14:paraId="1D41B3D8" w14:textId="29C1E638" w:rsidR="007A69A3" w:rsidRPr="005D262E" w:rsidRDefault="005D262E" w:rsidP="005D262E">
      <w:pPr>
        <w:pStyle w:val="Caption"/>
        <w:rPr>
          <w:rFonts w:ascii="Times New Roman" w:hAnsi="Times New Roman" w:cs="Times New Roman"/>
          <w:b/>
          <w:bCs/>
          <w:i w:val="0"/>
          <w:iCs w:val="0"/>
          <w:color w:val="000000" w:themeColor="text1"/>
          <w:sz w:val="22"/>
          <w:szCs w:val="22"/>
          <w:highlight w:val="yellow"/>
        </w:rPr>
      </w:pPr>
      <w:bookmarkStart w:id="40" w:name="_Toc217297646"/>
      <w:r w:rsidRPr="005D262E">
        <w:rPr>
          <w:rFonts w:ascii="Times New Roman" w:hAnsi="Times New Roman" w:cs="Times New Roman"/>
          <w:i w:val="0"/>
          <w:iCs w:val="0"/>
          <w:color w:val="000000" w:themeColor="text1"/>
          <w:sz w:val="22"/>
          <w:szCs w:val="22"/>
        </w:rPr>
        <w:lastRenderedPageBreak/>
        <w:t xml:space="preserve">Table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Table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w:t>
      </w:r>
      <w:r w:rsidRPr="005D262E">
        <w:rPr>
          <w:rFonts w:ascii="Times New Roman" w:hAnsi="Times New Roman" w:cs="Times New Roman"/>
          <w:i w:val="0"/>
          <w:iCs w:val="0"/>
          <w:color w:val="000000" w:themeColor="text1"/>
          <w:sz w:val="22"/>
          <w:szCs w:val="22"/>
        </w:rPr>
        <w:fldChar w:fldCharType="end"/>
      </w:r>
      <w:r w:rsidR="007A69A3" w:rsidRPr="005D262E">
        <w:rPr>
          <w:rFonts w:ascii="Times New Roman" w:hAnsi="Times New Roman" w:cs="Times New Roman"/>
          <w:i w:val="0"/>
          <w:iCs w:val="0"/>
          <w:color w:val="000000" w:themeColor="text1"/>
          <w:sz w:val="22"/>
          <w:szCs w:val="22"/>
        </w:rPr>
        <w:t xml:space="preserve"> Distribution of Employed Persons Aged 15 Years and Over by Province and Major Industry, 2024</w:t>
      </w:r>
      <w:bookmarkEnd w:id="40"/>
    </w:p>
    <w:tbl>
      <w:tblPr>
        <w:tblW w:w="9067" w:type="dxa"/>
        <w:tblInd w:w="279" w:type="dxa"/>
        <w:tblLayout w:type="fixed"/>
        <w:tblLook w:val="04A0" w:firstRow="1" w:lastRow="0" w:firstColumn="1" w:lastColumn="0" w:noHBand="0" w:noVBand="1"/>
      </w:tblPr>
      <w:tblGrid>
        <w:gridCol w:w="3681"/>
        <w:gridCol w:w="1559"/>
        <w:gridCol w:w="1134"/>
        <w:gridCol w:w="1134"/>
        <w:gridCol w:w="1559"/>
      </w:tblGrid>
      <w:tr w:rsidR="007A69A3" w:rsidRPr="000118A3" w14:paraId="0145FC1F" w14:textId="77777777" w:rsidTr="004D4503">
        <w:trPr>
          <w:trHeight w:val="624"/>
        </w:trPr>
        <w:tc>
          <w:tcPr>
            <w:tcW w:w="3681" w:type="dxa"/>
            <w:tcBorders>
              <w:top w:val="single" w:sz="4" w:space="0" w:color="auto"/>
              <w:left w:val="single" w:sz="4" w:space="0" w:color="auto"/>
              <w:bottom w:val="single" w:sz="4" w:space="0" w:color="auto"/>
              <w:right w:val="single" w:sz="4" w:space="0" w:color="auto"/>
            </w:tcBorders>
            <w:shd w:val="clear" w:color="auto" w:fill="2F5496" w:themeFill="accent1" w:themeFillShade="BF"/>
            <w:vAlign w:val="center"/>
            <w:hideMark/>
          </w:tcPr>
          <w:p w14:paraId="7C9D2A06"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Sectors</w:t>
            </w:r>
          </w:p>
        </w:tc>
        <w:tc>
          <w:tcPr>
            <w:tcW w:w="1559" w:type="dxa"/>
            <w:tcBorders>
              <w:top w:val="single" w:sz="4" w:space="0" w:color="auto"/>
              <w:left w:val="nil"/>
              <w:bottom w:val="single" w:sz="4" w:space="0" w:color="auto"/>
              <w:right w:val="single" w:sz="4" w:space="0" w:color="auto"/>
            </w:tcBorders>
            <w:shd w:val="clear" w:color="auto" w:fill="2F5496" w:themeFill="accent1" w:themeFillShade="BF"/>
            <w:vAlign w:val="center"/>
            <w:hideMark/>
          </w:tcPr>
          <w:p w14:paraId="3462301A"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West Kalimantan</w:t>
            </w:r>
          </w:p>
        </w:tc>
        <w:tc>
          <w:tcPr>
            <w:tcW w:w="1134" w:type="dxa"/>
            <w:tcBorders>
              <w:top w:val="single" w:sz="4" w:space="0" w:color="auto"/>
              <w:left w:val="nil"/>
              <w:bottom w:val="single" w:sz="4" w:space="0" w:color="auto"/>
              <w:right w:val="single" w:sz="4" w:space="0" w:color="auto"/>
            </w:tcBorders>
            <w:shd w:val="clear" w:color="auto" w:fill="2F5496" w:themeFill="accent1" w:themeFillShade="BF"/>
            <w:vAlign w:val="center"/>
            <w:hideMark/>
          </w:tcPr>
          <w:p w14:paraId="35DC1C1B"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Bangka Belitung</w:t>
            </w:r>
          </w:p>
        </w:tc>
        <w:tc>
          <w:tcPr>
            <w:tcW w:w="1134" w:type="dxa"/>
            <w:tcBorders>
              <w:top w:val="single" w:sz="4" w:space="0" w:color="auto"/>
              <w:left w:val="nil"/>
              <w:bottom w:val="single" w:sz="4" w:space="0" w:color="auto"/>
              <w:right w:val="single" w:sz="4" w:space="0" w:color="auto"/>
            </w:tcBorders>
            <w:shd w:val="clear" w:color="auto" w:fill="2F5496" w:themeFill="accent1" w:themeFillShade="BF"/>
            <w:vAlign w:val="center"/>
            <w:hideMark/>
          </w:tcPr>
          <w:p w14:paraId="582EF64C"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Riau Islands</w:t>
            </w:r>
          </w:p>
        </w:tc>
        <w:tc>
          <w:tcPr>
            <w:tcW w:w="1559" w:type="dxa"/>
            <w:tcBorders>
              <w:top w:val="single" w:sz="4" w:space="0" w:color="auto"/>
              <w:left w:val="nil"/>
              <w:bottom w:val="single" w:sz="4" w:space="0" w:color="auto"/>
              <w:right w:val="single" w:sz="4" w:space="0" w:color="auto"/>
            </w:tcBorders>
            <w:shd w:val="clear" w:color="auto" w:fill="2F5496" w:themeFill="accent1" w:themeFillShade="BF"/>
            <w:vAlign w:val="center"/>
            <w:hideMark/>
          </w:tcPr>
          <w:p w14:paraId="1CABAE2F"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South Sumatera</w:t>
            </w:r>
          </w:p>
        </w:tc>
      </w:tr>
      <w:tr w:rsidR="007A69A3" w:rsidRPr="000118A3" w14:paraId="16B948A9"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74E5E9D4"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Agriculture, Forestry, and Fishing</w:t>
            </w:r>
          </w:p>
        </w:tc>
        <w:tc>
          <w:tcPr>
            <w:tcW w:w="1559" w:type="dxa"/>
            <w:tcBorders>
              <w:top w:val="nil"/>
              <w:left w:val="nil"/>
              <w:bottom w:val="single" w:sz="4" w:space="0" w:color="auto"/>
              <w:right w:val="single" w:sz="4" w:space="0" w:color="auto"/>
            </w:tcBorders>
            <w:vAlign w:val="center"/>
            <w:hideMark/>
          </w:tcPr>
          <w:p w14:paraId="33486F8A"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1.318.123</w:t>
            </w:r>
          </w:p>
        </w:tc>
        <w:tc>
          <w:tcPr>
            <w:tcW w:w="1134" w:type="dxa"/>
            <w:tcBorders>
              <w:top w:val="nil"/>
              <w:left w:val="nil"/>
              <w:bottom w:val="single" w:sz="4" w:space="0" w:color="auto"/>
              <w:right w:val="single" w:sz="4" w:space="0" w:color="auto"/>
            </w:tcBorders>
            <w:vAlign w:val="center"/>
            <w:hideMark/>
          </w:tcPr>
          <w:p w14:paraId="7CEBDA5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299.496</w:t>
            </w:r>
          </w:p>
        </w:tc>
        <w:tc>
          <w:tcPr>
            <w:tcW w:w="1134" w:type="dxa"/>
            <w:tcBorders>
              <w:top w:val="nil"/>
              <w:left w:val="nil"/>
              <w:bottom w:val="single" w:sz="4" w:space="0" w:color="auto"/>
              <w:right w:val="single" w:sz="4" w:space="0" w:color="auto"/>
            </w:tcBorders>
            <w:vAlign w:val="center"/>
            <w:hideMark/>
          </w:tcPr>
          <w:p w14:paraId="7F25552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74.225</w:t>
            </w:r>
          </w:p>
        </w:tc>
        <w:tc>
          <w:tcPr>
            <w:tcW w:w="1559" w:type="dxa"/>
            <w:tcBorders>
              <w:top w:val="nil"/>
              <w:left w:val="nil"/>
              <w:bottom w:val="single" w:sz="4" w:space="0" w:color="auto"/>
              <w:right w:val="single" w:sz="4" w:space="0" w:color="auto"/>
            </w:tcBorders>
            <w:vAlign w:val="center"/>
            <w:hideMark/>
          </w:tcPr>
          <w:p w14:paraId="5641006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2.209.165</w:t>
            </w:r>
          </w:p>
        </w:tc>
      </w:tr>
      <w:tr w:rsidR="007A69A3" w:rsidRPr="000118A3" w14:paraId="3E14CE9B"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5D253BAE"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Mining and Quarrying</w:t>
            </w:r>
          </w:p>
        </w:tc>
        <w:tc>
          <w:tcPr>
            <w:tcW w:w="1559" w:type="dxa"/>
            <w:tcBorders>
              <w:top w:val="nil"/>
              <w:left w:val="nil"/>
              <w:bottom w:val="single" w:sz="4" w:space="0" w:color="auto"/>
              <w:right w:val="single" w:sz="4" w:space="0" w:color="auto"/>
            </w:tcBorders>
            <w:vAlign w:val="center"/>
            <w:hideMark/>
          </w:tcPr>
          <w:p w14:paraId="786F7C9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77.48</w:t>
            </w:r>
          </w:p>
        </w:tc>
        <w:tc>
          <w:tcPr>
            <w:tcW w:w="1134" w:type="dxa"/>
            <w:tcBorders>
              <w:top w:val="nil"/>
              <w:left w:val="nil"/>
              <w:bottom w:val="single" w:sz="4" w:space="0" w:color="auto"/>
              <w:right w:val="single" w:sz="4" w:space="0" w:color="auto"/>
            </w:tcBorders>
            <w:vAlign w:val="center"/>
            <w:hideMark/>
          </w:tcPr>
          <w:p w14:paraId="680AB844"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42.392</w:t>
            </w:r>
          </w:p>
        </w:tc>
        <w:tc>
          <w:tcPr>
            <w:tcW w:w="1134" w:type="dxa"/>
            <w:tcBorders>
              <w:top w:val="nil"/>
              <w:left w:val="nil"/>
              <w:bottom w:val="single" w:sz="4" w:space="0" w:color="auto"/>
              <w:right w:val="single" w:sz="4" w:space="0" w:color="auto"/>
            </w:tcBorders>
            <w:vAlign w:val="center"/>
            <w:hideMark/>
          </w:tcPr>
          <w:p w14:paraId="7E4BF0A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11.82</w:t>
            </w:r>
          </w:p>
        </w:tc>
        <w:tc>
          <w:tcPr>
            <w:tcW w:w="1559" w:type="dxa"/>
            <w:tcBorders>
              <w:top w:val="nil"/>
              <w:left w:val="nil"/>
              <w:bottom w:val="single" w:sz="4" w:space="0" w:color="auto"/>
              <w:right w:val="single" w:sz="4" w:space="0" w:color="auto"/>
            </w:tcBorders>
            <w:vAlign w:val="center"/>
            <w:hideMark/>
          </w:tcPr>
          <w:p w14:paraId="425B27DB"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99.611</w:t>
            </w:r>
          </w:p>
        </w:tc>
      </w:tr>
      <w:tr w:rsidR="007A69A3" w:rsidRPr="000118A3" w14:paraId="54A1A803"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3F46E62D"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Manufacturing</w:t>
            </w:r>
          </w:p>
        </w:tc>
        <w:tc>
          <w:tcPr>
            <w:tcW w:w="1559" w:type="dxa"/>
            <w:tcBorders>
              <w:top w:val="nil"/>
              <w:left w:val="nil"/>
              <w:bottom w:val="single" w:sz="4" w:space="0" w:color="auto"/>
              <w:right w:val="single" w:sz="4" w:space="0" w:color="auto"/>
            </w:tcBorders>
            <w:vAlign w:val="center"/>
            <w:hideMark/>
          </w:tcPr>
          <w:p w14:paraId="1DF92C5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145.012</w:t>
            </w:r>
          </w:p>
        </w:tc>
        <w:tc>
          <w:tcPr>
            <w:tcW w:w="1134" w:type="dxa"/>
            <w:tcBorders>
              <w:top w:val="nil"/>
              <w:left w:val="nil"/>
              <w:bottom w:val="single" w:sz="4" w:space="0" w:color="auto"/>
              <w:right w:val="single" w:sz="4" w:space="0" w:color="auto"/>
            </w:tcBorders>
            <w:vAlign w:val="center"/>
            <w:hideMark/>
          </w:tcPr>
          <w:p w14:paraId="7B26868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62.567</w:t>
            </w:r>
          </w:p>
        </w:tc>
        <w:tc>
          <w:tcPr>
            <w:tcW w:w="1134" w:type="dxa"/>
            <w:tcBorders>
              <w:top w:val="nil"/>
              <w:left w:val="nil"/>
              <w:bottom w:val="single" w:sz="4" w:space="0" w:color="auto"/>
              <w:right w:val="single" w:sz="4" w:space="0" w:color="auto"/>
            </w:tcBorders>
            <w:vAlign w:val="center"/>
            <w:hideMark/>
          </w:tcPr>
          <w:p w14:paraId="1002E39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28.825</w:t>
            </w:r>
          </w:p>
        </w:tc>
        <w:tc>
          <w:tcPr>
            <w:tcW w:w="1559" w:type="dxa"/>
            <w:tcBorders>
              <w:top w:val="nil"/>
              <w:left w:val="nil"/>
              <w:bottom w:val="single" w:sz="4" w:space="0" w:color="auto"/>
              <w:right w:val="single" w:sz="4" w:space="0" w:color="auto"/>
            </w:tcBorders>
            <w:vAlign w:val="center"/>
            <w:hideMark/>
          </w:tcPr>
          <w:p w14:paraId="59E22B3D"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452.299</w:t>
            </w:r>
          </w:p>
        </w:tc>
      </w:tr>
      <w:tr w:rsidR="007A69A3" w:rsidRPr="000118A3" w14:paraId="7D15B3F3" w14:textId="77777777" w:rsidTr="004D4503">
        <w:trPr>
          <w:trHeight w:val="624"/>
        </w:trPr>
        <w:tc>
          <w:tcPr>
            <w:tcW w:w="3681" w:type="dxa"/>
            <w:tcBorders>
              <w:top w:val="nil"/>
              <w:left w:val="single" w:sz="4" w:space="0" w:color="auto"/>
              <w:bottom w:val="single" w:sz="4" w:space="0" w:color="auto"/>
              <w:right w:val="single" w:sz="4" w:space="0" w:color="auto"/>
            </w:tcBorders>
            <w:vAlign w:val="center"/>
            <w:hideMark/>
          </w:tcPr>
          <w:p w14:paraId="58B767A9"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Electricity, Gas, Steam, and Air Conditioning Supply</w:t>
            </w:r>
          </w:p>
        </w:tc>
        <w:tc>
          <w:tcPr>
            <w:tcW w:w="1559" w:type="dxa"/>
            <w:tcBorders>
              <w:top w:val="nil"/>
              <w:left w:val="nil"/>
              <w:bottom w:val="single" w:sz="4" w:space="0" w:color="auto"/>
              <w:right w:val="single" w:sz="4" w:space="0" w:color="auto"/>
            </w:tcBorders>
            <w:vAlign w:val="center"/>
            <w:hideMark/>
          </w:tcPr>
          <w:p w14:paraId="0F109FC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5.874</w:t>
            </w:r>
          </w:p>
        </w:tc>
        <w:tc>
          <w:tcPr>
            <w:tcW w:w="1134" w:type="dxa"/>
            <w:tcBorders>
              <w:top w:val="nil"/>
              <w:left w:val="nil"/>
              <w:bottom w:val="single" w:sz="4" w:space="0" w:color="auto"/>
              <w:right w:val="single" w:sz="4" w:space="0" w:color="auto"/>
            </w:tcBorders>
            <w:vAlign w:val="center"/>
            <w:hideMark/>
          </w:tcPr>
          <w:p w14:paraId="0BCF5A6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2.897</w:t>
            </w:r>
          </w:p>
        </w:tc>
        <w:tc>
          <w:tcPr>
            <w:tcW w:w="1134" w:type="dxa"/>
            <w:tcBorders>
              <w:top w:val="nil"/>
              <w:left w:val="nil"/>
              <w:bottom w:val="single" w:sz="4" w:space="0" w:color="auto"/>
              <w:right w:val="single" w:sz="4" w:space="0" w:color="auto"/>
            </w:tcBorders>
            <w:vAlign w:val="center"/>
            <w:hideMark/>
          </w:tcPr>
          <w:p w14:paraId="2CCC26F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425</w:t>
            </w:r>
          </w:p>
        </w:tc>
        <w:tc>
          <w:tcPr>
            <w:tcW w:w="1559" w:type="dxa"/>
            <w:tcBorders>
              <w:top w:val="nil"/>
              <w:left w:val="nil"/>
              <w:bottom w:val="single" w:sz="4" w:space="0" w:color="auto"/>
              <w:right w:val="single" w:sz="4" w:space="0" w:color="auto"/>
            </w:tcBorders>
            <w:vAlign w:val="center"/>
            <w:hideMark/>
          </w:tcPr>
          <w:p w14:paraId="2EFEB94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24.625</w:t>
            </w:r>
          </w:p>
        </w:tc>
      </w:tr>
      <w:tr w:rsidR="007A69A3" w:rsidRPr="000118A3" w14:paraId="1075A470" w14:textId="77777777" w:rsidTr="004D4503">
        <w:trPr>
          <w:trHeight w:val="624"/>
        </w:trPr>
        <w:tc>
          <w:tcPr>
            <w:tcW w:w="3681" w:type="dxa"/>
            <w:tcBorders>
              <w:top w:val="nil"/>
              <w:left w:val="single" w:sz="4" w:space="0" w:color="auto"/>
              <w:bottom w:val="single" w:sz="4" w:space="0" w:color="auto"/>
              <w:right w:val="single" w:sz="4" w:space="0" w:color="auto"/>
            </w:tcBorders>
            <w:vAlign w:val="center"/>
            <w:hideMark/>
          </w:tcPr>
          <w:p w14:paraId="44A55A1A"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Water Supply; Sewerage, Waste Management, and Remediation Activities</w:t>
            </w:r>
          </w:p>
        </w:tc>
        <w:tc>
          <w:tcPr>
            <w:tcW w:w="1559" w:type="dxa"/>
            <w:tcBorders>
              <w:top w:val="nil"/>
              <w:left w:val="nil"/>
              <w:bottom w:val="single" w:sz="4" w:space="0" w:color="auto"/>
              <w:right w:val="single" w:sz="4" w:space="0" w:color="auto"/>
            </w:tcBorders>
            <w:vAlign w:val="center"/>
            <w:hideMark/>
          </w:tcPr>
          <w:p w14:paraId="167E75C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4.817</w:t>
            </w:r>
          </w:p>
        </w:tc>
        <w:tc>
          <w:tcPr>
            <w:tcW w:w="1134" w:type="dxa"/>
            <w:tcBorders>
              <w:top w:val="nil"/>
              <w:left w:val="nil"/>
              <w:bottom w:val="single" w:sz="4" w:space="0" w:color="auto"/>
              <w:right w:val="single" w:sz="4" w:space="0" w:color="auto"/>
            </w:tcBorders>
            <w:vAlign w:val="center"/>
            <w:hideMark/>
          </w:tcPr>
          <w:p w14:paraId="0C79476F"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2.105</w:t>
            </w:r>
          </w:p>
        </w:tc>
        <w:tc>
          <w:tcPr>
            <w:tcW w:w="1134" w:type="dxa"/>
            <w:tcBorders>
              <w:top w:val="nil"/>
              <w:left w:val="nil"/>
              <w:bottom w:val="single" w:sz="4" w:space="0" w:color="auto"/>
              <w:right w:val="single" w:sz="4" w:space="0" w:color="auto"/>
            </w:tcBorders>
            <w:vAlign w:val="center"/>
            <w:hideMark/>
          </w:tcPr>
          <w:p w14:paraId="23B635A2"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186</w:t>
            </w:r>
          </w:p>
        </w:tc>
        <w:tc>
          <w:tcPr>
            <w:tcW w:w="1559" w:type="dxa"/>
            <w:tcBorders>
              <w:top w:val="nil"/>
              <w:left w:val="nil"/>
              <w:bottom w:val="single" w:sz="4" w:space="0" w:color="auto"/>
              <w:right w:val="single" w:sz="4" w:space="0" w:color="auto"/>
            </w:tcBorders>
            <w:vAlign w:val="center"/>
            <w:hideMark/>
          </w:tcPr>
          <w:p w14:paraId="20344632"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21.23</w:t>
            </w:r>
          </w:p>
        </w:tc>
      </w:tr>
      <w:tr w:rsidR="007A69A3" w:rsidRPr="000118A3" w14:paraId="3E68E926"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0C321FFA"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Construction</w:t>
            </w:r>
          </w:p>
        </w:tc>
        <w:tc>
          <w:tcPr>
            <w:tcW w:w="1559" w:type="dxa"/>
            <w:tcBorders>
              <w:top w:val="nil"/>
              <w:left w:val="nil"/>
              <w:bottom w:val="single" w:sz="4" w:space="0" w:color="auto"/>
              <w:right w:val="single" w:sz="4" w:space="0" w:color="auto"/>
            </w:tcBorders>
            <w:vAlign w:val="center"/>
            <w:hideMark/>
          </w:tcPr>
          <w:p w14:paraId="7A0171A4"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176.08</w:t>
            </w:r>
          </w:p>
        </w:tc>
        <w:tc>
          <w:tcPr>
            <w:tcW w:w="1134" w:type="dxa"/>
            <w:tcBorders>
              <w:top w:val="nil"/>
              <w:left w:val="nil"/>
              <w:bottom w:val="single" w:sz="4" w:space="0" w:color="auto"/>
              <w:right w:val="single" w:sz="4" w:space="0" w:color="auto"/>
            </w:tcBorders>
            <w:vAlign w:val="center"/>
            <w:hideMark/>
          </w:tcPr>
          <w:p w14:paraId="247186C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25.594</w:t>
            </w:r>
          </w:p>
        </w:tc>
        <w:tc>
          <w:tcPr>
            <w:tcW w:w="1134" w:type="dxa"/>
            <w:tcBorders>
              <w:top w:val="nil"/>
              <w:left w:val="nil"/>
              <w:bottom w:val="single" w:sz="4" w:space="0" w:color="auto"/>
              <w:right w:val="single" w:sz="4" w:space="0" w:color="auto"/>
            </w:tcBorders>
            <w:vAlign w:val="center"/>
            <w:hideMark/>
          </w:tcPr>
          <w:p w14:paraId="324C773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6.202</w:t>
            </w:r>
          </w:p>
        </w:tc>
        <w:tc>
          <w:tcPr>
            <w:tcW w:w="1559" w:type="dxa"/>
            <w:tcBorders>
              <w:top w:val="nil"/>
              <w:left w:val="nil"/>
              <w:bottom w:val="single" w:sz="4" w:space="0" w:color="auto"/>
              <w:right w:val="single" w:sz="4" w:space="0" w:color="auto"/>
            </w:tcBorders>
            <w:vAlign w:val="center"/>
            <w:hideMark/>
          </w:tcPr>
          <w:p w14:paraId="3A85E9D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216.895</w:t>
            </w:r>
          </w:p>
        </w:tc>
      </w:tr>
      <w:tr w:rsidR="007A69A3" w:rsidRPr="000118A3" w14:paraId="39474126" w14:textId="77777777" w:rsidTr="004D4503">
        <w:trPr>
          <w:trHeight w:val="624"/>
        </w:trPr>
        <w:tc>
          <w:tcPr>
            <w:tcW w:w="3681" w:type="dxa"/>
            <w:tcBorders>
              <w:top w:val="nil"/>
              <w:left w:val="single" w:sz="4" w:space="0" w:color="auto"/>
              <w:bottom w:val="single" w:sz="4" w:space="0" w:color="auto"/>
              <w:right w:val="single" w:sz="4" w:space="0" w:color="auto"/>
            </w:tcBorders>
            <w:vAlign w:val="center"/>
            <w:hideMark/>
          </w:tcPr>
          <w:p w14:paraId="59C51CF0"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Wholesale and Retail Trade; Repair of Motor Vehicles and Motorcycles</w:t>
            </w:r>
          </w:p>
        </w:tc>
        <w:tc>
          <w:tcPr>
            <w:tcW w:w="1559" w:type="dxa"/>
            <w:tcBorders>
              <w:top w:val="nil"/>
              <w:left w:val="nil"/>
              <w:bottom w:val="single" w:sz="4" w:space="0" w:color="auto"/>
              <w:right w:val="single" w:sz="4" w:space="0" w:color="auto"/>
            </w:tcBorders>
            <w:vAlign w:val="center"/>
            <w:hideMark/>
          </w:tcPr>
          <w:p w14:paraId="79F3FD9F"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408.815</w:t>
            </w:r>
          </w:p>
        </w:tc>
        <w:tc>
          <w:tcPr>
            <w:tcW w:w="1134" w:type="dxa"/>
            <w:tcBorders>
              <w:top w:val="nil"/>
              <w:left w:val="nil"/>
              <w:bottom w:val="single" w:sz="4" w:space="0" w:color="auto"/>
              <w:right w:val="single" w:sz="4" w:space="0" w:color="auto"/>
            </w:tcBorders>
            <w:vAlign w:val="center"/>
            <w:hideMark/>
          </w:tcPr>
          <w:p w14:paraId="2055C62F"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135.4</w:t>
            </w:r>
          </w:p>
        </w:tc>
        <w:tc>
          <w:tcPr>
            <w:tcW w:w="1134" w:type="dxa"/>
            <w:tcBorders>
              <w:top w:val="nil"/>
              <w:left w:val="nil"/>
              <w:bottom w:val="single" w:sz="4" w:space="0" w:color="auto"/>
              <w:right w:val="single" w:sz="4" w:space="0" w:color="auto"/>
            </w:tcBorders>
            <w:vAlign w:val="center"/>
            <w:hideMark/>
          </w:tcPr>
          <w:p w14:paraId="15A0B1A6"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174.014</w:t>
            </w:r>
          </w:p>
        </w:tc>
        <w:tc>
          <w:tcPr>
            <w:tcW w:w="1559" w:type="dxa"/>
            <w:tcBorders>
              <w:top w:val="nil"/>
              <w:left w:val="nil"/>
              <w:bottom w:val="single" w:sz="4" w:space="0" w:color="auto"/>
              <w:right w:val="single" w:sz="4" w:space="0" w:color="auto"/>
            </w:tcBorders>
            <w:vAlign w:val="center"/>
            <w:hideMark/>
          </w:tcPr>
          <w:p w14:paraId="50CBE61A"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755.936</w:t>
            </w:r>
          </w:p>
        </w:tc>
      </w:tr>
      <w:tr w:rsidR="007A69A3" w:rsidRPr="000118A3" w14:paraId="25AC9B8F"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7D9B1024"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Transportation and Storage</w:t>
            </w:r>
          </w:p>
        </w:tc>
        <w:tc>
          <w:tcPr>
            <w:tcW w:w="1559" w:type="dxa"/>
            <w:tcBorders>
              <w:top w:val="nil"/>
              <w:left w:val="nil"/>
              <w:bottom w:val="single" w:sz="4" w:space="0" w:color="auto"/>
              <w:right w:val="single" w:sz="4" w:space="0" w:color="auto"/>
            </w:tcBorders>
            <w:vAlign w:val="center"/>
            <w:hideMark/>
          </w:tcPr>
          <w:p w14:paraId="40C71DE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80.823</w:t>
            </w:r>
          </w:p>
        </w:tc>
        <w:tc>
          <w:tcPr>
            <w:tcW w:w="1134" w:type="dxa"/>
            <w:tcBorders>
              <w:top w:val="nil"/>
              <w:left w:val="nil"/>
              <w:bottom w:val="single" w:sz="4" w:space="0" w:color="auto"/>
              <w:right w:val="single" w:sz="4" w:space="0" w:color="auto"/>
            </w:tcBorders>
            <w:vAlign w:val="center"/>
            <w:hideMark/>
          </w:tcPr>
          <w:p w14:paraId="31D3054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13.35</w:t>
            </w:r>
          </w:p>
        </w:tc>
        <w:tc>
          <w:tcPr>
            <w:tcW w:w="1134" w:type="dxa"/>
            <w:tcBorders>
              <w:top w:val="nil"/>
              <w:left w:val="nil"/>
              <w:bottom w:val="single" w:sz="4" w:space="0" w:color="auto"/>
              <w:right w:val="single" w:sz="4" w:space="0" w:color="auto"/>
            </w:tcBorders>
            <w:vAlign w:val="center"/>
            <w:hideMark/>
          </w:tcPr>
          <w:p w14:paraId="077D5C6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67.739</w:t>
            </w:r>
          </w:p>
        </w:tc>
        <w:tc>
          <w:tcPr>
            <w:tcW w:w="1559" w:type="dxa"/>
            <w:tcBorders>
              <w:top w:val="nil"/>
              <w:left w:val="nil"/>
              <w:bottom w:val="single" w:sz="4" w:space="0" w:color="auto"/>
              <w:right w:val="single" w:sz="4" w:space="0" w:color="auto"/>
            </w:tcBorders>
            <w:vAlign w:val="center"/>
            <w:hideMark/>
          </w:tcPr>
          <w:p w14:paraId="6F4E30A2"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174.791</w:t>
            </w:r>
          </w:p>
        </w:tc>
      </w:tr>
      <w:tr w:rsidR="007A69A3" w:rsidRPr="000118A3" w14:paraId="7DF2CFEC"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69D87538"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Accommodation and Food Service Activities</w:t>
            </w:r>
          </w:p>
        </w:tc>
        <w:tc>
          <w:tcPr>
            <w:tcW w:w="1559" w:type="dxa"/>
            <w:tcBorders>
              <w:top w:val="nil"/>
              <w:left w:val="nil"/>
              <w:bottom w:val="single" w:sz="4" w:space="0" w:color="auto"/>
              <w:right w:val="single" w:sz="4" w:space="0" w:color="auto"/>
            </w:tcBorders>
            <w:vAlign w:val="center"/>
            <w:hideMark/>
          </w:tcPr>
          <w:p w14:paraId="3015CEF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180.56</w:t>
            </w:r>
          </w:p>
        </w:tc>
        <w:tc>
          <w:tcPr>
            <w:tcW w:w="1134" w:type="dxa"/>
            <w:tcBorders>
              <w:top w:val="nil"/>
              <w:left w:val="nil"/>
              <w:bottom w:val="single" w:sz="4" w:space="0" w:color="auto"/>
              <w:right w:val="single" w:sz="4" w:space="0" w:color="auto"/>
            </w:tcBorders>
            <w:vAlign w:val="center"/>
            <w:hideMark/>
          </w:tcPr>
          <w:p w14:paraId="4FB2C47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52.649</w:t>
            </w:r>
          </w:p>
        </w:tc>
        <w:tc>
          <w:tcPr>
            <w:tcW w:w="1134" w:type="dxa"/>
            <w:tcBorders>
              <w:top w:val="nil"/>
              <w:left w:val="nil"/>
              <w:bottom w:val="single" w:sz="4" w:space="0" w:color="auto"/>
              <w:right w:val="single" w:sz="4" w:space="0" w:color="auto"/>
            </w:tcBorders>
            <w:vAlign w:val="center"/>
            <w:hideMark/>
          </w:tcPr>
          <w:p w14:paraId="1827A2B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113.512</w:t>
            </w:r>
          </w:p>
        </w:tc>
        <w:tc>
          <w:tcPr>
            <w:tcW w:w="1559" w:type="dxa"/>
            <w:tcBorders>
              <w:top w:val="nil"/>
              <w:left w:val="nil"/>
              <w:bottom w:val="single" w:sz="4" w:space="0" w:color="auto"/>
              <w:right w:val="single" w:sz="4" w:space="0" w:color="auto"/>
            </w:tcBorders>
            <w:vAlign w:val="center"/>
            <w:hideMark/>
          </w:tcPr>
          <w:p w14:paraId="4399CA4D"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227.472</w:t>
            </w:r>
          </w:p>
        </w:tc>
      </w:tr>
      <w:tr w:rsidR="007A69A3" w:rsidRPr="000118A3" w14:paraId="2CE665A7"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671F9CC6"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Information and Communication</w:t>
            </w:r>
          </w:p>
        </w:tc>
        <w:tc>
          <w:tcPr>
            <w:tcW w:w="1559" w:type="dxa"/>
            <w:tcBorders>
              <w:top w:val="nil"/>
              <w:left w:val="nil"/>
              <w:bottom w:val="single" w:sz="4" w:space="0" w:color="auto"/>
              <w:right w:val="single" w:sz="4" w:space="0" w:color="auto"/>
            </w:tcBorders>
            <w:vAlign w:val="center"/>
            <w:hideMark/>
          </w:tcPr>
          <w:p w14:paraId="42CE448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12.507</w:t>
            </w:r>
          </w:p>
        </w:tc>
        <w:tc>
          <w:tcPr>
            <w:tcW w:w="1134" w:type="dxa"/>
            <w:tcBorders>
              <w:top w:val="nil"/>
              <w:left w:val="nil"/>
              <w:bottom w:val="single" w:sz="4" w:space="0" w:color="auto"/>
              <w:right w:val="single" w:sz="4" w:space="0" w:color="auto"/>
            </w:tcBorders>
            <w:vAlign w:val="center"/>
            <w:hideMark/>
          </w:tcPr>
          <w:p w14:paraId="7E26C3E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1.318</w:t>
            </w:r>
          </w:p>
        </w:tc>
        <w:tc>
          <w:tcPr>
            <w:tcW w:w="1134" w:type="dxa"/>
            <w:tcBorders>
              <w:top w:val="nil"/>
              <w:left w:val="nil"/>
              <w:bottom w:val="single" w:sz="4" w:space="0" w:color="auto"/>
              <w:right w:val="single" w:sz="4" w:space="0" w:color="auto"/>
            </w:tcBorders>
            <w:vAlign w:val="center"/>
            <w:hideMark/>
          </w:tcPr>
          <w:p w14:paraId="30367A3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7.335</w:t>
            </w:r>
          </w:p>
        </w:tc>
        <w:tc>
          <w:tcPr>
            <w:tcW w:w="1559" w:type="dxa"/>
            <w:tcBorders>
              <w:top w:val="nil"/>
              <w:left w:val="nil"/>
              <w:bottom w:val="single" w:sz="4" w:space="0" w:color="auto"/>
              <w:right w:val="single" w:sz="4" w:space="0" w:color="auto"/>
            </w:tcBorders>
            <w:vAlign w:val="center"/>
            <w:hideMark/>
          </w:tcPr>
          <w:p w14:paraId="34FB6F3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9.299</w:t>
            </w:r>
          </w:p>
        </w:tc>
      </w:tr>
      <w:tr w:rsidR="007A69A3" w:rsidRPr="000118A3" w14:paraId="6FA04C18"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1DD674E3"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Financial and Insurance Activities</w:t>
            </w:r>
          </w:p>
        </w:tc>
        <w:tc>
          <w:tcPr>
            <w:tcW w:w="1559" w:type="dxa"/>
            <w:tcBorders>
              <w:top w:val="nil"/>
              <w:left w:val="nil"/>
              <w:bottom w:val="single" w:sz="4" w:space="0" w:color="auto"/>
              <w:right w:val="single" w:sz="4" w:space="0" w:color="auto"/>
            </w:tcBorders>
            <w:vAlign w:val="center"/>
            <w:hideMark/>
          </w:tcPr>
          <w:p w14:paraId="474EEB4D"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31.556</w:t>
            </w:r>
          </w:p>
        </w:tc>
        <w:tc>
          <w:tcPr>
            <w:tcW w:w="1134" w:type="dxa"/>
            <w:tcBorders>
              <w:top w:val="nil"/>
              <w:left w:val="nil"/>
              <w:bottom w:val="single" w:sz="4" w:space="0" w:color="auto"/>
              <w:right w:val="single" w:sz="4" w:space="0" w:color="auto"/>
            </w:tcBorders>
            <w:vAlign w:val="center"/>
            <w:hideMark/>
          </w:tcPr>
          <w:p w14:paraId="39A5C3B6"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7.866</w:t>
            </w:r>
          </w:p>
        </w:tc>
        <w:tc>
          <w:tcPr>
            <w:tcW w:w="1134" w:type="dxa"/>
            <w:tcBorders>
              <w:top w:val="nil"/>
              <w:left w:val="nil"/>
              <w:bottom w:val="single" w:sz="4" w:space="0" w:color="auto"/>
              <w:right w:val="single" w:sz="4" w:space="0" w:color="auto"/>
            </w:tcBorders>
            <w:vAlign w:val="center"/>
            <w:hideMark/>
          </w:tcPr>
          <w:p w14:paraId="2751F5AF"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13.78</w:t>
            </w:r>
          </w:p>
        </w:tc>
        <w:tc>
          <w:tcPr>
            <w:tcW w:w="1559" w:type="dxa"/>
            <w:tcBorders>
              <w:top w:val="nil"/>
              <w:left w:val="nil"/>
              <w:bottom w:val="single" w:sz="4" w:space="0" w:color="auto"/>
              <w:right w:val="single" w:sz="4" w:space="0" w:color="auto"/>
            </w:tcBorders>
            <w:vAlign w:val="center"/>
            <w:hideMark/>
          </w:tcPr>
          <w:p w14:paraId="0E4B08E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28.471</w:t>
            </w:r>
          </w:p>
        </w:tc>
      </w:tr>
      <w:tr w:rsidR="007A69A3" w:rsidRPr="000118A3" w14:paraId="42E4B184"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739422EF"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Real Estate</w:t>
            </w:r>
          </w:p>
        </w:tc>
        <w:tc>
          <w:tcPr>
            <w:tcW w:w="1559" w:type="dxa"/>
            <w:tcBorders>
              <w:top w:val="nil"/>
              <w:left w:val="nil"/>
              <w:bottom w:val="single" w:sz="4" w:space="0" w:color="auto"/>
              <w:right w:val="single" w:sz="4" w:space="0" w:color="auto"/>
            </w:tcBorders>
            <w:vAlign w:val="center"/>
            <w:hideMark/>
          </w:tcPr>
          <w:p w14:paraId="150D3286"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4.153</w:t>
            </w:r>
          </w:p>
        </w:tc>
        <w:tc>
          <w:tcPr>
            <w:tcW w:w="1134" w:type="dxa"/>
            <w:tcBorders>
              <w:top w:val="nil"/>
              <w:left w:val="nil"/>
              <w:bottom w:val="single" w:sz="4" w:space="0" w:color="auto"/>
              <w:right w:val="single" w:sz="4" w:space="0" w:color="auto"/>
            </w:tcBorders>
            <w:vAlign w:val="center"/>
            <w:hideMark/>
          </w:tcPr>
          <w:p w14:paraId="3657F05C"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1.935</w:t>
            </w:r>
          </w:p>
        </w:tc>
        <w:tc>
          <w:tcPr>
            <w:tcW w:w="1134" w:type="dxa"/>
            <w:tcBorders>
              <w:top w:val="nil"/>
              <w:left w:val="nil"/>
              <w:bottom w:val="single" w:sz="4" w:space="0" w:color="auto"/>
              <w:right w:val="single" w:sz="4" w:space="0" w:color="auto"/>
            </w:tcBorders>
            <w:vAlign w:val="center"/>
            <w:hideMark/>
          </w:tcPr>
          <w:p w14:paraId="66ACBD4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6.968</w:t>
            </w:r>
          </w:p>
        </w:tc>
        <w:tc>
          <w:tcPr>
            <w:tcW w:w="1559" w:type="dxa"/>
            <w:tcBorders>
              <w:top w:val="nil"/>
              <w:left w:val="nil"/>
              <w:bottom w:val="single" w:sz="4" w:space="0" w:color="auto"/>
              <w:right w:val="single" w:sz="4" w:space="0" w:color="auto"/>
            </w:tcBorders>
            <w:vAlign w:val="center"/>
            <w:hideMark/>
          </w:tcPr>
          <w:p w14:paraId="0BE748E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8.054</w:t>
            </w:r>
          </w:p>
        </w:tc>
      </w:tr>
      <w:tr w:rsidR="007A69A3" w:rsidRPr="000118A3" w14:paraId="7FF426CB" w14:textId="77777777" w:rsidTr="004D4503">
        <w:trPr>
          <w:trHeight w:val="624"/>
        </w:trPr>
        <w:tc>
          <w:tcPr>
            <w:tcW w:w="3681" w:type="dxa"/>
            <w:tcBorders>
              <w:top w:val="nil"/>
              <w:left w:val="single" w:sz="4" w:space="0" w:color="auto"/>
              <w:bottom w:val="single" w:sz="4" w:space="0" w:color="auto"/>
              <w:right w:val="single" w:sz="4" w:space="0" w:color="auto"/>
            </w:tcBorders>
            <w:vAlign w:val="center"/>
            <w:hideMark/>
          </w:tcPr>
          <w:p w14:paraId="5A7AE87F"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Professional Activities and Administrative &amp; Support Activities</w:t>
            </w:r>
          </w:p>
        </w:tc>
        <w:tc>
          <w:tcPr>
            <w:tcW w:w="1559" w:type="dxa"/>
            <w:tcBorders>
              <w:top w:val="nil"/>
              <w:left w:val="nil"/>
              <w:bottom w:val="single" w:sz="4" w:space="0" w:color="auto"/>
              <w:right w:val="single" w:sz="4" w:space="0" w:color="auto"/>
            </w:tcBorders>
            <w:vAlign w:val="center"/>
            <w:hideMark/>
          </w:tcPr>
          <w:p w14:paraId="38363E4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19.212</w:t>
            </w:r>
          </w:p>
        </w:tc>
        <w:tc>
          <w:tcPr>
            <w:tcW w:w="1134" w:type="dxa"/>
            <w:tcBorders>
              <w:top w:val="nil"/>
              <w:left w:val="nil"/>
              <w:bottom w:val="single" w:sz="4" w:space="0" w:color="auto"/>
              <w:right w:val="single" w:sz="4" w:space="0" w:color="auto"/>
            </w:tcBorders>
            <w:vAlign w:val="center"/>
            <w:hideMark/>
          </w:tcPr>
          <w:p w14:paraId="14002A73"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9.66</w:t>
            </w:r>
          </w:p>
        </w:tc>
        <w:tc>
          <w:tcPr>
            <w:tcW w:w="1134" w:type="dxa"/>
            <w:tcBorders>
              <w:top w:val="nil"/>
              <w:left w:val="nil"/>
              <w:bottom w:val="single" w:sz="4" w:space="0" w:color="auto"/>
              <w:right w:val="single" w:sz="4" w:space="0" w:color="auto"/>
            </w:tcBorders>
            <w:vAlign w:val="center"/>
            <w:hideMark/>
          </w:tcPr>
          <w:p w14:paraId="65692C8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60.432</w:t>
            </w:r>
          </w:p>
        </w:tc>
        <w:tc>
          <w:tcPr>
            <w:tcW w:w="1559" w:type="dxa"/>
            <w:tcBorders>
              <w:top w:val="nil"/>
              <w:left w:val="nil"/>
              <w:bottom w:val="single" w:sz="4" w:space="0" w:color="auto"/>
              <w:right w:val="single" w:sz="4" w:space="0" w:color="auto"/>
            </w:tcBorders>
            <w:vAlign w:val="center"/>
            <w:hideMark/>
          </w:tcPr>
          <w:p w14:paraId="0EDE447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155.402</w:t>
            </w:r>
          </w:p>
        </w:tc>
      </w:tr>
      <w:tr w:rsidR="007A69A3" w:rsidRPr="000118A3" w14:paraId="7D1EE068" w14:textId="77777777" w:rsidTr="004D4503">
        <w:trPr>
          <w:trHeight w:val="624"/>
        </w:trPr>
        <w:tc>
          <w:tcPr>
            <w:tcW w:w="3681" w:type="dxa"/>
            <w:tcBorders>
              <w:top w:val="nil"/>
              <w:left w:val="single" w:sz="4" w:space="0" w:color="auto"/>
              <w:bottom w:val="single" w:sz="4" w:space="0" w:color="auto"/>
              <w:right w:val="single" w:sz="4" w:space="0" w:color="auto"/>
            </w:tcBorders>
            <w:vAlign w:val="center"/>
            <w:hideMark/>
          </w:tcPr>
          <w:p w14:paraId="54813D18"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Public Administration and Defence; Compulsory Social Security</w:t>
            </w:r>
          </w:p>
        </w:tc>
        <w:tc>
          <w:tcPr>
            <w:tcW w:w="1559" w:type="dxa"/>
            <w:tcBorders>
              <w:top w:val="nil"/>
              <w:left w:val="nil"/>
              <w:bottom w:val="single" w:sz="4" w:space="0" w:color="auto"/>
              <w:right w:val="single" w:sz="4" w:space="0" w:color="auto"/>
            </w:tcBorders>
            <w:vAlign w:val="center"/>
            <w:hideMark/>
          </w:tcPr>
          <w:p w14:paraId="7D11AB9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115.842</w:t>
            </w:r>
          </w:p>
        </w:tc>
        <w:tc>
          <w:tcPr>
            <w:tcW w:w="1134" w:type="dxa"/>
            <w:tcBorders>
              <w:top w:val="nil"/>
              <w:left w:val="nil"/>
              <w:bottom w:val="single" w:sz="4" w:space="0" w:color="auto"/>
              <w:right w:val="single" w:sz="4" w:space="0" w:color="auto"/>
            </w:tcBorders>
            <w:vAlign w:val="center"/>
            <w:hideMark/>
          </w:tcPr>
          <w:p w14:paraId="29F0B2F2"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47.458</w:t>
            </w:r>
          </w:p>
        </w:tc>
        <w:tc>
          <w:tcPr>
            <w:tcW w:w="1134" w:type="dxa"/>
            <w:tcBorders>
              <w:top w:val="nil"/>
              <w:left w:val="nil"/>
              <w:bottom w:val="single" w:sz="4" w:space="0" w:color="auto"/>
              <w:right w:val="single" w:sz="4" w:space="0" w:color="auto"/>
            </w:tcBorders>
            <w:vAlign w:val="center"/>
            <w:hideMark/>
          </w:tcPr>
          <w:p w14:paraId="120DC7C2"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69.453</w:t>
            </w:r>
          </w:p>
        </w:tc>
        <w:tc>
          <w:tcPr>
            <w:tcW w:w="1559" w:type="dxa"/>
            <w:tcBorders>
              <w:top w:val="nil"/>
              <w:left w:val="nil"/>
              <w:bottom w:val="single" w:sz="4" w:space="0" w:color="auto"/>
              <w:right w:val="single" w:sz="4" w:space="0" w:color="auto"/>
            </w:tcBorders>
            <w:vAlign w:val="center"/>
            <w:hideMark/>
          </w:tcPr>
          <w:p w14:paraId="35B508C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212.522</w:t>
            </w:r>
          </w:p>
        </w:tc>
      </w:tr>
      <w:tr w:rsidR="007A69A3" w:rsidRPr="000118A3" w14:paraId="3A5C1CAD"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2493EA5F"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Education</w:t>
            </w:r>
          </w:p>
        </w:tc>
        <w:tc>
          <w:tcPr>
            <w:tcW w:w="1559" w:type="dxa"/>
            <w:tcBorders>
              <w:top w:val="nil"/>
              <w:left w:val="nil"/>
              <w:bottom w:val="single" w:sz="4" w:space="0" w:color="auto"/>
              <w:right w:val="single" w:sz="4" w:space="0" w:color="auto"/>
            </w:tcBorders>
            <w:vAlign w:val="center"/>
            <w:hideMark/>
          </w:tcPr>
          <w:p w14:paraId="59930A43"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198.122</w:t>
            </w:r>
          </w:p>
        </w:tc>
        <w:tc>
          <w:tcPr>
            <w:tcW w:w="1134" w:type="dxa"/>
            <w:tcBorders>
              <w:top w:val="nil"/>
              <w:left w:val="nil"/>
              <w:bottom w:val="single" w:sz="4" w:space="0" w:color="auto"/>
              <w:right w:val="single" w:sz="4" w:space="0" w:color="auto"/>
            </w:tcBorders>
            <w:vAlign w:val="center"/>
            <w:hideMark/>
          </w:tcPr>
          <w:p w14:paraId="78FD9EAD"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75.664</w:t>
            </w:r>
          </w:p>
        </w:tc>
        <w:tc>
          <w:tcPr>
            <w:tcW w:w="1134" w:type="dxa"/>
            <w:tcBorders>
              <w:top w:val="nil"/>
              <w:left w:val="nil"/>
              <w:bottom w:val="single" w:sz="4" w:space="0" w:color="auto"/>
              <w:right w:val="single" w:sz="4" w:space="0" w:color="auto"/>
            </w:tcBorders>
            <w:vAlign w:val="center"/>
            <w:hideMark/>
          </w:tcPr>
          <w:p w14:paraId="34BD5A1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20.212</w:t>
            </w:r>
          </w:p>
        </w:tc>
        <w:tc>
          <w:tcPr>
            <w:tcW w:w="1559" w:type="dxa"/>
            <w:tcBorders>
              <w:top w:val="nil"/>
              <w:left w:val="nil"/>
              <w:bottom w:val="single" w:sz="4" w:space="0" w:color="auto"/>
              <w:right w:val="single" w:sz="4" w:space="0" w:color="auto"/>
            </w:tcBorders>
            <w:vAlign w:val="center"/>
            <w:hideMark/>
          </w:tcPr>
          <w:p w14:paraId="5F361F5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96.172</w:t>
            </w:r>
          </w:p>
        </w:tc>
      </w:tr>
      <w:tr w:rsidR="007A69A3" w:rsidRPr="000118A3" w14:paraId="7BBF0FD0"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7AC4DFCD"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Human Health and Social Work Activities</w:t>
            </w:r>
          </w:p>
        </w:tc>
        <w:tc>
          <w:tcPr>
            <w:tcW w:w="1559" w:type="dxa"/>
            <w:tcBorders>
              <w:top w:val="nil"/>
              <w:left w:val="nil"/>
              <w:bottom w:val="single" w:sz="4" w:space="0" w:color="auto"/>
              <w:right w:val="single" w:sz="4" w:space="0" w:color="auto"/>
            </w:tcBorders>
            <w:vAlign w:val="center"/>
            <w:hideMark/>
          </w:tcPr>
          <w:p w14:paraId="6DCABC32"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48.176</w:t>
            </w:r>
          </w:p>
        </w:tc>
        <w:tc>
          <w:tcPr>
            <w:tcW w:w="1134" w:type="dxa"/>
            <w:tcBorders>
              <w:top w:val="nil"/>
              <w:left w:val="nil"/>
              <w:bottom w:val="single" w:sz="4" w:space="0" w:color="auto"/>
              <w:right w:val="single" w:sz="4" w:space="0" w:color="auto"/>
            </w:tcBorders>
            <w:vAlign w:val="center"/>
            <w:hideMark/>
          </w:tcPr>
          <w:p w14:paraId="15A2CCC4"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12.362</w:t>
            </w:r>
          </w:p>
        </w:tc>
        <w:tc>
          <w:tcPr>
            <w:tcW w:w="1134" w:type="dxa"/>
            <w:tcBorders>
              <w:top w:val="nil"/>
              <w:left w:val="nil"/>
              <w:bottom w:val="single" w:sz="4" w:space="0" w:color="auto"/>
              <w:right w:val="single" w:sz="4" w:space="0" w:color="auto"/>
            </w:tcBorders>
            <w:noWrap/>
            <w:vAlign w:val="bottom"/>
            <w:hideMark/>
          </w:tcPr>
          <w:p w14:paraId="219645C2"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18.126</w:t>
            </w:r>
          </w:p>
        </w:tc>
        <w:tc>
          <w:tcPr>
            <w:tcW w:w="1559" w:type="dxa"/>
            <w:tcBorders>
              <w:top w:val="nil"/>
              <w:left w:val="nil"/>
              <w:bottom w:val="single" w:sz="4" w:space="0" w:color="auto"/>
              <w:right w:val="single" w:sz="4" w:space="0" w:color="auto"/>
            </w:tcBorders>
            <w:noWrap/>
            <w:vAlign w:val="bottom"/>
            <w:hideMark/>
          </w:tcPr>
          <w:p w14:paraId="1CFEF30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26.955</w:t>
            </w:r>
          </w:p>
        </w:tc>
      </w:tr>
      <w:tr w:rsidR="007A69A3" w:rsidRPr="000118A3" w14:paraId="52B623D4" w14:textId="77777777" w:rsidTr="004D4503">
        <w:trPr>
          <w:trHeight w:val="312"/>
        </w:trPr>
        <w:tc>
          <w:tcPr>
            <w:tcW w:w="3681" w:type="dxa"/>
            <w:tcBorders>
              <w:top w:val="nil"/>
              <w:left w:val="single" w:sz="4" w:space="0" w:color="auto"/>
              <w:bottom w:val="single" w:sz="4" w:space="0" w:color="auto"/>
              <w:right w:val="single" w:sz="4" w:space="0" w:color="auto"/>
            </w:tcBorders>
            <w:vAlign w:val="center"/>
            <w:hideMark/>
          </w:tcPr>
          <w:p w14:paraId="6BCE9373"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Other Services Activities</w:t>
            </w:r>
          </w:p>
        </w:tc>
        <w:tc>
          <w:tcPr>
            <w:tcW w:w="1559" w:type="dxa"/>
            <w:tcBorders>
              <w:top w:val="nil"/>
              <w:left w:val="nil"/>
              <w:bottom w:val="single" w:sz="4" w:space="0" w:color="auto"/>
              <w:right w:val="single" w:sz="4" w:space="0" w:color="auto"/>
            </w:tcBorders>
            <w:noWrap/>
            <w:vAlign w:val="bottom"/>
            <w:hideMark/>
          </w:tcPr>
          <w:p w14:paraId="6EFB8A6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105.457</w:t>
            </w:r>
          </w:p>
        </w:tc>
        <w:tc>
          <w:tcPr>
            <w:tcW w:w="1134" w:type="dxa"/>
            <w:tcBorders>
              <w:top w:val="nil"/>
              <w:left w:val="nil"/>
              <w:bottom w:val="single" w:sz="4" w:space="0" w:color="auto"/>
              <w:right w:val="single" w:sz="4" w:space="0" w:color="auto"/>
            </w:tcBorders>
            <w:noWrap/>
            <w:vAlign w:val="bottom"/>
            <w:hideMark/>
          </w:tcPr>
          <w:p w14:paraId="42F9735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32.65</w:t>
            </w:r>
          </w:p>
        </w:tc>
        <w:tc>
          <w:tcPr>
            <w:tcW w:w="1134" w:type="dxa"/>
            <w:tcBorders>
              <w:top w:val="nil"/>
              <w:left w:val="nil"/>
              <w:bottom w:val="single" w:sz="4" w:space="0" w:color="auto"/>
              <w:right w:val="single" w:sz="4" w:space="0" w:color="auto"/>
            </w:tcBorders>
            <w:noWrap/>
            <w:vAlign w:val="bottom"/>
            <w:hideMark/>
          </w:tcPr>
          <w:p w14:paraId="76CB06C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55.232</w:t>
            </w:r>
          </w:p>
        </w:tc>
        <w:tc>
          <w:tcPr>
            <w:tcW w:w="1559" w:type="dxa"/>
            <w:tcBorders>
              <w:top w:val="nil"/>
              <w:left w:val="nil"/>
              <w:bottom w:val="single" w:sz="4" w:space="0" w:color="auto"/>
              <w:right w:val="single" w:sz="4" w:space="0" w:color="auto"/>
            </w:tcBorders>
            <w:noWrap/>
            <w:vAlign w:val="bottom"/>
            <w:hideMark/>
          </w:tcPr>
          <w:p w14:paraId="65CF09C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148.65</w:t>
            </w:r>
          </w:p>
        </w:tc>
      </w:tr>
    </w:tbl>
    <w:p w14:paraId="30895961" w14:textId="77777777" w:rsidR="007A69A3" w:rsidRPr="000118A3" w:rsidRDefault="007A69A3" w:rsidP="007A69A3">
      <w:pPr>
        <w:ind w:left="284"/>
        <w:jc w:val="both"/>
        <w:rPr>
          <w:rFonts w:ascii="Times New Roman" w:hAnsi="Times New Roman" w:cs="Times New Roman"/>
          <w:sz w:val="22"/>
          <w:szCs w:val="22"/>
        </w:rPr>
      </w:pPr>
    </w:p>
    <w:p w14:paraId="20369E28" w14:textId="381BA45A" w:rsidR="007A69A3" w:rsidRDefault="007A69A3" w:rsidP="0070138E">
      <w:pPr>
        <w:jc w:val="both"/>
        <w:rPr>
          <w:rFonts w:ascii="Times New Roman" w:hAnsi="Times New Roman" w:cs="Times New Roman"/>
          <w:sz w:val="22"/>
          <w:szCs w:val="22"/>
        </w:rPr>
      </w:pPr>
      <w:r w:rsidRPr="000118A3">
        <w:rPr>
          <w:rFonts w:ascii="Times New Roman" w:hAnsi="Times New Roman" w:cs="Times New Roman"/>
          <w:sz w:val="22"/>
          <w:szCs w:val="22"/>
        </w:rPr>
        <w:t xml:space="preserve">The economic sector distribution in Indonesia’s coastal regions varies across provinces. West Kalimantan and South Sumatra are dominated by agriculture, forestry, and fisheries, indicating strong dependence on primary natural resources. Bangka Belitung relies heavily on tin mining, while the Riau Islands specialize in maritime transport and logistics due to their strategic location along international trade routes. This pattern reflects the resource-based economy perspective, where natural resource availability shapes regional economic and employment structures (Barbier, 2015). However, heavy reliance on primary or extractive industries increases vulnerability to commodity price fluctuations, environmental degradation, and climate change impacts (Béné et al., 2016). The next section outlines the average monthly net wages across provinces in 2024 by major occupation, highlighting regional and sectoral differences (see Table </w:t>
      </w:r>
      <w:r w:rsidR="004D4503">
        <w:rPr>
          <w:rFonts w:ascii="Times New Roman" w:hAnsi="Times New Roman" w:cs="Times New Roman"/>
          <w:sz w:val="22"/>
          <w:szCs w:val="22"/>
        </w:rPr>
        <w:t>2</w:t>
      </w:r>
      <w:r w:rsidRPr="000118A3">
        <w:rPr>
          <w:rFonts w:ascii="Times New Roman" w:hAnsi="Times New Roman" w:cs="Times New Roman"/>
          <w:sz w:val="22"/>
          <w:szCs w:val="22"/>
        </w:rPr>
        <w:t>).</w:t>
      </w:r>
    </w:p>
    <w:p w14:paraId="2A21B159" w14:textId="77777777" w:rsidR="007F0F81" w:rsidRDefault="007F0F81" w:rsidP="0070138E">
      <w:pPr>
        <w:jc w:val="both"/>
        <w:rPr>
          <w:rFonts w:ascii="Times New Roman" w:hAnsi="Times New Roman" w:cs="Times New Roman"/>
          <w:sz w:val="22"/>
          <w:szCs w:val="22"/>
        </w:rPr>
      </w:pPr>
    </w:p>
    <w:p w14:paraId="6A5E15AF" w14:textId="3E12105E" w:rsidR="007A69A3" w:rsidRPr="005D262E" w:rsidRDefault="005D262E" w:rsidP="005D262E">
      <w:pPr>
        <w:pStyle w:val="Caption"/>
        <w:rPr>
          <w:rFonts w:ascii="Times New Roman" w:hAnsi="Times New Roman" w:cs="Times New Roman"/>
          <w:i w:val="0"/>
          <w:iCs w:val="0"/>
          <w:color w:val="000000" w:themeColor="text1"/>
          <w:sz w:val="22"/>
          <w:szCs w:val="22"/>
          <w:highlight w:val="yellow"/>
        </w:rPr>
      </w:pPr>
      <w:bookmarkStart w:id="41" w:name="_Toc217297647"/>
      <w:r w:rsidRPr="005D262E">
        <w:rPr>
          <w:rFonts w:ascii="Times New Roman" w:hAnsi="Times New Roman" w:cs="Times New Roman"/>
          <w:i w:val="0"/>
          <w:iCs w:val="0"/>
          <w:color w:val="000000" w:themeColor="text1"/>
          <w:sz w:val="22"/>
          <w:szCs w:val="22"/>
        </w:rPr>
        <w:t xml:space="preserve">Table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Table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w:t>
      </w:r>
      <w:r w:rsidRPr="005D262E">
        <w:rPr>
          <w:rFonts w:ascii="Times New Roman" w:hAnsi="Times New Roman" w:cs="Times New Roman"/>
          <w:i w:val="0"/>
          <w:iCs w:val="0"/>
          <w:color w:val="000000" w:themeColor="text1"/>
          <w:sz w:val="22"/>
          <w:szCs w:val="22"/>
        </w:rPr>
        <w:fldChar w:fldCharType="end"/>
      </w:r>
      <w:r w:rsidRPr="005D262E">
        <w:rPr>
          <w:rFonts w:ascii="Times New Roman" w:hAnsi="Times New Roman" w:cs="Times New Roman"/>
          <w:b/>
          <w:bCs/>
          <w:i w:val="0"/>
          <w:iCs w:val="0"/>
          <w:color w:val="000000" w:themeColor="text1"/>
          <w:sz w:val="22"/>
          <w:szCs w:val="22"/>
        </w:rPr>
        <w:t xml:space="preserve"> </w:t>
      </w:r>
      <w:r w:rsidR="007A69A3" w:rsidRPr="005D262E">
        <w:rPr>
          <w:rFonts w:ascii="Times New Roman" w:hAnsi="Times New Roman" w:cs="Times New Roman"/>
          <w:i w:val="0"/>
          <w:iCs w:val="0"/>
          <w:color w:val="000000" w:themeColor="text1"/>
          <w:sz w:val="22"/>
          <w:szCs w:val="22"/>
        </w:rPr>
        <w:t>Average of Net Wage/Salary per Month of Employee by Province and Main Occupation (rupiahs), 2024</w:t>
      </w:r>
      <w:bookmarkEnd w:id="41"/>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1560"/>
        <w:gridCol w:w="1842"/>
        <w:gridCol w:w="1418"/>
        <w:gridCol w:w="1417"/>
      </w:tblGrid>
      <w:tr w:rsidR="007A69A3" w:rsidRPr="000118A3" w14:paraId="2C0BBBA7" w14:textId="77777777" w:rsidTr="00671D7D">
        <w:trPr>
          <w:trHeight w:val="630"/>
          <w:tblHeader/>
        </w:trPr>
        <w:tc>
          <w:tcPr>
            <w:tcW w:w="3397" w:type="dxa"/>
            <w:shd w:val="clear" w:color="auto" w:fill="2F5496" w:themeFill="accent1" w:themeFillShade="BF"/>
            <w:noWrap/>
            <w:vAlign w:val="center"/>
            <w:hideMark/>
          </w:tcPr>
          <w:p w14:paraId="3672BA69"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Sectors</w:t>
            </w:r>
          </w:p>
        </w:tc>
        <w:tc>
          <w:tcPr>
            <w:tcW w:w="1560" w:type="dxa"/>
            <w:shd w:val="clear" w:color="auto" w:fill="2F5496" w:themeFill="accent1" w:themeFillShade="BF"/>
            <w:noWrap/>
            <w:vAlign w:val="center"/>
            <w:hideMark/>
          </w:tcPr>
          <w:p w14:paraId="6A660DD5"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West Kalimantan</w:t>
            </w:r>
          </w:p>
        </w:tc>
        <w:tc>
          <w:tcPr>
            <w:tcW w:w="1842" w:type="dxa"/>
            <w:shd w:val="clear" w:color="auto" w:fill="2F5496" w:themeFill="accent1" w:themeFillShade="BF"/>
            <w:noWrap/>
            <w:vAlign w:val="center"/>
            <w:hideMark/>
          </w:tcPr>
          <w:p w14:paraId="682D8D5A"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Bangka Belitung</w:t>
            </w:r>
          </w:p>
        </w:tc>
        <w:tc>
          <w:tcPr>
            <w:tcW w:w="1418" w:type="dxa"/>
            <w:shd w:val="clear" w:color="auto" w:fill="2F5496" w:themeFill="accent1" w:themeFillShade="BF"/>
            <w:noWrap/>
            <w:vAlign w:val="center"/>
            <w:hideMark/>
          </w:tcPr>
          <w:p w14:paraId="3694A1E5"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Riau Islands</w:t>
            </w:r>
          </w:p>
        </w:tc>
        <w:tc>
          <w:tcPr>
            <w:tcW w:w="1417" w:type="dxa"/>
            <w:shd w:val="clear" w:color="auto" w:fill="2F5496" w:themeFill="accent1" w:themeFillShade="BF"/>
            <w:noWrap/>
            <w:vAlign w:val="center"/>
            <w:hideMark/>
          </w:tcPr>
          <w:p w14:paraId="7F138CC1"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South Sumatera</w:t>
            </w:r>
          </w:p>
        </w:tc>
      </w:tr>
      <w:tr w:rsidR="007A69A3" w:rsidRPr="000118A3" w14:paraId="79EA13DD" w14:textId="77777777" w:rsidTr="00671D7D">
        <w:trPr>
          <w:trHeight w:val="315"/>
        </w:trPr>
        <w:tc>
          <w:tcPr>
            <w:tcW w:w="3397" w:type="dxa"/>
            <w:noWrap/>
            <w:vAlign w:val="bottom"/>
            <w:hideMark/>
          </w:tcPr>
          <w:p w14:paraId="592AD31A"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Agriculture, Forestry, and Fishing</w:t>
            </w:r>
          </w:p>
        </w:tc>
        <w:tc>
          <w:tcPr>
            <w:tcW w:w="1560" w:type="dxa"/>
            <w:noWrap/>
            <w:vAlign w:val="bottom"/>
            <w:hideMark/>
          </w:tcPr>
          <w:p w14:paraId="5AF179B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1.957.214</w:t>
            </w:r>
          </w:p>
        </w:tc>
        <w:tc>
          <w:tcPr>
            <w:tcW w:w="1842" w:type="dxa"/>
            <w:noWrap/>
            <w:vAlign w:val="bottom"/>
            <w:hideMark/>
          </w:tcPr>
          <w:p w14:paraId="7CD64EB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3.147.608</w:t>
            </w:r>
          </w:p>
        </w:tc>
        <w:tc>
          <w:tcPr>
            <w:tcW w:w="1418" w:type="dxa"/>
            <w:noWrap/>
            <w:vAlign w:val="bottom"/>
            <w:hideMark/>
          </w:tcPr>
          <w:p w14:paraId="4495E2DF"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3.272.496</w:t>
            </w:r>
          </w:p>
        </w:tc>
        <w:tc>
          <w:tcPr>
            <w:tcW w:w="1417" w:type="dxa"/>
            <w:noWrap/>
            <w:vAlign w:val="bottom"/>
            <w:hideMark/>
          </w:tcPr>
          <w:p w14:paraId="452D678B"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2.356.642</w:t>
            </w:r>
          </w:p>
        </w:tc>
      </w:tr>
      <w:tr w:rsidR="007A69A3" w:rsidRPr="000118A3" w14:paraId="67A96DBC" w14:textId="77777777" w:rsidTr="00671D7D">
        <w:trPr>
          <w:trHeight w:val="315"/>
        </w:trPr>
        <w:tc>
          <w:tcPr>
            <w:tcW w:w="3397" w:type="dxa"/>
            <w:noWrap/>
            <w:vAlign w:val="bottom"/>
            <w:hideMark/>
          </w:tcPr>
          <w:p w14:paraId="2408F35B"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Mining and Quarrying</w:t>
            </w:r>
          </w:p>
        </w:tc>
        <w:tc>
          <w:tcPr>
            <w:tcW w:w="1560" w:type="dxa"/>
            <w:noWrap/>
            <w:vAlign w:val="bottom"/>
            <w:hideMark/>
          </w:tcPr>
          <w:p w14:paraId="066CBD7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3.439.580</w:t>
            </w:r>
          </w:p>
        </w:tc>
        <w:tc>
          <w:tcPr>
            <w:tcW w:w="1842" w:type="dxa"/>
            <w:noWrap/>
            <w:vAlign w:val="bottom"/>
            <w:hideMark/>
          </w:tcPr>
          <w:p w14:paraId="14ACEB5A"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4.708.699</w:t>
            </w:r>
          </w:p>
        </w:tc>
        <w:tc>
          <w:tcPr>
            <w:tcW w:w="1418" w:type="dxa"/>
            <w:noWrap/>
            <w:vAlign w:val="bottom"/>
            <w:hideMark/>
          </w:tcPr>
          <w:p w14:paraId="48CD97DD"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5.935.531</w:t>
            </w:r>
          </w:p>
        </w:tc>
        <w:tc>
          <w:tcPr>
            <w:tcW w:w="1417" w:type="dxa"/>
            <w:noWrap/>
            <w:vAlign w:val="bottom"/>
            <w:hideMark/>
          </w:tcPr>
          <w:p w14:paraId="1247CDA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2.893.483</w:t>
            </w:r>
          </w:p>
        </w:tc>
      </w:tr>
      <w:tr w:rsidR="007A69A3" w:rsidRPr="000118A3" w14:paraId="4C8326A3" w14:textId="77777777" w:rsidTr="00671D7D">
        <w:trPr>
          <w:trHeight w:val="315"/>
        </w:trPr>
        <w:tc>
          <w:tcPr>
            <w:tcW w:w="3397" w:type="dxa"/>
            <w:noWrap/>
            <w:vAlign w:val="bottom"/>
            <w:hideMark/>
          </w:tcPr>
          <w:p w14:paraId="69E3BEFA"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lastRenderedPageBreak/>
              <w:t>Manufacturing</w:t>
            </w:r>
          </w:p>
        </w:tc>
        <w:tc>
          <w:tcPr>
            <w:tcW w:w="1560" w:type="dxa"/>
            <w:noWrap/>
            <w:vAlign w:val="bottom"/>
            <w:hideMark/>
          </w:tcPr>
          <w:p w14:paraId="61227C6C"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2.493.007</w:t>
            </w:r>
          </w:p>
        </w:tc>
        <w:tc>
          <w:tcPr>
            <w:tcW w:w="1842" w:type="dxa"/>
            <w:noWrap/>
            <w:vAlign w:val="bottom"/>
            <w:hideMark/>
          </w:tcPr>
          <w:p w14:paraId="030C21E4"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3.573.360</w:t>
            </w:r>
          </w:p>
        </w:tc>
        <w:tc>
          <w:tcPr>
            <w:tcW w:w="1418" w:type="dxa"/>
            <w:noWrap/>
            <w:vAlign w:val="bottom"/>
            <w:hideMark/>
          </w:tcPr>
          <w:p w14:paraId="037CD57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5.477.068</w:t>
            </w:r>
          </w:p>
        </w:tc>
        <w:tc>
          <w:tcPr>
            <w:tcW w:w="1417" w:type="dxa"/>
            <w:noWrap/>
            <w:vAlign w:val="bottom"/>
            <w:hideMark/>
          </w:tcPr>
          <w:p w14:paraId="6715DB1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2.605.767</w:t>
            </w:r>
          </w:p>
        </w:tc>
      </w:tr>
      <w:tr w:rsidR="007A69A3" w:rsidRPr="000118A3" w14:paraId="0BC3FA90" w14:textId="77777777" w:rsidTr="00671D7D">
        <w:trPr>
          <w:trHeight w:val="630"/>
        </w:trPr>
        <w:tc>
          <w:tcPr>
            <w:tcW w:w="3397" w:type="dxa"/>
            <w:vAlign w:val="bottom"/>
            <w:hideMark/>
          </w:tcPr>
          <w:p w14:paraId="5E6E2097"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Electricity, Gas, Steam, and Air Conditioning Supply</w:t>
            </w:r>
          </w:p>
        </w:tc>
        <w:tc>
          <w:tcPr>
            <w:tcW w:w="1560" w:type="dxa"/>
            <w:noWrap/>
            <w:vAlign w:val="bottom"/>
            <w:hideMark/>
          </w:tcPr>
          <w:p w14:paraId="41E537D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4.206.048</w:t>
            </w:r>
          </w:p>
        </w:tc>
        <w:tc>
          <w:tcPr>
            <w:tcW w:w="1842" w:type="dxa"/>
            <w:noWrap/>
            <w:vAlign w:val="bottom"/>
            <w:hideMark/>
          </w:tcPr>
          <w:p w14:paraId="119C1E0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4.830.250</w:t>
            </w:r>
          </w:p>
        </w:tc>
        <w:tc>
          <w:tcPr>
            <w:tcW w:w="1418" w:type="dxa"/>
            <w:noWrap/>
            <w:vAlign w:val="bottom"/>
            <w:hideMark/>
          </w:tcPr>
          <w:p w14:paraId="2D38D41A"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6.430.327</w:t>
            </w:r>
          </w:p>
        </w:tc>
        <w:tc>
          <w:tcPr>
            <w:tcW w:w="1417" w:type="dxa"/>
            <w:noWrap/>
            <w:vAlign w:val="bottom"/>
            <w:hideMark/>
          </w:tcPr>
          <w:p w14:paraId="782DAFF3"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4.017.421</w:t>
            </w:r>
          </w:p>
        </w:tc>
      </w:tr>
      <w:tr w:rsidR="007A69A3" w:rsidRPr="000118A3" w14:paraId="79877D87" w14:textId="77777777" w:rsidTr="00671D7D">
        <w:trPr>
          <w:trHeight w:val="630"/>
        </w:trPr>
        <w:tc>
          <w:tcPr>
            <w:tcW w:w="3397" w:type="dxa"/>
            <w:vAlign w:val="bottom"/>
            <w:hideMark/>
          </w:tcPr>
          <w:p w14:paraId="78700E65"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Water Supply; Sewerage, Waste Management, and Remediation Activities</w:t>
            </w:r>
          </w:p>
        </w:tc>
        <w:tc>
          <w:tcPr>
            <w:tcW w:w="1560" w:type="dxa"/>
            <w:noWrap/>
            <w:vAlign w:val="bottom"/>
            <w:hideMark/>
          </w:tcPr>
          <w:p w14:paraId="7DE53FB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2.796.133</w:t>
            </w:r>
          </w:p>
        </w:tc>
        <w:tc>
          <w:tcPr>
            <w:tcW w:w="1842" w:type="dxa"/>
            <w:noWrap/>
            <w:vAlign w:val="bottom"/>
            <w:hideMark/>
          </w:tcPr>
          <w:p w14:paraId="5ECA0F3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3.613.183</w:t>
            </w:r>
          </w:p>
        </w:tc>
        <w:tc>
          <w:tcPr>
            <w:tcW w:w="1418" w:type="dxa"/>
            <w:noWrap/>
            <w:vAlign w:val="bottom"/>
            <w:hideMark/>
          </w:tcPr>
          <w:p w14:paraId="08B7AD8C"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3.644.784</w:t>
            </w:r>
          </w:p>
        </w:tc>
        <w:tc>
          <w:tcPr>
            <w:tcW w:w="1417" w:type="dxa"/>
            <w:noWrap/>
            <w:vAlign w:val="bottom"/>
            <w:hideMark/>
          </w:tcPr>
          <w:p w14:paraId="0989762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2.603.442</w:t>
            </w:r>
          </w:p>
        </w:tc>
      </w:tr>
      <w:tr w:rsidR="007A69A3" w:rsidRPr="000118A3" w14:paraId="5EF901F0" w14:textId="77777777" w:rsidTr="00671D7D">
        <w:trPr>
          <w:trHeight w:val="315"/>
        </w:trPr>
        <w:tc>
          <w:tcPr>
            <w:tcW w:w="3397" w:type="dxa"/>
            <w:noWrap/>
            <w:vAlign w:val="bottom"/>
            <w:hideMark/>
          </w:tcPr>
          <w:p w14:paraId="5DE7946F"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Construction</w:t>
            </w:r>
          </w:p>
        </w:tc>
        <w:tc>
          <w:tcPr>
            <w:tcW w:w="1560" w:type="dxa"/>
            <w:noWrap/>
            <w:vAlign w:val="bottom"/>
            <w:hideMark/>
          </w:tcPr>
          <w:p w14:paraId="183651D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2.588.497</w:t>
            </w:r>
          </w:p>
        </w:tc>
        <w:tc>
          <w:tcPr>
            <w:tcW w:w="1842" w:type="dxa"/>
            <w:noWrap/>
            <w:vAlign w:val="bottom"/>
            <w:hideMark/>
          </w:tcPr>
          <w:p w14:paraId="76EEBE6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3.769.569</w:t>
            </w:r>
          </w:p>
        </w:tc>
        <w:tc>
          <w:tcPr>
            <w:tcW w:w="1418" w:type="dxa"/>
            <w:noWrap/>
            <w:vAlign w:val="bottom"/>
            <w:hideMark/>
          </w:tcPr>
          <w:p w14:paraId="400B8E0C"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3.769.285</w:t>
            </w:r>
          </w:p>
        </w:tc>
        <w:tc>
          <w:tcPr>
            <w:tcW w:w="1417" w:type="dxa"/>
            <w:noWrap/>
            <w:vAlign w:val="bottom"/>
            <w:hideMark/>
          </w:tcPr>
          <w:p w14:paraId="16553C5A"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2.426.630</w:t>
            </w:r>
          </w:p>
        </w:tc>
      </w:tr>
      <w:tr w:rsidR="007A69A3" w:rsidRPr="000118A3" w14:paraId="5721346F" w14:textId="77777777" w:rsidTr="00671D7D">
        <w:trPr>
          <w:trHeight w:val="630"/>
        </w:trPr>
        <w:tc>
          <w:tcPr>
            <w:tcW w:w="3397" w:type="dxa"/>
            <w:vAlign w:val="bottom"/>
            <w:hideMark/>
          </w:tcPr>
          <w:p w14:paraId="11CC4BB4"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Wholesale and Retail Trade; Repair of Motor Vehicles and Motorcycles</w:t>
            </w:r>
          </w:p>
        </w:tc>
        <w:tc>
          <w:tcPr>
            <w:tcW w:w="1560" w:type="dxa"/>
            <w:noWrap/>
            <w:vAlign w:val="bottom"/>
            <w:hideMark/>
          </w:tcPr>
          <w:p w14:paraId="6580E10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2.334.744</w:t>
            </w:r>
          </w:p>
        </w:tc>
        <w:tc>
          <w:tcPr>
            <w:tcW w:w="1842" w:type="dxa"/>
            <w:noWrap/>
            <w:vAlign w:val="bottom"/>
            <w:hideMark/>
          </w:tcPr>
          <w:p w14:paraId="1C44A813"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3.291.000</w:t>
            </w:r>
          </w:p>
        </w:tc>
        <w:tc>
          <w:tcPr>
            <w:tcW w:w="1418" w:type="dxa"/>
            <w:noWrap/>
            <w:vAlign w:val="bottom"/>
            <w:hideMark/>
          </w:tcPr>
          <w:p w14:paraId="10F0AA0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3.531.046</w:t>
            </w:r>
          </w:p>
        </w:tc>
        <w:tc>
          <w:tcPr>
            <w:tcW w:w="1417" w:type="dxa"/>
            <w:noWrap/>
            <w:vAlign w:val="bottom"/>
            <w:hideMark/>
          </w:tcPr>
          <w:p w14:paraId="7BB7D98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2.329.841</w:t>
            </w:r>
          </w:p>
        </w:tc>
      </w:tr>
      <w:tr w:rsidR="007A69A3" w:rsidRPr="000118A3" w14:paraId="78EEDECF" w14:textId="77777777" w:rsidTr="00671D7D">
        <w:trPr>
          <w:trHeight w:val="315"/>
        </w:trPr>
        <w:tc>
          <w:tcPr>
            <w:tcW w:w="3397" w:type="dxa"/>
            <w:noWrap/>
            <w:vAlign w:val="bottom"/>
            <w:hideMark/>
          </w:tcPr>
          <w:p w14:paraId="2FE5743F"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Transportation and Storage</w:t>
            </w:r>
          </w:p>
        </w:tc>
        <w:tc>
          <w:tcPr>
            <w:tcW w:w="1560" w:type="dxa"/>
            <w:noWrap/>
            <w:vAlign w:val="bottom"/>
            <w:hideMark/>
          </w:tcPr>
          <w:p w14:paraId="10A95A46"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3.352.640</w:t>
            </w:r>
          </w:p>
        </w:tc>
        <w:tc>
          <w:tcPr>
            <w:tcW w:w="1842" w:type="dxa"/>
            <w:noWrap/>
            <w:vAlign w:val="bottom"/>
            <w:hideMark/>
          </w:tcPr>
          <w:p w14:paraId="4BF8EA8C"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4.369.605</w:t>
            </w:r>
          </w:p>
        </w:tc>
        <w:tc>
          <w:tcPr>
            <w:tcW w:w="1418" w:type="dxa"/>
            <w:noWrap/>
            <w:vAlign w:val="bottom"/>
            <w:hideMark/>
          </w:tcPr>
          <w:p w14:paraId="274AE2C4"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5.795.661</w:t>
            </w:r>
          </w:p>
        </w:tc>
        <w:tc>
          <w:tcPr>
            <w:tcW w:w="1417" w:type="dxa"/>
            <w:noWrap/>
            <w:vAlign w:val="bottom"/>
            <w:hideMark/>
          </w:tcPr>
          <w:p w14:paraId="7EEA2DE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2.517.105</w:t>
            </w:r>
          </w:p>
        </w:tc>
      </w:tr>
      <w:tr w:rsidR="007A69A3" w:rsidRPr="000118A3" w14:paraId="75ED4F98" w14:textId="77777777" w:rsidTr="00671D7D">
        <w:trPr>
          <w:trHeight w:val="315"/>
        </w:trPr>
        <w:tc>
          <w:tcPr>
            <w:tcW w:w="3397" w:type="dxa"/>
            <w:noWrap/>
            <w:vAlign w:val="bottom"/>
            <w:hideMark/>
          </w:tcPr>
          <w:p w14:paraId="7EE6B5E3"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Accommodation and Food Service Activities</w:t>
            </w:r>
          </w:p>
        </w:tc>
        <w:tc>
          <w:tcPr>
            <w:tcW w:w="1560" w:type="dxa"/>
            <w:noWrap/>
            <w:vAlign w:val="bottom"/>
            <w:hideMark/>
          </w:tcPr>
          <w:p w14:paraId="73DCCE0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1.983.770</w:t>
            </w:r>
          </w:p>
        </w:tc>
        <w:tc>
          <w:tcPr>
            <w:tcW w:w="1842" w:type="dxa"/>
            <w:noWrap/>
            <w:vAlign w:val="bottom"/>
            <w:hideMark/>
          </w:tcPr>
          <w:p w14:paraId="78D9F46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2.226.187</w:t>
            </w:r>
          </w:p>
        </w:tc>
        <w:tc>
          <w:tcPr>
            <w:tcW w:w="1418" w:type="dxa"/>
            <w:noWrap/>
            <w:vAlign w:val="bottom"/>
            <w:hideMark/>
          </w:tcPr>
          <w:p w14:paraId="5C8132D6"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3.296.030</w:t>
            </w:r>
          </w:p>
        </w:tc>
        <w:tc>
          <w:tcPr>
            <w:tcW w:w="1417" w:type="dxa"/>
            <w:noWrap/>
            <w:vAlign w:val="bottom"/>
            <w:hideMark/>
          </w:tcPr>
          <w:p w14:paraId="6388107C"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1.759.692</w:t>
            </w:r>
          </w:p>
        </w:tc>
      </w:tr>
      <w:tr w:rsidR="007A69A3" w:rsidRPr="000118A3" w14:paraId="40B9D63A" w14:textId="77777777" w:rsidTr="00671D7D">
        <w:trPr>
          <w:trHeight w:val="315"/>
        </w:trPr>
        <w:tc>
          <w:tcPr>
            <w:tcW w:w="3397" w:type="dxa"/>
            <w:noWrap/>
            <w:vAlign w:val="bottom"/>
            <w:hideMark/>
          </w:tcPr>
          <w:p w14:paraId="2C135F4C"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Information and Communication</w:t>
            </w:r>
          </w:p>
        </w:tc>
        <w:tc>
          <w:tcPr>
            <w:tcW w:w="1560" w:type="dxa"/>
            <w:noWrap/>
            <w:vAlign w:val="bottom"/>
            <w:hideMark/>
          </w:tcPr>
          <w:p w14:paraId="7E3BC1CB"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3.774.222</w:t>
            </w:r>
          </w:p>
        </w:tc>
        <w:tc>
          <w:tcPr>
            <w:tcW w:w="1842" w:type="dxa"/>
            <w:noWrap/>
            <w:vAlign w:val="bottom"/>
            <w:hideMark/>
          </w:tcPr>
          <w:p w14:paraId="55868B1F"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3.809.097</w:t>
            </w:r>
          </w:p>
        </w:tc>
        <w:tc>
          <w:tcPr>
            <w:tcW w:w="1418" w:type="dxa"/>
            <w:noWrap/>
            <w:vAlign w:val="bottom"/>
            <w:hideMark/>
          </w:tcPr>
          <w:p w14:paraId="25940033"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5.521.474</w:t>
            </w:r>
          </w:p>
        </w:tc>
        <w:tc>
          <w:tcPr>
            <w:tcW w:w="1417" w:type="dxa"/>
            <w:noWrap/>
            <w:vAlign w:val="bottom"/>
            <w:hideMark/>
          </w:tcPr>
          <w:p w14:paraId="39D8797F"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2.672.693</w:t>
            </w:r>
          </w:p>
        </w:tc>
      </w:tr>
      <w:tr w:rsidR="007A69A3" w:rsidRPr="000118A3" w14:paraId="15B6A51E" w14:textId="77777777" w:rsidTr="00671D7D">
        <w:trPr>
          <w:trHeight w:val="315"/>
        </w:trPr>
        <w:tc>
          <w:tcPr>
            <w:tcW w:w="3397" w:type="dxa"/>
            <w:noWrap/>
            <w:vAlign w:val="bottom"/>
            <w:hideMark/>
          </w:tcPr>
          <w:p w14:paraId="345C47C9"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Financial and Insurance Activities</w:t>
            </w:r>
          </w:p>
        </w:tc>
        <w:tc>
          <w:tcPr>
            <w:tcW w:w="1560" w:type="dxa"/>
            <w:noWrap/>
            <w:vAlign w:val="bottom"/>
            <w:hideMark/>
          </w:tcPr>
          <w:p w14:paraId="533AC64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4.264.882</w:t>
            </w:r>
          </w:p>
        </w:tc>
        <w:tc>
          <w:tcPr>
            <w:tcW w:w="1842" w:type="dxa"/>
            <w:noWrap/>
            <w:vAlign w:val="bottom"/>
            <w:hideMark/>
          </w:tcPr>
          <w:p w14:paraId="10D49C7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4.861.632</w:t>
            </w:r>
          </w:p>
        </w:tc>
        <w:tc>
          <w:tcPr>
            <w:tcW w:w="1418" w:type="dxa"/>
            <w:noWrap/>
            <w:vAlign w:val="bottom"/>
            <w:hideMark/>
          </w:tcPr>
          <w:p w14:paraId="4782FD1C"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5.760.058</w:t>
            </w:r>
          </w:p>
        </w:tc>
        <w:tc>
          <w:tcPr>
            <w:tcW w:w="1417" w:type="dxa"/>
            <w:noWrap/>
            <w:vAlign w:val="bottom"/>
            <w:hideMark/>
          </w:tcPr>
          <w:p w14:paraId="0734F564"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3.487.176</w:t>
            </w:r>
          </w:p>
        </w:tc>
      </w:tr>
      <w:tr w:rsidR="007A69A3" w:rsidRPr="000118A3" w14:paraId="3CB29445" w14:textId="77777777" w:rsidTr="00671D7D">
        <w:trPr>
          <w:trHeight w:val="315"/>
        </w:trPr>
        <w:tc>
          <w:tcPr>
            <w:tcW w:w="3397" w:type="dxa"/>
            <w:noWrap/>
            <w:vAlign w:val="bottom"/>
            <w:hideMark/>
          </w:tcPr>
          <w:p w14:paraId="1AE934AF"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Real Estate</w:t>
            </w:r>
          </w:p>
        </w:tc>
        <w:tc>
          <w:tcPr>
            <w:tcW w:w="1560" w:type="dxa"/>
            <w:noWrap/>
            <w:vAlign w:val="bottom"/>
            <w:hideMark/>
          </w:tcPr>
          <w:p w14:paraId="7F96EDAB"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2.624.935</w:t>
            </w:r>
          </w:p>
        </w:tc>
        <w:tc>
          <w:tcPr>
            <w:tcW w:w="1842" w:type="dxa"/>
            <w:noWrap/>
            <w:vAlign w:val="bottom"/>
            <w:hideMark/>
          </w:tcPr>
          <w:p w14:paraId="5C28BFF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4.220.193</w:t>
            </w:r>
          </w:p>
        </w:tc>
        <w:tc>
          <w:tcPr>
            <w:tcW w:w="1418" w:type="dxa"/>
            <w:noWrap/>
            <w:vAlign w:val="bottom"/>
            <w:hideMark/>
          </w:tcPr>
          <w:p w14:paraId="225A4B5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4.712.266</w:t>
            </w:r>
          </w:p>
        </w:tc>
        <w:tc>
          <w:tcPr>
            <w:tcW w:w="1417" w:type="dxa"/>
            <w:noWrap/>
            <w:vAlign w:val="bottom"/>
            <w:hideMark/>
          </w:tcPr>
          <w:p w14:paraId="7D08264F"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NA</w:t>
            </w:r>
          </w:p>
        </w:tc>
      </w:tr>
      <w:tr w:rsidR="007A69A3" w:rsidRPr="000118A3" w14:paraId="0BAB736D" w14:textId="77777777" w:rsidTr="00671D7D">
        <w:trPr>
          <w:trHeight w:val="630"/>
        </w:trPr>
        <w:tc>
          <w:tcPr>
            <w:tcW w:w="3397" w:type="dxa"/>
            <w:vAlign w:val="bottom"/>
            <w:hideMark/>
          </w:tcPr>
          <w:p w14:paraId="29EEE060"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Professional Activities and Administrative &amp; Support Activities</w:t>
            </w:r>
          </w:p>
        </w:tc>
        <w:tc>
          <w:tcPr>
            <w:tcW w:w="1560" w:type="dxa"/>
            <w:noWrap/>
            <w:vAlign w:val="bottom"/>
            <w:hideMark/>
          </w:tcPr>
          <w:p w14:paraId="4C229D63"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2.739.407</w:t>
            </w:r>
          </w:p>
        </w:tc>
        <w:tc>
          <w:tcPr>
            <w:tcW w:w="1842" w:type="dxa"/>
            <w:noWrap/>
            <w:vAlign w:val="bottom"/>
            <w:hideMark/>
          </w:tcPr>
          <w:p w14:paraId="66FCC8FC"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4.183.699</w:t>
            </w:r>
          </w:p>
        </w:tc>
        <w:tc>
          <w:tcPr>
            <w:tcW w:w="1418" w:type="dxa"/>
            <w:noWrap/>
            <w:vAlign w:val="bottom"/>
            <w:hideMark/>
          </w:tcPr>
          <w:p w14:paraId="0AB76C94"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4.668.533</w:t>
            </w:r>
          </w:p>
        </w:tc>
        <w:tc>
          <w:tcPr>
            <w:tcW w:w="1417" w:type="dxa"/>
            <w:noWrap/>
            <w:vAlign w:val="bottom"/>
            <w:hideMark/>
          </w:tcPr>
          <w:p w14:paraId="39CD150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2.712.496</w:t>
            </w:r>
          </w:p>
        </w:tc>
      </w:tr>
      <w:tr w:rsidR="007A69A3" w:rsidRPr="000118A3" w14:paraId="300D67F4" w14:textId="77777777" w:rsidTr="00671D7D">
        <w:trPr>
          <w:trHeight w:val="630"/>
        </w:trPr>
        <w:tc>
          <w:tcPr>
            <w:tcW w:w="3397" w:type="dxa"/>
            <w:vAlign w:val="bottom"/>
            <w:hideMark/>
          </w:tcPr>
          <w:p w14:paraId="4B77C895"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Public Administration and Defence; Compulsory Social Security</w:t>
            </w:r>
          </w:p>
        </w:tc>
        <w:tc>
          <w:tcPr>
            <w:tcW w:w="1560" w:type="dxa"/>
            <w:noWrap/>
            <w:vAlign w:val="bottom"/>
            <w:hideMark/>
          </w:tcPr>
          <w:p w14:paraId="4D56C782"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3.289.044</w:t>
            </w:r>
          </w:p>
        </w:tc>
        <w:tc>
          <w:tcPr>
            <w:tcW w:w="1842" w:type="dxa"/>
            <w:noWrap/>
            <w:vAlign w:val="bottom"/>
            <w:hideMark/>
          </w:tcPr>
          <w:p w14:paraId="153095BA"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4.446.600</w:t>
            </w:r>
          </w:p>
        </w:tc>
        <w:tc>
          <w:tcPr>
            <w:tcW w:w="1418" w:type="dxa"/>
            <w:noWrap/>
            <w:vAlign w:val="bottom"/>
            <w:hideMark/>
          </w:tcPr>
          <w:p w14:paraId="03ECCFB3"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5.444.600</w:t>
            </w:r>
          </w:p>
        </w:tc>
        <w:tc>
          <w:tcPr>
            <w:tcW w:w="1417" w:type="dxa"/>
            <w:noWrap/>
            <w:vAlign w:val="bottom"/>
            <w:hideMark/>
          </w:tcPr>
          <w:p w14:paraId="2EE8B250"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3.844.026</w:t>
            </w:r>
          </w:p>
        </w:tc>
      </w:tr>
      <w:tr w:rsidR="007A69A3" w:rsidRPr="000118A3" w14:paraId="47E55B5F" w14:textId="77777777" w:rsidTr="00671D7D">
        <w:trPr>
          <w:trHeight w:val="315"/>
        </w:trPr>
        <w:tc>
          <w:tcPr>
            <w:tcW w:w="3397" w:type="dxa"/>
            <w:noWrap/>
            <w:vAlign w:val="bottom"/>
            <w:hideMark/>
          </w:tcPr>
          <w:p w14:paraId="0D59BAA9"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Education</w:t>
            </w:r>
          </w:p>
        </w:tc>
        <w:tc>
          <w:tcPr>
            <w:tcW w:w="1560" w:type="dxa"/>
            <w:noWrap/>
            <w:vAlign w:val="bottom"/>
            <w:hideMark/>
          </w:tcPr>
          <w:p w14:paraId="465A8FA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2.464.207</w:t>
            </w:r>
          </w:p>
        </w:tc>
        <w:tc>
          <w:tcPr>
            <w:tcW w:w="1842" w:type="dxa"/>
            <w:noWrap/>
            <w:vAlign w:val="bottom"/>
            <w:hideMark/>
          </w:tcPr>
          <w:p w14:paraId="1B45E49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3.520.012</w:t>
            </w:r>
          </w:p>
        </w:tc>
        <w:tc>
          <w:tcPr>
            <w:tcW w:w="1418" w:type="dxa"/>
            <w:noWrap/>
            <w:vAlign w:val="bottom"/>
            <w:hideMark/>
          </w:tcPr>
          <w:p w14:paraId="635F566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4.059.276</w:t>
            </w:r>
          </w:p>
        </w:tc>
        <w:tc>
          <w:tcPr>
            <w:tcW w:w="1417" w:type="dxa"/>
            <w:noWrap/>
            <w:vAlign w:val="bottom"/>
            <w:hideMark/>
          </w:tcPr>
          <w:p w14:paraId="5B82E704"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2.796.289</w:t>
            </w:r>
          </w:p>
        </w:tc>
      </w:tr>
      <w:tr w:rsidR="007A69A3" w:rsidRPr="000118A3" w14:paraId="0EA3E78D" w14:textId="77777777" w:rsidTr="00671D7D">
        <w:trPr>
          <w:trHeight w:val="315"/>
        </w:trPr>
        <w:tc>
          <w:tcPr>
            <w:tcW w:w="3397" w:type="dxa"/>
            <w:noWrap/>
            <w:vAlign w:val="bottom"/>
            <w:hideMark/>
          </w:tcPr>
          <w:p w14:paraId="44EF19F6"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Human Health and Social Work Activities</w:t>
            </w:r>
          </w:p>
        </w:tc>
        <w:tc>
          <w:tcPr>
            <w:tcW w:w="1560" w:type="dxa"/>
            <w:noWrap/>
            <w:vAlign w:val="bottom"/>
            <w:hideMark/>
          </w:tcPr>
          <w:p w14:paraId="23C3D307"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2.992.518</w:t>
            </w:r>
          </w:p>
        </w:tc>
        <w:tc>
          <w:tcPr>
            <w:tcW w:w="1842" w:type="dxa"/>
            <w:noWrap/>
            <w:vAlign w:val="bottom"/>
            <w:hideMark/>
          </w:tcPr>
          <w:p w14:paraId="2A83732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4.492.495</w:t>
            </w:r>
          </w:p>
        </w:tc>
        <w:tc>
          <w:tcPr>
            <w:tcW w:w="1418" w:type="dxa"/>
            <w:noWrap/>
            <w:vAlign w:val="bottom"/>
            <w:hideMark/>
          </w:tcPr>
          <w:p w14:paraId="0FE5A78A"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4.946.053</w:t>
            </w:r>
          </w:p>
        </w:tc>
        <w:tc>
          <w:tcPr>
            <w:tcW w:w="1417" w:type="dxa"/>
            <w:noWrap/>
            <w:vAlign w:val="bottom"/>
            <w:hideMark/>
          </w:tcPr>
          <w:p w14:paraId="7859231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2.879.469</w:t>
            </w:r>
          </w:p>
        </w:tc>
      </w:tr>
      <w:tr w:rsidR="007A69A3" w:rsidRPr="000118A3" w14:paraId="054D84F3" w14:textId="77777777" w:rsidTr="00671D7D">
        <w:trPr>
          <w:trHeight w:val="315"/>
        </w:trPr>
        <w:tc>
          <w:tcPr>
            <w:tcW w:w="3397" w:type="dxa"/>
            <w:noWrap/>
            <w:vAlign w:val="bottom"/>
            <w:hideMark/>
          </w:tcPr>
          <w:p w14:paraId="40F6B6B5" w14:textId="77777777" w:rsidR="007A69A3" w:rsidRPr="000118A3" w:rsidRDefault="007A69A3" w:rsidP="007A69A3">
            <w:pP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Other Services Activities</w:t>
            </w:r>
          </w:p>
        </w:tc>
        <w:tc>
          <w:tcPr>
            <w:tcW w:w="1560" w:type="dxa"/>
            <w:noWrap/>
            <w:vAlign w:val="bottom"/>
            <w:hideMark/>
          </w:tcPr>
          <w:p w14:paraId="53CC173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1.565.814</w:t>
            </w:r>
          </w:p>
        </w:tc>
        <w:tc>
          <w:tcPr>
            <w:tcW w:w="1842" w:type="dxa"/>
            <w:noWrap/>
            <w:vAlign w:val="bottom"/>
            <w:hideMark/>
          </w:tcPr>
          <w:p w14:paraId="57A3948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2.319.012</w:t>
            </w:r>
          </w:p>
        </w:tc>
        <w:tc>
          <w:tcPr>
            <w:tcW w:w="1418" w:type="dxa"/>
            <w:noWrap/>
            <w:vAlign w:val="bottom"/>
            <w:hideMark/>
          </w:tcPr>
          <w:p w14:paraId="398639C4"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3.033.272</w:t>
            </w:r>
          </w:p>
        </w:tc>
        <w:tc>
          <w:tcPr>
            <w:tcW w:w="1417" w:type="dxa"/>
            <w:noWrap/>
            <w:vAlign w:val="bottom"/>
            <w:hideMark/>
          </w:tcPr>
          <w:p w14:paraId="6D62E08D"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1.459.027</w:t>
            </w:r>
          </w:p>
        </w:tc>
      </w:tr>
    </w:tbl>
    <w:p w14:paraId="09F21E58" w14:textId="77777777" w:rsidR="007A69A3" w:rsidRPr="000118A3" w:rsidRDefault="007A69A3" w:rsidP="007A69A3">
      <w:pPr>
        <w:ind w:left="284"/>
        <w:jc w:val="both"/>
        <w:rPr>
          <w:rFonts w:ascii="Times New Roman" w:hAnsi="Times New Roman" w:cs="Times New Roman"/>
          <w:sz w:val="22"/>
          <w:szCs w:val="22"/>
          <w:lang w:val="id-ID"/>
        </w:rPr>
      </w:pPr>
    </w:p>
    <w:p w14:paraId="2882D50F" w14:textId="77777777" w:rsidR="007A69A3" w:rsidRPr="000118A3" w:rsidRDefault="007A69A3" w:rsidP="0070138E">
      <w:pPr>
        <w:jc w:val="both"/>
        <w:rPr>
          <w:rFonts w:ascii="Times New Roman" w:hAnsi="Times New Roman" w:cs="Times New Roman"/>
          <w:sz w:val="22"/>
          <w:szCs w:val="22"/>
        </w:rPr>
      </w:pPr>
      <w:r w:rsidRPr="000118A3">
        <w:rPr>
          <w:rFonts w:ascii="Times New Roman" w:hAnsi="Times New Roman" w:cs="Times New Roman"/>
          <w:sz w:val="22"/>
          <w:szCs w:val="22"/>
        </w:rPr>
        <w:t>The average net monthly wages across major sectors in West Kalimantan, Bangka Belitung, the Riau Islands, and South Sumatra in 2024 show clear differences between provinces and types of occupations. Mining and quarrying offer the highest wages—reaching IDR 5.93 million in the Riau Islands—reflecting the sector’s capital-intensive and skill-demanding nature (ILO 2022). Meanwhile, the lowest wages are found in service-related sectors, such as in South Sumatra at IDR 1.45 million, indicating lower productivity and value added (Pratomo &amp; Rahmawati 2020). These wage gaps align with labor market segmentation theory, where workers in low-wage sectors like agriculture, forestry, and fisheries often face skill and mobility barriers that limit access to better-paying jobs (Fields 2019). Such disparities can heighten the economic vulnerability of coastal households. The next section presents the provincial minimum monthly wages in Indonesia (see Table 2), highlighting regional policy differences shaped by economic structure, cost of living, and labor market conditions.</w:t>
      </w:r>
    </w:p>
    <w:p w14:paraId="3E34780A" w14:textId="53EE89A7" w:rsidR="007A69A3" w:rsidRDefault="007A69A3" w:rsidP="0070138E">
      <w:pPr>
        <w:jc w:val="both"/>
        <w:rPr>
          <w:rFonts w:ascii="Times New Roman" w:hAnsi="Times New Roman" w:cs="Times New Roman"/>
          <w:sz w:val="22"/>
          <w:szCs w:val="22"/>
        </w:rPr>
      </w:pPr>
      <w:r w:rsidRPr="000118A3">
        <w:rPr>
          <w:rFonts w:ascii="Times New Roman" w:hAnsi="Times New Roman" w:cs="Times New Roman"/>
          <w:sz w:val="22"/>
          <w:szCs w:val="22"/>
        </w:rPr>
        <w:t>The Provincial Minimum Wages (UMP) in the four coastal provinces increased at different rates between 2022 and 2024, reflecting variations in economic structure and local policy conditions. In 2024, Bangka Belitung recorded the highest UMP at IDR 3.64 million, followed by South Sumatra (IDR 3.46 million), the Riau Islands (IDR 3.40 million), and West Kalimantan with the lowest at IDR 2.77 million. Overall increases reached about +11.5% in Bangka Belitung, +9.9% in South Sumatra, and +13.6% in West Kalimantan, while the Riau Islands experienced a decline of –10.3%. Since 2023, UMP calculations use a new formula that incorporates inflation, economic growth, and productivity, making the results sensitive to regional economic differences (Kemnaker 2023). In coastal regions, living costs, logistics, sectoral composition, and labor demand also shape the fiscal and political capacity to set minimum wages (World Bank 2021) (see Table 3).</w:t>
      </w:r>
    </w:p>
    <w:p w14:paraId="763EB671" w14:textId="77777777" w:rsidR="005D262E" w:rsidRPr="005D262E" w:rsidRDefault="005D262E" w:rsidP="005D262E">
      <w:pPr>
        <w:rPr>
          <w:rFonts w:ascii="Times New Roman" w:hAnsi="Times New Roman" w:cs="Times New Roman"/>
          <w:color w:val="000000" w:themeColor="text1"/>
          <w:sz w:val="22"/>
          <w:szCs w:val="22"/>
        </w:rPr>
      </w:pPr>
    </w:p>
    <w:p w14:paraId="7DEDFE6E" w14:textId="579BD0F0" w:rsidR="007A69A3" w:rsidRPr="005D262E" w:rsidRDefault="005D262E" w:rsidP="005D262E">
      <w:pPr>
        <w:pStyle w:val="Caption"/>
        <w:rPr>
          <w:rFonts w:ascii="Times New Roman" w:hAnsi="Times New Roman" w:cs="Times New Roman"/>
          <w:i w:val="0"/>
          <w:iCs w:val="0"/>
          <w:color w:val="000000" w:themeColor="text1"/>
          <w:sz w:val="22"/>
          <w:szCs w:val="22"/>
        </w:rPr>
      </w:pPr>
      <w:bookmarkStart w:id="42" w:name="_Toc217297648"/>
      <w:r w:rsidRPr="005D262E">
        <w:rPr>
          <w:rFonts w:ascii="Times New Roman" w:hAnsi="Times New Roman" w:cs="Times New Roman"/>
          <w:i w:val="0"/>
          <w:iCs w:val="0"/>
          <w:color w:val="000000" w:themeColor="text1"/>
          <w:sz w:val="22"/>
          <w:szCs w:val="22"/>
        </w:rPr>
        <w:t xml:space="preserve">Table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Table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w:t>
      </w:r>
      <w:r w:rsidRPr="005D262E">
        <w:rPr>
          <w:rFonts w:ascii="Times New Roman" w:hAnsi="Times New Roman" w:cs="Times New Roman"/>
          <w:i w:val="0"/>
          <w:iCs w:val="0"/>
          <w:color w:val="000000" w:themeColor="text1"/>
          <w:sz w:val="22"/>
          <w:szCs w:val="22"/>
        </w:rPr>
        <w:fldChar w:fldCharType="end"/>
      </w:r>
      <w:r w:rsidR="007A69A3" w:rsidRPr="005D262E">
        <w:rPr>
          <w:rFonts w:ascii="Times New Roman" w:hAnsi="Times New Roman" w:cs="Times New Roman"/>
          <w:i w:val="0"/>
          <w:iCs w:val="0"/>
          <w:color w:val="000000" w:themeColor="text1"/>
          <w:sz w:val="22"/>
          <w:szCs w:val="22"/>
        </w:rPr>
        <w:t xml:space="preserve"> Provincial Minimum Wages per month (Rupiahs)</w:t>
      </w:r>
      <w:bookmarkEnd w:id="42"/>
    </w:p>
    <w:tbl>
      <w:tblPr>
        <w:tblW w:w="9306" w:type="dxa"/>
        <w:tblInd w:w="279" w:type="dxa"/>
        <w:tblLook w:val="04A0" w:firstRow="1" w:lastRow="0" w:firstColumn="1" w:lastColumn="0" w:noHBand="0" w:noVBand="1"/>
      </w:tblPr>
      <w:tblGrid>
        <w:gridCol w:w="2608"/>
        <w:gridCol w:w="1960"/>
        <w:gridCol w:w="2288"/>
        <w:gridCol w:w="2450"/>
      </w:tblGrid>
      <w:tr w:rsidR="007A69A3" w:rsidRPr="000118A3" w14:paraId="79A4A4C8" w14:textId="77777777" w:rsidTr="000118A3">
        <w:trPr>
          <w:trHeight w:val="348"/>
        </w:trPr>
        <w:tc>
          <w:tcPr>
            <w:tcW w:w="2608" w:type="dxa"/>
            <w:tcBorders>
              <w:top w:val="single" w:sz="4" w:space="0" w:color="auto"/>
              <w:left w:val="single" w:sz="4" w:space="0" w:color="auto"/>
              <w:bottom w:val="single" w:sz="4" w:space="0" w:color="auto"/>
              <w:right w:val="single" w:sz="4" w:space="0" w:color="auto"/>
            </w:tcBorders>
            <w:shd w:val="clear" w:color="auto" w:fill="2F5496" w:themeFill="accent1" w:themeFillShade="BF"/>
            <w:noWrap/>
            <w:vAlign w:val="center"/>
            <w:hideMark/>
          </w:tcPr>
          <w:p w14:paraId="2E46CA42" w14:textId="77777777" w:rsidR="007A69A3" w:rsidRPr="000118A3" w:rsidRDefault="007A69A3" w:rsidP="007A69A3">
            <w:pPr>
              <w:jc w:val="center"/>
              <w:rPr>
                <w:rFonts w:ascii="Times New Roman" w:eastAsia="Times New Roman" w:hAnsi="Times New Roman" w:cs="Times New Roman"/>
                <w:color w:val="FFFFFF" w:themeColor="background1"/>
                <w:sz w:val="22"/>
                <w:szCs w:val="22"/>
                <w:lang w:val="id-ID" w:eastAsia="id-ID"/>
              </w:rPr>
            </w:pPr>
            <w:r w:rsidRPr="000118A3">
              <w:rPr>
                <w:rFonts w:ascii="Times New Roman" w:eastAsia="Times New Roman" w:hAnsi="Times New Roman" w:cs="Times New Roman"/>
                <w:color w:val="FFFFFF" w:themeColor="background1"/>
                <w:sz w:val="22"/>
                <w:szCs w:val="22"/>
                <w:lang w:val="id-ID" w:eastAsia="id-ID"/>
              </w:rPr>
              <w:lastRenderedPageBreak/>
              <w:t>Area</w:t>
            </w:r>
          </w:p>
        </w:tc>
        <w:tc>
          <w:tcPr>
            <w:tcW w:w="1960" w:type="dxa"/>
            <w:tcBorders>
              <w:top w:val="single" w:sz="4" w:space="0" w:color="auto"/>
              <w:left w:val="nil"/>
              <w:bottom w:val="single" w:sz="4" w:space="0" w:color="auto"/>
              <w:right w:val="single" w:sz="4" w:space="0" w:color="auto"/>
            </w:tcBorders>
            <w:shd w:val="clear" w:color="auto" w:fill="2F5496" w:themeFill="accent1" w:themeFillShade="BF"/>
            <w:noWrap/>
            <w:vAlign w:val="center"/>
            <w:hideMark/>
          </w:tcPr>
          <w:p w14:paraId="6CCA0909" w14:textId="77777777" w:rsidR="007A69A3" w:rsidRPr="000118A3" w:rsidRDefault="007A69A3" w:rsidP="007A69A3">
            <w:pPr>
              <w:jc w:val="center"/>
              <w:rPr>
                <w:rFonts w:ascii="Times New Roman" w:eastAsia="Times New Roman" w:hAnsi="Times New Roman" w:cs="Times New Roman"/>
                <w:color w:val="FFFFFF" w:themeColor="background1"/>
                <w:sz w:val="22"/>
                <w:szCs w:val="22"/>
                <w:lang w:val="id-ID" w:eastAsia="id-ID"/>
              </w:rPr>
            </w:pPr>
            <w:r w:rsidRPr="000118A3">
              <w:rPr>
                <w:rFonts w:ascii="Times New Roman" w:eastAsia="Times New Roman" w:hAnsi="Times New Roman" w:cs="Times New Roman"/>
                <w:color w:val="FFFFFF" w:themeColor="background1"/>
                <w:sz w:val="22"/>
                <w:szCs w:val="22"/>
                <w:lang w:val="id-ID" w:eastAsia="id-ID"/>
              </w:rPr>
              <w:t>2022</w:t>
            </w:r>
          </w:p>
        </w:tc>
        <w:tc>
          <w:tcPr>
            <w:tcW w:w="2288" w:type="dxa"/>
            <w:tcBorders>
              <w:top w:val="single" w:sz="4" w:space="0" w:color="auto"/>
              <w:left w:val="nil"/>
              <w:bottom w:val="single" w:sz="4" w:space="0" w:color="auto"/>
              <w:right w:val="single" w:sz="4" w:space="0" w:color="auto"/>
            </w:tcBorders>
            <w:shd w:val="clear" w:color="auto" w:fill="2F5496" w:themeFill="accent1" w:themeFillShade="BF"/>
            <w:noWrap/>
            <w:vAlign w:val="center"/>
            <w:hideMark/>
          </w:tcPr>
          <w:p w14:paraId="1DC98DEA" w14:textId="77777777" w:rsidR="007A69A3" w:rsidRPr="000118A3" w:rsidRDefault="007A69A3" w:rsidP="007A69A3">
            <w:pPr>
              <w:jc w:val="center"/>
              <w:rPr>
                <w:rFonts w:ascii="Times New Roman" w:eastAsia="Times New Roman" w:hAnsi="Times New Roman" w:cs="Times New Roman"/>
                <w:color w:val="FFFFFF" w:themeColor="background1"/>
                <w:sz w:val="22"/>
                <w:szCs w:val="22"/>
                <w:lang w:val="id-ID" w:eastAsia="id-ID"/>
              </w:rPr>
            </w:pPr>
            <w:r w:rsidRPr="000118A3">
              <w:rPr>
                <w:rFonts w:ascii="Times New Roman" w:eastAsia="Times New Roman" w:hAnsi="Times New Roman" w:cs="Times New Roman"/>
                <w:color w:val="FFFFFF" w:themeColor="background1"/>
                <w:sz w:val="22"/>
                <w:szCs w:val="22"/>
                <w:lang w:val="id-ID" w:eastAsia="id-ID"/>
              </w:rPr>
              <w:t>2023</w:t>
            </w:r>
          </w:p>
        </w:tc>
        <w:tc>
          <w:tcPr>
            <w:tcW w:w="2450" w:type="dxa"/>
            <w:tcBorders>
              <w:top w:val="single" w:sz="4" w:space="0" w:color="auto"/>
              <w:left w:val="nil"/>
              <w:bottom w:val="single" w:sz="4" w:space="0" w:color="auto"/>
              <w:right w:val="single" w:sz="4" w:space="0" w:color="auto"/>
            </w:tcBorders>
            <w:shd w:val="clear" w:color="auto" w:fill="2F5496" w:themeFill="accent1" w:themeFillShade="BF"/>
            <w:noWrap/>
            <w:vAlign w:val="center"/>
            <w:hideMark/>
          </w:tcPr>
          <w:p w14:paraId="5856165C" w14:textId="77777777" w:rsidR="007A69A3" w:rsidRPr="000118A3" w:rsidRDefault="007A69A3" w:rsidP="007A69A3">
            <w:pPr>
              <w:jc w:val="center"/>
              <w:rPr>
                <w:rFonts w:ascii="Times New Roman" w:eastAsia="Times New Roman" w:hAnsi="Times New Roman" w:cs="Times New Roman"/>
                <w:color w:val="FFFFFF" w:themeColor="background1"/>
                <w:sz w:val="22"/>
                <w:szCs w:val="22"/>
                <w:lang w:val="id-ID" w:eastAsia="id-ID"/>
              </w:rPr>
            </w:pPr>
            <w:r w:rsidRPr="000118A3">
              <w:rPr>
                <w:rFonts w:ascii="Times New Roman" w:eastAsia="Times New Roman" w:hAnsi="Times New Roman" w:cs="Times New Roman"/>
                <w:color w:val="FFFFFF" w:themeColor="background1"/>
                <w:sz w:val="22"/>
                <w:szCs w:val="22"/>
                <w:lang w:val="id-ID" w:eastAsia="id-ID"/>
              </w:rPr>
              <w:t>2024</w:t>
            </w:r>
          </w:p>
        </w:tc>
      </w:tr>
      <w:tr w:rsidR="007A69A3" w:rsidRPr="000118A3" w14:paraId="4DCF0CE9" w14:textId="77777777" w:rsidTr="000118A3">
        <w:trPr>
          <w:trHeight w:val="348"/>
        </w:trPr>
        <w:tc>
          <w:tcPr>
            <w:tcW w:w="2608" w:type="dxa"/>
            <w:tcBorders>
              <w:top w:val="nil"/>
              <w:left w:val="single" w:sz="4" w:space="0" w:color="auto"/>
              <w:bottom w:val="single" w:sz="4" w:space="0" w:color="auto"/>
              <w:right w:val="single" w:sz="4" w:space="0" w:color="auto"/>
            </w:tcBorders>
            <w:noWrap/>
            <w:vAlign w:val="center"/>
            <w:hideMark/>
          </w:tcPr>
          <w:p w14:paraId="3C5272EF"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West Kalimantan</w:t>
            </w:r>
          </w:p>
        </w:tc>
        <w:tc>
          <w:tcPr>
            <w:tcW w:w="1960" w:type="dxa"/>
            <w:tcBorders>
              <w:top w:val="nil"/>
              <w:left w:val="nil"/>
              <w:bottom w:val="single" w:sz="4" w:space="0" w:color="auto"/>
              <w:right w:val="single" w:sz="4" w:space="0" w:color="auto"/>
            </w:tcBorders>
            <w:noWrap/>
            <w:vAlign w:val="bottom"/>
            <w:hideMark/>
          </w:tcPr>
          <w:p w14:paraId="4210126A"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2.434.328</w:t>
            </w:r>
          </w:p>
        </w:tc>
        <w:tc>
          <w:tcPr>
            <w:tcW w:w="2288" w:type="dxa"/>
            <w:tcBorders>
              <w:top w:val="nil"/>
              <w:left w:val="nil"/>
              <w:bottom w:val="single" w:sz="4" w:space="0" w:color="auto"/>
              <w:right w:val="single" w:sz="4" w:space="0" w:color="auto"/>
            </w:tcBorders>
            <w:noWrap/>
            <w:vAlign w:val="bottom"/>
            <w:hideMark/>
          </w:tcPr>
          <w:p w14:paraId="7D9F534E"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2.608.601</w:t>
            </w:r>
          </w:p>
        </w:tc>
        <w:tc>
          <w:tcPr>
            <w:tcW w:w="2450" w:type="dxa"/>
            <w:tcBorders>
              <w:top w:val="nil"/>
              <w:left w:val="nil"/>
              <w:bottom w:val="single" w:sz="4" w:space="0" w:color="auto"/>
              <w:right w:val="single" w:sz="4" w:space="0" w:color="auto"/>
            </w:tcBorders>
            <w:noWrap/>
            <w:vAlign w:val="bottom"/>
            <w:hideMark/>
          </w:tcPr>
          <w:p w14:paraId="644BDFA1"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2.765.234</w:t>
            </w:r>
          </w:p>
        </w:tc>
      </w:tr>
      <w:tr w:rsidR="007A69A3" w:rsidRPr="000118A3" w14:paraId="3E348863" w14:textId="77777777" w:rsidTr="000118A3">
        <w:trPr>
          <w:trHeight w:val="348"/>
        </w:trPr>
        <w:tc>
          <w:tcPr>
            <w:tcW w:w="2608" w:type="dxa"/>
            <w:tcBorders>
              <w:top w:val="nil"/>
              <w:left w:val="single" w:sz="4" w:space="0" w:color="auto"/>
              <w:bottom w:val="single" w:sz="4" w:space="0" w:color="auto"/>
              <w:right w:val="single" w:sz="4" w:space="0" w:color="auto"/>
            </w:tcBorders>
            <w:noWrap/>
            <w:vAlign w:val="center"/>
            <w:hideMark/>
          </w:tcPr>
          <w:p w14:paraId="1B2F364A"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Bangka Belitung</w:t>
            </w:r>
          </w:p>
        </w:tc>
        <w:tc>
          <w:tcPr>
            <w:tcW w:w="1960" w:type="dxa"/>
            <w:tcBorders>
              <w:top w:val="nil"/>
              <w:left w:val="nil"/>
              <w:bottom w:val="single" w:sz="4" w:space="0" w:color="auto"/>
              <w:right w:val="single" w:sz="4" w:space="0" w:color="auto"/>
            </w:tcBorders>
            <w:noWrap/>
            <w:vAlign w:val="bottom"/>
            <w:hideMark/>
          </w:tcPr>
          <w:p w14:paraId="7D42811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3.264.884</w:t>
            </w:r>
          </w:p>
        </w:tc>
        <w:tc>
          <w:tcPr>
            <w:tcW w:w="2288" w:type="dxa"/>
            <w:tcBorders>
              <w:top w:val="nil"/>
              <w:left w:val="nil"/>
              <w:bottom w:val="single" w:sz="4" w:space="0" w:color="auto"/>
              <w:right w:val="single" w:sz="4" w:space="0" w:color="auto"/>
            </w:tcBorders>
            <w:noWrap/>
            <w:vAlign w:val="bottom"/>
            <w:hideMark/>
          </w:tcPr>
          <w:p w14:paraId="7B5EF86A"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3.498.479</w:t>
            </w:r>
          </w:p>
        </w:tc>
        <w:tc>
          <w:tcPr>
            <w:tcW w:w="2450" w:type="dxa"/>
            <w:tcBorders>
              <w:top w:val="nil"/>
              <w:left w:val="nil"/>
              <w:bottom w:val="single" w:sz="4" w:space="0" w:color="auto"/>
              <w:right w:val="single" w:sz="4" w:space="0" w:color="auto"/>
            </w:tcBorders>
            <w:noWrap/>
            <w:vAlign w:val="bottom"/>
            <w:hideMark/>
          </w:tcPr>
          <w:p w14:paraId="056CE908"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3.640.000</w:t>
            </w:r>
          </w:p>
        </w:tc>
      </w:tr>
      <w:tr w:rsidR="007A69A3" w:rsidRPr="000118A3" w14:paraId="5B2669A4" w14:textId="77777777" w:rsidTr="000118A3">
        <w:trPr>
          <w:trHeight w:val="348"/>
        </w:trPr>
        <w:tc>
          <w:tcPr>
            <w:tcW w:w="2608" w:type="dxa"/>
            <w:tcBorders>
              <w:top w:val="nil"/>
              <w:left w:val="single" w:sz="4" w:space="0" w:color="auto"/>
              <w:bottom w:val="single" w:sz="4" w:space="0" w:color="auto"/>
              <w:right w:val="single" w:sz="4" w:space="0" w:color="auto"/>
            </w:tcBorders>
            <w:noWrap/>
            <w:vAlign w:val="center"/>
            <w:hideMark/>
          </w:tcPr>
          <w:p w14:paraId="00610573"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Riau Islands</w:t>
            </w:r>
          </w:p>
        </w:tc>
        <w:tc>
          <w:tcPr>
            <w:tcW w:w="1960" w:type="dxa"/>
            <w:tcBorders>
              <w:top w:val="nil"/>
              <w:left w:val="nil"/>
              <w:bottom w:val="single" w:sz="4" w:space="0" w:color="auto"/>
              <w:right w:val="single" w:sz="4" w:space="0" w:color="auto"/>
            </w:tcBorders>
            <w:noWrap/>
            <w:vAlign w:val="bottom"/>
            <w:hideMark/>
          </w:tcPr>
          <w:p w14:paraId="251ACB32"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3.501.172</w:t>
            </w:r>
          </w:p>
        </w:tc>
        <w:tc>
          <w:tcPr>
            <w:tcW w:w="2288" w:type="dxa"/>
            <w:tcBorders>
              <w:top w:val="nil"/>
              <w:left w:val="nil"/>
              <w:bottom w:val="single" w:sz="4" w:space="0" w:color="auto"/>
              <w:right w:val="single" w:sz="4" w:space="0" w:color="auto"/>
            </w:tcBorders>
            <w:noWrap/>
            <w:vAlign w:val="bottom"/>
            <w:hideMark/>
          </w:tcPr>
          <w:p w14:paraId="0FF1FC69"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3.791.194</w:t>
            </w:r>
          </w:p>
        </w:tc>
        <w:tc>
          <w:tcPr>
            <w:tcW w:w="2450" w:type="dxa"/>
            <w:tcBorders>
              <w:top w:val="nil"/>
              <w:left w:val="nil"/>
              <w:bottom w:val="single" w:sz="4" w:space="0" w:color="auto"/>
              <w:right w:val="single" w:sz="4" w:space="0" w:color="auto"/>
            </w:tcBorders>
            <w:noWrap/>
            <w:vAlign w:val="bottom"/>
            <w:hideMark/>
          </w:tcPr>
          <w:p w14:paraId="516CEF55" w14:textId="77777777" w:rsidR="007A69A3" w:rsidRPr="000118A3" w:rsidRDefault="007A69A3" w:rsidP="00E30AFB">
            <w:pPr>
              <w:jc w:val="right"/>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3.402.492</w:t>
            </w:r>
          </w:p>
        </w:tc>
      </w:tr>
      <w:tr w:rsidR="007A69A3" w:rsidRPr="000118A3" w14:paraId="4038B171" w14:textId="77777777" w:rsidTr="000118A3">
        <w:trPr>
          <w:trHeight w:val="348"/>
        </w:trPr>
        <w:tc>
          <w:tcPr>
            <w:tcW w:w="2608" w:type="dxa"/>
            <w:tcBorders>
              <w:top w:val="nil"/>
              <w:left w:val="single" w:sz="4" w:space="0" w:color="auto"/>
              <w:bottom w:val="single" w:sz="4" w:space="0" w:color="auto"/>
              <w:right w:val="single" w:sz="4" w:space="0" w:color="auto"/>
            </w:tcBorders>
            <w:noWrap/>
            <w:vAlign w:val="center"/>
            <w:hideMark/>
          </w:tcPr>
          <w:p w14:paraId="6BAFA9A4"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South Sumatera</w:t>
            </w:r>
          </w:p>
        </w:tc>
        <w:tc>
          <w:tcPr>
            <w:tcW w:w="1960" w:type="dxa"/>
            <w:tcBorders>
              <w:top w:val="nil"/>
              <w:left w:val="nil"/>
              <w:bottom w:val="single" w:sz="4" w:space="0" w:color="auto"/>
              <w:right w:val="single" w:sz="4" w:space="0" w:color="auto"/>
            </w:tcBorders>
            <w:vAlign w:val="center"/>
            <w:hideMark/>
          </w:tcPr>
          <w:p w14:paraId="4D0BFC74"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3.144.446 </w:t>
            </w:r>
          </w:p>
        </w:tc>
        <w:tc>
          <w:tcPr>
            <w:tcW w:w="2288" w:type="dxa"/>
            <w:tcBorders>
              <w:top w:val="nil"/>
              <w:left w:val="nil"/>
              <w:bottom w:val="single" w:sz="4" w:space="0" w:color="auto"/>
              <w:right w:val="single" w:sz="4" w:space="0" w:color="auto"/>
            </w:tcBorders>
            <w:vAlign w:val="center"/>
            <w:hideMark/>
          </w:tcPr>
          <w:p w14:paraId="5FE0BBFD"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3.404.177 </w:t>
            </w:r>
          </w:p>
        </w:tc>
        <w:tc>
          <w:tcPr>
            <w:tcW w:w="2450" w:type="dxa"/>
            <w:tcBorders>
              <w:top w:val="nil"/>
              <w:left w:val="nil"/>
              <w:bottom w:val="single" w:sz="4" w:space="0" w:color="auto"/>
              <w:right w:val="single" w:sz="4" w:space="0" w:color="auto"/>
            </w:tcBorders>
            <w:vAlign w:val="center"/>
            <w:hideMark/>
          </w:tcPr>
          <w:p w14:paraId="4B98CE8C"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3.456.874</w:t>
            </w:r>
          </w:p>
        </w:tc>
      </w:tr>
    </w:tbl>
    <w:p w14:paraId="59FC1B0F" w14:textId="77777777" w:rsidR="007A69A3" w:rsidRPr="000118A3" w:rsidRDefault="007A69A3" w:rsidP="007A69A3">
      <w:pPr>
        <w:ind w:left="284"/>
        <w:jc w:val="both"/>
        <w:rPr>
          <w:rFonts w:ascii="Times New Roman" w:hAnsi="Times New Roman" w:cs="Times New Roman"/>
          <w:sz w:val="22"/>
          <w:szCs w:val="22"/>
          <w:lang w:val="id-ID"/>
        </w:rPr>
      </w:pPr>
    </w:p>
    <w:p w14:paraId="48C51FD1" w14:textId="19CB0026" w:rsidR="003D68B1" w:rsidRPr="000118A3" w:rsidRDefault="007A69A3" w:rsidP="0070138E">
      <w:pPr>
        <w:jc w:val="both"/>
        <w:rPr>
          <w:rFonts w:ascii="Times New Roman" w:hAnsi="Times New Roman" w:cs="Times New Roman"/>
          <w:sz w:val="22"/>
          <w:szCs w:val="22"/>
        </w:rPr>
      </w:pPr>
      <w:r w:rsidRPr="000118A3">
        <w:rPr>
          <w:rFonts w:ascii="Times New Roman" w:hAnsi="Times New Roman" w:cs="Times New Roman"/>
          <w:sz w:val="22"/>
          <w:szCs w:val="22"/>
        </w:rPr>
        <w:t>The production volume and value of capture fisheries in 2023 vary widely across the four provinces. Bangka Belitung recorded the highest output, with 228,616 tons and a production value of IDR 9.15 trillion, dominated by marine fisheries. West Kalimantan ranked second with 197,488 tons and IDR 5.62 trillion. The Riau Islands produced a smaller volume (135,773 tons) but still generated IDR 4.05 trillion, indicating higher value-added per unit of catch. South Sumatra is distinct, as inland fisheries contribute significantly (74,649 tons; IDR 3.99 trillion). Although its marine catch is lower (87,456 tons), its total production value reached IDR 7.82 trillion, showing the importance of freshwater ecosystems. Overall, economic contributions depend not only on catch volume but also on ecosystem type, commodity prices, and supply-chain dynamics. Regions with high-value coastal resources can generate substantial income even with smaller catch volumes (Barney 1991; FAO 2022) (see Table</w:t>
      </w:r>
      <w:r w:rsidR="004D4503">
        <w:rPr>
          <w:rFonts w:ascii="Times New Roman" w:hAnsi="Times New Roman" w:cs="Times New Roman"/>
          <w:sz w:val="22"/>
          <w:szCs w:val="22"/>
        </w:rPr>
        <w:t xml:space="preserve"> </w:t>
      </w:r>
      <w:r w:rsidRPr="000118A3">
        <w:rPr>
          <w:rFonts w:ascii="Times New Roman" w:hAnsi="Times New Roman" w:cs="Times New Roman"/>
          <w:sz w:val="22"/>
          <w:szCs w:val="22"/>
        </w:rPr>
        <w:t>4)</w:t>
      </w:r>
    </w:p>
    <w:p w14:paraId="37A75F77" w14:textId="77777777" w:rsidR="005D262E" w:rsidRDefault="005D262E" w:rsidP="0070138E">
      <w:pPr>
        <w:jc w:val="both"/>
        <w:rPr>
          <w:rFonts w:ascii="Times New Roman" w:hAnsi="Times New Roman" w:cs="Times New Roman"/>
          <w:b/>
          <w:bCs/>
          <w:sz w:val="22"/>
          <w:szCs w:val="22"/>
        </w:rPr>
      </w:pPr>
    </w:p>
    <w:p w14:paraId="1B019B59" w14:textId="4920D3B9" w:rsidR="007A69A3" w:rsidRPr="005D262E" w:rsidRDefault="005D262E" w:rsidP="005D262E">
      <w:pPr>
        <w:pStyle w:val="Caption"/>
        <w:rPr>
          <w:rFonts w:ascii="Times New Roman" w:hAnsi="Times New Roman" w:cs="Times New Roman"/>
          <w:b/>
          <w:bCs/>
          <w:i w:val="0"/>
          <w:iCs w:val="0"/>
          <w:color w:val="000000" w:themeColor="text1"/>
          <w:sz w:val="22"/>
          <w:szCs w:val="22"/>
          <w:highlight w:val="yellow"/>
        </w:rPr>
      </w:pPr>
      <w:bookmarkStart w:id="43" w:name="_Toc217297649"/>
      <w:r w:rsidRPr="005D262E">
        <w:rPr>
          <w:rFonts w:ascii="Times New Roman" w:hAnsi="Times New Roman" w:cs="Times New Roman"/>
          <w:i w:val="0"/>
          <w:iCs w:val="0"/>
          <w:color w:val="000000" w:themeColor="text1"/>
          <w:sz w:val="22"/>
          <w:szCs w:val="22"/>
        </w:rPr>
        <w:t xml:space="preserve">Table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Table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w:t>
      </w:r>
      <w:r w:rsidRPr="005D262E">
        <w:rPr>
          <w:rFonts w:ascii="Times New Roman" w:hAnsi="Times New Roman" w:cs="Times New Roman"/>
          <w:i w:val="0"/>
          <w:iCs w:val="0"/>
          <w:color w:val="000000" w:themeColor="text1"/>
          <w:sz w:val="22"/>
          <w:szCs w:val="22"/>
        </w:rPr>
        <w:fldChar w:fldCharType="end"/>
      </w:r>
      <w:r w:rsidRPr="005D262E">
        <w:rPr>
          <w:rFonts w:ascii="Times New Roman" w:hAnsi="Times New Roman" w:cs="Times New Roman"/>
          <w:b/>
          <w:bCs/>
          <w:i w:val="0"/>
          <w:iCs w:val="0"/>
          <w:color w:val="000000" w:themeColor="text1"/>
          <w:sz w:val="22"/>
          <w:szCs w:val="22"/>
        </w:rPr>
        <w:t xml:space="preserve"> </w:t>
      </w:r>
      <w:r w:rsidR="007A69A3" w:rsidRPr="005D262E">
        <w:rPr>
          <w:rFonts w:ascii="Times New Roman" w:hAnsi="Times New Roman" w:cs="Times New Roman"/>
          <w:i w:val="0"/>
          <w:iCs w:val="0"/>
          <w:color w:val="000000" w:themeColor="text1"/>
          <w:sz w:val="22"/>
          <w:szCs w:val="22"/>
        </w:rPr>
        <w:t>Production Volume and Production Value of Fish Capture by Province and Type of Captures, 2023</w:t>
      </w:r>
      <w:bookmarkEnd w:id="43"/>
    </w:p>
    <w:tbl>
      <w:tblPr>
        <w:tblW w:w="9384" w:type="dxa"/>
        <w:tblInd w:w="279" w:type="dxa"/>
        <w:tblLook w:val="04A0" w:firstRow="1" w:lastRow="0" w:firstColumn="1" w:lastColumn="0" w:noHBand="0" w:noVBand="1"/>
      </w:tblPr>
      <w:tblGrid>
        <w:gridCol w:w="1696"/>
        <w:gridCol w:w="1274"/>
        <w:gridCol w:w="1596"/>
        <w:gridCol w:w="925"/>
        <w:gridCol w:w="1481"/>
        <w:gridCol w:w="931"/>
        <w:gridCol w:w="1481"/>
      </w:tblGrid>
      <w:tr w:rsidR="007A69A3" w:rsidRPr="000118A3" w14:paraId="3798F0CE" w14:textId="77777777" w:rsidTr="000118A3">
        <w:trPr>
          <w:trHeight w:val="675"/>
          <w:tblHeader/>
        </w:trPr>
        <w:tc>
          <w:tcPr>
            <w:tcW w:w="1696" w:type="dxa"/>
            <w:vMerge w:val="restart"/>
            <w:tcBorders>
              <w:top w:val="single" w:sz="4" w:space="0" w:color="auto"/>
              <w:left w:val="single" w:sz="4" w:space="0" w:color="auto"/>
              <w:bottom w:val="single" w:sz="4" w:space="0" w:color="auto"/>
              <w:right w:val="single" w:sz="4" w:space="0" w:color="auto"/>
            </w:tcBorders>
            <w:noWrap/>
            <w:vAlign w:val="center"/>
            <w:hideMark/>
          </w:tcPr>
          <w:p w14:paraId="27B1670C"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Area</w:t>
            </w:r>
          </w:p>
        </w:tc>
        <w:tc>
          <w:tcPr>
            <w:tcW w:w="2870" w:type="dxa"/>
            <w:gridSpan w:val="2"/>
            <w:tcBorders>
              <w:top w:val="single" w:sz="4" w:space="0" w:color="auto"/>
              <w:left w:val="nil"/>
              <w:bottom w:val="single" w:sz="4" w:space="0" w:color="auto"/>
              <w:right w:val="single" w:sz="4" w:space="0" w:color="auto"/>
            </w:tcBorders>
            <w:noWrap/>
            <w:vAlign w:val="center"/>
            <w:hideMark/>
          </w:tcPr>
          <w:p w14:paraId="5BCAF64C"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Marine Capture Fisheries</w:t>
            </w:r>
          </w:p>
        </w:tc>
        <w:tc>
          <w:tcPr>
            <w:tcW w:w="2406" w:type="dxa"/>
            <w:gridSpan w:val="2"/>
            <w:tcBorders>
              <w:top w:val="single" w:sz="4" w:space="0" w:color="auto"/>
              <w:left w:val="nil"/>
              <w:bottom w:val="single" w:sz="4" w:space="0" w:color="auto"/>
              <w:right w:val="single" w:sz="4" w:space="0" w:color="auto"/>
            </w:tcBorders>
            <w:vAlign w:val="center"/>
            <w:hideMark/>
          </w:tcPr>
          <w:p w14:paraId="1457B1A1"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Inland Water Capture Fisheries</w:t>
            </w:r>
          </w:p>
        </w:tc>
        <w:tc>
          <w:tcPr>
            <w:tcW w:w="2412" w:type="dxa"/>
            <w:gridSpan w:val="2"/>
            <w:tcBorders>
              <w:top w:val="single" w:sz="4" w:space="0" w:color="auto"/>
              <w:left w:val="nil"/>
              <w:bottom w:val="single" w:sz="4" w:space="0" w:color="auto"/>
              <w:right w:val="single" w:sz="4" w:space="0" w:color="auto"/>
            </w:tcBorders>
            <w:vAlign w:val="center"/>
            <w:hideMark/>
          </w:tcPr>
          <w:p w14:paraId="0346362C"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Total</w:t>
            </w:r>
          </w:p>
        </w:tc>
      </w:tr>
      <w:tr w:rsidR="007A69A3" w:rsidRPr="000118A3" w14:paraId="7C3DE753" w14:textId="77777777" w:rsidTr="000118A3">
        <w:trPr>
          <w:trHeight w:val="840"/>
          <w:tblHeader/>
        </w:trPr>
        <w:tc>
          <w:tcPr>
            <w:tcW w:w="1696" w:type="dxa"/>
            <w:vMerge/>
            <w:tcBorders>
              <w:top w:val="single" w:sz="4" w:space="0" w:color="auto"/>
              <w:left w:val="single" w:sz="4" w:space="0" w:color="auto"/>
              <w:bottom w:val="single" w:sz="4" w:space="0" w:color="auto"/>
              <w:right w:val="single" w:sz="4" w:space="0" w:color="auto"/>
            </w:tcBorders>
            <w:vAlign w:val="center"/>
            <w:hideMark/>
          </w:tcPr>
          <w:p w14:paraId="015AD8DF" w14:textId="77777777" w:rsidR="007A69A3" w:rsidRPr="000118A3" w:rsidRDefault="007A69A3" w:rsidP="007A69A3">
            <w:pPr>
              <w:rPr>
                <w:rFonts w:ascii="Times New Roman" w:eastAsia="Times New Roman" w:hAnsi="Times New Roman" w:cs="Times New Roman"/>
                <w:color w:val="000000"/>
                <w:sz w:val="22"/>
                <w:szCs w:val="22"/>
                <w:lang w:val="id-ID" w:eastAsia="id-ID"/>
              </w:rPr>
            </w:pPr>
          </w:p>
        </w:tc>
        <w:tc>
          <w:tcPr>
            <w:tcW w:w="1274" w:type="dxa"/>
            <w:tcBorders>
              <w:top w:val="nil"/>
              <w:left w:val="nil"/>
              <w:bottom w:val="single" w:sz="4" w:space="0" w:color="auto"/>
              <w:right w:val="single" w:sz="4" w:space="0" w:color="auto"/>
            </w:tcBorders>
            <w:vAlign w:val="center"/>
            <w:hideMark/>
          </w:tcPr>
          <w:p w14:paraId="153E98D0"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Volume (ton)</w:t>
            </w:r>
          </w:p>
        </w:tc>
        <w:tc>
          <w:tcPr>
            <w:tcW w:w="1596" w:type="dxa"/>
            <w:tcBorders>
              <w:top w:val="nil"/>
              <w:left w:val="nil"/>
              <w:bottom w:val="single" w:sz="4" w:space="0" w:color="auto"/>
              <w:right w:val="single" w:sz="4" w:space="0" w:color="auto"/>
            </w:tcBorders>
            <w:vAlign w:val="center"/>
            <w:hideMark/>
          </w:tcPr>
          <w:p w14:paraId="1D792714"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Value (000 Rp)</w:t>
            </w:r>
          </w:p>
        </w:tc>
        <w:tc>
          <w:tcPr>
            <w:tcW w:w="925" w:type="dxa"/>
            <w:tcBorders>
              <w:top w:val="nil"/>
              <w:left w:val="nil"/>
              <w:bottom w:val="single" w:sz="4" w:space="0" w:color="auto"/>
              <w:right w:val="single" w:sz="4" w:space="0" w:color="auto"/>
            </w:tcBorders>
            <w:vAlign w:val="center"/>
            <w:hideMark/>
          </w:tcPr>
          <w:p w14:paraId="4BDCDC21"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Volume (ton)</w:t>
            </w:r>
          </w:p>
        </w:tc>
        <w:tc>
          <w:tcPr>
            <w:tcW w:w="1481" w:type="dxa"/>
            <w:tcBorders>
              <w:top w:val="nil"/>
              <w:left w:val="nil"/>
              <w:bottom w:val="single" w:sz="4" w:space="0" w:color="auto"/>
              <w:right w:val="single" w:sz="4" w:space="0" w:color="auto"/>
            </w:tcBorders>
            <w:vAlign w:val="center"/>
            <w:hideMark/>
          </w:tcPr>
          <w:p w14:paraId="72F5C679"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Value (000 Rp)</w:t>
            </w:r>
          </w:p>
        </w:tc>
        <w:tc>
          <w:tcPr>
            <w:tcW w:w="931" w:type="dxa"/>
            <w:tcBorders>
              <w:top w:val="nil"/>
              <w:left w:val="nil"/>
              <w:bottom w:val="single" w:sz="4" w:space="0" w:color="auto"/>
              <w:right w:val="single" w:sz="4" w:space="0" w:color="auto"/>
            </w:tcBorders>
            <w:vAlign w:val="center"/>
            <w:hideMark/>
          </w:tcPr>
          <w:p w14:paraId="59CC0871"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Volume (ton)</w:t>
            </w:r>
          </w:p>
        </w:tc>
        <w:tc>
          <w:tcPr>
            <w:tcW w:w="1481" w:type="dxa"/>
            <w:tcBorders>
              <w:top w:val="nil"/>
              <w:left w:val="nil"/>
              <w:bottom w:val="single" w:sz="4" w:space="0" w:color="auto"/>
              <w:right w:val="single" w:sz="4" w:space="0" w:color="auto"/>
            </w:tcBorders>
            <w:vAlign w:val="center"/>
            <w:hideMark/>
          </w:tcPr>
          <w:p w14:paraId="036CB3E4"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Value (000 Rp)</w:t>
            </w:r>
          </w:p>
        </w:tc>
      </w:tr>
      <w:tr w:rsidR="007A69A3" w:rsidRPr="000118A3" w14:paraId="49D70A15" w14:textId="77777777" w:rsidTr="000118A3">
        <w:trPr>
          <w:trHeight w:val="630"/>
        </w:trPr>
        <w:tc>
          <w:tcPr>
            <w:tcW w:w="1696" w:type="dxa"/>
            <w:tcBorders>
              <w:top w:val="nil"/>
              <w:left w:val="single" w:sz="4" w:space="0" w:color="auto"/>
              <w:bottom w:val="single" w:sz="4" w:space="0" w:color="auto"/>
              <w:right w:val="single" w:sz="4" w:space="0" w:color="auto"/>
            </w:tcBorders>
            <w:noWrap/>
            <w:vAlign w:val="center"/>
            <w:hideMark/>
          </w:tcPr>
          <w:p w14:paraId="6DE04F83"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West Kalimantan</w:t>
            </w:r>
          </w:p>
        </w:tc>
        <w:tc>
          <w:tcPr>
            <w:tcW w:w="1274" w:type="dxa"/>
            <w:tcBorders>
              <w:top w:val="nil"/>
              <w:left w:val="nil"/>
              <w:bottom w:val="single" w:sz="4" w:space="0" w:color="auto"/>
              <w:right w:val="single" w:sz="4" w:space="0" w:color="auto"/>
            </w:tcBorders>
            <w:vAlign w:val="center"/>
            <w:hideMark/>
          </w:tcPr>
          <w:p w14:paraId="5157583D"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162.638</w:t>
            </w:r>
          </w:p>
        </w:tc>
        <w:tc>
          <w:tcPr>
            <w:tcW w:w="1596" w:type="dxa"/>
            <w:tcBorders>
              <w:top w:val="nil"/>
              <w:left w:val="nil"/>
              <w:bottom w:val="single" w:sz="4" w:space="0" w:color="auto"/>
              <w:right w:val="single" w:sz="4" w:space="0" w:color="auto"/>
            </w:tcBorders>
            <w:vAlign w:val="center"/>
            <w:hideMark/>
          </w:tcPr>
          <w:p w14:paraId="1EE0FB8C"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4.829.548.806 </w:t>
            </w:r>
          </w:p>
        </w:tc>
        <w:tc>
          <w:tcPr>
            <w:tcW w:w="925" w:type="dxa"/>
            <w:tcBorders>
              <w:top w:val="nil"/>
              <w:left w:val="nil"/>
              <w:bottom w:val="single" w:sz="4" w:space="0" w:color="auto"/>
              <w:right w:val="single" w:sz="4" w:space="0" w:color="auto"/>
            </w:tcBorders>
            <w:vAlign w:val="center"/>
            <w:hideMark/>
          </w:tcPr>
          <w:p w14:paraId="381EE61A"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34.85</w:t>
            </w:r>
          </w:p>
        </w:tc>
        <w:tc>
          <w:tcPr>
            <w:tcW w:w="1481" w:type="dxa"/>
            <w:tcBorders>
              <w:top w:val="nil"/>
              <w:left w:val="nil"/>
              <w:bottom w:val="single" w:sz="4" w:space="0" w:color="auto"/>
              <w:right w:val="single" w:sz="4" w:space="0" w:color="auto"/>
            </w:tcBorders>
            <w:vAlign w:val="center"/>
            <w:hideMark/>
          </w:tcPr>
          <w:p w14:paraId="146E4EC9"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791.754.127 </w:t>
            </w:r>
          </w:p>
        </w:tc>
        <w:tc>
          <w:tcPr>
            <w:tcW w:w="931" w:type="dxa"/>
            <w:tcBorders>
              <w:top w:val="nil"/>
              <w:left w:val="nil"/>
              <w:bottom w:val="single" w:sz="4" w:space="0" w:color="auto"/>
              <w:right w:val="single" w:sz="4" w:space="0" w:color="auto"/>
            </w:tcBorders>
            <w:vAlign w:val="center"/>
            <w:hideMark/>
          </w:tcPr>
          <w:p w14:paraId="66D1389A"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197.488</w:t>
            </w:r>
          </w:p>
        </w:tc>
        <w:tc>
          <w:tcPr>
            <w:tcW w:w="1481" w:type="dxa"/>
            <w:tcBorders>
              <w:top w:val="nil"/>
              <w:left w:val="nil"/>
              <w:bottom w:val="single" w:sz="4" w:space="0" w:color="auto"/>
              <w:right w:val="single" w:sz="4" w:space="0" w:color="auto"/>
            </w:tcBorders>
            <w:vAlign w:val="center"/>
            <w:hideMark/>
          </w:tcPr>
          <w:p w14:paraId="03756602"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5.621.302.933</w:t>
            </w:r>
          </w:p>
        </w:tc>
      </w:tr>
      <w:tr w:rsidR="007A69A3" w:rsidRPr="000118A3" w14:paraId="4B040337" w14:textId="77777777" w:rsidTr="000118A3">
        <w:trPr>
          <w:trHeight w:val="315"/>
        </w:trPr>
        <w:tc>
          <w:tcPr>
            <w:tcW w:w="1696" w:type="dxa"/>
            <w:tcBorders>
              <w:top w:val="nil"/>
              <w:left w:val="single" w:sz="4" w:space="0" w:color="auto"/>
              <w:bottom w:val="single" w:sz="4" w:space="0" w:color="auto"/>
              <w:right w:val="single" w:sz="4" w:space="0" w:color="auto"/>
            </w:tcBorders>
            <w:noWrap/>
            <w:vAlign w:val="center"/>
            <w:hideMark/>
          </w:tcPr>
          <w:p w14:paraId="59AA99AD"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Bangka Belitung</w:t>
            </w:r>
          </w:p>
        </w:tc>
        <w:tc>
          <w:tcPr>
            <w:tcW w:w="1274" w:type="dxa"/>
            <w:tcBorders>
              <w:top w:val="nil"/>
              <w:left w:val="nil"/>
              <w:bottom w:val="single" w:sz="4" w:space="0" w:color="auto"/>
              <w:right w:val="single" w:sz="4" w:space="0" w:color="auto"/>
            </w:tcBorders>
            <w:vAlign w:val="center"/>
            <w:hideMark/>
          </w:tcPr>
          <w:p w14:paraId="00D657B8"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228.583</w:t>
            </w:r>
          </w:p>
        </w:tc>
        <w:tc>
          <w:tcPr>
            <w:tcW w:w="1596" w:type="dxa"/>
            <w:tcBorders>
              <w:top w:val="nil"/>
              <w:left w:val="nil"/>
              <w:bottom w:val="single" w:sz="4" w:space="0" w:color="auto"/>
              <w:right w:val="single" w:sz="4" w:space="0" w:color="auto"/>
            </w:tcBorders>
            <w:vAlign w:val="center"/>
            <w:hideMark/>
          </w:tcPr>
          <w:p w14:paraId="39EFE777"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9.146.522.781 </w:t>
            </w:r>
          </w:p>
        </w:tc>
        <w:tc>
          <w:tcPr>
            <w:tcW w:w="925" w:type="dxa"/>
            <w:tcBorders>
              <w:top w:val="nil"/>
              <w:left w:val="nil"/>
              <w:bottom w:val="single" w:sz="4" w:space="0" w:color="auto"/>
              <w:right w:val="single" w:sz="4" w:space="0" w:color="auto"/>
            </w:tcBorders>
            <w:vAlign w:val="center"/>
            <w:hideMark/>
          </w:tcPr>
          <w:p w14:paraId="438F8DDC"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33</w:t>
            </w:r>
          </w:p>
        </w:tc>
        <w:tc>
          <w:tcPr>
            <w:tcW w:w="1481" w:type="dxa"/>
            <w:tcBorders>
              <w:top w:val="nil"/>
              <w:left w:val="nil"/>
              <w:bottom w:val="single" w:sz="4" w:space="0" w:color="auto"/>
              <w:right w:val="single" w:sz="4" w:space="0" w:color="auto"/>
            </w:tcBorders>
            <w:vAlign w:val="center"/>
            <w:hideMark/>
          </w:tcPr>
          <w:p w14:paraId="7541F6C1"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2.491.686 </w:t>
            </w:r>
          </w:p>
        </w:tc>
        <w:tc>
          <w:tcPr>
            <w:tcW w:w="931" w:type="dxa"/>
            <w:tcBorders>
              <w:top w:val="nil"/>
              <w:left w:val="nil"/>
              <w:bottom w:val="single" w:sz="4" w:space="0" w:color="auto"/>
              <w:right w:val="single" w:sz="4" w:space="0" w:color="auto"/>
            </w:tcBorders>
            <w:vAlign w:val="center"/>
            <w:hideMark/>
          </w:tcPr>
          <w:p w14:paraId="7EA42F0A"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228.616</w:t>
            </w:r>
          </w:p>
        </w:tc>
        <w:tc>
          <w:tcPr>
            <w:tcW w:w="1481" w:type="dxa"/>
            <w:tcBorders>
              <w:top w:val="nil"/>
              <w:left w:val="nil"/>
              <w:bottom w:val="single" w:sz="4" w:space="0" w:color="auto"/>
              <w:right w:val="single" w:sz="4" w:space="0" w:color="auto"/>
            </w:tcBorders>
            <w:vAlign w:val="center"/>
            <w:hideMark/>
          </w:tcPr>
          <w:p w14:paraId="7BAD863E"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9.149.014.467</w:t>
            </w:r>
          </w:p>
        </w:tc>
      </w:tr>
      <w:tr w:rsidR="007A69A3" w:rsidRPr="000118A3" w14:paraId="11044999" w14:textId="77777777" w:rsidTr="000118A3">
        <w:trPr>
          <w:trHeight w:val="315"/>
        </w:trPr>
        <w:tc>
          <w:tcPr>
            <w:tcW w:w="1696" w:type="dxa"/>
            <w:tcBorders>
              <w:top w:val="nil"/>
              <w:left w:val="single" w:sz="4" w:space="0" w:color="auto"/>
              <w:bottom w:val="single" w:sz="4" w:space="0" w:color="auto"/>
              <w:right w:val="single" w:sz="4" w:space="0" w:color="auto"/>
            </w:tcBorders>
            <w:noWrap/>
            <w:vAlign w:val="center"/>
            <w:hideMark/>
          </w:tcPr>
          <w:p w14:paraId="73FC3735"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Riau Islands</w:t>
            </w:r>
          </w:p>
        </w:tc>
        <w:tc>
          <w:tcPr>
            <w:tcW w:w="1274" w:type="dxa"/>
            <w:tcBorders>
              <w:top w:val="nil"/>
              <w:left w:val="nil"/>
              <w:bottom w:val="single" w:sz="4" w:space="0" w:color="auto"/>
              <w:right w:val="single" w:sz="4" w:space="0" w:color="auto"/>
            </w:tcBorders>
            <w:vAlign w:val="center"/>
            <w:hideMark/>
          </w:tcPr>
          <w:p w14:paraId="2DDEF17A"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112.078</w:t>
            </w:r>
          </w:p>
        </w:tc>
        <w:tc>
          <w:tcPr>
            <w:tcW w:w="1596" w:type="dxa"/>
            <w:tcBorders>
              <w:top w:val="nil"/>
              <w:left w:val="nil"/>
              <w:bottom w:val="single" w:sz="4" w:space="0" w:color="auto"/>
              <w:right w:val="single" w:sz="4" w:space="0" w:color="auto"/>
            </w:tcBorders>
            <w:vAlign w:val="center"/>
            <w:hideMark/>
          </w:tcPr>
          <w:p w14:paraId="5CE2ADA9"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3.085.056.513 </w:t>
            </w:r>
          </w:p>
        </w:tc>
        <w:tc>
          <w:tcPr>
            <w:tcW w:w="925" w:type="dxa"/>
            <w:tcBorders>
              <w:top w:val="nil"/>
              <w:left w:val="nil"/>
              <w:bottom w:val="single" w:sz="4" w:space="0" w:color="auto"/>
              <w:right w:val="single" w:sz="4" w:space="0" w:color="auto"/>
            </w:tcBorders>
            <w:vAlign w:val="center"/>
            <w:hideMark/>
          </w:tcPr>
          <w:p w14:paraId="7F2D0C26"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23.695</w:t>
            </w:r>
          </w:p>
        </w:tc>
        <w:tc>
          <w:tcPr>
            <w:tcW w:w="1481" w:type="dxa"/>
            <w:tcBorders>
              <w:top w:val="nil"/>
              <w:left w:val="nil"/>
              <w:bottom w:val="single" w:sz="4" w:space="0" w:color="auto"/>
              <w:right w:val="single" w:sz="4" w:space="0" w:color="auto"/>
            </w:tcBorders>
            <w:vAlign w:val="center"/>
            <w:hideMark/>
          </w:tcPr>
          <w:p w14:paraId="7E381340"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967.408.220 </w:t>
            </w:r>
          </w:p>
        </w:tc>
        <w:tc>
          <w:tcPr>
            <w:tcW w:w="931" w:type="dxa"/>
            <w:tcBorders>
              <w:top w:val="nil"/>
              <w:left w:val="nil"/>
              <w:bottom w:val="single" w:sz="4" w:space="0" w:color="auto"/>
              <w:right w:val="single" w:sz="4" w:space="0" w:color="auto"/>
            </w:tcBorders>
            <w:vAlign w:val="center"/>
            <w:hideMark/>
          </w:tcPr>
          <w:p w14:paraId="48476B6C"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135.773</w:t>
            </w:r>
          </w:p>
        </w:tc>
        <w:tc>
          <w:tcPr>
            <w:tcW w:w="1481" w:type="dxa"/>
            <w:tcBorders>
              <w:top w:val="nil"/>
              <w:left w:val="nil"/>
              <w:bottom w:val="single" w:sz="4" w:space="0" w:color="auto"/>
              <w:right w:val="single" w:sz="4" w:space="0" w:color="auto"/>
            </w:tcBorders>
            <w:vAlign w:val="center"/>
            <w:hideMark/>
          </w:tcPr>
          <w:p w14:paraId="76F0DABC"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4.052.464.733</w:t>
            </w:r>
          </w:p>
        </w:tc>
      </w:tr>
      <w:tr w:rsidR="007A69A3" w:rsidRPr="000118A3" w14:paraId="2F944725" w14:textId="77777777" w:rsidTr="000118A3">
        <w:trPr>
          <w:trHeight w:val="315"/>
        </w:trPr>
        <w:tc>
          <w:tcPr>
            <w:tcW w:w="1696" w:type="dxa"/>
            <w:tcBorders>
              <w:top w:val="nil"/>
              <w:left w:val="single" w:sz="4" w:space="0" w:color="auto"/>
              <w:bottom w:val="single" w:sz="4" w:space="0" w:color="auto"/>
              <w:right w:val="single" w:sz="4" w:space="0" w:color="auto"/>
            </w:tcBorders>
            <w:noWrap/>
            <w:vAlign w:val="center"/>
            <w:hideMark/>
          </w:tcPr>
          <w:p w14:paraId="6C882A40"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South Sumatera</w:t>
            </w:r>
          </w:p>
        </w:tc>
        <w:tc>
          <w:tcPr>
            <w:tcW w:w="1274" w:type="dxa"/>
            <w:tcBorders>
              <w:top w:val="nil"/>
              <w:left w:val="nil"/>
              <w:bottom w:val="single" w:sz="4" w:space="0" w:color="auto"/>
              <w:right w:val="single" w:sz="4" w:space="0" w:color="auto"/>
            </w:tcBorders>
            <w:vAlign w:val="center"/>
            <w:hideMark/>
          </w:tcPr>
          <w:p w14:paraId="3EC9D7E1"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87.456</w:t>
            </w:r>
          </w:p>
        </w:tc>
        <w:tc>
          <w:tcPr>
            <w:tcW w:w="1596" w:type="dxa"/>
            <w:tcBorders>
              <w:top w:val="nil"/>
              <w:left w:val="nil"/>
              <w:bottom w:val="single" w:sz="4" w:space="0" w:color="auto"/>
              <w:right w:val="single" w:sz="4" w:space="0" w:color="auto"/>
            </w:tcBorders>
            <w:vAlign w:val="center"/>
            <w:hideMark/>
          </w:tcPr>
          <w:p w14:paraId="606BABAD"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3.826.053.518 </w:t>
            </w:r>
          </w:p>
        </w:tc>
        <w:tc>
          <w:tcPr>
            <w:tcW w:w="925" w:type="dxa"/>
            <w:tcBorders>
              <w:top w:val="nil"/>
              <w:left w:val="nil"/>
              <w:bottom w:val="single" w:sz="4" w:space="0" w:color="auto"/>
              <w:right w:val="single" w:sz="4" w:space="0" w:color="auto"/>
            </w:tcBorders>
            <w:vAlign w:val="center"/>
            <w:hideMark/>
          </w:tcPr>
          <w:p w14:paraId="1DA5FCFE"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74.649</w:t>
            </w:r>
          </w:p>
        </w:tc>
        <w:tc>
          <w:tcPr>
            <w:tcW w:w="1481" w:type="dxa"/>
            <w:tcBorders>
              <w:top w:val="nil"/>
              <w:left w:val="nil"/>
              <w:bottom w:val="single" w:sz="4" w:space="0" w:color="auto"/>
              <w:right w:val="single" w:sz="4" w:space="0" w:color="auto"/>
            </w:tcBorders>
            <w:vAlign w:val="center"/>
            <w:hideMark/>
          </w:tcPr>
          <w:p w14:paraId="03E75A65"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 xml:space="preserve">3.997.816.587 </w:t>
            </w:r>
          </w:p>
        </w:tc>
        <w:tc>
          <w:tcPr>
            <w:tcW w:w="931" w:type="dxa"/>
            <w:tcBorders>
              <w:top w:val="nil"/>
              <w:left w:val="nil"/>
              <w:bottom w:val="single" w:sz="4" w:space="0" w:color="auto"/>
              <w:right w:val="single" w:sz="4" w:space="0" w:color="auto"/>
            </w:tcBorders>
            <w:vAlign w:val="center"/>
            <w:hideMark/>
          </w:tcPr>
          <w:p w14:paraId="5D83780E"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162.105</w:t>
            </w:r>
          </w:p>
        </w:tc>
        <w:tc>
          <w:tcPr>
            <w:tcW w:w="1481" w:type="dxa"/>
            <w:tcBorders>
              <w:top w:val="nil"/>
              <w:left w:val="nil"/>
              <w:bottom w:val="single" w:sz="4" w:space="0" w:color="auto"/>
              <w:right w:val="single" w:sz="4" w:space="0" w:color="auto"/>
            </w:tcBorders>
            <w:vAlign w:val="center"/>
            <w:hideMark/>
          </w:tcPr>
          <w:p w14:paraId="17A1A71A"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7.823.870.105</w:t>
            </w:r>
          </w:p>
        </w:tc>
      </w:tr>
    </w:tbl>
    <w:p w14:paraId="667A20D8" w14:textId="77777777" w:rsidR="007A69A3" w:rsidRPr="000118A3" w:rsidRDefault="007A69A3" w:rsidP="007A69A3">
      <w:pPr>
        <w:ind w:left="284"/>
        <w:jc w:val="both"/>
        <w:rPr>
          <w:rFonts w:ascii="Times New Roman" w:eastAsia="Times New Roman" w:hAnsi="Times New Roman" w:cs="Times New Roman"/>
          <w:b/>
          <w:bCs/>
          <w:color w:val="000000"/>
          <w:sz w:val="22"/>
          <w:szCs w:val="22"/>
          <w:lang w:val="id-ID" w:eastAsia="id-ID"/>
        </w:rPr>
      </w:pPr>
    </w:p>
    <w:p w14:paraId="764AE677" w14:textId="275FB25A" w:rsidR="007A69A3" w:rsidRDefault="007A69A3" w:rsidP="007A69A3">
      <w:pPr>
        <w:ind w:left="284"/>
        <w:jc w:val="both"/>
        <w:rPr>
          <w:rFonts w:ascii="Times New Roman" w:eastAsia="Times New Roman" w:hAnsi="Times New Roman" w:cs="Times New Roman"/>
          <w:color w:val="000000"/>
          <w:sz w:val="22"/>
          <w:szCs w:val="22"/>
          <w:lang w:eastAsia="id-ID"/>
        </w:rPr>
      </w:pPr>
      <w:r w:rsidRPr="000118A3">
        <w:rPr>
          <w:rFonts w:ascii="Times New Roman" w:eastAsia="Times New Roman" w:hAnsi="Times New Roman" w:cs="Times New Roman"/>
          <w:color w:val="000000"/>
          <w:sz w:val="22"/>
          <w:szCs w:val="22"/>
          <w:lang w:eastAsia="id-ID"/>
        </w:rPr>
        <w:t>The production volume and value of aquaculture in 2023 also vary widely across the four provinces. South Sumatra recorded the highest output, producing 323,352 tons valued at IDR 8.80 trillion, supported by large cultivation areas and abundant freshwater resources. The Riau Islands ranked second with 124,734 tons and IDR 2.80 trillion, driven by high-value export commodities such as grouper, pomfret, and vannamei shrimp. West Kalimantan followed with 84,659 tons and IDR 2.73 trillion, reflecting strong potential for freshwater and brackish aquaculture. Bangka Belitung produced the least (10,914 tons; IDR 660.93 billion), mainly due to limited cultivation areas and the stronger role of capture fisheries. From a blue economy perspective, South Sumatra’s strong performance highlights effective use of inland waters for large-scale production, consistent with FAO (2022), which emphasizes the importance of freshwater access and supporting infrastructure. The Riau Islands’ focus on high-value, export-oriented species also aligns with findings by Hishamunda and Ridler (2014), showing that smaller volumes can still generate high economic value (see Table 5).</w:t>
      </w:r>
    </w:p>
    <w:p w14:paraId="37B63F77" w14:textId="77777777" w:rsidR="005D262E" w:rsidRDefault="005D262E" w:rsidP="007A69A3">
      <w:pPr>
        <w:ind w:left="284"/>
        <w:jc w:val="both"/>
        <w:rPr>
          <w:rFonts w:ascii="Times New Roman" w:eastAsia="Times New Roman" w:hAnsi="Times New Roman" w:cs="Times New Roman"/>
          <w:color w:val="000000"/>
          <w:sz w:val="22"/>
          <w:szCs w:val="22"/>
          <w:lang w:eastAsia="id-ID"/>
        </w:rPr>
      </w:pPr>
    </w:p>
    <w:p w14:paraId="1E61EFEB" w14:textId="77777777" w:rsidR="004477DB" w:rsidRDefault="004477DB" w:rsidP="007A69A3">
      <w:pPr>
        <w:ind w:left="284"/>
        <w:jc w:val="both"/>
        <w:rPr>
          <w:rFonts w:ascii="Times New Roman" w:eastAsia="Times New Roman" w:hAnsi="Times New Roman" w:cs="Times New Roman"/>
          <w:color w:val="000000"/>
          <w:sz w:val="22"/>
          <w:szCs w:val="22"/>
          <w:lang w:eastAsia="id-ID"/>
        </w:rPr>
      </w:pPr>
    </w:p>
    <w:p w14:paraId="12723674" w14:textId="77777777" w:rsidR="004477DB" w:rsidRDefault="004477DB" w:rsidP="007A69A3">
      <w:pPr>
        <w:ind w:left="284"/>
        <w:jc w:val="both"/>
        <w:rPr>
          <w:rFonts w:ascii="Times New Roman" w:eastAsia="Times New Roman" w:hAnsi="Times New Roman" w:cs="Times New Roman"/>
          <w:color w:val="000000"/>
          <w:sz w:val="22"/>
          <w:szCs w:val="22"/>
          <w:lang w:eastAsia="id-ID"/>
        </w:rPr>
      </w:pPr>
    </w:p>
    <w:p w14:paraId="037032CE" w14:textId="77777777" w:rsidR="004477DB" w:rsidRDefault="004477DB" w:rsidP="007A69A3">
      <w:pPr>
        <w:ind w:left="284"/>
        <w:jc w:val="both"/>
        <w:rPr>
          <w:rFonts w:ascii="Times New Roman" w:eastAsia="Times New Roman" w:hAnsi="Times New Roman" w:cs="Times New Roman"/>
          <w:color w:val="000000"/>
          <w:sz w:val="22"/>
          <w:szCs w:val="22"/>
          <w:lang w:eastAsia="id-ID"/>
        </w:rPr>
      </w:pPr>
    </w:p>
    <w:p w14:paraId="11DE40CB" w14:textId="77777777" w:rsidR="004477DB" w:rsidRDefault="004477DB" w:rsidP="007A69A3">
      <w:pPr>
        <w:ind w:left="284"/>
        <w:jc w:val="both"/>
        <w:rPr>
          <w:rFonts w:ascii="Times New Roman" w:eastAsia="Times New Roman" w:hAnsi="Times New Roman" w:cs="Times New Roman"/>
          <w:color w:val="000000"/>
          <w:sz w:val="22"/>
          <w:szCs w:val="22"/>
          <w:lang w:eastAsia="id-ID"/>
        </w:rPr>
      </w:pPr>
    </w:p>
    <w:p w14:paraId="6E911D6D" w14:textId="77777777" w:rsidR="004477DB" w:rsidRDefault="004477DB" w:rsidP="007A69A3">
      <w:pPr>
        <w:ind w:left="284"/>
        <w:jc w:val="both"/>
        <w:rPr>
          <w:rFonts w:ascii="Times New Roman" w:eastAsia="Times New Roman" w:hAnsi="Times New Roman" w:cs="Times New Roman"/>
          <w:color w:val="000000"/>
          <w:sz w:val="22"/>
          <w:szCs w:val="22"/>
          <w:lang w:eastAsia="id-ID"/>
        </w:rPr>
      </w:pPr>
    </w:p>
    <w:p w14:paraId="3B8583AF" w14:textId="77777777" w:rsidR="004477DB" w:rsidRPr="000118A3" w:rsidRDefault="004477DB" w:rsidP="007A69A3">
      <w:pPr>
        <w:ind w:left="284"/>
        <w:jc w:val="both"/>
        <w:rPr>
          <w:rFonts w:ascii="Times New Roman" w:eastAsia="Times New Roman" w:hAnsi="Times New Roman" w:cs="Times New Roman"/>
          <w:color w:val="000000"/>
          <w:sz w:val="22"/>
          <w:szCs w:val="22"/>
          <w:lang w:eastAsia="id-ID"/>
        </w:rPr>
      </w:pPr>
    </w:p>
    <w:p w14:paraId="5037E350" w14:textId="5EAE60A4" w:rsidR="007A69A3" w:rsidRPr="005D262E" w:rsidRDefault="005D262E" w:rsidP="005D262E">
      <w:pPr>
        <w:pStyle w:val="Caption"/>
        <w:rPr>
          <w:rFonts w:ascii="Times New Roman" w:eastAsia="Times New Roman" w:hAnsi="Times New Roman" w:cs="Times New Roman"/>
          <w:i w:val="0"/>
          <w:iCs w:val="0"/>
          <w:color w:val="000000" w:themeColor="text1"/>
          <w:sz w:val="22"/>
          <w:szCs w:val="22"/>
          <w:lang w:val="id-ID" w:eastAsia="id-ID"/>
        </w:rPr>
      </w:pPr>
      <w:bookmarkStart w:id="44" w:name="_Toc217297650"/>
      <w:r w:rsidRPr="005D262E">
        <w:rPr>
          <w:rFonts w:ascii="Times New Roman" w:hAnsi="Times New Roman" w:cs="Times New Roman"/>
          <w:i w:val="0"/>
          <w:iCs w:val="0"/>
          <w:color w:val="000000" w:themeColor="text1"/>
          <w:sz w:val="22"/>
          <w:szCs w:val="22"/>
        </w:rPr>
        <w:lastRenderedPageBreak/>
        <w:t xml:space="preserve">Table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Table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5</w:t>
      </w:r>
      <w:r w:rsidRPr="005D262E">
        <w:rPr>
          <w:rFonts w:ascii="Times New Roman" w:hAnsi="Times New Roman" w:cs="Times New Roman"/>
          <w:i w:val="0"/>
          <w:iCs w:val="0"/>
          <w:color w:val="000000" w:themeColor="text1"/>
          <w:sz w:val="22"/>
          <w:szCs w:val="22"/>
        </w:rPr>
        <w:fldChar w:fldCharType="end"/>
      </w:r>
      <w:r w:rsidR="007A69A3" w:rsidRPr="005D262E">
        <w:rPr>
          <w:rFonts w:ascii="Times New Roman" w:eastAsia="Times New Roman" w:hAnsi="Times New Roman" w:cs="Times New Roman"/>
          <w:i w:val="0"/>
          <w:iCs w:val="0"/>
          <w:color w:val="000000" w:themeColor="text1"/>
          <w:sz w:val="22"/>
          <w:szCs w:val="22"/>
          <w:lang w:val="id-ID" w:eastAsia="id-ID"/>
        </w:rPr>
        <w:t xml:space="preserve"> Production Volume and Production Value of Aquaculture by Province and Type of Culture, 2023</w:t>
      </w:r>
      <w:bookmarkEnd w:id="44"/>
    </w:p>
    <w:tbl>
      <w:tblPr>
        <w:tblW w:w="7456" w:type="dxa"/>
        <w:jc w:val="center"/>
        <w:tblLook w:val="04A0" w:firstRow="1" w:lastRow="0" w:firstColumn="1" w:lastColumn="0" w:noHBand="0" w:noVBand="1"/>
      </w:tblPr>
      <w:tblGrid>
        <w:gridCol w:w="2759"/>
        <w:gridCol w:w="1963"/>
        <w:gridCol w:w="2734"/>
      </w:tblGrid>
      <w:tr w:rsidR="007A69A3" w:rsidRPr="000118A3" w14:paraId="42E00C86" w14:textId="77777777" w:rsidTr="00671D7D">
        <w:trPr>
          <w:trHeight w:val="315"/>
          <w:jc w:val="center"/>
        </w:trPr>
        <w:tc>
          <w:tcPr>
            <w:tcW w:w="2759" w:type="dxa"/>
            <w:vMerge w:val="restart"/>
            <w:tcBorders>
              <w:top w:val="single" w:sz="4" w:space="0" w:color="auto"/>
              <w:left w:val="single" w:sz="4" w:space="0" w:color="auto"/>
              <w:bottom w:val="single" w:sz="4" w:space="0" w:color="auto"/>
              <w:right w:val="single" w:sz="4" w:space="0" w:color="auto"/>
            </w:tcBorders>
            <w:shd w:val="clear" w:color="auto" w:fill="002060"/>
            <w:noWrap/>
            <w:vAlign w:val="center"/>
            <w:hideMark/>
          </w:tcPr>
          <w:p w14:paraId="3CDC1AD3"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Area</w:t>
            </w:r>
          </w:p>
        </w:tc>
        <w:tc>
          <w:tcPr>
            <w:tcW w:w="4697" w:type="dxa"/>
            <w:gridSpan w:val="2"/>
            <w:tcBorders>
              <w:top w:val="single" w:sz="4" w:space="0" w:color="auto"/>
              <w:left w:val="nil"/>
              <w:bottom w:val="single" w:sz="4" w:space="0" w:color="auto"/>
              <w:right w:val="single" w:sz="4" w:space="0" w:color="auto"/>
            </w:tcBorders>
            <w:shd w:val="clear" w:color="auto" w:fill="002060"/>
            <w:noWrap/>
            <w:vAlign w:val="center"/>
            <w:hideMark/>
          </w:tcPr>
          <w:p w14:paraId="62FDEFA9"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Total</w:t>
            </w:r>
          </w:p>
        </w:tc>
      </w:tr>
      <w:tr w:rsidR="007A69A3" w:rsidRPr="000118A3" w14:paraId="5DD69C32" w14:textId="77777777" w:rsidTr="007A69A3">
        <w:trPr>
          <w:trHeight w:val="315"/>
          <w:jc w:val="center"/>
        </w:trPr>
        <w:tc>
          <w:tcPr>
            <w:tcW w:w="2759" w:type="dxa"/>
            <w:vMerge/>
            <w:tcBorders>
              <w:top w:val="single" w:sz="4" w:space="0" w:color="auto"/>
              <w:left w:val="single" w:sz="4" w:space="0" w:color="auto"/>
              <w:bottom w:val="single" w:sz="4" w:space="0" w:color="auto"/>
              <w:right w:val="single" w:sz="4" w:space="0" w:color="auto"/>
            </w:tcBorders>
            <w:shd w:val="clear" w:color="auto" w:fill="002060"/>
            <w:vAlign w:val="center"/>
            <w:hideMark/>
          </w:tcPr>
          <w:p w14:paraId="284D3A43" w14:textId="77777777" w:rsidR="007A69A3" w:rsidRPr="000118A3" w:rsidRDefault="007A69A3" w:rsidP="007A69A3">
            <w:pPr>
              <w:rPr>
                <w:rFonts w:ascii="Times New Roman" w:eastAsia="Times New Roman" w:hAnsi="Times New Roman" w:cs="Times New Roman"/>
                <w:b/>
                <w:bCs/>
                <w:color w:val="FFFFFF" w:themeColor="background1"/>
                <w:sz w:val="22"/>
                <w:szCs w:val="22"/>
                <w:lang w:val="id-ID" w:eastAsia="id-ID"/>
              </w:rPr>
            </w:pPr>
          </w:p>
        </w:tc>
        <w:tc>
          <w:tcPr>
            <w:tcW w:w="1963" w:type="dxa"/>
            <w:tcBorders>
              <w:top w:val="nil"/>
              <w:left w:val="nil"/>
              <w:bottom w:val="single" w:sz="4" w:space="0" w:color="auto"/>
              <w:right w:val="single" w:sz="4" w:space="0" w:color="auto"/>
            </w:tcBorders>
            <w:shd w:val="clear" w:color="auto" w:fill="002060"/>
            <w:noWrap/>
            <w:vAlign w:val="center"/>
            <w:hideMark/>
          </w:tcPr>
          <w:p w14:paraId="35C0DE0E"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Volume (ton)</w:t>
            </w:r>
          </w:p>
        </w:tc>
        <w:tc>
          <w:tcPr>
            <w:tcW w:w="2734" w:type="dxa"/>
            <w:tcBorders>
              <w:top w:val="nil"/>
              <w:left w:val="nil"/>
              <w:bottom w:val="single" w:sz="4" w:space="0" w:color="auto"/>
              <w:right w:val="single" w:sz="4" w:space="0" w:color="auto"/>
            </w:tcBorders>
            <w:shd w:val="clear" w:color="auto" w:fill="002060"/>
            <w:noWrap/>
            <w:vAlign w:val="center"/>
            <w:hideMark/>
          </w:tcPr>
          <w:p w14:paraId="43137E07" w14:textId="77777777" w:rsidR="007A69A3" w:rsidRPr="000118A3" w:rsidRDefault="007A69A3" w:rsidP="007A69A3">
            <w:pPr>
              <w:jc w:val="center"/>
              <w:rPr>
                <w:rFonts w:ascii="Times New Roman" w:eastAsia="Times New Roman" w:hAnsi="Times New Roman" w:cs="Times New Roman"/>
                <w:b/>
                <w:bCs/>
                <w:color w:val="FFFFFF" w:themeColor="background1"/>
                <w:sz w:val="22"/>
                <w:szCs w:val="22"/>
                <w:lang w:val="id-ID" w:eastAsia="id-ID"/>
              </w:rPr>
            </w:pPr>
            <w:r w:rsidRPr="000118A3">
              <w:rPr>
                <w:rFonts w:ascii="Times New Roman" w:eastAsia="Times New Roman" w:hAnsi="Times New Roman" w:cs="Times New Roman"/>
                <w:b/>
                <w:bCs/>
                <w:color w:val="FFFFFF" w:themeColor="background1"/>
                <w:sz w:val="22"/>
                <w:szCs w:val="22"/>
                <w:lang w:val="id-ID" w:eastAsia="id-ID"/>
              </w:rPr>
              <w:t>Value (000 Rp)</w:t>
            </w:r>
          </w:p>
        </w:tc>
      </w:tr>
      <w:tr w:rsidR="007A69A3" w:rsidRPr="000118A3" w14:paraId="717CC100" w14:textId="77777777" w:rsidTr="007A69A3">
        <w:trPr>
          <w:trHeight w:val="315"/>
          <w:jc w:val="center"/>
        </w:trPr>
        <w:tc>
          <w:tcPr>
            <w:tcW w:w="2759" w:type="dxa"/>
            <w:tcBorders>
              <w:top w:val="nil"/>
              <w:left w:val="single" w:sz="4" w:space="0" w:color="auto"/>
              <w:bottom w:val="single" w:sz="4" w:space="0" w:color="auto"/>
              <w:right w:val="single" w:sz="4" w:space="0" w:color="auto"/>
            </w:tcBorders>
            <w:noWrap/>
            <w:vAlign w:val="center"/>
            <w:hideMark/>
          </w:tcPr>
          <w:p w14:paraId="0D331936"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West Kalimantan</w:t>
            </w:r>
          </w:p>
        </w:tc>
        <w:tc>
          <w:tcPr>
            <w:tcW w:w="1963" w:type="dxa"/>
            <w:tcBorders>
              <w:top w:val="nil"/>
              <w:left w:val="nil"/>
              <w:bottom w:val="single" w:sz="4" w:space="0" w:color="auto"/>
              <w:right w:val="single" w:sz="4" w:space="0" w:color="auto"/>
            </w:tcBorders>
            <w:noWrap/>
            <w:vAlign w:val="bottom"/>
            <w:hideMark/>
          </w:tcPr>
          <w:p w14:paraId="7C5AE76F"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84.659</w:t>
            </w:r>
          </w:p>
        </w:tc>
        <w:tc>
          <w:tcPr>
            <w:tcW w:w="2734" w:type="dxa"/>
            <w:tcBorders>
              <w:top w:val="nil"/>
              <w:left w:val="nil"/>
              <w:bottom w:val="single" w:sz="4" w:space="0" w:color="auto"/>
              <w:right w:val="single" w:sz="4" w:space="0" w:color="auto"/>
            </w:tcBorders>
            <w:vAlign w:val="center"/>
            <w:hideMark/>
          </w:tcPr>
          <w:p w14:paraId="466D7DB7"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2.726.651.810</w:t>
            </w:r>
          </w:p>
        </w:tc>
      </w:tr>
      <w:tr w:rsidR="007A69A3" w:rsidRPr="000118A3" w14:paraId="2DBCCD82" w14:textId="77777777" w:rsidTr="007A69A3">
        <w:trPr>
          <w:trHeight w:val="315"/>
          <w:jc w:val="center"/>
        </w:trPr>
        <w:tc>
          <w:tcPr>
            <w:tcW w:w="2759" w:type="dxa"/>
            <w:tcBorders>
              <w:top w:val="nil"/>
              <w:left w:val="single" w:sz="4" w:space="0" w:color="auto"/>
              <w:bottom w:val="single" w:sz="4" w:space="0" w:color="auto"/>
              <w:right w:val="single" w:sz="4" w:space="0" w:color="auto"/>
            </w:tcBorders>
            <w:noWrap/>
            <w:vAlign w:val="center"/>
            <w:hideMark/>
          </w:tcPr>
          <w:p w14:paraId="5A050FF0"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Bangka Belitung</w:t>
            </w:r>
          </w:p>
        </w:tc>
        <w:tc>
          <w:tcPr>
            <w:tcW w:w="1963" w:type="dxa"/>
            <w:tcBorders>
              <w:top w:val="nil"/>
              <w:left w:val="nil"/>
              <w:bottom w:val="single" w:sz="4" w:space="0" w:color="auto"/>
              <w:right w:val="single" w:sz="4" w:space="0" w:color="auto"/>
            </w:tcBorders>
            <w:noWrap/>
            <w:vAlign w:val="bottom"/>
            <w:hideMark/>
          </w:tcPr>
          <w:p w14:paraId="0F415C9B"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10.914</w:t>
            </w:r>
          </w:p>
        </w:tc>
        <w:tc>
          <w:tcPr>
            <w:tcW w:w="2734" w:type="dxa"/>
            <w:tcBorders>
              <w:top w:val="nil"/>
              <w:left w:val="nil"/>
              <w:bottom w:val="single" w:sz="4" w:space="0" w:color="auto"/>
              <w:right w:val="single" w:sz="4" w:space="0" w:color="auto"/>
            </w:tcBorders>
            <w:vAlign w:val="center"/>
            <w:hideMark/>
          </w:tcPr>
          <w:p w14:paraId="598A67CB"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660.927.122</w:t>
            </w:r>
          </w:p>
        </w:tc>
      </w:tr>
      <w:tr w:rsidR="007A69A3" w:rsidRPr="000118A3" w14:paraId="4EB18F97" w14:textId="77777777" w:rsidTr="007A69A3">
        <w:trPr>
          <w:trHeight w:val="315"/>
          <w:jc w:val="center"/>
        </w:trPr>
        <w:tc>
          <w:tcPr>
            <w:tcW w:w="2759" w:type="dxa"/>
            <w:tcBorders>
              <w:top w:val="nil"/>
              <w:left w:val="single" w:sz="4" w:space="0" w:color="auto"/>
              <w:bottom w:val="single" w:sz="4" w:space="0" w:color="auto"/>
              <w:right w:val="single" w:sz="4" w:space="0" w:color="auto"/>
            </w:tcBorders>
            <w:noWrap/>
            <w:vAlign w:val="center"/>
            <w:hideMark/>
          </w:tcPr>
          <w:p w14:paraId="3F24CA3F"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Riau Islands</w:t>
            </w:r>
          </w:p>
        </w:tc>
        <w:tc>
          <w:tcPr>
            <w:tcW w:w="1963" w:type="dxa"/>
            <w:tcBorders>
              <w:top w:val="nil"/>
              <w:left w:val="nil"/>
              <w:bottom w:val="single" w:sz="4" w:space="0" w:color="auto"/>
              <w:right w:val="single" w:sz="4" w:space="0" w:color="auto"/>
            </w:tcBorders>
            <w:noWrap/>
            <w:vAlign w:val="bottom"/>
            <w:hideMark/>
          </w:tcPr>
          <w:p w14:paraId="016F9A73"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124.734</w:t>
            </w:r>
          </w:p>
        </w:tc>
        <w:tc>
          <w:tcPr>
            <w:tcW w:w="2734" w:type="dxa"/>
            <w:tcBorders>
              <w:top w:val="nil"/>
              <w:left w:val="nil"/>
              <w:bottom w:val="single" w:sz="4" w:space="0" w:color="auto"/>
              <w:right w:val="single" w:sz="4" w:space="0" w:color="auto"/>
            </w:tcBorders>
            <w:vAlign w:val="center"/>
            <w:hideMark/>
          </w:tcPr>
          <w:p w14:paraId="3184CCCD"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2.799.409.704</w:t>
            </w:r>
          </w:p>
        </w:tc>
      </w:tr>
      <w:tr w:rsidR="007A69A3" w:rsidRPr="000118A3" w14:paraId="340BC2E7" w14:textId="77777777" w:rsidTr="007A69A3">
        <w:trPr>
          <w:trHeight w:val="315"/>
          <w:jc w:val="center"/>
        </w:trPr>
        <w:tc>
          <w:tcPr>
            <w:tcW w:w="2759" w:type="dxa"/>
            <w:tcBorders>
              <w:top w:val="nil"/>
              <w:left w:val="single" w:sz="4" w:space="0" w:color="auto"/>
              <w:bottom w:val="single" w:sz="4" w:space="0" w:color="auto"/>
              <w:right w:val="single" w:sz="4" w:space="0" w:color="auto"/>
            </w:tcBorders>
            <w:noWrap/>
            <w:vAlign w:val="center"/>
            <w:hideMark/>
          </w:tcPr>
          <w:p w14:paraId="0CDE8543" w14:textId="77777777" w:rsidR="007A69A3" w:rsidRPr="000118A3" w:rsidRDefault="007A69A3" w:rsidP="007A69A3">
            <w:pPr>
              <w:jc w:val="center"/>
              <w:rPr>
                <w:rFonts w:ascii="Times New Roman" w:eastAsia="Times New Roman" w:hAnsi="Times New Roman" w:cs="Times New Roman"/>
                <w:color w:val="000000"/>
                <w:sz w:val="22"/>
                <w:szCs w:val="22"/>
                <w:lang w:val="id-ID" w:eastAsia="id-ID"/>
              </w:rPr>
            </w:pPr>
            <w:r w:rsidRPr="000118A3">
              <w:rPr>
                <w:rFonts w:ascii="Times New Roman" w:eastAsia="Times New Roman" w:hAnsi="Times New Roman" w:cs="Times New Roman"/>
                <w:color w:val="000000"/>
                <w:sz w:val="22"/>
                <w:szCs w:val="22"/>
                <w:lang w:val="id-ID" w:eastAsia="id-ID"/>
              </w:rPr>
              <w:t>South Sumatera</w:t>
            </w:r>
          </w:p>
        </w:tc>
        <w:tc>
          <w:tcPr>
            <w:tcW w:w="1963" w:type="dxa"/>
            <w:tcBorders>
              <w:top w:val="nil"/>
              <w:left w:val="nil"/>
              <w:bottom w:val="single" w:sz="4" w:space="0" w:color="auto"/>
              <w:right w:val="single" w:sz="4" w:space="0" w:color="auto"/>
            </w:tcBorders>
            <w:noWrap/>
            <w:vAlign w:val="bottom"/>
            <w:hideMark/>
          </w:tcPr>
          <w:p w14:paraId="4FAB1EA0"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323.352</w:t>
            </w:r>
          </w:p>
        </w:tc>
        <w:tc>
          <w:tcPr>
            <w:tcW w:w="2734" w:type="dxa"/>
            <w:tcBorders>
              <w:top w:val="nil"/>
              <w:left w:val="nil"/>
              <w:bottom w:val="single" w:sz="4" w:space="0" w:color="auto"/>
              <w:right w:val="single" w:sz="4" w:space="0" w:color="auto"/>
            </w:tcBorders>
            <w:vAlign w:val="center"/>
            <w:hideMark/>
          </w:tcPr>
          <w:p w14:paraId="72C2BE4F" w14:textId="77777777" w:rsidR="007A69A3" w:rsidRPr="000118A3" w:rsidRDefault="007A69A3" w:rsidP="00E30AFB">
            <w:pPr>
              <w:jc w:val="right"/>
              <w:rPr>
                <w:rFonts w:ascii="Times New Roman" w:eastAsia="Times New Roman" w:hAnsi="Times New Roman" w:cs="Times New Roman"/>
                <w:color w:val="242021"/>
                <w:sz w:val="22"/>
                <w:szCs w:val="22"/>
                <w:lang w:val="id-ID" w:eastAsia="id-ID"/>
              </w:rPr>
            </w:pPr>
            <w:r w:rsidRPr="000118A3">
              <w:rPr>
                <w:rFonts w:ascii="Times New Roman" w:eastAsia="Times New Roman" w:hAnsi="Times New Roman" w:cs="Times New Roman"/>
                <w:color w:val="242021"/>
                <w:sz w:val="22"/>
                <w:szCs w:val="22"/>
                <w:lang w:val="id-ID" w:eastAsia="id-ID"/>
              </w:rPr>
              <w:t>8.801.794.872</w:t>
            </w:r>
          </w:p>
        </w:tc>
      </w:tr>
    </w:tbl>
    <w:p w14:paraId="15B170B3" w14:textId="1C0776C4" w:rsidR="007A69A3" w:rsidRPr="000118A3" w:rsidRDefault="007A69A3" w:rsidP="00223F84">
      <w:pPr>
        <w:pStyle w:val="BodyText"/>
        <w:numPr>
          <w:ilvl w:val="2"/>
          <w:numId w:val="140"/>
        </w:numPr>
        <w:spacing w:before="188"/>
        <w:ind w:left="993" w:hanging="697"/>
        <w:rPr>
          <w:rFonts w:ascii="Times New Roman" w:hAnsi="Times New Roman" w:cs="Times New Roman"/>
          <w:b/>
          <w:bCs/>
          <w:color w:val="0070C0"/>
        </w:rPr>
      </w:pPr>
      <w:r w:rsidRPr="000118A3">
        <w:rPr>
          <w:rFonts w:ascii="Times New Roman" w:hAnsi="Times New Roman" w:cs="Times New Roman"/>
          <w:b/>
          <w:bCs/>
          <w:color w:val="0070C0"/>
        </w:rPr>
        <w:t>Climate-related Threats</w:t>
      </w:r>
      <w:r w:rsidRPr="000118A3">
        <w:rPr>
          <w:rFonts w:ascii="Times New Roman" w:hAnsi="Times New Roman" w:cs="Times New Roman"/>
          <w:b/>
          <w:bCs/>
          <w:lang w:val="id-ID"/>
        </w:rPr>
        <w:t xml:space="preserve"> </w:t>
      </w:r>
    </w:p>
    <w:p w14:paraId="1EF6C75D" w14:textId="2E0120FB" w:rsidR="007A69A3" w:rsidRPr="000118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The South China Sea and Surrounding Areas (SCSSA) are a dynamic climate hub where ocean, land, and atmosphere interact intensely. High sea surface temperatures make the region highly sensitive to global climate change (Figure 2</w:t>
      </w:r>
      <w:r w:rsidR="005D262E">
        <w:rPr>
          <w:rFonts w:ascii="Times New Roman" w:hAnsi="Times New Roman" w:cs="Times New Roman"/>
          <w:sz w:val="22"/>
          <w:szCs w:val="22"/>
        </w:rPr>
        <w:t>2</w:t>
      </w:r>
      <w:r w:rsidRPr="000118A3">
        <w:rPr>
          <w:rFonts w:ascii="Times New Roman" w:hAnsi="Times New Roman" w:cs="Times New Roman"/>
          <w:sz w:val="22"/>
          <w:szCs w:val="22"/>
        </w:rPr>
        <w:t>a). Convection variations over the SCSSA influence the El Niño–Southern Oscillation (ENSO) by modifying Pacific trade winds, while ENSO events, in turn, affect SCSSA convection. La Niña strengthens the Walker circulation, enhancing regional convection and triggering atmospheric teleconnections that impact climates in North Africa, South Asia, and East Asia (Li et al., 2020; He et al., 2017).</w:t>
      </w:r>
    </w:p>
    <w:p w14:paraId="7C4AEF02" w14:textId="7528D2D8" w:rsidR="007A69A3" w:rsidRPr="000118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Warming over the Maritime Continent and Tibetan Plateau further shapes ENSO characteristics and global weather anomalies, influencing areas from Southern Europe to the North Atlantic. Air–sea interactions generate Rossby waves, linking tropical processes to both hemispheres (Yang et al., 2019; Basconcillo, 2021) (Figure 2</w:t>
      </w:r>
      <w:r w:rsidR="005D262E">
        <w:rPr>
          <w:rFonts w:ascii="Times New Roman" w:hAnsi="Times New Roman" w:cs="Times New Roman"/>
          <w:sz w:val="22"/>
          <w:szCs w:val="22"/>
        </w:rPr>
        <w:t>2</w:t>
      </w:r>
      <w:r w:rsidRPr="000118A3">
        <w:rPr>
          <w:rFonts w:ascii="Times New Roman" w:hAnsi="Times New Roman" w:cs="Times New Roman"/>
          <w:sz w:val="22"/>
          <w:szCs w:val="22"/>
        </w:rPr>
        <w:t>b). The SCSSA also drives South and East Asian monsoons via Tibetan Plateau forcing, with modulation from the Madden–Julian Oscillation, cross-equatorial flows, Pacific Meridional Mode, and intraseasonal oscillations. Overall, the SCSSA acts as a major climate driver: small regional changes can propagate globally, affecting extreme weather, rainfall patterns, and climate stability from the tropics to the poles.</w:t>
      </w:r>
    </w:p>
    <w:p w14:paraId="61C010B7" w14:textId="77777777" w:rsidR="007A69A3" w:rsidRPr="000118A3" w:rsidRDefault="007A69A3" w:rsidP="007A69A3">
      <w:pPr>
        <w:ind w:left="284"/>
        <w:jc w:val="center"/>
        <w:rPr>
          <w:rFonts w:ascii="Times New Roman" w:hAnsi="Times New Roman" w:cs="Times New Roman"/>
          <w:sz w:val="22"/>
          <w:szCs w:val="22"/>
          <w:lang w:val="id-ID"/>
        </w:rPr>
      </w:pPr>
      <w:r w:rsidRPr="000118A3">
        <w:rPr>
          <w:rFonts w:ascii="Times New Roman" w:hAnsi="Times New Roman" w:cs="Times New Roman"/>
          <w:noProof/>
          <w:sz w:val="22"/>
          <w:szCs w:val="22"/>
          <w:lang w:val="id-ID"/>
        </w:rPr>
        <w:drawing>
          <wp:inline distT="0" distB="0" distL="0" distR="0" wp14:anchorId="2C5C1E35" wp14:editId="1C990235">
            <wp:extent cx="2634024" cy="1710047"/>
            <wp:effectExtent l="0" t="0" r="0" b="5080"/>
            <wp:docPr id="1298099498" name="Picture 1" descr="A diagram of a volcan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099498" name="Picture 1" descr="A diagram of a volcano&#10;&#10;AI-generated content may be incorrect."/>
                    <pic:cNvPicPr/>
                  </pic:nvPicPr>
                  <pic:blipFill>
                    <a:blip r:embed="rId38"/>
                    <a:stretch>
                      <a:fillRect/>
                    </a:stretch>
                  </pic:blipFill>
                  <pic:spPr>
                    <a:xfrm>
                      <a:off x="0" y="0"/>
                      <a:ext cx="2662640" cy="1728625"/>
                    </a:xfrm>
                    <a:prstGeom prst="rect">
                      <a:avLst/>
                    </a:prstGeom>
                  </pic:spPr>
                </pic:pic>
              </a:graphicData>
            </a:graphic>
          </wp:inline>
        </w:drawing>
      </w:r>
      <w:r w:rsidRPr="000118A3">
        <w:rPr>
          <w:rFonts w:ascii="Times New Roman" w:hAnsi="Times New Roman" w:cs="Times New Roman"/>
          <w:noProof/>
          <w:sz w:val="22"/>
          <w:szCs w:val="22"/>
        </w:rPr>
        <w:drawing>
          <wp:inline distT="0" distB="0" distL="0" distR="0" wp14:anchorId="3B6B6EBE" wp14:editId="34F66C71">
            <wp:extent cx="2695699" cy="1678477"/>
            <wp:effectExtent l="0" t="0" r="0" b="0"/>
            <wp:docPr id="1062161545" name="Picture 1" descr="A diagram of climate chan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161545" name="Picture 1" descr="A diagram of climate change&#10;&#10;AI-generated content may be incorrect."/>
                    <pic:cNvPicPr/>
                  </pic:nvPicPr>
                  <pic:blipFill>
                    <a:blip r:embed="rId39"/>
                    <a:stretch>
                      <a:fillRect/>
                    </a:stretch>
                  </pic:blipFill>
                  <pic:spPr>
                    <a:xfrm>
                      <a:off x="0" y="0"/>
                      <a:ext cx="2720887" cy="1694161"/>
                    </a:xfrm>
                    <a:prstGeom prst="rect">
                      <a:avLst/>
                    </a:prstGeom>
                  </pic:spPr>
                </pic:pic>
              </a:graphicData>
            </a:graphic>
          </wp:inline>
        </w:drawing>
      </w:r>
    </w:p>
    <w:p w14:paraId="204E3963" w14:textId="40288BE4" w:rsidR="007A69A3" w:rsidRPr="005D262E" w:rsidRDefault="005D262E" w:rsidP="004477DB">
      <w:pPr>
        <w:pStyle w:val="Caption"/>
        <w:jc w:val="center"/>
        <w:rPr>
          <w:rFonts w:ascii="Times New Roman" w:hAnsi="Times New Roman" w:cs="Times New Roman"/>
          <w:i w:val="0"/>
          <w:iCs w:val="0"/>
          <w:color w:val="000000" w:themeColor="text1"/>
          <w:sz w:val="22"/>
          <w:szCs w:val="22"/>
        </w:rPr>
      </w:pPr>
      <w:bookmarkStart w:id="45" w:name="_Toc217297609"/>
      <w:r w:rsidRPr="005D262E">
        <w:rPr>
          <w:rFonts w:ascii="Times New Roman" w:hAnsi="Times New Roman" w:cs="Times New Roman"/>
          <w:i w:val="0"/>
          <w:iCs w:val="0"/>
          <w:color w:val="000000" w:themeColor="text1"/>
          <w:sz w:val="22"/>
          <w:szCs w:val="22"/>
        </w:rPr>
        <w:t xml:space="preserve">Figure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Figure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22</w:t>
      </w:r>
      <w:r w:rsidRPr="005D262E">
        <w:rPr>
          <w:rFonts w:ascii="Times New Roman" w:hAnsi="Times New Roman" w:cs="Times New Roman"/>
          <w:i w:val="0"/>
          <w:iCs w:val="0"/>
          <w:color w:val="000000" w:themeColor="text1"/>
          <w:sz w:val="22"/>
          <w:szCs w:val="22"/>
        </w:rPr>
        <w:fldChar w:fldCharType="end"/>
      </w:r>
      <w:r w:rsidR="007A69A3" w:rsidRPr="005D262E">
        <w:rPr>
          <w:rFonts w:ascii="Times New Roman" w:hAnsi="Times New Roman" w:cs="Times New Roman"/>
          <w:i w:val="0"/>
          <w:iCs w:val="0"/>
          <w:color w:val="000000" w:themeColor="text1"/>
          <w:sz w:val="22"/>
          <w:szCs w:val="22"/>
        </w:rPr>
        <w:t xml:space="preserve"> (a) Schematic diagram of sea surface temperature and atmospheric overturning circulations in the SCSSA (Yang et al. 2024) (b) Known global impacts of climate change in the SCSSA (Yang et al. 2024)</w:t>
      </w:r>
      <w:bookmarkEnd w:id="45"/>
    </w:p>
    <w:p w14:paraId="73FC5CEF" w14:textId="77777777" w:rsidR="007A69A3" w:rsidRDefault="007A69A3" w:rsidP="007A69A3">
      <w:pPr>
        <w:ind w:left="284"/>
        <w:jc w:val="both"/>
        <w:rPr>
          <w:rFonts w:ascii="Times New Roman" w:hAnsi="Times New Roman" w:cs="Times New Roman"/>
          <w:sz w:val="22"/>
          <w:szCs w:val="22"/>
        </w:rPr>
      </w:pPr>
      <w:r w:rsidRPr="000118A3">
        <w:rPr>
          <w:rFonts w:ascii="Times New Roman" w:hAnsi="Times New Roman" w:cs="Times New Roman"/>
          <w:sz w:val="22"/>
          <w:szCs w:val="22"/>
        </w:rPr>
        <w:t>Climate change in the South China Sea and Surrounding Areas (SCSSA) drives ocean–atmosphere interactions that influence climate from the tropics to the poles. The region is closely tied to the South Asian and East Asian monsoons, which are affected by warming over the Tibetan Plateau. Atmospheric systems such as the Madden–Julian Oscillation (MJO) and cross-equatorial flow regulate air mass movement and shape monsoon intensity. The SCSSA also has a two-way relationship with ENSO, where Pacific sea surface temperature anomalies influence monsoons, while monsoon changes can feedback into the ENSO cycle. These processes, mediated by the Pacific Meridional Mode (PMM) and intraseasonal oscillations (ISO), link tropical dynamics with mid-latitude climate patterns. Their impacts extend globally, affecting high- and low-pressure systems and influencing climate conditions in the Arctic and Antarctic. Overall, the SCSSA acts as a major climate driver, with changes in this region capable of triggering atmospheric teleconnections that affect extreme weather and climate stability worldwide.</w:t>
      </w:r>
    </w:p>
    <w:p w14:paraId="44DDC0D9" w14:textId="77777777" w:rsidR="005D2B89" w:rsidRDefault="005D2B89" w:rsidP="007A69A3">
      <w:pPr>
        <w:ind w:left="284"/>
        <w:jc w:val="both"/>
        <w:rPr>
          <w:rFonts w:ascii="Times New Roman" w:hAnsi="Times New Roman" w:cs="Times New Roman"/>
          <w:sz w:val="22"/>
          <w:szCs w:val="22"/>
        </w:rPr>
      </w:pPr>
    </w:p>
    <w:p w14:paraId="7D09CFF0" w14:textId="77777777" w:rsidR="004477DB" w:rsidRPr="000118A3" w:rsidRDefault="004477DB" w:rsidP="007A69A3">
      <w:pPr>
        <w:ind w:left="284"/>
        <w:jc w:val="both"/>
        <w:rPr>
          <w:rFonts w:ascii="Times New Roman" w:hAnsi="Times New Roman" w:cs="Times New Roman"/>
          <w:sz w:val="22"/>
          <w:szCs w:val="22"/>
        </w:rPr>
      </w:pPr>
    </w:p>
    <w:p w14:paraId="4832B438" w14:textId="5FB49C0B" w:rsidR="00D56F0F" w:rsidRPr="000118A3" w:rsidRDefault="007A69A3" w:rsidP="007F0F81">
      <w:pPr>
        <w:pStyle w:val="BodyText"/>
        <w:numPr>
          <w:ilvl w:val="1"/>
          <w:numId w:val="140"/>
        </w:numPr>
        <w:spacing w:before="120" w:line="240" w:lineRule="auto"/>
        <w:ind w:left="426"/>
        <w:outlineLvl w:val="1"/>
        <w:rPr>
          <w:rFonts w:ascii="Times New Roman" w:hAnsi="Times New Roman" w:cs="Times New Roman"/>
          <w:b/>
          <w:bCs/>
          <w:color w:val="0070C0"/>
        </w:rPr>
      </w:pPr>
      <w:bookmarkStart w:id="46" w:name="_Toc217297542"/>
      <w:r w:rsidRPr="000118A3">
        <w:rPr>
          <w:rFonts w:ascii="Times New Roman" w:hAnsi="Times New Roman" w:cs="Times New Roman"/>
          <w:b/>
          <w:bCs/>
          <w:color w:val="0070C0"/>
        </w:rPr>
        <w:lastRenderedPageBreak/>
        <w:t>Discussion</w:t>
      </w:r>
      <w:bookmarkEnd w:id="46"/>
      <w:r w:rsidRPr="000118A3">
        <w:rPr>
          <w:rFonts w:ascii="Times New Roman" w:hAnsi="Times New Roman" w:cs="Times New Roman"/>
          <w:b/>
          <w:bCs/>
          <w:color w:val="0070C0"/>
        </w:rPr>
        <w:t xml:space="preserve"> </w:t>
      </w:r>
    </w:p>
    <w:p w14:paraId="7795D348" w14:textId="5B2262D1" w:rsidR="007A69A3" w:rsidRPr="000118A3" w:rsidRDefault="007A69A3" w:rsidP="005D2B89">
      <w:pPr>
        <w:pStyle w:val="BodyText"/>
        <w:numPr>
          <w:ilvl w:val="2"/>
          <w:numId w:val="140"/>
        </w:numPr>
        <w:spacing w:before="120" w:line="240" w:lineRule="auto"/>
        <w:ind w:left="709" w:hanging="709"/>
        <w:rPr>
          <w:rFonts w:ascii="Times New Roman" w:hAnsi="Times New Roman" w:cs="Times New Roman"/>
          <w:b/>
          <w:bCs/>
          <w:color w:val="0070C0"/>
        </w:rPr>
      </w:pPr>
      <w:r w:rsidRPr="000118A3">
        <w:rPr>
          <w:rFonts w:ascii="Times New Roman" w:hAnsi="Times New Roman" w:cs="Times New Roman"/>
          <w:b/>
          <w:bCs/>
          <w:color w:val="0070C0"/>
        </w:rPr>
        <w:t>Risk Assessment from Socio-Economic Trends</w:t>
      </w:r>
    </w:p>
    <w:p w14:paraId="1F9351B0" w14:textId="60DD4B55" w:rsidR="007A69A3" w:rsidRDefault="007A69A3" w:rsidP="00652E1F">
      <w:pPr>
        <w:jc w:val="both"/>
        <w:rPr>
          <w:rFonts w:ascii="Times New Roman" w:hAnsi="Times New Roman" w:cs="Times New Roman"/>
          <w:sz w:val="22"/>
          <w:szCs w:val="22"/>
        </w:rPr>
      </w:pPr>
      <w:r w:rsidRPr="000118A3">
        <w:rPr>
          <w:rFonts w:ascii="Times New Roman" w:hAnsi="Times New Roman" w:cs="Times New Roman"/>
          <w:sz w:val="22"/>
          <w:szCs w:val="22"/>
        </w:rPr>
        <w:t>The socio-economic risk analysis was conducted by considering coastal population density, economic dependence on marine and fisheries sectors, and the vulnerability of economic infrastructure to external disruptions (Table 6).</w:t>
      </w:r>
    </w:p>
    <w:p w14:paraId="23A2DC56" w14:textId="77777777" w:rsidR="005D262E" w:rsidRPr="000118A3" w:rsidRDefault="005D262E" w:rsidP="00652E1F">
      <w:pPr>
        <w:jc w:val="both"/>
        <w:rPr>
          <w:rFonts w:ascii="Times New Roman" w:hAnsi="Times New Roman" w:cs="Times New Roman"/>
          <w:sz w:val="22"/>
          <w:szCs w:val="22"/>
        </w:rPr>
      </w:pPr>
    </w:p>
    <w:p w14:paraId="71B197DD" w14:textId="34925069" w:rsidR="007A69A3" w:rsidRPr="005D262E" w:rsidRDefault="005D262E" w:rsidP="005D262E">
      <w:pPr>
        <w:pStyle w:val="Caption"/>
        <w:rPr>
          <w:rFonts w:ascii="Times New Roman" w:hAnsi="Times New Roman" w:cs="Times New Roman"/>
          <w:i w:val="0"/>
          <w:iCs w:val="0"/>
          <w:color w:val="000000" w:themeColor="text1"/>
          <w:sz w:val="22"/>
          <w:szCs w:val="22"/>
        </w:rPr>
      </w:pPr>
      <w:bookmarkStart w:id="47" w:name="_Toc217297651"/>
      <w:r w:rsidRPr="005D262E">
        <w:rPr>
          <w:rFonts w:ascii="Times New Roman" w:hAnsi="Times New Roman" w:cs="Times New Roman"/>
          <w:i w:val="0"/>
          <w:iCs w:val="0"/>
          <w:color w:val="000000" w:themeColor="text1"/>
          <w:sz w:val="22"/>
          <w:szCs w:val="22"/>
        </w:rPr>
        <w:t xml:space="preserve">Table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Table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6</w:t>
      </w:r>
      <w:r w:rsidRPr="005D262E">
        <w:rPr>
          <w:rFonts w:ascii="Times New Roman" w:hAnsi="Times New Roman" w:cs="Times New Roman"/>
          <w:i w:val="0"/>
          <w:iCs w:val="0"/>
          <w:color w:val="000000" w:themeColor="text1"/>
          <w:sz w:val="22"/>
          <w:szCs w:val="22"/>
        </w:rPr>
        <w:fldChar w:fldCharType="end"/>
      </w:r>
      <w:r w:rsidRPr="005D262E">
        <w:rPr>
          <w:rFonts w:ascii="Times New Roman" w:hAnsi="Times New Roman" w:cs="Times New Roman"/>
          <w:b/>
          <w:bCs/>
          <w:i w:val="0"/>
          <w:iCs w:val="0"/>
          <w:color w:val="000000" w:themeColor="text1"/>
          <w:sz w:val="22"/>
          <w:szCs w:val="22"/>
        </w:rPr>
        <w:t xml:space="preserve"> </w:t>
      </w:r>
      <w:r w:rsidR="007A69A3" w:rsidRPr="005D262E">
        <w:rPr>
          <w:rFonts w:ascii="Times New Roman" w:hAnsi="Times New Roman" w:cs="Times New Roman"/>
          <w:i w:val="0"/>
          <w:iCs w:val="0"/>
          <w:color w:val="000000" w:themeColor="text1"/>
          <w:sz w:val="22"/>
          <w:szCs w:val="22"/>
        </w:rPr>
        <w:t>Risk Assessment of Socio-economic</w:t>
      </w:r>
      <w:bookmarkEnd w:id="47"/>
      <w:r w:rsidR="007A69A3" w:rsidRPr="005D262E">
        <w:rPr>
          <w:rFonts w:ascii="Times New Roman" w:hAnsi="Times New Roman" w:cs="Times New Roman"/>
          <w:i w:val="0"/>
          <w:iCs w:val="0"/>
          <w:color w:val="000000" w:themeColor="text1"/>
          <w:sz w:val="22"/>
          <w:szCs w:val="22"/>
        </w:rPr>
        <w:t xml:space="preserve"> </w:t>
      </w:r>
    </w:p>
    <w:tbl>
      <w:tblPr>
        <w:tblW w:w="9327" w:type="dxa"/>
        <w:jc w:val="center"/>
        <w:tblLook w:val="04A0" w:firstRow="1" w:lastRow="0" w:firstColumn="1" w:lastColumn="0" w:noHBand="0" w:noVBand="1"/>
      </w:tblPr>
      <w:tblGrid>
        <w:gridCol w:w="1604"/>
        <w:gridCol w:w="1557"/>
        <w:gridCol w:w="1324"/>
        <w:gridCol w:w="1604"/>
        <w:gridCol w:w="1759"/>
        <w:gridCol w:w="1479"/>
      </w:tblGrid>
      <w:tr w:rsidR="007A69A3" w:rsidRPr="000118A3" w14:paraId="31B11BF1" w14:textId="77777777" w:rsidTr="00671D7D">
        <w:trPr>
          <w:trHeight w:val="567"/>
          <w:tblHeader/>
          <w:jc w:val="center"/>
        </w:trPr>
        <w:tc>
          <w:tcPr>
            <w:tcW w:w="1604" w:type="dxa"/>
            <w:tcBorders>
              <w:top w:val="single" w:sz="8" w:space="0" w:color="auto"/>
              <w:left w:val="single" w:sz="8" w:space="0" w:color="auto"/>
              <w:bottom w:val="single" w:sz="8" w:space="0" w:color="auto"/>
              <w:right w:val="single" w:sz="8" w:space="0" w:color="auto"/>
            </w:tcBorders>
            <w:shd w:val="clear" w:color="auto" w:fill="2F5496" w:themeFill="accent1" w:themeFillShade="BF"/>
            <w:vAlign w:val="center"/>
            <w:hideMark/>
          </w:tcPr>
          <w:p w14:paraId="451BEBB3" w14:textId="77777777" w:rsidR="007A69A3" w:rsidRPr="000118A3" w:rsidRDefault="007A69A3" w:rsidP="007A69A3">
            <w:pPr>
              <w:jc w:val="center"/>
              <w:rPr>
                <w:rFonts w:ascii="Times New Roman" w:eastAsia="Times New Roman" w:hAnsi="Times New Roman" w:cs="Times New Roman"/>
                <w:color w:val="FFFFFF" w:themeColor="background1"/>
                <w:sz w:val="22"/>
                <w:szCs w:val="22"/>
              </w:rPr>
            </w:pPr>
            <w:r w:rsidRPr="000118A3">
              <w:rPr>
                <w:rFonts w:ascii="Times New Roman" w:eastAsia="Times New Roman" w:hAnsi="Times New Roman" w:cs="Times New Roman"/>
                <w:color w:val="FFFFFF" w:themeColor="background1"/>
                <w:sz w:val="22"/>
                <w:szCs w:val="22"/>
              </w:rPr>
              <w:t>Province</w:t>
            </w:r>
          </w:p>
        </w:tc>
        <w:tc>
          <w:tcPr>
            <w:tcW w:w="1557" w:type="dxa"/>
            <w:tcBorders>
              <w:top w:val="single" w:sz="8" w:space="0" w:color="auto"/>
              <w:left w:val="nil"/>
              <w:bottom w:val="single" w:sz="8" w:space="0" w:color="auto"/>
              <w:right w:val="single" w:sz="8" w:space="0" w:color="auto"/>
            </w:tcBorders>
            <w:shd w:val="clear" w:color="auto" w:fill="2F5496" w:themeFill="accent1" w:themeFillShade="BF"/>
            <w:vAlign w:val="center"/>
            <w:hideMark/>
          </w:tcPr>
          <w:p w14:paraId="5B2E19F4" w14:textId="77777777" w:rsidR="007A69A3" w:rsidRPr="000118A3" w:rsidRDefault="007A69A3" w:rsidP="007A69A3">
            <w:pPr>
              <w:rPr>
                <w:rFonts w:ascii="Times New Roman" w:eastAsia="Times New Roman" w:hAnsi="Times New Roman" w:cs="Times New Roman"/>
                <w:color w:val="FFFFFF" w:themeColor="background1"/>
                <w:sz w:val="22"/>
                <w:szCs w:val="22"/>
              </w:rPr>
            </w:pPr>
            <w:r w:rsidRPr="000118A3">
              <w:rPr>
                <w:rFonts w:ascii="Times New Roman" w:eastAsia="Times New Roman" w:hAnsi="Times New Roman" w:cs="Times New Roman"/>
                <w:color w:val="FFFFFF" w:themeColor="background1"/>
                <w:sz w:val="22"/>
                <w:szCs w:val="22"/>
              </w:rPr>
              <w:t>Coastal Region Area (km²)</w:t>
            </w:r>
          </w:p>
        </w:tc>
        <w:tc>
          <w:tcPr>
            <w:tcW w:w="1324" w:type="dxa"/>
            <w:tcBorders>
              <w:top w:val="single" w:sz="8" w:space="0" w:color="auto"/>
              <w:left w:val="nil"/>
              <w:bottom w:val="single" w:sz="8" w:space="0" w:color="auto"/>
              <w:right w:val="single" w:sz="8" w:space="0" w:color="auto"/>
            </w:tcBorders>
            <w:shd w:val="clear" w:color="auto" w:fill="2F5496" w:themeFill="accent1" w:themeFillShade="BF"/>
            <w:vAlign w:val="center"/>
            <w:hideMark/>
          </w:tcPr>
          <w:p w14:paraId="12A67D03" w14:textId="77777777" w:rsidR="007A69A3" w:rsidRPr="000118A3" w:rsidRDefault="007A69A3" w:rsidP="007A69A3">
            <w:pPr>
              <w:rPr>
                <w:rFonts w:ascii="Times New Roman" w:eastAsia="Times New Roman" w:hAnsi="Times New Roman" w:cs="Times New Roman"/>
                <w:color w:val="FFFFFF" w:themeColor="background1"/>
                <w:sz w:val="22"/>
                <w:szCs w:val="22"/>
              </w:rPr>
            </w:pPr>
            <w:r w:rsidRPr="000118A3">
              <w:rPr>
                <w:rFonts w:ascii="Times New Roman" w:eastAsia="Times New Roman" w:hAnsi="Times New Roman" w:cs="Times New Roman"/>
                <w:color w:val="FFFFFF" w:themeColor="background1"/>
                <w:sz w:val="22"/>
                <w:szCs w:val="22"/>
              </w:rPr>
              <w:t>% of National Area</w:t>
            </w:r>
          </w:p>
        </w:tc>
        <w:tc>
          <w:tcPr>
            <w:tcW w:w="1604" w:type="dxa"/>
            <w:tcBorders>
              <w:top w:val="single" w:sz="8" w:space="0" w:color="auto"/>
              <w:left w:val="nil"/>
              <w:bottom w:val="single" w:sz="8" w:space="0" w:color="auto"/>
              <w:right w:val="single" w:sz="8" w:space="0" w:color="auto"/>
            </w:tcBorders>
            <w:shd w:val="clear" w:color="auto" w:fill="2F5496" w:themeFill="accent1" w:themeFillShade="BF"/>
            <w:vAlign w:val="center"/>
            <w:hideMark/>
          </w:tcPr>
          <w:p w14:paraId="181687A0" w14:textId="77777777" w:rsidR="007A69A3" w:rsidRPr="000118A3" w:rsidRDefault="007A69A3" w:rsidP="007A69A3">
            <w:pPr>
              <w:rPr>
                <w:rFonts w:ascii="Times New Roman" w:eastAsia="Times New Roman" w:hAnsi="Times New Roman" w:cs="Times New Roman"/>
                <w:color w:val="FFFFFF" w:themeColor="background1"/>
                <w:sz w:val="22"/>
                <w:szCs w:val="22"/>
              </w:rPr>
            </w:pPr>
            <w:r w:rsidRPr="000118A3">
              <w:rPr>
                <w:rFonts w:ascii="Times New Roman" w:eastAsia="Times New Roman" w:hAnsi="Times New Roman" w:cs="Times New Roman"/>
                <w:color w:val="FFFFFF" w:themeColor="background1"/>
                <w:sz w:val="22"/>
                <w:szCs w:val="22"/>
              </w:rPr>
              <w:t>Est. Coastal Population (2023)</w:t>
            </w:r>
          </w:p>
        </w:tc>
        <w:tc>
          <w:tcPr>
            <w:tcW w:w="1759" w:type="dxa"/>
            <w:tcBorders>
              <w:top w:val="single" w:sz="8" w:space="0" w:color="auto"/>
              <w:left w:val="nil"/>
              <w:bottom w:val="single" w:sz="8" w:space="0" w:color="auto"/>
              <w:right w:val="single" w:sz="8" w:space="0" w:color="auto"/>
            </w:tcBorders>
            <w:shd w:val="clear" w:color="auto" w:fill="2F5496" w:themeFill="accent1" w:themeFillShade="BF"/>
            <w:vAlign w:val="center"/>
            <w:hideMark/>
          </w:tcPr>
          <w:p w14:paraId="335DCD0F" w14:textId="77777777" w:rsidR="007A69A3" w:rsidRPr="000118A3" w:rsidRDefault="007A69A3" w:rsidP="007A69A3">
            <w:pPr>
              <w:rPr>
                <w:rFonts w:ascii="Times New Roman" w:eastAsia="Times New Roman" w:hAnsi="Times New Roman" w:cs="Times New Roman"/>
                <w:color w:val="FFFFFF" w:themeColor="background1"/>
                <w:sz w:val="22"/>
                <w:szCs w:val="22"/>
              </w:rPr>
            </w:pPr>
            <w:r w:rsidRPr="000118A3">
              <w:rPr>
                <w:rFonts w:ascii="Times New Roman" w:eastAsia="Times New Roman" w:hAnsi="Times New Roman" w:cs="Times New Roman"/>
                <w:color w:val="FFFFFF" w:themeColor="background1"/>
                <w:sz w:val="22"/>
                <w:szCs w:val="22"/>
              </w:rPr>
              <w:t>GDP Dependency on Fisheries &amp; Marine Sector (%)</w:t>
            </w:r>
          </w:p>
        </w:tc>
        <w:tc>
          <w:tcPr>
            <w:tcW w:w="1479" w:type="dxa"/>
            <w:tcBorders>
              <w:top w:val="single" w:sz="8" w:space="0" w:color="auto"/>
              <w:left w:val="nil"/>
              <w:bottom w:val="single" w:sz="8" w:space="0" w:color="auto"/>
              <w:right w:val="single" w:sz="8" w:space="0" w:color="auto"/>
            </w:tcBorders>
            <w:shd w:val="clear" w:color="auto" w:fill="2F5496" w:themeFill="accent1" w:themeFillShade="BF"/>
            <w:vAlign w:val="center"/>
            <w:hideMark/>
          </w:tcPr>
          <w:p w14:paraId="30907A50" w14:textId="77777777" w:rsidR="007A69A3" w:rsidRPr="000118A3" w:rsidRDefault="007A69A3" w:rsidP="007A69A3">
            <w:pPr>
              <w:rPr>
                <w:rFonts w:ascii="Times New Roman" w:eastAsia="Times New Roman" w:hAnsi="Times New Roman" w:cs="Times New Roman"/>
                <w:color w:val="FFFFFF" w:themeColor="background1"/>
                <w:sz w:val="22"/>
                <w:szCs w:val="22"/>
              </w:rPr>
            </w:pPr>
            <w:r w:rsidRPr="000118A3">
              <w:rPr>
                <w:rFonts w:ascii="Times New Roman" w:eastAsia="Times New Roman" w:hAnsi="Times New Roman" w:cs="Times New Roman"/>
                <w:color w:val="FFFFFF" w:themeColor="background1"/>
                <w:sz w:val="22"/>
                <w:szCs w:val="22"/>
              </w:rPr>
              <w:t>Socio-Economic Risk Index*</w:t>
            </w:r>
          </w:p>
        </w:tc>
      </w:tr>
      <w:tr w:rsidR="007A69A3" w:rsidRPr="000118A3" w14:paraId="51FFF5A8" w14:textId="77777777" w:rsidTr="00671D7D">
        <w:trPr>
          <w:trHeight w:val="582"/>
          <w:jc w:val="center"/>
        </w:trPr>
        <w:tc>
          <w:tcPr>
            <w:tcW w:w="1604" w:type="dxa"/>
            <w:tcBorders>
              <w:top w:val="nil"/>
              <w:left w:val="single" w:sz="8" w:space="0" w:color="auto"/>
              <w:bottom w:val="single" w:sz="8" w:space="0" w:color="auto"/>
              <w:right w:val="single" w:sz="8" w:space="0" w:color="auto"/>
            </w:tcBorders>
            <w:vAlign w:val="center"/>
            <w:hideMark/>
          </w:tcPr>
          <w:p w14:paraId="7289ADF6" w14:textId="77777777" w:rsidR="007A69A3" w:rsidRPr="000118A3" w:rsidRDefault="007A69A3" w:rsidP="007A69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West Kalimantan</w:t>
            </w:r>
          </w:p>
        </w:tc>
        <w:tc>
          <w:tcPr>
            <w:tcW w:w="1557" w:type="dxa"/>
            <w:tcBorders>
              <w:top w:val="nil"/>
              <w:left w:val="nil"/>
              <w:bottom w:val="single" w:sz="8" w:space="0" w:color="auto"/>
              <w:right w:val="single" w:sz="8" w:space="0" w:color="auto"/>
            </w:tcBorders>
            <w:vAlign w:val="center"/>
            <w:hideMark/>
          </w:tcPr>
          <w:p w14:paraId="26E3A629"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147,037.04</w:t>
            </w:r>
          </w:p>
        </w:tc>
        <w:tc>
          <w:tcPr>
            <w:tcW w:w="1324" w:type="dxa"/>
            <w:tcBorders>
              <w:top w:val="nil"/>
              <w:left w:val="nil"/>
              <w:bottom w:val="single" w:sz="8" w:space="0" w:color="auto"/>
              <w:right w:val="single" w:sz="8" w:space="0" w:color="auto"/>
            </w:tcBorders>
            <w:vAlign w:val="center"/>
            <w:hideMark/>
          </w:tcPr>
          <w:p w14:paraId="066A4D09"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7.66%</w:t>
            </w:r>
          </w:p>
        </w:tc>
        <w:tc>
          <w:tcPr>
            <w:tcW w:w="1604" w:type="dxa"/>
            <w:tcBorders>
              <w:top w:val="nil"/>
              <w:left w:val="nil"/>
              <w:bottom w:val="single" w:sz="8" w:space="0" w:color="auto"/>
              <w:right w:val="single" w:sz="8" w:space="0" w:color="auto"/>
            </w:tcBorders>
            <w:vAlign w:val="center"/>
            <w:hideMark/>
          </w:tcPr>
          <w:p w14:paraId="371A1974"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1.52 million</w:t>
            </w:r>
          </w:p>
        </w:tc>
        <w:tc>
          <w:tcPr>
            <w:tcW w:w="1759" w:type="dxa"/>
            <w:tcBorders>
              <w:top w:val="nil"/>
              <w:left w:val="nil"/>
              <w:bottom w:val="single" w:sz="8" w:space="0" w:color="auto"/>
              <w:right w:val="single" w:sz="8" w:space="0" w:color="auto"/>
            </w:tcBorders>
            <w:vAlign w:val="center"/>
            <w:hideMark/>
          </w:tcPr>
          <w:p w14:paraId="7F4F400B"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28–32%</w:t>
            </w:r>
          </w:p>
        </w:tc>
        <w:tc>
          <w:tcPr>
            <w:tcW w:w="1479" w:type="dxa"/>
            <w:tcBorders>
              <w:top w:val="nil"/>
              <w:left w:val="nil"/>
              <w:bottom w:val="single" w:sz="8" w:space="0" w:color="auto"/>
              <w:right w:val="single" w:sz="8" w:space="0" w:color="auto"/>
            </w:tcBorders>
            <w:vAlign w:val="center"/>
            <w:hideMark/>
          </w:tcPr>
          <w:p w14:paraId="1E58DC16" w14:textId="77777777" w:rsidR="007A69A3" w:rsidRPr="000118A3" w:rsidRDefault="007A69A3" w:rsidP="007A69A3">
            <w:pPr>
              <w:jc w:val="both"/>
              <w:rPr>
                <w:rFonts w:ascii="Times New Roman" w:eastAsia="Times New Roman" w:hAnsi="Times New Roman" w:cs="Times New Roman"/>
                <w:b/>
                <w:bCs/>
                <w:color w:val="000000"/>
                <w:sz w:val="22"/>
                <w:szCs w:val="22"/>
              </w:rPr>
            </w:pPr>
            <w:r w:rsidRPr="000118A3">
              <w:rPr>
                <w:rFonts w:ascii="Times New Roman" w:eastAsia="Times New Roman" w:hAnsi="Times New Roman" w:cs="Times New Roman"/>
                <w:b/>
                <w:bCs/>
                <w:color w:val="000000"/>
                <w:sz w:val="22"/>
                <w:szCs w:val="22"/>
              </w:rPr>
              <w:t>High</w:t>
            </w:r>
            <w:r w:rsidRPr="000118A3">
              <w:rPr>
                <w:rFonts w:ascii="Times New Roman" w:eastAsia="Times New Roman" w:hAnsi="Times New Roman" w:cs="Times New Roman"/>
                <w:color w:val="000000"/>
                <w:sz w:val="22"/>
                <w:szCs w:val="22"/>
              </w:rPr>
              <w:t xml:space="preserve"> (0.71)</w:t>
            </w:r>
          </w:p>
        </w:tc>
      </w:tr>
      <w:tr w:rsidR="007A69A3" w:rsidRPr="000118A3" w14:paraId="61F22388" w14:textId="77777777" w:rsidTr="00671D7D">
        <w:trPr>
          <w:trHeight w:val="390"/>
          <w:jc w:val="center"/>
        </w:trPr>
        <w:tc>
          <w:tcPr>
            <w:tcW w:w="1604" w:type="dxa"/>
            <w:tcBorders>
              <w:top w:val="nil"/>
              <w:left w:val="single" w:sz="8" w:space="0" w:color="auto"/>
              <w:bottom w:val="single" w:sz="8" w:space="0" w:color="auto"/>
              <w:right w:val="single" w:sz="8" w:space="0" w:color="auto"/>
            </w:tcBorders>
            <w:vAlign w:val="center"/>
            <w:hideMark/>
          </w:tcPr>
          <w:p w14:paraId="63801AAD" w14:textId="77777777" w:rsidR="007A69A3" w:rsidRPr="000118A3" w:rsidRDefault="007A69A3" w:rsidP="007A69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South Sumatera</w:t>
            </w:r>
          </w:p>
        </w:tc>
        <w:tc>
          <w:tcPr>
            <w:tcW w:w="1557" w:type="dxa"/>
            <w:tcBorders>
              <w:top w:val="nil"/>
              <w:left w:val="nil"/>
              <w:bottom w:val="single" w:sz="8" w:space="0" w:color="auto"/>
              <w:right w:val="single" w:sz="8" w:space="0" w:color="auto"/>
            </w:tcBorders>
            <w:vAlign w:val="center"/>
            <w:hideMark/>
          </w:tcPr>
          <w:p w14:paraId="448C4739"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86,771.68</w:t>
            </w:r>
          </w:p>
        </w:tc>
        <w:tc>
          <w:tcPr>
            <w:tcW w:w="1324" w:type="dxa"/>
            <w:tcBorders>
              <w:top w:val="nil"/>
              <w:left w:val="nil"/>
              <w:bottom w:val="single" w:sz="8" w:space="0" w:color="auto"/>
              <w:right w:val="single" w:sz="8" w:space="0" w:color="auto"/>
            </w:tcBorders>
            <w:vAlign w:val="center"/>
            <w:hideMark/>
          </w:tcPr>
          <w:p w14:paraId="54953085"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4.52%</w:t>
            </w:r>
          </w:p>
        </w:tc>
        <w:tc>
          <w:tcPr>
            <w:tcW w:w="1604" w:type="dxa"/>
            <w:tcBorders>
              <w:top w:val="nil"/>
              <w:left w:val="nil"/>
              <w:bottom w:val="single" w:sz="8" w:space="0" w:color="auto"/>
              <w:right w:val="single" w:sz="8" w:space="0" w:color="auto"/>
            </w:tcBorders>
            <w:vAlign w:val="center"/>
            <w:hideMark/>
          </w:tcPr>
          <w:p w14:paraId="7A733DD9"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0.98 million</w:t>
            </w:r>
          </w:p>
        </w:tc>
        <w:tc>
          <w:tcPr>
            <w:tcW w:w="1759" w:type="dxa"/>
            <w:tcBorders>
              <w:top w:val="nil"/>
              <w:left w:val="nil"/>
              <w:bottom w:val="single" w:sz="8" w:space="0" w:color="auto"/>
              <w:right w:val="single" w:sz="8" w:space="0" w:color="auto"/>
            </w:tcBorders>
            <w:vAlign w:val="center"/>
            <w:hideMark/>
          </w:tcPr>
          <w:p w14:paraId="32189E60"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22–26%</w:t>
            </w:r>
          </w:p>
        </w:tc>
        <w:tc>
          <w:tcPr>
            <w:tcW w:w="1479" w:type="dxa"/>
            <w:tcBorders>
              <w:top w:val="nil"/>
              <w:left w:val="nil"/>
              <w:bottom w:val="single" w:sz="8" w:space="0" w:color="auto"/>
              <w:right w:val="single" w:sz="8" w:space="0" w:color="auto"/>
            </w:tcBorders>
            <w:vAlign w:val="center"/>
            <w:hideMark/>
          </w:tcPr>
          <w:p w14:paraId="75809C1E" w14:textId="77777777" w:rsidR="007A69A3" w:rsidRPr="000118A3" w:rsidRDefault="007A69A3" w:rsidP="007A69A3">
            <w:pPr>
              <w:jc w:val="both"/>
              <w:rPr>
                <w:rFonts w:ascii="Times New Roman" w:eastAsia="Times New Roman" w:hAnsi="Times New Roman" w:cs="Times New Roman"/>
                <w:b/>
                <w:bCs/>
                <w:color w:val="000000"/>
                <w:sz w:val="22"/>
                <w:szCs w:val="22"/>
              </w:rPr>
            </w:pPr>
            <w:r w:rsidRPr="000118A3">
              <w:rPr>
                <w:rFonts w:ascii="Times New Roman" w:eastAsia="Times New Roman" w:hAnsi="Times New Roman" w:cs="Times New Roman"/>
                <w:b/>
                <w:bCs/>
                <w:color w:val="000000"/>
                <w:sz w:val="22"/>
                <w:szCs w:val="22"/>
              </w:rPr>
              <w:t>Moderate</w:t>
            </w:r>
            <w:r w:rsidRPr="000118A3">
              <w:rPr>
                <w:rFonts w:ascii="Times New Roman" w:eastAsia="Times New Roman" w:hAnsi="Times New Roman" w:cs="Times New Roman"/>
                <w:color w:val="000000"/>
                <w:sz w:val="22"/>
                <w:szCs w:val="22"/>
              </w:rPr>
              <w:t xml:space="preserve"> (0.58)</w:t>
            </w:r>
          </w:p>
        </w:tc>
      </w:tr>
      <w:tr w:rsidR="007A69A3" w:rsidRPr="000118A3" w14:paraId="2E15039E" w14:textId="77777777" w:rsidTr="00671D7D">
        <w:trPr>
          <w:trHeight w:val="390"/>
          <w:jc w:val="center"/>
        </w:trPr>
        <w:tc>
          <w:tcPr>
            <w:tcW w:w="1604" w:type="dxa"/>
            <w:tcBorders>
              <w:top w:val="nil"/>
              <w:left w:val="single" w:sz="8" w:space="0" w:color="auto"/>
              <w:bottom w:val="single" w:sz="8" w:space="0" w:color="auto"/>
              <w:right w:val="single" w:sz="8" w:space="0" w:color="auto"/>
            </w:tcBorders>
            <w:vAlign w:val="center"/>
            <w:hideMark/>
          </w:tcPr>
          <w:p w14:paraId="214A0355" w14:textId="77777777" w:rsidR="007A69A3" w:rsidRPr="000118A3" w:rsidRDefault="007A69A3" w:rsidP="007A69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Bangka Belitung</w:t>
            </w:r>
          </w:p>
        </w:tc>
        <w:tc>
          <w:tcPr>
            <w:tcW w:w="1557" w:type="dxa"/>
            <w:tcBorders>
              <w:top w:val="nil"/>
              <w:left w:val="nil"/>
              <w:bottom w:val="single" w:sz="8" w:space="0" w:color="auto"/>
              <w:right w:val="single" w:sz="8" w:space="0" w:color="auto"/>
            </w:tcBorders>
            <w:vAlign w:val="center"/>
            <w:hideMark/>
          </w:tcPr>
          <w:p w14:paraId="2F6E8F13"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16,690.13</w:t>
            </w:r>
          </w:p>
        </w:tc>
        <w:tc>
          <w:tcPr>
            <w:tcW w:w="1324" w:type="dxa"/>
            <w:tcBorders>
              <w:top w:val="nil"/>
              <w:left w:val="nil"/>
              <w:bottom w:val="single" w:sz="8" w:space="0" w:color="auto"/>
              <w:right w:val="single" w:sz="8" w:space="0" w:color="auto"/>
            </w:tcBorders>
            <w:vAlign w:val="center"/>
            <w:hideMark/>
          </w:tcPr>
          <w:p w14:paraId="3F739269"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0.87%</w:t>
            </w:r>
          </w:p>
        </w:tc>
        <w:tc>
          <w:tcPr>
            <w:tcW w:w="1604" w:type="dxa"/>
            <w:tcBorders>
              <w:top w:val="nil"/>
              <w:left w:val="nil"/>
              <w:bottom w:val="single" w:sz="8" w:space="0" w:color="auto"/>
              <w:right w:val="single" w:sz="8" w:space="0" w:color="auto"/>
            </w:tcBorders>
            <w:vAlign w:val="center"/>
            <w:hideMark/>
          </w:tcPr>
          <w:p w14:paraId="4FC49D10"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0.35 million</w:t>
            </w:r>
          </w:p>
        </w:tc>
        <w:tc>
          <w:tcPr>
            <w:tcW w:w="1759" w:type="dxa"/>
            <w:tcBorders>
              <w:top w:val="nil"/>
              <w:left w:val="nil"/>
              <w:bottom w:val="single" w:sz="8" w:space="0" w:color="auto"/>
              <w:right w:val="single" w:sz="8" w:space="0" w:color="auto"/>
            </w:tcBorders>
            <w:vAlign w:val="center"/>
            <w:hideMark/>
          </w:tcPr>
          <w:p w14:paraId="44CA3D43"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36–40%</w:t>
            </w:r>
          </w:p>
        </w:tc>
        <w:tc>
          <w:tcPr>
            <w:tcW w:w="1479" w:type="dxa"/>
            <w:tcBorders>
              <w:top w:val="nil"/>
              <w:left w:val="nil"/>
              <w:bottom w:val="single" w:sz="8" w:space="0" w:color="auto"/>
              <w:right w:val="single" w:sz="8" w:space="0" w:color="auto"/>
            </w:tcBorders>
            <w:vAlign w:val="center"/>
            <w:hideMark/>
          </w:tcPr>
          <w:p w14:paraId="1D9D1400" w14:textId="77777777" w:rsidR="007A69A3" w:rsidRPr="000118A3" w:rsidRDefault="007A69A3" w:rsidP="007A69A3">
            <w:pPr>
              <w:jc w:val="both"/>
              <w:rPr>
                <w:rFonts w:ascii="Times New Roman" w:eastAsia="Times New Roman" w:hAnsi="Times New Roman" w:cs="Times New Roman"/>
                <w:b/>
                <w:bCs/>
                <w:color w:val="000000"/>
                <w:sz w:val="22"/>
                <w:szCs w:val="22"/>
              </w:rPr>
            </w:pPr>
            <w:r w:rsidRPr="000118A3">
              <w:rPr>
                <w:rFonts w:ascii="Times New Roman" w:eastAsia="Times New Roman" w:hAnsi="Times New Roman" w:cs="Times New Roman"/>
                <w:b/>
                <w:bCs/>
                <w:color w:val="000000"/>
                <w:sz w:val="22"/>
                <w:szCs w:val="22"/>
              </w:rPr>
              <w:t>High</w:t>
            </w:r>
            <w:r w:rsidRPr="000118A3">
              <w:rPr>
                <w:rFonts w:ascii="Times New Roman" w:eastAsia="Times New Roman" w:hAnsi="Times New Roman" w:cs="Times New Roman"/>
                <w:color w:val="000000"/>
                <w:sz w:val="22"/>
                <w:szCs w:val="22"/>
              </w:rPr>
              <w:t xml:space="preserve"> (0.74)</w:t>
            </w:r>
          </w:p>
        </w:tc>
      </w:tr>
      <w:tr w:rsidR="007A69A3" w:rsidRPr="000118A3" w14:paraId="67964532" w14:textId="77777777" w:rsidTr="00671D7D">
        <w:trPr>
          <w:trHeight w:val="390"/>
          <w:jc w:val="center"/>
        </w:trPr>
        <w:tc>
          <w:tcPr>
            <w:tcW w:w="1604" w:type="dxa"/>
            <w:tcBorders>
              <w:top w:val="nil"/>
              <w:left w:val="single" w:sz="8" w:space="0" w:color="auto"/>
              <w:bottom w:val="single" w:sz="8" w:space="0" w:color="auto"/>
              <w:right w:val="single" w:sz="8" w:space="0" w:color="auto"/>
            </w:tcBorders>
            <w:vAlign w:val="center"/>
            <w:hideMark/>
          </w:tcPr>
          <w:p w14:paraId="7738800A" w14:textId="77777777" w:rsidR="007A69A3" w:rsidRPr="000118A3" w:rsidRDefault="007A69A3" w:rsidP="007A69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Riau Islands</w:t>
            </w:r>
          </w:p>
        </w:tc>
        <w:tc>
          <w:tcPr>
            <w:tcW w:w="1557" w:type="dxa"/>
            <w:tcBorders>
              <w:top w:val="nil"/>
              <w:left w:val="nil"/>
              <w:bottom w:val="single" w:sz="8" w:space="0" w:color="auto"/>
              <w:right w:val="single" w:sz="8" w:space="0" w:color="auto"/>
            </w:tcBorders>
            <w:vAlign w:val="center"/>
            <w:hideMark/>
          </w:tcPr>
          <w:p w14:paraId="4D94EFF3"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8,084.00</w:t>
            </w:r>
          </w:p>
        </w:tc>
        <w:tc>
          <w:tcPr>
            <w:tcW w:w="1324" w:type="dxa"/>
            <w:tcBorders>
              <w:top w:val="nil"/>
              <w:left w:val="nil"/>
              <w:bottom w:val="single" w:sz="8" w:space="0" w:color="auto"/>
              <w:right w:val="single" w:sz="8" w:space="0" w:color="auto"/>
            </w:tcBorders>
            <w:vAlign w:val="center"/>
            <w:hideMark/>
          </w:tcPr>
          <w:p w14:paraId="65C621E7"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0.42%</w:t>
            </w:r>
          </w:p>
        </w:tc>
        <w:tc>
          <w:tcPr>
            <w:tcW w:w="1604" w:type="dxa"/>
            <w:tcBorders>
              <w:top w:val="nil"/>
              <w:left w:val="nil"/>
              <w:bottom w:val="single" w:sz="8" w:space="0" w:color="auto"/>
              <w:right w:val="single" w:sz="8" w:space="0" w:color="auto"/>
            </w:tcBorders>
            <w:vAlign w:val="center"/>
            <w:hideMark/>
          </w:tcPr>
          <w:p w14:paraId="7D0F98F2"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0.29 million</w:t>
            </w:r>
          </w:p>
        </w:tc>
        <w:tc>
          <w:tcPr>
            <w:tcW w:w="1759" w:type="dxa"/>
            <w:tcBorders>
              <w:top w:val="nil"/>
              <w:left w:val="nil"/>
              <w:bottom w:val="single" w:sz="8" w:space="0" w:color="auto"/>
              <w:right w:val="single" w:sz="8" w:space="0" w:color="auto"/>
            </w:tcBorders>
            <w:vAlign w:val="center"/>
            <w:hideMark/>
          </w:tcPr>
          <w:p w14:paraId="5A6B69AF" w14:textId="77777777" w:rsidR="007A69A3" w:rsidRPr="000118A3" w:rsidRDefault="007A69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30–34%</w:t>
            </w:r>
          </w:p>
        </w:tc>
        <w:tc>
          <w:tcPr>
            <w:tcW w:w="1479" w:type="dxa"/>
            <w:tcBorders>
              <w:top w:val="nil"/>
              <w:left w:val="nil"/>
              <w:bottom w:val="single" w:sz="8" w:space="0" w:color="auto"/>
              <w:right w:val="single" w:sz="8" w:space="0" w:color="auto"/>
            </w:tcBorders>
            <w:vAlign w:val="center"/>
            <w:hideMark/>
          </w:tcPr>
          <w:p w14:paraId="65C23C75" w14:textId="77777777" w:rsidR="007A69A3" w:rsidRPr="000118A3" w:rsidRDefault="007A69A3" w:rsidP="007A69A3">
            <w:pPr>
              <w:jc w:val="both"/>
              <w:rPr>
                <w:rFonts w:ascii="Times New Roman" w:eastAsia="Times New Roman" w:hAnsi="Times New Roman" w:cs="Times New Roman"/>
                <w:b/>
                <w:bCs/>
                <w:color w:val="000000"/>
                <w:sz w:val="22"/>
                <w:szCs w:val="22"/>
              </w:rPr>
            </w:pPr>
            <w:r w:rsidRPr="000118A3">
              <w:rPr>
                <w:rFonts w:ascii="Times New Roman" w:eastAsia="Times New Roman" w:hAnsi="Times New Roman" w:cs="Times New Roman"/>
                <w:b/>
                <w:bCs/>
                <w:color w:val="000000"/>
                <w:sz w:val="22"/>
                <w:szCs w:val="22"/>
              </w:rPr>
              <w:t>High</w:t>
            </w:r>
            <w:r w:rsidRPr="000118A3">
              <w:rPr>
                <w:rFonts w:ascii="Times New Roman" w:eastAsia="Times New Roman" w:hAnsi="Times New Roman" w:cs="Times New Roman"/>
                <w:color w:val="000000"/>
                <w:sz w:val="22"/>
                <w:szCs w:val="22"/>
              </w:rPr>
              <w:t xml:space="preserve"> (0.69)</w:t>
            </w:r>
          </w:p>
        </w:tc>
      </w:tr>
    </w:tbl>
    <w:p w14:paraId="08B51441" w14:textId="39EB9095" w:rsidR="003D68B1" w:rsidRPr="005D262E" w:rsidRDefault="007A69A3" w:rsidP="005D262E">
      <w:pPr>
        <w:pStyle w:val="BodyText"/>
        <w:spacing w:before="188"/>
        <w:ind w:left="284"/>
        <w:rPr>
          <w:rFonts w:ascii="Times New Roman" w:hAnsi="Times New Roman" w:cs="Times New Roman"/>
        </w:rPr>
      </w:pPr>
      <w:r w:rsidRPr="000118A3">
        <w:rPr>
          <w:rFonts w:ascii="Times New Roman" w:hAnsi="Times New Roman" w:cs="Times New Roman"/>
        </w:rPr>
        <w:t>*The Socio-Economic Risk Index is calculated based on a combination of the dependency ratio, coastal poverty rate, and vulnerability to economic shocks.</w:t>
      </w:r>
    </w:p>
    <w:p w14:paraId="61F1C25E" w14:textId="77777777" w:rsidR="007A69A3" w:rsidRPr="000118A3" w:rsidRDefault="007A69A3" w:rsidP="005D2B89">
      <w:pPr>
        <w:pStyle w:val="BodyText"/>
        <w:numPr>
          <w:ilvl w:val="2"/>
          <w:numId w:val="140"/>
        </w:numPr>
        <w:spacing w:after="0" w:line="240" w:lineRule="auto"/>
        <w:ind w:left="993"/>
        <w:rPr>
          <w:rFonts w:ascii="Times New Roman" w:hAnsi="Times New Roman" w:cs="Times New Roman"/>
          <w:b/>
          <w:bCs/>
          <w:color w:val="0070C0"/>
        </w:rPr>
      </w:pPr>
      <w:r w:rsidRPr="000118A3">
        <w:rPr>
          <w:rFonts w:ascii="Times New Roman" w:hAnsi="Times New Roman" w:cs="Times New Roman"/>
          <w:b/>
          <w:bCs/>
          <w:color w:val="0070C0"/>
        </w:rPr>
        <w:t xml:space="preserve">Climate and Environmental Threat Risk Profile </w:t>
      </w:r>
    </w:p>
    <w:p w14:paraId="150BB699" w14:textId="77777777" w:rsidR="000118A3" w:rsidRDefault="000118A3" w:rsidP="005D2B89">
      <w:pPr>
        <w:ind w:left="284"/>
        <w:jc w:val="both"/>
        <w:rPr>
          <w:rFonts w:ascii="Times New Roman" w:hAnsi="Times New Roman" w:cs="Times New Roman"/>
          <w:sz w:val="22"/>
          <w:szCs w:val="22"/>
        </w:rPr>
      </w:pPr>
      <w:r w:rsidRPr="000118A3">
        <w:rPr>
          <w:rFonts w:ascii="Times New Roman" w:hAnsi="Times New Roman" w:cs="Times New Roman"/>
          <w:sz w:val="22"/>
          <w:szCs w:val="22"/>
        </w:rPr>
        <w:t>The assessment of climate and environmental risks in the coastal areas of the South China Sea highlights two key indicators: the rate of sea-level rise (SLR) and the frequency of extreme weather events. These indicators represent the most critical climate pressures affecting ecosystem stability, community livelihoods, and coastal infrastructure. Scientifically derived estimates for both indicators are presented in the following table.</w:t>
      </w:r>
    </w:p>
    <w:p w14:paraId="7F6A8D1D" w14:textId="77777777" w:rsidR="005D262E" w:rsidRPr="000118A3" w:rsidRDefault="005D262E" w:rsidP="005D2B89">
      <w:pPr>
        <w:ind w:left="284"/>
        <w:jc w:val="both"/>
        <w:rPr>
          <w:rFonts w:ascii="Times New Roman" w:hAnsi="Times New Roman" w:cs="Times New Roman"/>
          <w:sz w:val="22"/>
          <w:szCs w:val="22"/>
        </w:rPr>
      </w:pPr>
    </w:p>
    <w:p w14:paraId="7D68CCB1" w14:textId="7407006A" w:rsidR="000118A3" w:rsidRPr="005D262E" w:rsidRDefault="005D262E" w:rsidP="005D262E">
      <w:pPr>
        <w:pStyle w:val="Caption"/>
        <w:rPr>
          <w:rFonts w:ascii="Times New Roman" w:hAnsi="Times New Roman" w:cs="Times New Roman"/>
          <w:i w:val="0"/>
          <w:iCs w:val="0"/>
          <w:color w:val="000000" w:themeColor="text1"/>
          <w:sz w:val="22"/>
          <w:szCs w:val="22"/>
        </w:rPr>
      </w:pPr>
      <w:bookmarkStart w:id="48" w:name="_Toc217297652"/>
      <w:r w:rsidRPr="005D262E">
        <w:rPr>
          <w:rFonts w:ascii="Times New Roman" w:hAnsi="Times New Roman" w:cs="Times New Roman"/>
          <w:i w:val="0"/>
          <w:iCs w:val="0"/>
          <w:color w:val="000000" w:themeColor="text1"/>
          <w:sz w:val="22"/>
          <w:szCs w:val="22"/>
        </w:rPr>
        <w:t xml:space="preserve">Table </w:t>
      </w:r>
      <w:r w:rsidRPr="005D262E">
        <w:rPr>
          <w:rFonts w:ascii="Times New Roman" w:hAnsi="Times New Roman" w:cs="Times New Roman"/>
          <w:i w:val="0"/>
          <w:iCs w:val="0"/>
          <w:color w:val="000000" w:themeColor="text1"/>
          <w:sz w:val="22"/>
          <w:szCs w:val="22"/>
        </w:rPr>
        <w:fldChar w:fldCharType="begin"/>
      </w:r>
      <w:r w:rsidRPr="005D262E">
        <w:rPr>
          <w:rFonts w:ascii="Times New Roman" w:hAnsi="Times New Roman" w:cs="Times New Roman"/>
          <w:i w:val="0"/>
          <w:iCs w:val="0"/>
          <w:color w:val="000000" w:themeColor="text1"/>
          <w:sz w:val="22"/>
          <w:szCs w:val="22"/>
        </w:rPr>
        <w:instrText xml:space="preserve"> SEQ Table \* ARABIC </w:instrText>
      </w:r>
      <w:r w:rsidRPr="005D262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7</w:t>
      </w:r>
      <w:r w:rsidRPr="005D262E">
        <w:rPr>
          <w:rFonts w:ascii="Times New Roman" w:hAnsi="Times New Roman" w:cs="Times New Roman"/>
          <w:i w:val="0"/>
          <w:iCs w:val="0"/>
          <w:color w:val="000000" w:themeColor="text1"/>
          <w:sz w:val="22"/>
          <w:szCs w:val="22"/>
        </w:rPr>
        <w:fldChar w:fldCharType="end"/>
      </w:r>
      <w:r w:rsidRPr="005D262E">
        <w:rPr>
          <w:rFonts w:ascii="Times New Roman" w:hAnsi="Times New Roman" w:cs="Times New Roman"/>
          <w:b/>
          <w:bCs/>
          <w:i w:val="0"/>
          <w:iCs w:val="0"/>
          <w:color w:val="000000" w:themeColor="text1"/>
          <w:sz w:val="22"/>
          <w:szCs w:val="22"/>
        </w:rPr>
        <w:t xml:space="preserve"> </w:t>
      </w:r>
      <w:r w:rsidR="000118A3" w:rsidRPr="005D262E">
        <w:rPr>
          <w:rFonts w:ascii="Times New Roman" w:hAnsi="Times New Roman" w:cs="Times New Roman"/>
          <w:i w:val="0"/>
          <w:iCs w:val="0"/>
          <w:color w:val="000000" w:themeColor="text1"/>
          <w:sz w:val="22"/>
          <w:szCs w:val="22"/>
        </w:rPr>
        <w:t>Climate-Environmental Threats</w:t>
      </w:r>
      <w:bookmarkEnd w:id="48"/>
    </w:p>
    <w:tbl>
      <w:tblPr>
        <w:tblW w:w="9392"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8"/>
        <w:gridCol w:w="1526"/>
        <w:gridCol w:w="1264"/>
        <w:gridCol w:w="1682"/>
        <w:gridCol w:w="1551"/>
        <w:gridCol w:w="1831"/>
      </w:tblGrid>
      <w:tr w:rsidR="000118A3" w:rsidRPr="000118A3" w14:paraId="3D61F410" w14:textId="77777777" w:rsidTr="000118A3">
        <w:trPr>
          <w:trHeight w:val="614"/>
        </w:trPr>
        <w:tc>
          <w:tcPr>
            <w:tcW w:w="1538" w:type="dxa"/>
            <w:shd w:val="clear" w:color="auto" w:fill="2F5496" w:themeFill="accent1" w:themeFillShade="BF"/>
            <w:vAlign w:val="center"/>
            <w:hideMark/>
          </w:tcPr>
          <w:p w14:paraId="38819C96" w14:textId="77777777" w:rsidR="000118A3" w:rsidRPr="000118A3" w:rsidRDefault="000118A3" w:rsidP="000118A3">
            <w:pPr>
              <w:rPr>
                <w:rFonts w:ascii="Times New Roman" w:hAnsi="Times New Roman" w:cs="Times New Roman"/>
                <w:b/>
                <w:bCs/>
                <w:color w:val="FFFFFF" w:themeColor="background1"/>
                <w:sz w:val="22"/>
                <w:szCs w:val="22"/>
              </w:rPr>
            </w:pPr>
            <w:r w:rsidRPr="000118A3">
              <w:rPr>
                <w:rFonts w:ascii="Times New Roman" w:hAnsi="Times New Roman" w:cs="Times New Roman"/>
                <w:b/>
                <w:bCs/>
                <w:color w:val="FFFFFF" w:themeColor="background1"/>
                <w:sz w:val="22"/>
                <w:szCs w:val="22"/>
              </w:rPr>
              <w:t>Province</w:t>
            </w:r>
          </w:p>
          <w:p w14:paraId="5F60EAC0" w14:textId="77777777" w:rsidR="000118A3" w:rsidRPr="000118A3" w:rsidRDefault="000118A3" w:rsidP="000118A3">
            <w:pPr>
              <w:rPr>
                <w:rFonts w:ascii="Times New Roman" w:eastAsia="Times New Roman" w:hAnsi="Times New Roman" w:cs="Times New Roman"/>
                <w:b/>
                <w:bCs/>
                <w:color w:val="FFFFFF" w:themeColor="background1"/>
                <w:sz w:val="22"/>
                <w:szCs w:val="22"/>
              </w:rPr>
            </w:pPr>
          </w:p>
        </w:tc>
        <w:tc>
          <w:tcPr>
            <w:tcW w:w="1526" w:type="dxa"/>
            <w:shd w:val="clear" w:color="auto" w:fill="2F5496" w:themeFill="accent1" w:themeFillShade="BF"/>
            <w:vAlign w:val="center"/>
            <w:hideMark/>
          </w:tcPr>
          <w:p w14:paraId="241AB3CC" w14:textId="77777777" w:rsidR="000118A3" w:rsidRPr="000118A3" w:rsidRDefault="000118A3" w:rsidP="000118A3">
            <w:pPr>
              <w:rPr>
                <w:rFonts w:ascii="Times New Roman" w:eastAsia="Times New Roman" w:hAnsi="Times New Roman" w:cs="Times New Roman"/>
                <w:b/>
                <w:bCs/>
                <w:color w:val="FFFFFF" w:themeColor="background1"/>
                <w:sz w:val="22"/>
                <w:szCs w:val="22"/>
              </w:rPr>
            </w:pPr>
            <w:r w:rsidRPr="000118A3">
              <w:rPr>
                <w:rFonts w:ascii="Times New Roman" w:eastAsia="Times New Roman" w:hAnsi="Times New Roman" w:cs="Times New Roman"/>
                <w:b/>
                <w:bCs/>
                <w:color w:val="FFFFFF" w:themeColor="background1"/>
                <w:sz w:val="22"/>
                <w:szCs w:val="22"/>
              </w:rPr>
              <w:t>Coastal Region Area (km²)</w:t>
            </w:r>
          </w:p>
        </w:tc>
        <w:tc>
          <w:tcPr>
            <w:tcW w:w="1264" w:type="dxa"/>
            <w:shd w:val="clear" w:color="auto" w:fill="2F5496" w:themeFill="accent1" w:themeFillShade="BF"/>
            <w:vAlign w:val="center"/>
            <w:hideMark/>
          </w:tcPr>
          <w:p w14:paraId="2F70701A" w14:textId="77777777" w:rsidR="000118A3" w:rsidRPr="000118A3" w:rsidRDefault="000118A3" w:rsidP="000118A3">
            <w:pPr>
              <w:rPr>
                <w:rFonts w:ascii="Times New Roman" w:eastAsia="Times New Roman" w:hAnsi="Times New Roman" w:cs="Times New Roman"/>
                <w:b/>
                <w:bCs/>
                <w:color w:val="FFFFFF" w:themeColor="background1"/>
                <w:sz w:val="22"/>
                <w:szCs w:val="22"/>
              </w:rPr>
            </w:pPr>
            <w:r w:rsidRPr="000118A3">
              <w:rPr>
                <w:rFonts w:ascii="Times New Roman" w:eastAsia="Times New Roman" w:hAnsi="Times New Roman" w:cs="Times New Roman"/>
                <w:b/>
                <w:bCs/>
                <w:color w:val="FFFFFF" w:themeColor="background1"/>
                <w:sz w:val="22"/>
                <w:szCs w:val="22"/>
              </w:rPr>
              <w:t>% of National Area</w:t>
            </w:r>
          </w:p>
        </w:tc>
        <w:tc>
          <w:tcPr>
            <w:tcW w:w="1682" w:type="dxa"/>
            <w:shd w:val="clear" w:color="auto" w:fill="2F5496" w:themeFill="accent1" w:themeFillShade="BF"/>
            <w:vAlign w:val="center"/>
            <w:hideMark/>
          </w:tcPr>
          <w:p w14:paraId="07896ADE" w14:textId="77777777" w:rsidR="000118A3" w:rsidRPr="000118A3" w:rsidRDefault="000118A3" w:rsidP="000118A3">
            <w:pPr>
              <w:rPr>
                <w:rFonts w:ascii="Times New Roman" w:eastAsia="Times New Roman" w:hAnsi="Times New Roman" w:cs="Times New Roman"/>
                <w:b/>
                <w:bCs/>
                <w:color w:val="FFFFFF" w:themeColor="background1"/>
                <w:sz w:val="22"/>
                <w:szCs w:val="22"/>
              </w:rPr>
            </w:pPr>
            <w:r w:rsidRPr="000118A3">
              <w:rPr>
                <w:rFonts w:ascii="Times New Roman" w:eastAsia="Times New Roman" w:hAnsi="Times New Roman" w:cs="Times New Roman"/>
                <w:b/>
                <w:bCs/>
                <w:color w:val="FFFFFF" w:themeColor="background1"/>
                <w:sz w:val="22"/>
                <w:szCs w:val="22"/>
              </w:rPr>
              <w:t>Sea-Level Rise Rate (mm/year)</w:t>
            </w:r>
          </w:p>
        </w:tc>
        <w:tc>
          <w:tcPr>
            <w:tcW w:w="1551" w:type="dxa"/>
            <w:shd w:val="clear" w:color="auto" w:fill="2F5496" w:themeFill="accent1" w:themeFillShade="BF"/>
            <w:vAlign w:val="center"/>
            <w:hideMark/>
          </w:tcPr>
          <w:p w14:paraId="3DD57CD2" w14:textId="77777777" w:rsidR="000118A3" w:rsidRPr="000118A3" w:rsidRDefault="000118A3" w:rsidP="000118A3">
            <w:pPr>
              <w:rPr>
                <w:rFonts w:ascii="Times New Roman" w:eastAsia="Times New Roman" w:hAnsi="Times New Roman" w:cs="Times New Roman"/>
                <w:b/>
                <w:bCs/>
                <w:color w:val="FFFFFF" w:themeColor="background1"/>
                <w:sz w:val="22"/>
                <w:szCs w:val="22"/>
              </w:rPr>
            </w:pPr>
            <w:r w:rsidRPr="000118A3">
              <w:rPr>
                <w:rFonts w:ascii="Times New Roman" w:eastAsia="Times New Roman" w:hAnsi="Times New Roman" w:cs="Times New Roman"/>
                <w:b/>
                <w:bCs/>
                <w:color w:val="FFFFFF" w:themeColor="background1"/>
                <w:sz w:val="22"/>
                <w:szCs w:val="22"/>
              </w:rPr>
              <w:t>Extreme Event Frequency (events/year)</w:t>
            </w:r>
          </w:p>
        </w:tc>
        <w:tc>
          <w:tcPr>
            <w:tcW w:w="1831" w:type="dxa"/>
            <w:shd w:val="clear" w:color="auto" w:fill="2F5496" w:themeFill="accent1" w:themeFillShade="BF"/>
            <w:vAlign w:val="center"/>
            <w:hideMark/>
          </w:tcPr>
          <w:p w14:paraId="42226AA4" w14:textId="77777777" w:rsidR="000118A3" w:rsidRPr="000118A3" w:rsidRDefault="000118A3" w:rsidP="000118A3">
            <w:pPr>
              <w:rPr>
                <w:rFonts w:ascii="Times New Roman" w:eastAsia="Times New Roman" w:hAnsi="Times New Roman" w:cs="Times New Roman"/>
                <w:b/>
                <w:bCs/>
                <w:color w:val="FFFFFF" w:themeColor="background1"/>
                <w:sz w:val="22"/>
                <w:szCs w:val="22"/>
              </w:rPr>
            </w:pPr>
            <w:r w:rsidRPr="000118A3">
              <w:rPr>
                <w:rFonts w:ascii="Times New Roman" w:eastAsia="Times New Roman" w:hAnsi="Times New Roman" w:cs="Times New Roman"/>
                <w:b/>
                <w:bCs/>
                <w:color w:val="FFFFFF" w:themeColor="background1"/>
                <w:sz w:val="22"/>
                <w:szCs w:val="22"/>
              </w:rPr>
              <w:t>Risk Level*</w:t>
            </w:r>
          </w:p>
        </w:tc>
      </w:tr>
      <w:tr w:rsidR="000118A3" w:rsidRPr="000118A3" w14:paraId="28C78EC9" w14:textId="77777777" w:rsidTr="000118A3">
        <w:trPr>
          <w:trHeight w:val="294"/>
        </w:trPr>
        <w:tc>
          <w:tcPr>
            <w:tcW w:w="1538" w:type="dxa"/>
            <w:vAlign w:val="center"/>
            <w:hideMark/>
          </w:tcPr>
          <w:p w14:paraId="71DCE586" w14:textId="77777777" w:rsidR="000118A3" w:rsidRPr="000118A3" w:rsidRDefault="000118A3" w:rsidP="000118A3">
            <w:pPr>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West Kalimantan</w:t>
            </w:r>
          </w:p>
        </w:tc>
        <w:tc>
          <w:tcPr>
            <w:tcW w:w="1526" w:type="dxa"/>
            <w:vAlign w:val="center"/>
            <w:hideMark/>
          </w:tcPr>
          <w:p w14:paraId="425E2C1B"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147.037,04</w:t>
            </w:r>
          </w:p>
        </w:tc>
        <w:tc>
          <w:tcPr>
            <w:tcW w:w="1264" w:type="dxa"/>
            <w:vAlign w:val="center"/>
            <w:hideMark/>
          </w:tcPr>
          <w:p w14:paraId="31CEED56"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7,66</w:t>
            </w:r>
          </w:p>
        </w:tc>
        <w:tc>
          <w:tcPr>
            <w:tcW w:w="1682" w:type="dxa"/>
            <w:vAlign w:val="center"/>
            <w:hideMark/>
          </w:tcPr>
          <w:p w14:paraId="6A73DACD"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4,8</w:t>
            </w:r>
          </w:p>
        </w:tc>
        <w:tc>
          <w:tcPr>
            <w:tcW w:w="1551" w:type="dxa"/>
            <w:vAlign w:val="center"/>
            <w:hideMark/>
          </w:tcPr>
          <w:p w14:paraId="799DCD26"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6</w:t>
            </w:r>
          </w:p>
        </w:tc>
        <w:tc>
          <w:tcPr>
            <w:tcW w:w="1831" w:type="dxa"/>
            <w:vAlign w:val="center"/>
            <w:hideMark/>
          </w:tcPr>
          <w:p w14:paraId="35D4337A" w14:textId="77777777" w:rsidR="000118A3" w:rsidRPr="000118A3" w:rsidRDefault="000118A3" w:rsidP="000118A3">
            <w:pPr>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High</w:t>
            </w:r>
          </w:p>
        </w:tc>
      </w:tr>
      <w:tr w:rsidR="000118A3" w:rsidRPr="000118A3" w14:paraId="2DBD59BB" w14:textId="77777777" w:rsidTr="000118A3">
        <w:trPr>
          <w:trHeight w:val="294"/>
        </w:trPr>
        <w:tc>
          <w:tcPr>
            <w:tcW w:w="1538" w:type="dxa"/>
            <w:vAlign w:val="center"/>
            <w:hideMark/>
          </w:tcPr>
          <w:p w14:paraId="0ABD8918" w14:textId="77777777" w:rsidR="000118A3" w:rsidRPr="000118A3" w:rsidRDefault="000118A3" w:rsidP="000118A3">
            <w:pPr>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South Sumatera</w:t>
            </w:r>
          </w:p>
        </w:tc>
        <w:tc>
          <w:tcPr>
            <w:tcW w:w="1526" w:type="dxa"/>
            <w:vAlign w:val="center"/>
            <w:hideMark/>
          </w:tcPr>
          <w:p w14:paraId="2441098E"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86.771,68</w:t>
            </w:r>
          </w:p>
        </w:tc>
        <w:tc>
          <w:tcPr>
            <w:tcW w:w="1264" w:type="dxa"/>
            <w:vAlign w:val="center"/>
            <w:hideMark/>
          </w:tcPr>
          <w:p w14:paraId="6E184A06"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4,52</w:t>
            </w:r>
          </w:p>
        </w:tc>
        <w:tc>
          <w:tcPr>
            <w:tcW w:w="1682" w:type="dxa"/>
            <w:vAlign w:val="center"/>
            <w:hideMark/>
          </w:tcPr>
          <w:p w14:paraId="34DCC649"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4,5</w:t>
            </w:r>
          </w:p>
        </w:tc>
        <w:tc>
          <w:tcPr>
            <w:tcW w:w="1551" w:type="dxa"/>
            <w:vAlign w:val="center"/>
            <w:hideMark/>
          </w:tcPr>
          <w:p w14:paraId="14AFACF9"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5</w:t>
            </w:r>
          </w:p>
        </w:tc>
        <w:tc>
          <w:tcPr>
            <w:tcW w:w="1831" w:type="dxa"/>
            <w:vAlign w:val="center"/>
            <w:hideMark/>
          </w:tcPr>
          <w:p w14:paraId="328B86C1" w14:textId="77777777" w:rsidR="000118A3" w:rsidRPr="000118A3" w:rsidRDefault="000118A3" w:rsidP="000118A3">
            <w:pPr>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Medium-High</w:t>
            </w:r>
          </w:p>
        </w:tc>
      </w:tr>
      <w:tr w:rsidR="000118A3" w:rsidRPr="000118A3" w14:paraId="7FD49155" w14:textId="77777777" w:rsidTr="000118A3">
        <w:trPr>
          <w:trHeight w:val="197"/>
        </w:trPr>
        <w:tc>
          <w:tcPr>
            <w:tcW w:w="1538" w:type="dxa"/>
            <w:vAlign w:val="center"/>
            <w:hideMark/>
          </w:tcPr>
          <w:p w14:paraId="54281693" w14:textId="77777777" w:rsidR="000118A3" w:rsidRPr="000118A3" w:rsidRDefault="000118A3" w:rsidP="000118A3">
            <w:pPr>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Bangka Belitung</w:t>
            </w:r>
          </w:p>
        </w:tc>
        <w:tc>
          <w:tcPr>
            <w:tcW w:w="1526" w:type="dxa"/>
            <w:vAlign w:val="center"/>
            <w:hideMark/>
          </w:tcPr>
          <w:p w14:paraId="20F6F5B9"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16.690,13</w:t>
            </w:r>
          </w:p>
        </w:tc>
        <w:tc>
          <w:tcPr>
            <w:tcW w:w="1264" w:type="dxa"/>
            <w:vAlign w:val="center"/>
            <w:hideMark/>
          </w:tcPr>
          <w:p w14:paraId="3D3D7866"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0,87</w:t>
            </w:r>
          </w:p>
        </w:tc>
        <w:tc>
          <w:tcPr>
            <w:tcW w:w="1682" w:type="dxa"/>
            <w:vAlign w:val="center"/>
            <w:hideMark/>
          </w:tcPr>
          <w:p w14:paraId="7A40B1C0"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4,2</w:t>
            </w:r>
          </w:p>
        </w:tc>
        <w:tc>
          <w:tcPr>
            <w:tcW w:w="1551" w:type="dxa"/>
            <w:vAlign w:val="center"/>
            <w:hideMark/>
          </w:tcPr>
          <w:p w14:paraId="1EF004A5"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4</w:t>
            </w:r>
          </w:p>
        </w:tc>
        <w:tc>
          <w:tcPr>
            <w:tcW w:w="1831" w:type="dxa"/>
            <w:vAlign w:val="center"/>
            <w:hideMark/>
          </w:tcPr>
          <w:p w14:paraId="78EEE503" w14:textId="77777777" w:rsidR="000118A3" w:rsidRPr="000118A3" w:rsidRDefault="000118A3" w:rsidP="000118A3">
            <w:pPr>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Medium</w:t>
            </w:r>
          </w:p>
        </w:tc>
      </w:tr>
      <w:tr w:rsidR="000118A3" w:rsidRPr="000118A3" w14:paraId="1BED141F" w14:textId="77777777" w:rsidTr="000118A3">
        <w:trPr>
          <w:trHeight w:val="197"/>
        </w:trPr>
        <w:tc>
          <w:tcPr>
            <w:tcW w:w="1538" w:type="dxa"/>
            <w:vAlign w:val="center"/>
            <w:hideMark/>
          </w:tcPr>
          <w:p w14:paraId="18D863CA" w14:textId="77777777" w:rsidR="000118A3" w:rsidRPr="000118A3" w:rsidRDefault="000118A3" w:rsidP="000118A3">
            <w:pPr>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Riau Islands</w:t>
            </w:r>
          </w:p>
        </w:tc>
        <w:tc>
          <w:tcPr>
            <w:tcW w:w="1526" w:type="dxa"/>
            <w:vAlign w:val="center"/>
            <w:hideMark/>
          </w:tcPr>
          <w:p w14:paraId="4079043D"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8.200,00</w:t>
            </w:r>
          </w:p>
        </w:tc>
        <w:tc>
          <w:tcPr>
            <w:tcW w:w="1264" w:type="dxa"/>
            <w:vAlign w:val="center"/>
            <w:hideMark/>
          </w:tcPr>
          <w:p w14:paraId="7DA4796A"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0,43</w:t>
            </w:r>
          </w:p>
        </w:tc>
        <w:tc>
          <w:tcPr>
            <w:tcW w:w="1682" w:type="dxa"/>
            <w:vAlign w:val="center"/>
            <w:hideMark/>
          </w:tcPr>
          <w:p w14:paraId="29D2CEDF"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4,0</w:t>
            </w:r>
          </w:p>
        </w:tc>
        <w:tc>
          <w:tcPr>
            <w:tcW w:w="1551" w:type="dxa"/>
            <w:vAlign w:val="center"/>
            <w:hideMark/>
          </w:tcPr>
          <w:p w14:paraId="17570221" w14:textId="77777777" w:rsidR="000118A3" w:rsidRPr="000118A3" w:rsidRDefault="000118A3" w:rsidP="00E30AFB">
            <w:pPr>
              <w:jc w:val="right"/>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3</w:t>
            </w:r>
          </w:p>
        </w:tc>
        <w:tc>
          <w:tcPr>
            <w:tcW w:w="1831" w:type="dxa"/>
            <w:vAlign w:val="center"/>
            <w:hideMark/>
          </w:tcPr>
          <w:p w14:paraId="7FF9598B" w14:textId="77777777" w:rsidR="000118A3" w:rsidRPr="000118A3" w:rsidRDefault="000118A3" w:rsidP="000118A3">
            <w:pPr>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Medium</w:t>
            </w:r>
          </w:p>
        </w:tc>
      </w:tr>
    </w:tbl>
    <w:p w14:paraId="56C9C15B" w14:textId="7129AF04" w:rsidR="000118A3" w:rsidRPr="000118A3" w:rsidRDefault="000118A3" w:rsidP="005D2B89">
      <w:pPr>
        <w:pStyle w:val="BodyText"/>
        <w:spacing w:after="0" w:line="240" w:lineRule="auto"/>
        <w:ind w:left="284"/>
        <w:rPr>
          <w:rFonts w:ascii="Times New Roman" w:hAnsi="Times New Roman" w:cs="Times New Roman"/>
          <w:b/>
          <w:bCs/>
          <w:color w:val="0070C0"/>
        </w:rPr>
      </w:pPr>
      <w:r w:rsidRPr="000118A3">
        <w:rPr>
          <w:rFonts w:ascii="Times New Roman" w:hAnsi="Times New Roman" w:cs="Times New Roman"/>
        </w:rPr>
        <w:t>*Note: The Risk Level is determined based on a combination of sea-level rise rate and the frequency of extreme events</w:t>
      </w:r>
    </w:p>
    <w:p w14:paraId="670EC507" w14:textId="750A871F" w:rsidR="007A69A3" w:rsidRPr="000118A3" w:rsidRDefault="000118A3" w:rsidP="00223F84">
      <w:pPr>
        <w:pStyle w:val="BodyText"/>
        <w:numPr>
          <w:ilvl w:val="2"/>
          <w:numId w:val="140"/>
        </w:numPr>
        <w:spacing w:before="188"/>
        <w:ind w:left="993"/>
        <w:rPr>
          <w:rFonts w:ascii="Times New Roman" w:hAnsi="Times New Roman" w:cs="Times New Roman"/>
          <w:b/>
          <w:bCs/>
          <w:color w:val="0070C0"/>
        </w:rPr>
      </w:pPr>
      <w:r w:rsidRPr="000118A3">
        <w:rPr>
          <w:rFonts w:ascii="Times New Roman" w:hAnsi="Times New Roman" w:cs="Times New Roman"/>
          <w:b/>
          <w:bCs/>
          <w:color w:val="0070C0"/>
        </w:rPr>
        <w:t xml:space="preserve">Mitigating Socio-Economic Vulnerability in Climate-Affected Coastal Regions </w:t>
      </w:r>
    </w:p>
    <w:p w14:paraId="3EE0A4BA" w14:textId="77777777" w:rsidR="000118A3" w:rsidRPr="000118A3" w:rsidRDefault="000118A3" w:rsidP="005D2B89">
      <w:pPr>
        <w:ind w:left="284"/>
        <w:jc w:val="both"/>
        <w:rPr>
          <w:rFonts w:ascii="Times New Roman" w:hAnsi="Times New Roman" w:cs="Times New Roman"/>
          <w:sz w:val="22"/>
          <w:szCs w:val="22"/>
        </w:rPr>
      </w:pPr>
      <w:r w:rsidRPr="000118A3">
        <w:rPr>
          <w:rFonts w:ascii="Times New Roman" w:hAnsi="Times New Roman" w:cs="Times New Roman"/>
          <w:sz w:val="22"/>
          <w:szCs w:val="22"/>
        </w:rPr>
        <w:t>Addressing socio-economic vulnerability in Indonesia’s coastal regions bordering the South China Sea requires an integrated approach that combines infrastructure development, community empowerment, and technological innovation. Key strategies include:</w:t>
      </w:r>
    </w:p>
    <w:p w14:paraId="64A224D7" w14:textId="77777777" w:rsidR="005D2B89" w:rsidRDefault="000118A3" w:rsidP="005D2B89">
      <w:pPr>
        <w:ind w:left="284"/>
        <w:jc w:val="both"/>
        <w:rPr>
          <w:rFonts w:ascii="Times New Roman" w:hAnsi="Times New Roman" w:cs="Times New Roman"/>
          <w:b/>
          <w:bCs/>
          <w:sz w:val="22"/>
          <w:szCs w:val="22"/>
        </w:rPr>
      </w:pPr>
      <w:r w:rsidRPr="000118A3">
        <w:rPr>
          <w:rFonts w:ascii="Times New Roman" w:hAnsi="Times New Roman" w:cs="Times New Roman"/>
          <w:sz w:val="22"/>
          <w:szCs w:val="22"/>
        </w:rPr>
        <w:t xml:space="preserve">• </w:t>
      </w:r>
      <w:r w:rsidRPr="000118A3">
        <w:rPr>
          <w:rFonts w:ascii="Times New Roman" w:hAnsi="Times New Roman" w:cs="Times New Roman"/>
          <w:b/>
          <w:bCs/>
          <w:sz w:val="22"/>
          <w:szCs w:val="22"/>
        </w:rPr>
        <w:t>Strengthening Adaptive Infrastructure:</w:t>
      </w:r>
    </w:p>
    <w:p w14:paraId="4B1C4012" w14:textId="3B6C44E4" w:rsidR="000118A3" w:rsidRPr="000118A3" w:rsidRDefault="000118A3" w:rsidP="005D2B89">
      <w:pPr>
        <w:ind w:left="284"/>
        <w:jc w:val="both"/>
        <w:rPr>
          <w:rFonts w:ascii="Times New Roman" w:hAnsi="Times New Roman" w:cs="Times New Roman"/>
          <w:sz w:val="22"/>
          <w:szCs w:val="22"/>
        </w:rPr>
      </w:pPr>
      <w:r w:rsidRPr="000118A3">
        <w:rPr>
          <w:rFonts w:ascii="Times New Roman" w:hAnsi="Times New Roman" w:cs="Times New Roman"/>
          <w:sz w:val="22"/>
          <w:szCs w:val="22"/>
        </w:rPr>
        <w:lastRenderedPageBreak/>
        <w:t>Mangrove restoration, coastal land rehabilitation, and the construction of seawalls or natural buffers are essential to reduce erosion, storm surges, and seawater intrusion. These measures protect livelihoods and enhance ecosystem services that support long-term resilience.</w:t>
      </w:r>
    </w:p>
    <w:p w14:paraId="46E8D6BA" w14:textId="77777777" w:rsidR="005D2B89" w:rsidRDefault="000118A3" w:rsidP="005D2B89">
      <w:pPr>
        <w:ind w:left="284"/>
        <w:jc w:val="both"/>
        <w:rPr>
          <w:rFonts w:ascii="Times New Roman" w:hAnsi="Times New Roman" w:cs="Times New Roman"/>
          <w:b/>
          <w:bCs/>
          <w:sz w:val="22"/>
          <w:szCs w:val="22"/>
        </w:rPr>
      </w:pPr>
      <w:r w:rsidRPr="000118A3">
        <w:rPr>
          <w:rFonts w:ascii="Times New Roman" w:hAnsi="Times New Roman" w:cs="Times New Roman"/>
          <w:sz w:val="22"/>
          <w:szCs w:val="22"/>
        </w:rPr>
        <w:t xml:space="preserve">• </w:t>
      </w:r>
      <w:r w:rsidRPr="000118A3">
        <w:rPr>
          <w:rFonts w:ascii="Times New Roman" w:hAnsi="Times New Roman" w:cs="Times New Roman"/>
          <w:b/>
          <w:bCs/>
          <w:sz w:val="22"/>
          <w:szCs w:val="22"/>
        </w:rPr>
        <w:t>Economic Empowerment of Coastal Communities:</w:t>
      </w:r>
    </w:p>
    <w:p w14:paraId="15D2DDD7" w14:textId="15D37265" w:rsidR="000118A3" w:rsidRPr="000118A3" w:rsidRDefault="000118A3" w:rsidP="005D2B89">
      <w:pPr>
        <w:ind w:left="284"/>
        <w:jc w:val="both"/>
        <w:rPr>
          <w:rFonts w:ascii="Times New Roman" w:hAnsi="Times New Roman" w:cs="Times New Roman"/>
          <w:sz w:val="22"/>
          <w:szCs w:val="22"/>
        </w:rPr>
      </w:pPr>
      <w:r w:rsidRPr="000118A3">
        <w:rPr>
          <w:rFonts w:ascii="Times New Roman" w:hAnsi="Times New Roman" w:cs="Times New Roman"/>
          <w:sz w:val="22"/>
          <w:szCs w:val="22"/>
        </w:rPr>
        <w:t>Livelihood diversification</w:t>
      </w:r>
      <w:r w:rsidR="005D2B89">
        <w:rPr>
          <w:rFonts w:ascii="Times New Roman" w:hAnsi="Times New Roman" w:cs="Times New Roman"/>
          <w:sz w:val="22"/>
          <w:szCs w:val="22"/>
        </w:rPr>
        <w:t xml:space="preserve"> </w:t>
      </w:r>
      <w:r w:rsidRPr="000118A3">
        <w:rPr>
          <w:rFonts w:ascii="Times New Roman" w:hAnsi="Times New Roman" w:cs="Times New Roman"/>
          <w:sz w:val="22"/>
          <w:szCs w:val="22"/>
        </w:rPr>
        <w:t>through aquaculture training, ecotourism development, and value-added marine product processing</w:t>
      </w:r>
      <w:r w:rsidR="005D2B89">
        <w:rPr>
          <w:rFonts w:ascii="Times New Roman" w:hAnsi="Times New Roman" w:cs="Times New Roman"/>
          <w:sz w:val="22"/>
          <w:szCs w:val="22"/>
        </w:rPr>
        <w:t xml:space="preserve"> </w:t>
      </w:r>
      <w:r w:rsidRPr="000118A3">
        <w:rPr>
          <w:rFonts w:ascii="Times New Roman" w:hAnsi="Times New Roman" w:cs="Times New Roman"/>
          <w:sz w:val="22"/>
          <w:szCs w:val="22"/>
        </w:rPr>
        <w:t>reduces dependence on capture fisheries and strengthens households’ ability to withstand environmental shocks.</w:t>
      </w:r>
    </w:p>
    <w:p w14:paraId="55CEBE67" w14:textId="77777777" w:rsidR="005D2B89" w:rsidRDefault="000118A3" w:rsidP="005D2B89">
      <w:pPr>
        <w:ind w:left="284"/>
        <w:jc w:val="both"/>
        <w:rPr>
          <w:rFonts w:ascii="Times New Roman" w:hAnsi="Times New Roman" w:cs="Times New Roman"/>
          <w:b/>
          <w:bCs/>
          <w:sz w:val="22"/>
          <w:szCs w:val="22"/>
        </w:rPr>
      </w:pPr>
      <w:r w:rsidRPr="000118A3">
        <w:rPr>
          <w:rFonts w:ascii="Times New Roman" w:hAnsi="Times New Roman" w:cs="Times New Roman"/>
          <w:sz w:val="22"/>
          <w:szCs w:val="22"/>
        </w:rPr>
        <w:t xml:space="preserve">• </w:t>
      </w:r>
      <w:r w:rsidRPr="000118A3">
        <w:rPr>
          <w:rFonts w:ascii="Times New Roman" w:hAnsi="Times New Roman" w:cs="Times New Roman"/>
          <w:b/>
          <w:bCs/>
          <w:sz w:val="22"/>
          <w:szCs w:val="22"/>
        </w:rPr>
        <w:t>Early Warning Systems (EWS):</w:t>
      </w:r>
    </w:p>
    <w:p w14:paraId="559538C7" w14:textId="776B5CAB" w:rsidR="000118A3" w:rsidRPr="000118A3" w:rsidRDefault="000118A3" w:rsidP="005D2B89">
      <w:pPr>
        <w:ind w:left="284"/>
        <w:jc w:val="both"/>
        <w:rPr>
          <w:rFonts w:ascii="Times New Roman" w:hAnsi="Times New Roman" w:cs="Times New Roman"/>
          <w:sz w:val="22"/>
          <w:szCs w:val="22"/>
        </w:rPr>
      </w:pPr>
      <w:r w:rsidRPr="000118A3">
        <w:rPr>
          <w:rFonts w:ascii="Times New Roman" w:hAnsi="Times New Roman" w:cs="Times New Roman"/>
          <w:sz w:val="22"/>
          <w:szCs w:val="22"/>
        </w:rPr>
        <w:t>Deploying buoys, weather radars, and real-time monitoring systems enables early detection of storms and high waves, allowing communities to take preventive action and improve adaptive capacity.</w:t>
      </w:r>
    </w:p>
    <w:p w14:paraId="58B0028F" w14:textId="7A6D08AD" w:rsidR="000118A3" w:rsidRDefault="000118A3" w:rsidP="005D2B89">
      <w:pPr>
        <w:tabs>
          <w:tab w:val="left" w:pos="90"/>
        </w:tabs>
        <w:ind w:left="284"/>
        <w:jc w:val="both"/>
        <w:rPr>
          <w:rFonts w:ascii="Times New Roman" w:hAnsi="Times New Roman" w:cs="Times New Roman"/>
          <w:sz w:val="22"/>
          <w:szCs w:val="22"/>
        </w:rPr>
      </w:pPr>
      <w:r w:rsidRPr="000118A3">
        <w:rPr>
          <w:rFonts w:ascii="Times New Roman" w:hAnsi="Times New Roman" w:cs="Times New Roman"/>
          <w:sz w:val="22"/>
          <w:szCs w:val="22"/>
        </w:rPr>
        <w:t>Together, these strategies help coastal regions build resilience against climate-driven risks while supporting sustainable livelihoods and ecosystem health. However, several key gaps still hinder the long-term effectiveness of adaptation efforts. Addressing these gaps is crucial to strengthening socio-economic and ecological resilience (Table 8).</w:t>
      </w:r>
    </w:p>
    <w:p w14:paraId="22D72CAC" w14:textId="77777777" w:rsidR="005D262E" w:rsidRDefault="005D262E" w:rsidP="005D2B89">
      <w:pPr>
        <w:tabs>
          <w:tab w:val="left" w:pos="90"/>
        </w:tabs>
        <w:ind w:left="284"/>
        <w:jc w:val="both"/>
        <w:rPr>
          <w:rFonts w:ascii="Times New Roman" w:hAnsi="Times New Roman" w:cs="Times New Roman"/>
          <w:sz w:val="22"/>
          <w:szCs w:val="22"/>
        </w:rPr>
      </w:pPr>
    </w:p>
    <w:p w14:paraId="6B8CD830" w14:textId="77777777" w:rsidR="005D262E" w:rsidRDefault="005D262E" w:rsidP="00E90287">
      <w:pPr>
        <w:tabs>
          <w:tab w:val="left" w:pos="90"/>
        </w:tabs>
        <w:jc w:val="both"/>
        <w:rPr>
          <w:rFonts w:ascii="Times New Roman" w:hAnsi="Times New Roman" w:cs="Times New Roman"/>
          <w:sz w:val="22"/>
          <w:szCs w:val="22"/>
        </w:rPr>
      </w:pPr>
    </w:p>
    <w:p w14:paraId="735F00BD" w14:textId="04E41958" w:rsidR="000118A3" w:rsidRDefault="005D262E" w:rsidP="00E90287">
      <w:pPr>
        <w:rPr>
          <w:rFonts w:ascii="Times New Roman" w:hAnsi="Times New Roman" w:cs="Times New Roman"/>
          <w:color w:val="000000" w:themeColor="text1"/>
          <w:sz w:val="22"/>
          <w:szCs w:val="22"/>
        </w:rPr>
      </w:pPr>
      <w:bookmarkStart w:id="49" w:name="_Toc217297653"/>
      <w:r w:rsidRPr="005D262E">
        <w:rPr>
          <w:rFonts w:ascii="Times New Roman" w:hAnsi="Times New Roman" w:cs="Times New Roman"/>
          <w:color w:val="000000" w:themeColor="text1"/>
          <w:sz w:val="22"/>
          <w:szCs w:val="22"/>
        </w:rPr>
        <w:t xml:space="preserve">Table </w:t>
      </w:r>
      <w:r w:rsidRPr="005D262E">
        <w:rPr>
          <w:rFonts w:ascii="Times New Roman" w:hAnsi="Times New Roman" w:cs="Times New Roman"/>
          <w:i/>
          <w:iCs/>
          <w:color w:val="000000" w:themeColor="text1"/>
          <w:sz w:val="22"/>
          <w:szCs w:val="22"/>
        </w:rPr>
        <w:fldChar w:fldCharType="begin"/>
      </w:r>
      <w:r w:rsidRPr="005D262E">
        <w:rPr>
          <w:rFonts w:ascii="Times New Roman" w:hAnsi="Times New Roman" w:cs="Times New Roman"/>
          <w:color w:val="000000" w:themeColor="text1"/>
          <w:sz w:val="22"/>
          <w:szCs w:val="22"/>
        </w:rPr>
        <w:instrText xml:space="preserve"> SEQ Table \* ARABIC </w:instrText>
      </w:r>
      <w:r w:rsidRPr="005D262E">
        <w:rPr>
          <w:rFonts w:ascii="Times New Roman" w:hAnsi="Times New Roman" w:cs="Times New Roman"/>
          <w:i/>
          <w:iCs/>
          <w:color w:val="000000" w:themeColor="text1"/>
          <w:sz w:val="22"/>
          <w:szCs w:val="22"/>
        </w:rPr>
        <w:fldChar w:fldCharType="separate"/>
      </w:r>
      <w:r w:rsidR="00F33716">
        <w:rPr>
          <w:rFonts w:ascii="Times New Roman" w:hAnsi="Times New Roman" w:cs="Times New Roman"/>
          <w:noProof/>
          <w:color w:val="000000" w:themeColor="text1"/>
          <w:sz w:val="22"/>
          <w:szCs w:val="22"/>
        </w:rPr>
        <w:t>8</w:t>
      </w:r>
      <w:r w:rsidRPr="005D262E">
        <w:rPr>
          <w:rFonts w:ascii="Times New Roman" w:hAnsi="Times New Roman" w:cs="Times New Roman"/>
          <w:i/>
          <w:iCs/>
          <w:color w:val="000000" w:themeColor="text1"/>
          <w:sz w:val="22"/>
          <w:szCs w:val="22"/>
        </w:rPr>
        <w:fldChar w:fldCharType="end"/>
      </w:r>
      <w:r w:rsidR="000118A3" w:rsidRPr="005D262E">
        <w:rPr>
          <w:rFonts w:ascii="Times New Roman" w:hAnsi="Times New Roman" w:cs="Times New Roman"/>
          <w:color w:val="000000" w:themeColor="text1"/>
          <w:sz w:val="22"/>
          <w:szCs w:val="22"/>
        </w:rPr>
        <w:t xml:space="preserve"> Critical Gaps Limiting Coastal Adaptation Effectiveness</w:t>
      </w:r>
      <w:bookmarkEnd w:id="49"/>
    </w:p>
    <w:p w14:paraId="7BD3F8B5" w14:textId="77777777" w:rsidR="00E90287" w:rsidRPr="00E90287" w:rsidRDefault="00E90287" w:rsidP="00E90287">
      <w:pPr>
        <w:rPr>
          <w:rFonts w:ascii="Times New Roman" w:hAnsi="Times New Roman" w:cs="Times New Roman"/>
          <w:sz w:val="22"/>
          <w:szCs w:val="22"/>
        </w:rPr>
      </w:pPr>
    </w:p>
    <w:tbl>
      <w:tblPr>
        <w:tblW w:w="9849" w:type="dxa"/>
        <w:jc w:val="center"/>
        <w:tblLook w:val="04A0" w:firstRow="1" w:lastRow="0" w:firstColumn="1" w:lastColumn="0" w:noHBand="0" w:noVBand="1"/>
      </w:tblPr>
      <w:tblGrid>
        <w:gridCol w:w="2400"/>
        <w:gridCol w:w="3100"/>
        <w:gridCol w:w="4349"/>
      </w:tblGrid>
      <w:tr w:rsidR="00E90287" w:rsidRPr="000118A3" w14:paraId="3C114372" w14:textId="77777777" w:rsidTr="00E90287">
        <w:trPr>
          <w:trHeight w:val="637"/>
          <w:tblHeader/>
          <w:jc w:val="center"/>
        </w:trPr>
        <w:tc>
          <w:tcPr>
            <w:tcW w:w="2400" w:type="dxa"/>
            <w:tcBorders>
              <w:top w:val="single" w:sz="8" w:space="0" w:color="auto"/>
              <w:left w:val="single" w:sz="8" w:space="0" w:color="auto"/>
              <w:bottom w:val="single" w:sz="8" w:space="0" w:color="auto"/>
              <w:right w:val="single" w:sz="8" w:space="0" w:color="auto"/>
            </w:tcBorders>
            <w:shd w:val="clear" w:color="auto" w:fill="2F5496" w:themeFill="accent1" w:themeFillShade="BF"/>
            <w:vAlign w:val="center"/>
            <w:hideMark/>
          </w:tcPr>
          <w:p w14:paraId="1EAC35DE" w14:textId="77777777" w:rsidR="000118A3" w:rsidRPr="000118A3" w:rsidRDefault="000118A3" w:rsidP="000118A3">
            <w:pPr>
              <w:jc w:val="both"/>
              <w:rPr>
                <w:rFonts w:ascii="Times New Roman" w:eastAsia="Times New Roman" w:hAnsi="Times New Roman" w:cs="Times New Roman"/>
                <w:b/>
                <w:bCs/>
                <w:color w:val="FFFFFF" w:themeColor="background1"/>
                <w:sz w:val="22"/>
                <w:szCs w:val="22"/>
              </w:rPr>
            </w:pPr>
            <w:r w:rsidRPr="000118A3">
              <w:rPr>
                <w:rFonts w:ascii="Times New Roman" w:eastAsia="Times New Roman" w:hAnsi="Times New Roman" w:cs="Times New Roman"/>
                <w:b/>
                <w:bCs/>
                <w:color w:val="FFFFFF" w:themeColor="background1"/>
                <w:sz w:val="22"/>
                <w:szCs w:val="22"/>
              </w:rPr>
              <w:t>Gap / Challenge</w:t>
            </w:r>
          </w:p>
        </w:tc>
        <w:tc>
          <w:tcPr>
            <w:tcW w:w="3100" w:type="dxa"/>
            <w:tcBorders>
              <w:top w:val="single" w:sz="8" w:space="0" w:color="auto"/>
              <w:left w:val="nil"/>
              <w:bottom w:val="single" w:sz="8" w:space="0" w:color="auto"/>
              <w:right w:val="single" w:sz="8" w:space="0" w:color="auto"/>
            </w:tcBorders>
            <w:shd w:val="clear" w:color="auto" w:fill="2F5496" w:themeFill="accent1" w:themeFillShade="BF"/>
            <w:vAlign w:val="center"/>
            <w:hideMark/>
          </w:tcPr>
          <w:p w14:paraId="4F9B4C01" w14:textId="77777777" w:rsidR="000118A3" w:rsidRPr="000118A3" w:rsidRDefault="000118A3" w:rsidP="000118A3">
            <w:pPr>
              <w:jc w:val="both"/>
              <w:rPr>
                <w:rFonts w:ascii="Times New Roman" w:eastAsia="Times New Roman" w:hAnsi="Times New Roman" w:cs="Times New Roman"/>
                <w:b/>
                <w:bCs/>
                <w:color w:val="FFFFFF" w:themeColor="background1"/>
                <w:sz w:val="22"/>
                <w:szCs w:val="22"/>
              </w:rPr>
            </w:pPr>
            <w:r w:rsidRPr="000118A3">
              <w:rPr>
                <w:rFonts w:ascii="Times New Roman" w:eastAsia="Times New Roman" w:hAnsi="Times New Roman" w:cs="Times New Roman"/>
                <w:b/>
                <w:bCs/>
                <w:color w:val="FFFFFF" w:themeColor="background1"/>
                <w:sz w:val="22"/>
                <w:szCs w:val="22"/>
              </w:rPr>
              <w:t>Description</w:t>
            </w:r>
          </w:p>
        </w:tc>
        <w:tc>
          <w:tcPr>
            <w:tcW w:w="4349" w:type="dxa"/>
            <w:tcBorders>
              <w:top w:val="single" w:sz="8" w:space="0" w:color="auto"/>
              <w:left w:val="nil"/>
              <w:bottom w:val="single" w:sz="8" w:space="0" w:color="auto"/>
              <w:right w:val="single" w:sz="8" w:space="0" w:color="auto"/>
            </w:tcBorders>
            <w:shd w:val="clear" w:color="auto" w:fill="2F5496" w:themeFill="accent1" w:themeFillShade="BF"/>
            <w:vAlign w:val="center"/>
            <w:hideMark/>
          </w:tcPr>
          <w:p w14:paraId="13BFB1B6" w14:textId="77777777" w:rsidR="000118A3" w:rsidRPr="000118A3" w:rsidRDefault="000118A3" w:rsidP="000118A3">
            <w:pPr>
              <w:jc w:val="both"/>
              <w:rPr>
                <w:rFonts w:ascii="Times New Roman" w:eastAsia="Times New Roman" w:hAnsi="Times New Roman" w:cs="Times New Roman"/>
                <w:b/>
                <w:bCs/>
                <w:color w:val="FFFFFF" w:themeColor="background1"/>
                <w:sz w:val="22"/>
                <w:szCs w:val="22"/>
              </w:rPr>
            </w:pPr>
            <w:r w:rsidRPr="000118A3">
              <w:rPr>
                <w:rFonts w:ascii="Times New Roman" w:eastAsia="Times New Roman" w:hAnsi="Times New Roman" w:cs="Times New Roman"/>
                <w:b/>
                <w:bCs/>
                <w:color w:val="FFFFFF" w:themeColor="background1"/>
                <w:sz w:val="22"/>
                <w:szCs w:val="22"/>
              </w:rPr>
              <w:t>Implications for Adaptation</w:t>
            </w:r>
          </w:p>
        </w:tc>
      </w:tr>
      <w:tr w:rsidR="00E90287" w:rsidRPr="000118A3" w14:paraId="6675A32A" w14:textId="77777777" w:rsidTr="00E90287">
        <w:trPr>
          <w:trHeight w:val="1560"/>
          <w:jc w:val="center"/>
        </w:trPr>
        <w:tc>
          <w:tcPr>
            <w:tcW w:w="2400" w:type="dxa"/>
            <w:tcBorders>
              <w:top w:val="nil"/>
              <w:left w:val="single" w:sz="8" w:space="0" w:color="auto"/>
              <w:bottom w:val="single" w:sz="8" w:space="0" w:color="auto"/>
              <w:right w:val="single" w:sz="8" w:space="0" w:color="auto"/>
            </w:tcBorders>
            <w:vAlign w:val="center"/>
            <w:hideMark/>
          </w:tcPr>
          <w:p w14:paraId="7D554C52"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Limited Integration of Climate Data into Regional Planning</w:t>
            </w:r>
          </w:p>
        </w:tc>
        <w:tc>
          <w:tcPr>
            <w:tcW w:w="3100" w:type="dxa"/>
            <w:tcBorders>
              <w:top w:val="nil"/>
              <w:left w:val="nil"/>
              <w:bottom w:val="single" w:sz="8" w:space="0" w:color="auto"/>
              <w:right w:val="single" w:sz="8" w:space="0" w:color="auto"/>
            </w:tcBorders>
            <w:vAlign w:val="center"/>
            <w:hideMark/>
          </w:tcPr>
          <w:p w14:paraId="4C5DD2CF"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Key climate indicators (sea-level rise, extreme waves, storm projections) are not fully incorporated into spatial and coastal zone planning.</w:t>
            </w:r>
          </w:p>
        </w:tc>
        <w:tc>
          <w:tcPr>
            <w:tcW w:w="4349" w:type="dxa"/>
            <w:tcBorders>
              <w:top w:val="nil"/>
              <w:left w:val="nil"/>
              <w:bottom w:val="single" w:sz="8" w:space="0" w:color="auto"/>
              <w:right w:val="single" w:sz="8" w:space="0" w:color="auto"/>
            </w:tcBorders>
            <w:vAlign w:val="center"/>
            <w:hideMark/>
          </w:tcPr>
          <w:p w14:paraId="466D3421"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Reduces the effectiveness of adaptation strategies and evidence-based decision-making.</w:t>
            </w:r>
          </w:p>
        </w:tc>
      </w:tr>
      <w:tr w:rsidR="00E90287" w:rsidRPr="000118A3" w14:paraId="0478F96B" w14:textId="77777777" w:rsidTr="00E90287">
        <w:trPr>
          <w:trHeight w:val="1250"/>
          <w:jc w:val="center"/>
        </w:trPr>
        <w:tc>
          <w:tcPr>
            <w:tcW w:w="2400" w:type="dxa"/>
            <w:tcBorders>
              <w:top w:val="nil"/>
              <w:left w:val="single" w:sz="8" w:space="0" w:color="auto"/>
              <w:bottom w:val="single" w:sz="8" w:space="0" w:color="auto"/>
              <w:right w:val="single" w:sz="8" w:space="0" w:color="auto"/>
            </w:tcBorders>
            <w:vAlign w:val="center"/>
            <w:hideMark/>
          </w:tcPr>
          <w:p w14:paraId="4A015F8B"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Sustainable Financing Constraints</w:t>
            </w:r>
          </w:p>
        </w:tc>
        <w:tc>
          <w:tcPr>
            <w:tcW w:w="3100" w:type="dxa"/>
            <w:tcBorders>
              <w:top w:val="nil"/>
              <w:left w:val="nil"/>
              <w:bottom w:val="single" w:sz="8" w:space="0" w:color="auto"/>
              <w:right w:val="single" w:sz="8" w:space="0" w:color="auto"/>
            </w:tcBorders>
            <w:vAlign w:val="center"/>
            <w:hideMark/>
          </w:tcPr>
          <w:p w14:paraId="31BB36CE"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Many adaptation projects rely on short-term donor funding without long-term financial sustainability.</w:t>
            </w:r>
          </w:p>
        </w:tc>
        <w:tc>
          <w:tcPr>
            <w:tcW w:w="4349" w:type="dxa"/>
            <w:tcBorders>
              <w:top w:val="nil"/>
              <w:left w:val="nil"/>
              <w:bottom w:val="single" w:sz="8" w:space="0" w:color="auto"/>
              <w:right w:val="single" w:sz="8" w:space="0" w:color="auto"/>
            </w:tcBorders>
            <w:vAlign w:val="center"/>
            <w:hideMark/>
          </w:tcPr>
          <w:p w14:paraId="76325878"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Limits continuity, scalability, and long-term impact of adaptation programs.</w:t>
            </w:r>
          </w:p>
        </w:tc>
      </w:tr>
      <w:tr w:rsidR="00E90287" w:rsidRPr="000118A3" w14:paraId="68622553" w14:textId="77777777" w:rsidTr="00E90287">
        <w:trPr>
          <w:trHeight w:val="1170"/>
          <w:jc w:val="center"/>
        </w:trPr>
        <w:tc>
          <w:tcPr>
            <w:tcW w:w="2400" w:type="dxa"/>
            <w:tcBorders>
              <w:top w:val="nil"/>
              <w:left w:val="single" w:sz="8" w:space="0" w:color="auto"/>
              <w:bottom w:val="single" w:sz="8" w:space="0" w:color="auto"/>
              <w:right w:val="single" w:sz="8" w:space="0" w:color="auto"/>
            </w:tcBorders>
            <w:vAlign w:val="center"/>
            <w:hideMark/>
          </w:tcPr>
          <w:p w14:paraId="3005413C"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Suboptimal Community Participation</w:t>
            </w:r>
          </w:p>
        </w:tc>
        <w:tc>
          <w:tcPr>
            <w:tcW w:w="3100" w:type="dxa"/>
            <w:tcBorders>
              <w:top w:val="nil"/>
              <w:left w:val="nil"/>
              <w:bottom w:val="single" w:sz="8" w:space="0" w:color="auto"/>
              <w:right w:val="single" w:sz="8" w:space="0" w:color="auto"/>
            </w:tcBorders>
            <w:vAlign w:val="center"/>
            <w:hideMark/>
          </w:tcPr>
          <w:p w14:paraId="54A45996"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Some coastal communities perceive climate change as distant or abstract.</w:t>
            </w:r>
          </w:p>
        </w:tc>
        <w:tc>
          <w:tcPr>
            <w:tcW w:w="4349" w:type="dxa"/>
            <w:tcBorders>
              <w:top w:val="nil"/>
              <w:left w:val="nil"/>
              <w:bottom w:val="single" w:sz="8" w:space="0" w:color="auto"/>
              <w:right w:val="single" w:sz="8" w:space="0" w:color="auto"/>
            </w:tcBorders>
            <w:vAlign w:val="center"/>
            <w:hideMark/>
          </w:tcPr>
          <w:p w14:paraId="400DB193"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Low engagement reduces effectiveness of local mitigation and adaptation measures.</w:t>
            </w:r>
          </w:p>
        </w:tc>
      </w:tr>
      <w:tr w:rsidR="00E90287" w:rsidRPr="000118A3" w14:paraId="7B12E467" w14:textId="77777777" w:rsidTr="00E90287">
        <w:trPr>
          <w:trHeight w:val="1170"/>
          <w:jc w:val="center"/>
        </w:trPr>
        <w:tc>
          <w:tcPr>
            <w:tcW w:w="2400" w:type="dxa"/>
            <w:tcBorders>
              <w:top w:val="nil"/>
              <w:left w:val="single" w:sz="8" w:space="0" w:color="auto"/>
              <w:bottom w:val="single" w:sz="8" w:space="0" w:color="auto"/>
              <w:right w:val="single" w:sz="8" w:space="0" w:color="auto"/>
            </w:tcBorders>
            <w:vAlign w:val="center"/>
            <w:hideMark/>
          </w:tcPr>
          <w:p w14:paraId="183EC196"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Insufficient Inter-Regional Cooperation</w:t>
            </w:r>
          </w:p>
        </w:tc>
        <w:tc>
          <w:tcPr>
            <w:tcW w:w="3100" w:type="dxa"/>
            <w:tcBorders>
              <w:top w:val="nil"/>
              <w:left w:val="nil"/>
              <w:bottom w:val="single" w:sz="8" w:space="0" w:color="auto"/>
              <w:right w:val="single" w:sz="8" w:space="0" w:color="auto"/>
            </w:tcBorders>
            <w:vAlign w:val="center"/>
            <w:hideMark/>
          </w:tcPr>
          <w:p w14:paraId="3A956891"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Coordination across provincial or administrative boundaries is limited.</w:t>
            </w:r>
          </w:p>
        </w:tc>
        <w:tc>
          <w:tcPr>
            <w:tcW w:w="4349" w:type="dxa"/>
            <w:tcBorders>
              <w:top w:val="nil"/>
              <w:left w:val="nil"/>
              <w:bottom w:val="single" w:sz="8" w:space="0" w:color="auto"/>
              <w:right w:val="single" w:sz="8" w:space="0" w:color="auto"/>
            </w:tcBorders>
            <w:vAlign w:val="center"/>
            <w:hideMark/>
          </w:tcPr>
          <w:p w14:paraId="10D94AAF" w14:textId="77777777" w:rsidR="000118A3" w:rsidRPr="000118A3" w:rsidRDefault="000118A3" w:rsidP="000118A3">
            <w:pPr>
              <w:jc w:val="both"/>
              <w:rPr>
                <w:rFonts w:ascii="Times New Roman" w:eastAsia="Times New Roman" w:hAnsi="Times New Roman" w:cs="Times New Roman"/>
                <w:color w:val="000000"/>
                <w:sz w:val="22"/>
                <w:szCs w:val="22"/>
              </w:rPr>
            </w:pPr>
            <w:r w:rsidRPr="000118A3">
              <w:rPr>
                <w:rFonts w:ascii="Times New Roman" w:eastAsia="Times New Roman" w:hAnsi="Times New Roman" w:cs="Times New Roman"/>
                <w:color w:val="000000"/>
                <w:sz w:val="22"/>
                <w:szCs w:val="22"/>
              </w:rPr>
              <w:t>Hinders large-scale adaptation efforts, knowledge sharing, and transboundary climate response.</w:t>
            </w:r>
          </w:p>
        </w:tc>
      </w:tr>
    </w:tbl>
    <w:p w14:paraId="1ED1328A" w14:textId="77777777" w:rsidR="000118A3" w:rsidRPr="000118A3" w:rsidRDefault="000118A3" w:rsidP="000118A3">
      <w:pPr>
        <w:ind w:left="284"/>
        <w:jc w:val="both"/>
        <w:rPr>
          <w:rFonts w:ascii="Times New Roman" w:hAnsi="Times New Roman" w:cs="Times New Roman"/>
          <w:sz w:val="22"/>
          <w:szCs w:val="22"/>
        </w:rPr>
      </w:pPr>
    </w:p>
    <w:p w14:paraId="641BDE22" w14:textId="17EDA994" w:rsidR="009D2BF6" w:rsidRDefault="008D070F" w:rsidP="007F0F81">
      <w:pPr>
        <w:pStyle w:val="BodyText"/>
        <w:numPr>
          <w:ilvl w:val="1"/>
          <w:numId w:val="140"/>
        </w:numPr>
        <w:spacing w:before="188"/>
        <w:ind w:left="426"/>
        <w:outlineLvl w:val="1"/>
        <w:rPr>
          <w:rFonts w:ascii="Times New Roman" w:hAnsi="Times New Roman" w:cs="Times New Roman"/>
          <w:b/>
          <w:bCs/>
          <w:color w:val="0070C0"/>
        </w:rPr>
      </w:pPr>
      <w:bookmarkStart w:id="50" w:name="_Toc217297543"/>
      <w:r>
        <w:rPr>
          <w:rFonts w:ascii="Times New Roman" w:hAnsi="Times New Roman" w:cs="Times New Roman"/>
          <w:b/>
          <w:bCs/>
          <w:color w:val="0070C0"/>
        </w:rPr>
        <w:t>Re</w:t>
      </w:r>
      <w:r w:rsidR="009D2BF6" w:rsidRPr="009D2BF6">
        <w:rPr>
          <w:rFonts w:ascii="Times New Roman" w:hAnsi="Times New Roman" w:cs="Times New Roman"/>
          <w:b/>
          <w:bCs/>
          <w:color w:val="0070C0"/>
        </w:rPr>
        <w:t>commended Priority Actions</w:t>
      </w:r>
      <w:bookmarkEnd w:id="50"/>
      <w:r w:rsidR="009D2BF6">
        <w:rPr>
          <w:rFonts w:ascii="Times New Roman" w:hAnsi="Times New Roman" w:cs="Times New Roman"/>
          <w:b/>
          <w:bCs/>
          <w:color w:val="0070C0"/>
        </w:rPr>
        <w:t xml:space="preserve"> </w:t>
      </w:r>
    </w:p>
    <w:p w14:paraId="73F2E10C" w14:textId="77777777" w:rsidR="009D2BF6" w:rsidRPr="008D070F" w:rsidRDefault="009D2BF6" w:rsidP="009D2BF6">
      <w:pPr>
        <w:jc w:val="both"/>
        <w:rPr>
          <w:rFonts w:ascii="Times New Roman" w:hAnsi="Times New Roman" w:cs="Times New Roman"/>
          <w:sz w:val="22"/>
          <w:szCs w:val="22"/>
        </w:rPr>
      </w:pPr>
      <w:r w:rsidRPr="008D070F">
        <w:rPr>
          <w:rFonts w:ascii="Times New Roman" w:hAnsi="Times New Roman" w:cs="Times New Roman"/>
          <w:sz w:val="22"/>
          <w:szCs w:val="22"/>
        </w:rPr>
        <w:t>Strengthening socio-economic and ecological resilience in climate-impacted coastal regions requires practical, evidence-based actions coordinated across provinces. Five priority measures are proposed:</w:t>
      </w:r>
    </w:p>
    <w:p w14:paraId="6B46A679" w14:textId="77777777" w:rsidR="005D2B89" w:rsidRPr="005D2B89" w:rsidRDefault="009D2BF6" w:rsidP="005D2B89">
      <w:pPr>
        <w:numPr>
          <w:ilvl w:val="0"/>
          <w:numId w:val="134"/>
        </w:numPr>
        <w:ind w:left="714" w:hanging="357"/>
        <w:jc w:val="both"/>
        <w:rPr>
          <w:rFonts w:ascii="Times New Roman" w:hAnsi="Times New Roman" w:cs="Times New Roman"/>
          <w:sz w:val="22"/>
          <w:szCs w:val="22"/>
        </w:rPr>
      </w:pPr>
      <w:r w:rsidRPr="008D070F">
        <w:rPr>
          <w:rFonts w:ascii="Times New Roman" w:hAnsi="Times New Roman" w:cs="Times New Roman"/>
          <w:b/>
          <w:bCs/>
          <w:sz w:val="22"/>
          <w:szCs w:val="22"/>
        </w:rPr>
        <w:t>Climate-Informed Coastal Planning</w:t>
      </w:r>
    </w:p>
    <w:p w14:paraId="47B08511" w14:textId="106D60CD" w:rsidR="009D2BF6" w:rsidRPr="008D070F" w:rsidRDefault="009D2BF6" w:rsidP="005D2B89">
      <w:pPr>
        <w:ind w:left="714"/>
        <w:jc w:val="both"/>
        <w:rPr>
          <w:rFonts w:ascii="Times New Roman" w:hAnsi="Times New Roman" w:cs="Times New Roman"/>
          <w:sz w:val="22"/>
          <w:szCs w:val="22"/>
        </w:rPr>
      </w:pPr>
      <w:r w:rsidRPr="008D070F">
        <w:rPr>
          <w:rFonts w:ascii="Times New Roman" w:hAnsi="Times New Roman" w:cs="Times New Roman"/>
          <w:sz w:val="22"/>
          <w:szCs w:val="22"/>
        </w:rPr>
        <w:t>Integrate sea-level rise and extreme weather data into development and spatial plans to reduce exposure and risk.</w:t>
      </w:r>
    </w:p>
    <w:p w14:paraId="34C9D639" w14:textId="77777777" w:rsidR="005D2B89" w:rsidRPr="005D2B89" w:rsidRDefault="009D2BF6" w:rsidP="005D2B89">
      <w:pPr>
        <w:numPr>
          <w:ilvl w:val="0"/>
          <w:numId w:val="134"/>
        </w:numPr>
        <w:jc w:val="both"/>
        <w:rPr>
          <w:rFonts w:ascii="Times New Roman" w:hAnsi="Times New Roman" w:cs="Times New Roman"/>
          <w:sz w:val="22"/>
          <w:szCs w:val="22"/>
        </w:rPr>
      </w:pPr>
      <w:r w:rsidRPr="008D070F">
        <w:rPr>
          <w:rFonts w:ascii="Times New Roman" w:hAnsi="Times New Roman" w:cs="Times New Roman"/>
          <w:b/>
          <w:bCs/>
          <w:sz w:val="22"/>
          <w:szCs w:val="22"/>
        </w:rPr>
        <w:t>Sustainable Financing</w:t>
      </w:r>
    </w:p>
    <w:p w14:paraId="59EDB2D1" w14:textId="3E2C0E9E" w:rsidR="009D2BF6" w:rsidRPr="008D070F" w:rsidRDefault="009D2BF6" w:rsidP="005D2B89">
      <w:pPr>
        <w:ind w:left="720"/>
        <w:jc w:val="both"/>
        <w:rPr>
          <w:rFonts w:ascii="Times New Roman" w:hAnsi="Times New Roman" w:cs="Times New Roman"/>
          <w:sz w:val="22"/>
          <w:szCs w:val="22"/>
        </w:rPr>
      </w:pPr>
      <w:r w:rsidRPr="008D070F">
        <w:rPr>
          <w:rFonts w:ascii="Times New Roman" w:hAnsi="Times New Roman" w:cs="Times New Roman"/>
          <w:sz w:val="22"/>
          <w:szCs w:val="22"/>
        </w:rPr>
        <w:t>Secure long-term funding through public–private partnerships, climate finance, and investments in ecosystem-based adaptation.</w:t>
      </w:r>
    </w:p>
    <w:p w14:paraId="294701E2" w14:textId="77777777" w:rsidR="005D2B89" w:rsidRPr="005D2B89" w:rsidRDefault="009D2BF6" w:rsidP="005D2B89">
      <w:pPr>
        <w:numPr>
          <w:ilvl w:val="0"/>
          <w:numId w:val="134"/>
        </w:numPr>
        <w:jc w:val="both"/>
        <w:rPr>
          <w:rFonts w:ascii="Times New Roman" w:hAnsi="Times New Roman" w:cs="Times New Roman"/>
          <w:sz w:val="22"/>
          <w:szCs w:val="22"/>
        </w:rPr>
      </w:pPr>
      <w:r w:rsidRPr="008D070F">
        <w:rPr>
          <w:rFonts w:ascii="Times New Roman" w:hAnsi="Times New Roman" w:cs="Times New Roman"/>
          <w:b/>
          <w:bCs/>
          <w:sz w:val="22"/>
          <w:szCs w:val="22"/>
        </w:rPr>
        <w:t>Community-Centered Engagement</w:t>
      </w:r>
    </w:p>
    <w:p w14:paraId="0EF1ED5F" w14:textId="241FF267" w:rsidR="009D2BF6" w:rsidRPr="008D070F" w:rsidRDefault="009D2BF6" w:rsidP="005D2B89">
      <w:pPr>
        <w:ind w:left="720"/>
        <w:jc w:val="both"/>
        <w:rPr>
          <w:rFonts w:ascii="Times New Roman" w:hAnsi="Times New Roman" w:cs="Times New Roman"/>
          <w:sz w:val="22"/>
          <w:szCs w:val="22"/>
        </w:rPr>
      </w:pPr>
      <w:r w:rsidRPr="008D070F">
        <w:rPr>
          <w:rFonts w:ascii="Times New Roman" w:hAnsi="Times New Roman" w:cs="Times New Roman"/>
          <w:sz w:val="22"/>
          <w:szCs w:val="22"/>
        </w:rPr>
        <w:lastRenderedPageBreak/>
        <w:t>Enhance awareness, capacity, and participation of coastal communities by incorporating traditional knowledge and inclusive decision-making.</w:t>
      </w:r>
    </w:p>
    <w:p w14:paraId="227D3B81" w14:textId="77777777" w:rsidR="005D2B89" w:rsidRPr="005D2B89" w:rsidRDefault="009D2BF6" w:rsidP="005D2B89">
      <w:pPr>
        <w:numPr>
          <w:ilvl w:val="0"/>
          <w:numId w:val="134"/>
        </w:numPr>
        <w:jc w:val="both"/>
        <w:rPr>
          <w:rFonts w:ascii="Times New Roman" w:hAnsi="Times New Roman" w:cs="Times New Roman"/>
          <w:sz w:val="22"/>
          <w:szCs w:val="22"/>
        </w:rPr>
      </w:pPr>
      <w:r w:rsidRPr="008D070F">
        <w:rPr>
          <w:rFonts w:ascii="Times New Roman" w:hAnsi="Times New Roman" w:cs="Times New Roman"/>
          <w:b/>
          <w:bCs/>
          <w:sz w:val="22"/>
          <w:szCs w:val="22"/>
        </w:rPr>
        <w:t>Cross-Provincial Cooperation</w:t>
      </w:r>
    </w:p>
    <w:p w14:paraId="722C0922" w14:textId="39607ED5" w:rsidR="009D2BF6" w:rsidRPr="008D070F" w:rsidRDefault="009D2BF6" w:rsidP="005D2B89">
      <w:pPr>
        <w:ind w:left="720"/>
        <w:jc w:val="both"/>
        <w:rPr>
          <w:rFonts w:ascii="Times New Roman" w:hAnsi="Times New Roman" w:cs="Times New Roman"/>
          <w:sz w:val="22"/>
          <w:szCs w:val="22"/>
        </w:rPr>
      </w:pPr>
      <w:r w:rsidRPr="008D070F">
        <w:rPr>
          <w:rFonts w:ascii="Times New Roman" w:hAnsi="Times New Roman" w:cs="Times New Roman"/>
          <w:sz w:val="22"/>
          <w:szCs w:val="22"/>
        </w:rPr>
        <w:t>Establish formal collaboration among South China Sea coastal provinces for data sharing, joint adaptation efforts, and coordinated disaster responses.</w:t>
      </w:r>
    </w:p>
    <w:p w14:paraId="6B17D83F" w14:textId="77777777" w:rsidR="005D2B89" w:rsidRPr="005D2B89" w:rsidRDefault="009D2BF6" w:rsidP="005D2B89">
      <w:pPr>
        <w:numPr>
          <w:ilvl w:val="0"/>
          <w:numId w:val="134"/>
        </w:numPr>
        <w:jc w:val="both"/>
        <w:rPr>
          <w:rFonts w:ascii="Times New Roman" w:hAnsi="Times New Roman" w:cs="Times New Roman"/>
          <w:sz w:val="22"/>
          <w:szCs w:val="22"/>
        </w:rPr>
      </w:pPr>
      <w:r w:rsidRPr="008D070F">
        <w:rPr>
          <w:rFonts w:ascii="Times New Roman" w:hAnsi="Times New Roman" w:cs="Times New Roman"/>
          <w:b/>
          <w:bCs/>
          <w:sz w:val="22"/>
          <w:szCs w:val="22"/>
        </w:rPr>
        <w:t>Monitoring, Evaluation, and Learning (MEL)</w:t>
      </w:r>
    </w:p>
    <w:p w14:paraId="1E676353" w14:textId="0CCFDC94" w:rsidR="009D2BF6" w:rsidRPr="008D070F" w:rsidRDefault="009D2BF6" w:rsidP="005D2B89">
      <w:pPr>
        <w:ind w:left="720"/>
        <w:jc w:val="both"/>
        <w:rPr>
          <w:rFonts w:ascii="Times New Roman" w:hAnsi="Times New Roman" w:cs="Times New Roman"/>
          <w:sz w:val="22"/>
          <w:szCs w:val="22"/>
        </w:rPr>
      </w:pPr>
      <w:r w:rsidRPr="008D070F">
        <w:rPr>
          <w:rFonts w:ascii="Times New Roman" w:hAnsi="Times New Roman" w:cs="Times New Roman"/>
          <w:sz w:val="22"/>
          <w:szCs w:val="22"/>
        </w:rPr>
        <w:t>Build strong systems to track adaptation progress, inform policy adjustments, and capture best practices for broader replication.</w:t>
      </w:r>
    </w:p>
    <w:p w14:paraId="7F5A384C" w14:textId="77777777" w:rsidR="009D2BF6" w:rsidRDefault="009D2BF6" w:rsidP="005D2B89">
      <w:pPr>
        <w:spacing w:before="120"/>
        <w:jc w:val="both"/>
        <w:rPr>
          <w:rFonts w:ascii="Times New Roman" w:hAnsi="Times New Roman" w:cs="Times New Roman"/>
        </w:rPr>
      </w:pPr>
      <w:r w:rsidRPr="008D070F">
        <w:rPr>
          <w:rFonts w:ascii="Times New Roman" w:hAnsi="Times New Roman" w:cs="Times New Roman"/>
          <w:sz w:val="22"/>
          <w:szCs w:val="22"/>
        </w:rPr>
        <w:t>Together, these actions strengthen coastal regions’ ability to anticipate, withstand, and recover from climate-related socio-economic shocks while ensuring long-term livelihoods and ecological sustainability</w:t>
      </w:r>
      <w:r w:rsidRPr="001B5E40">
        <w:rPr>
          <w:rFonts w:ascii="Times New Roman" w:hAnsi="Times New Roman" w:cs="Times New Roman"/>
        </w:rPr>
        <w:t>.</w:t>
      </w:r>
    </w:p>
    <w:p w14:paraId="1A7E02F0" w14:textId="77777777" w:rsidR="00A21B9E" w:rsidRPr="001B5E40" w:rsidRDefault="00A21B9E" w:rsidP="005D2B89">
      <w:pPr>
        <w:spacing w:before="120"/>
        <w:jc w:val="both"/>
        <w:rPr>
          <w:rFonts w:ascii="Times New Roman" w:hAnsi="Times New Roman" w:cs="Times New Roman"/>
        </w:rPr>
      </w:pPr>
    </w:p>
    <w:p w14:paraId="40CF31A7" w14:textId="605BCB35" w:rsidR="009D2BF6" w:rsidRDefault="00A21B9E" w:rsidP="00E90287">
      <w:pPr>
        <w:rPr>
          <w:rFonts w:ascii="Times New Roman" w:hAnsi="Times New Roman" w:cs="Times New Roman"/>
          <w:color w:val="000000" w:themeColor="text1"/>
          <w:sz w:val="22"/>
          <w:szCs w:val="22"/>
        </w:rPr>
      </w:pPr>
      <w:bookmarkStart w:id="51" w:name="_Toc217297654"/>
      <w:r w:rsidRPr="00A21B9E">
        <w:rPr>
          <w:rFonts w:ascii="Times New Roman" w:hAnsi="Times New Roman" w:cs="Times New Roman"/>
          <w:color w:val="000000" w:themeColor="text1"/>
          <w:sz w:val="22"/>
          <w:szCs w:val="22"/>
        </w:rPr>
        <w:t xml:space="preserve">Table </w:t>
      </w:r>
      <w:r w:rsidRPr="00A21B9E">
        <w:rPr>
          <w:rFonts w:ascii="Times New Roman" w:hAnsi="Times New Roman" w:cs="Times New Roman"/>
          <w:i/>
          <w:iCs/>
          <w:color w:val="000000" w:themeColor="text1"/>
          <w:sz w:val="22"/>
          <w:szCs w:val="22"/>
        </w:rPr>
        <w:fldChar w:fldCharType="begin"/>
      </w:r>
      <w:r w:rsidRPr="00A21B9E">
        <w:rPr>
          <w:rFonts w:ascii="Times New Roman" w:hAnsi="Times New Roman" w:cs="Times New Roman"/>
          <w:color w:val="000000" w:themeColor="text1"/>
          <w:sz w:val="22"/>
          <w:szCs w:val="22"/>
        </w:rPr>
        <w:instrText xml:space="preserve"> SEQ Table \* ARABIC </w:instrText>
      </w:r>
      <w:r w:rsidRPr="00A21B9E">
        <w:rPr>
          <w:rFonts w:ascii="Times New Roman" w:hAnsi="Times New Roman" w:cs="Times New Roman"/>
          <w:i/>
          <w:iCs/>
          <w:color w:val="000000" w:themeColor="text1"/>
          <w:sz w:val="22"/>
          <w:szCs w:val="22"/>
        </w:rPr>
        <w:fldChar w:fldCharType="separate"/>
      </w:r>
      <w:r w:rsidR="00F33716">
        <w:rPr>
          <w:rFonts w:ascii="Times New Roman" w:hAnsi="Times New Roman" w:cs="Times New Roman"/>
          <w:noProof/>
          <w:color w:val="000000" w:themeColor="text1"/>
          <w:sz w:val="22"/>
          <w:szCs w:val="22"/>
        </w:rPr>
        <w:t>9</w:t>
      </w:r>
      <w:r w:rsidRPr="00A21B9E">
        <w:rPr>
          <w:rFonts w:ascii="Times New Roman" w:hAnsi="Times New Roman" w:cs="Times New Roman"/>
          <w:i/>
          <w:iCs/>
          <w:color w:val="000000" w:themeColor="text1"/>
          <w:sz w:val="22"/>
          <w:szCs w:val="22"/>
        </w:rPr>
        <w:fldChar w:fldCharType="end"/>
      </w:r>
      <w:r w:rsidR="009D2BF6" w:rsidRPr="00A21B9E">
        <w:rPr>
          <w:rFonts w:ascii="Times New Roman" w:hAnsi="Times New Roman" w:cs="Times New Roman"/>
          <w:b/>
          <w:bCs/>
          <w:color w:val="000000" w:themeColor="text1"/>
          <w:sz w:val="22"/>
          <w:szCs w:val="22"/>
        </w:rPr>
        <w:t xml:space="preserve"> </w:t>
      </w:r>
      <w:r w:rsidR="009D2BF6" w:rsidRPr="00A21B9E">
        <w:rPr>
          <w:rFonts w:ascii="Times New Roman" w:hAnsi="Times New Roman" w:cs="Times New Roman"/>
          <w:color w:val="000000" w:themeColor="text1"/>
          <w:sz w:val="22"/>
          <w:szCs w:val="22"/>
        </w:rPr>
        <w:t>Strategic Coastal Adaptation Actions with Regional Cooperation Potential</w:t>
      </w:r>
      <w:bookmarkEnd w:id="51"/>
    </w:p>
    <w:p w14:paraId="41FEDB70" w14:textId="77777777" w:rsidR="00E90287" w:rsidRPr="00E90287" w:rsidRDefault="00E90287" w:rsidP="00E90287">
      <w:pPr>
        <w:rPr>
          <w:rFonts w:ascii="Times New Roman" w:eastAsiaTheme="minorHAnsi" w:hAnsi="Times New Roman" w:cs="Times New Roman"/>
          <w:color w:val="000000" w:themeColor="text1"/>
          <w:kern w:val="2"/>
          <w:sz w:val="22"/>
          <w:szCs w:val="22"/>
          <w:lang w:val="en-US" w:eastAsia="en-US"/>
          <w14:ligatures w14:val="standardContextual"/>
        </w:rPr>
      </w:pPr>
    </w:p>
    <w:tbl>
      <w:tblPr>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9"/>
        <w:gridCol w:w="4234"/>
        <w:gridCol w:w="3341"/>
      </w:tblGrid>
      <w:tr w:rsidR="009D2BF6" w:rsidRPr="00112658" w14:paraId="54145469" w14:textId="77777777" w:rsidTr="00671D7D">
        <w:trPr>
          <w:trHeight w:val="7"/>
          <w:tblHeader/>
        </w:trPr>
        <w:tc>
          <w:tcPr>
            <w:tcW w:w="2029" w:type="dxa"/>
            <w:shd w:val="clear" w:color="auto" w:fill="2F5496" w:themeFill="accent1" w:themeFillShade="BF"/>
            <w:vAlign w:val="center"/>
            <w:hideMark/>
          </w:tcPr>
          <w:p w14:paraId="67B0AF74" w14:textId="77777777" w:rsidR="009D2BF6" w:rsidRPr="007E7182" w:rsidRDefault="009D2BF6" w:rsidP="00671D7D">
            <w:pPr>
              <w:jc w:val="center"/>
              <w:rPr>
                <w:rFonts w:ascii="Times New Roman" w:eastAsia="Times New Roman" w:hAnsi="Times New Roman" w:cs="Times New Roman"/>
                <w:b/>
                <w:bCs/>
                <w:color w:val="FFFFFF" w:themeColor="background1"/>
              </w:rPr>
            </w:pPr>
            <w:r w:rsidRPr="007E7182">
              <w:rPr>
                <w:rFonts w:ascii="Times New Roman" w:eastAsia="Times New Roman" w:hAnsi="Times New Roman" w:cs="Times New Roman"/>
                <w:b/>
                <w:bCs/>
                <w:color w:val="FFFFFF" w:themeColor="background1"/>
              </w:rPr>
              <w:t>Priority Action</w:t>
            </w:r>
          </w:p>
        </w:tc>
        <w:tc>
          <w:tcPr>
            <w:tcW w:w="4234" w:type="dxa"/>
            <w:shd w:val="clear" w:color="auto" w:fill="2F5496" w:themeFill="accent1" w:themeFillShade="BF"/>
            <w:vAlign w:val="center"/>
            <w:hideMark/>
          </w:tcPr>
          <w:p w14:paraId="0047E28A" w14:textId="77777777" w:rsidR="009D2BF6" w:rsidRPr="007E7182" w:rsidRDefault="009D2BF6" w:rsidP="00671D7D">
            <w:pPr>
              <w:jc w:val="center"/>
              <w:rPr>
                <w:rFonts w:ascii="Times New Roman" w:eastAsia="Times New Roman" w:hAnsi="Times New Roman" w:cs="Times New Roman"/>
                <w:b/>
                <w:bCs/>
                <w:color w:val="FFFFFF" w:themeColor="background1"/>
              </w:rPr>
            </w:pPr>
            <w:r w:rsidRPr="007E7182">
              <w:rPr>
                <w:rFonts w:ascii="Times New Roman" w:eastAsia="Times New Roman" w:hAnsi="Times New Roman" w:cs="Times New Roman"/>
                <w:b/>
                <w:bCs/>
                <w:color w:val="FFFFFF" w:themeColor="background1"/>
              </w:rPr>
              <w:t>Description</w:t>
            </w:r>
          </w:p>
        </w:tc>
        <w:tc>
          <w:tcPr>
            <w:tcW w:w="3341" w:type="dxa"/>
            <w:shd w:val="clear" w:color="auto" w:fill="2F5496" w:themeFill="accent1" w:themeFillShade="BF"/>
            <w:vAlign w:val="center"/>
            <w:hideMark/>
          </w:tcPr>
          <w:p w14:paraId="60CA831A" w14:textId="77777777" w:rsidR="009D2BF6" w:rsidRPr="007E7182" w:rsidRDefault="009D2BF6" w:rsidP="00671D7D">
            <w:pPr>
              <w:jc w:val="center"/>
              <w:rPr>
                <w:rFonts w:ascii="Times New Roman" w:eastAsia="Times New Roman" w:hAnsi="Times New Roman" w:cs="Times New Roman"/>
                <w:b/>
                <w:bCs/>
                <w:color w:val="FFFFFF" w:themeColor="background1"/>
              </w:rPr>
            </w:pPr>
            <w:r w:rsidRPr="007E7182">
              <w:rPr>
                <w:rFonts w:ascii="Times New Roman" w:eastAsia="Times New Roman" w:hAnsi="Times New Roman" w:cs="Times New Roman"/>
                <w:b/>
                <w:bCs/>
                <w:color w:val="FFFFFF" w:themeColor="background1"/>
              </w:rPr>
              <w:t>Potential for Regional Cooperation</w:t>
            </w:r>
          </w:p>
        </w:tc>
      </w:tr>
      <w:tr w:rsidR="009D2BF6" w:rsidRPr="00C22BFB" w14:paraId="0CCD3E01" w14:textId="77777777" w:rsidTr="00671D7D">
        <w:trPr>
          <w:trHeight w:val="14"/>
        </w:trPr>
        <w:tc>
          <w:tcPr>
            <w:tcW w:w="2029" w:type="dxa"/>
            <w:vAlign w:val="center"/>
            <w:hideMark/>
          </w:tcPr>
          <w:p w14:paraId="2AF731D0" w14:textId="77777777" w:rsidR="009D2BF6" w:rsidRPr="00C22BFB" w:rsidRDefault="009D2BF6" w:rsidP="00671D7D">
            <w:pPr>
              <w:ind w:left="159" w:hanging="180"/>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1. Integration of Climate Data into Regional Planning</w:t>
            </w:r>
          </w:p>
        </w:tc>
        <w:tc>
          <w:tcPr>
            <w:tcW w:w="4234" w:type="dxa"/>
            <w:vAlign w:val="center"/>
            <w:hideMark/>
          </w:tcPr>
          <w:p w14:paraId="683EC117"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Incorporate projections of sea-level rise (SLR), storms, and high waves into regional spatial plans (RTRW) and local development plans (RPJMD) to ensure climate-informed decision-making.</w:t>
            </w:r>
          </w:p>
        </w:tc>
        <w:tc>
          <w:tcPr>
            <w:tcW w:w="3341" w:type="dxa"/>
            <w:vAlign w:val="center"/>
            <w:hideMark/>
          </w:tcPr>
          <w:p w14:paraId="4A8288F7"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Establish a shared cross-provincial climate data repository for the South China Sea rim to support coordinated planning.</w:t>
            </w:r>
          </w:p>
        </w:tc>
      </w:tr>
      <w:tr w:rsidR="009D2BF6" w:rsidRPr="00C22BFB" w14:paraId="38B2E0A0" w14:textId="77777777" w:rsidTr="00671D7D">
        <w:trPr>
          <w:trHeight w:val="14"/>
        </w:trPr>
        <w:tc>
          <w:tcPr>
            <w:tcW w:w="2029" w:type="dxa"/>
            <w:vAlign w:val="center"/>
            <w:hideMark/>
          </w:tcPr>
          <w:p w14:paraId="38D070C6" w14:textId="77777777" w:rsidR="009D2BF6" w:rsidRPr="00C22BFB" w:rsidRDefault="009D2BF6" w:rsidP="00671D7D">
            <w:pPr>
              <w:ind w:left="159" w:hanging="180"/>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2. Landscape-Scale Mangrove Restoration Program</w:t>
            </w:r>
          </w:p>
        </w:tc>
        <w:tc>
          <w:tcPr>
            <w:tcW w:w="4234" w:type="dxa"/>
            <w:vAlign w:val="center"/>
            <w:hideMark/>
          </w:tcPr>
          <w:p w14:paraId="2F832F8D"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Rehabilitate mangroves in areas prone to coastal erosion and seawater intrusion, enhancing coastal protection and ecosystem services.</w:t>
            </w:r>
          </w:p>
        </w:tc>
        <w:tc>
          <w:tcPr>
            <w:tcW w:w="3341" w:type="dxa"/>
            <w:vAlign w:val="center"/>
            <w:hideMark/>
          </w:tcPr>
          <w:p w14:paraId="56C402F9"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Facilitate technical collaboration and sharing of seedlings across provinces, and exchange best practices for large-scale restoration.</w:t>
            </w:r>
          </w:p>
        </w:tc>
      </w:tr>
      <w:tr w:rsidR="009D2BF6" w:rsidRPr="00C22BFB" w14:paraId="6EF20BA9" w14:textId="77777777" w:rsidTr="00671D7D">
        <w:trPr>
          <w:trHeight w:val="14"/>
        </w:trPr>
        <w:tc>
          <w:tcPr>
            <w:tcW w:w="2029" w:type="dxa"/>
            <w:vAlign w:val="center"/>
            <w:hideMark/>
          </w:tcPr>
          <w:p w14:paraId="41602F9E" w14:textId="77777777" w:rsidR="009D2BF6" w:rsidRPr="00C22BFB" w:rsidRDefault="009D2BF6" w:rsidP="00671D7D">
            <w:pPr>
              <w:ind w:left="159" w:hanging="180"/>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3. Coastal Economic Diversification</w:t>
            </w:r>
          </w:p>
        </w:tc>
        <w:tc>
          <w:tcPr>
            <w:tcW w:w="4234" w:type="dxa"/>
            <w:vAlign w:val="center"/>
            <w:hideMark/>
          </w:tcPr>
          <w:p w14:paraId="220FA3E8"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Develop integrated fisheries enterprises, ecotourism, and agro-marine businesses to reduce community dependence on single livelihoods.</w:t>
            </w:r>
          </w:p>
        </w:tc>
        <w:tc>
          <w:tcPr>
            <w:tcW w:w="3341" w:type="dxa"/>
            <w:vAlign w:val="center"/>
            <w:hideMark/>
          </w:tcPr>
          <w:p w14:paraId="4D0FB726"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Create joint markets and collective branding for South China Sea coastal products across provinces, promoting regional economic integration.</w:t>
            </w:r>
          </w:p>
        </w:tc>
      </w:tr>
      <w:tr w:rsidR="009D2BF6" w:rsidRPr="00C22BFB" w14:paraId="5E16E604" w14:textId="77777777" w:rsidTr="00671D7D">
        <w:trPr>
          <w:trHeight w:val="14"/>
        </w:trPr>
        <w:tc>
          <w:tcPr>
            <w:tcW w:w="2029" w:type="dxa"/>
            <w:vAlign w:val="center"/>
            <w:hideMark/>
          </w:tcPr>
          <w:p w14:paraId="56B650F3" w14:textId="77777777" w:rsidR="009D2BF6" w:rsidRPr="00C22BFB" w:rsidRDefault="009D2BF6" w:rsidP="00671D7D">
            <w:pPr>
              <w:ind w:left="159" w:hanging="180"/>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4. Enhancement of Early Warning Systems</w:t>
            </w:r>
          </w:p>
        </w:tc>
        <w:tc>
          <w:tcPr>
            <w:tcW w:w="4234" w:type="dxa"/>
            <w:vAlign w:val="center"/>
            <w:hideMark/>
          </w:tcPr>
          <w:p w14:paraId="2B4C4C2D"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Modernize technology for detecting extreme weather events and high waves, improving disaster preparedness.</w:t>
            </w:r>
          </w:p>
        </w:tc>
        <w:tc>
          <w:tcPr>
            <w:tcW w:w="3341" w:type="dxa"/>
            <w:vAlign w:val="center"/>
            <w:hideMark/>
          </w:tcPr>
          <w:p w14:paraId="29132248"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Deploy shared sensor networks and enable real-time data exchange among provinces to enhance regional early warning capabilities.</w:t>
            </w:r>
          </w:p>
        </w:tc>
      </w:tr>
      <w:tr w:rsidR="009D2BF6" w:rsidRPr="00C22BFB" w14:paraId="0F9E0ECE" w14:textId="77777777" w:rsidTr="00671D7D">
        <w:trPr>
          <w:trHeight w:val="14"/>
        </w:trPr>
        <w:tc>
          <w:tcPr>
            <w:tcW w:w="2029" w:type="dxa"/>
            <w:vAlign w:val="center"/>
            <w:hideMark/>
          </w:tcPr>
          <w:p w14:paraId="2F831AB2" w14:textId="77777777" w:rsidR="009D2BF6" w:rsidRPr="00C22BFB" w:rsidRDefault="009D2BF6" w:rsidP="00671D7D">
            <w:pPr>
              <w:ind w:left="159" w:hanging="180"/>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5. Sustainable Adaptation Financing Schemes</w:t>
            </w:r>
          </w:p>
        </w:tc>
        <w:tc>
          <w:tcPr>
            <w:tcW w:w="4234" w:type="dxa"/>
            <w:vAlign w:val="center"/>
            <w:hideMark/>
          </w:tcPr>
          <w:p w14:paraId="53A3E013"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Implement revolving funds and micro-financing mechanisms to support community-based adaptation initiatives.</w:t>
            </w:r>
          </w:p>
        </w:tc>
        <w:tc>
          <w:tcPr>
            <w:tcW w:w="3341" w:type="dxa"/>
            <w:vAlign w:val="center"/>
            <w:hideMark/>
          </w:tcPr>
          <w:p w14:paraId="50D828B2" w14:textId="77777777" w:rsidR="009D2BF6" w:rsidRPr="00C22BFB" w:rsidRDefault="009D2BF6" w:rsidP="00671D7D">
            <w:pPr>
              <w:rPr>
                <w:rFonts w:ascii="Times New Roman" w:eastAsia="Times New Roman" w:hAnsi="Times New Roman" w:cs="Times New Roman"/>
                <w:color w:val="000000"/>
                <w:sz w:val="22"/>
                <w:szCs w:val="22"/>
              </w:rPr>
            </w:pPr>
            <w:r w:rsidRPr="00C22BFB">
              <w:rPr>
                <w:rFonts w:ascii="Times New Roman" w:eastAsia="Times New Roman" w:hAnsi="Times New Roman" w:cs="Times New Roman"/>
                <w:color w:val="000000"/>
                <w:sz w:val="22"/>
                <w:szCs w:val="22"/>
              </w:rPr>
              <w:t>Establish a cross-provincial “Coastal Climate Fund” to ensure long-term financing and sustainability of adaptation projects.</w:t>
            </w:r>
          </w:p>
        </w:tc>
      </w:tr>
    </w:tbl>
    <w:p w14:paraId="5E057E05" w14:textId="1BD1ECA6" w:rsidR="00E90287" w:rsidRDefault="009D2BF6" w:rsidP="00C22BFB">
      <w:pPr>
        <w:pStyle w:val="BodyText"/>
        <w:spacing w:before="188"/>
        <w:jc w:val="both"/>
        <w:rPr>
          <w:rFonts w:ascii="Times New Roman" w:hAnsi="Times New Roman" w:cs="Times New Roman"/>
        </w:rPr>
      </w:pPr>
      <w:r w:rsidRPr="00C22BFB">
        <w:rPr>
          <w:rFonts w:ascii="Times New Roman" w:hAnsi="Times New Roman" w:cs="Times New Roman"/>
        </w:rPr>
        <w:t>A collaborative approach that integrates scientific evidence with active community participation is essential for reducing vulnerability in this region. Because the four provinces—West Kalimantan, South Sumatra, Bangka Belitung, and the Riau Islands—face similar climate threats and share interconnected coastal ecosystems, strong regional coordination is required. Embedding adaptation programs within a cross-provincial cooperation framework will not only reinforce the resilience of coastal communities but also strengthen Indonesia’s strategic position in international forums concerning the South China Sea.</w:t>
      </w:r>
    </w:p>
    <w:p w14:paraId="5E74E963" w14:textId="3DD2620A" w:rsidR="004D0095" w:rsidRDefault="004567DB" w:rsidP="00C22BFB">
      <w:pPr>
        <w:pStyle w:val="BodyText"/>
        <w:spacing w:before="188"/>
        <w:jc w:val="both"/>
        <w:rPr>
          <w:rFonts w:ascii="Times New Roman" w:hAnsi="Times New Roman" w:cs="Times New Roman"/>
        </w:rPr>
      </w:pPr>
      <w:r w:rsidRPr="004567DB">
        <w:rPr>
          <w:rFonts w:ascii="Times New Roman" w:hAnsi="Times New Roman" w:cs="Times New Roman"/>
          <w:b/>
          <w:bCs/>
          <w:color w:val="000000" w:themeColor="text1"/>
          <w:shd w:val="clear" w:color="auto" w:fill="FFFFFF"/>
        </w:rPr>
        <w:t xml:space="preserve">Acknowledgements : </w:t>
      </w:r>
      <w:r w:rsidRPr="004567DB">
        <w:rPr>
          <w:rFonts w:ascii="Times New Roman" w:hAnsi="Times New Roman" w:cs="Times New Roman"/>
          <w:color w:val="000000" w:themeColor="text1"/>
          <w:shd w:val="clear" w:color="auto" w:fill="FFFFFF"/>
        </w:rPr>
        <w:t>The authors are grateful to the Misitry of Environment of Indonesia, UNOPS and  the Center for Coastal and Marine Resources Studies, IPB University (PKSPL IPB), Indonesia,   that provided the research facilities and  funding, especially during data collection processes including Focus Group Discussion in Bintan and Pontianak</w:t>
      </w:r>
      <w:r w:rsidRPr="004567DB">
        <w:rPr>
          <w:color w:val="000000" w:themeColor="text1"/>
          <w:shd w:val="clear" w:color="auto" w:fill="FFFFFF"/>
        </w:rPr>
        <w:t>.</w:t>
      </w:r>
    </w:p>
    <w:p w14:paraId="1C9E9BA8" w14:textId="0FEDFDDB" w:rsidR="006A1A0B" w:rsidRPr="0092522E" w:rsidRDefault="006A1A0B" w:rsidP="0092522E">
      <w:pPr>
        <w:pStyle w:val="BodyText"/>
        <w:spacing w:before="188"/>
        <w:outlineLvl w:val="1"/>
        <w:rPr>
          <w:rFonts w:ascii="Times New Roman" w:hAnsi="Times New Roman" w:cs="Times New Roman"/>
          <w:b/>
          <w:bCs/>
          <w:color w:val="0070C0"/>
        </w:rPr>
      </w:pPr>
      <w:bookmarkStart w:id="52" w:name="_Toc217297544"/>
      <w:r w:rsidRPr="006A1A0B">
        <w:rPr>
          <w:rFonts w:ascii="Times New Roman" w:hAnsi="Times New Roman" w:cs="Times New Roman"/>
          <w:b/>
          <w:bCs/>
          <w:color w:val="0070C0"/>
        </w:rPr>
        <w:lastRenderedPageBreak/>
        <w:t>R</w:t>
      </w:r>
      <w:r w:rsidR="00F05CEC">
        <w:rPr>
          <w:rFonts w:ascii="Times New Roman" w:hAnsi="Times New Roman" w:cs="Times New Roman"/>
          <w:b/>
          <w:bCs/>
          <w:color w:val="0070C0"/>
        </w:rPr>
        <w:t>eferences</w:t>
      </w:r>
      <w:bookmarkEnd w:id="52"/>
    </w:p>
    <w:p w14:paraId="137B20A3" w14:textId="0E6D929F"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Adrianto L, Matsuda Y, Sakurai Y. 2019. Marine policy and coastal governance in Indonesia. </w:t>
      </w:r>
      <w:r w:rsidRPr="004567DB">
        <w:rPr>
          <w:rFonts w:ascii="Times New Roman" w:hAnsi="Times New Roman" w:cs="Times New Roman"/>
          <w:i/>
          <w:iCs/>
          <w:sz w:val="22"/>
          <w:szCs w:val="22"/>
        </w:rPr>
        <w:t>Marine Policy</w:t>
      </w:r>
      <w:r w:rsidRPr="004567DB">
        <w:rPr>
          <w:rFonts w:ascii="Times New Roman" w:hAnsi="Times New Roman" w:cs="Times New Roman"/>
          <w:sz w:val="22"/>
          <w:szCs w:val="22"/>
        </w:rPr>
        <w:t xml:space="preserve">. 109:103671. </w:t>
      </w:r>
      <w:hyperlink r:id="rId40" w:history="1">
        <w:r w:rsidRPr="004567DB">
          <w:rPr>
            <w:rStyle w:val="Hyperlink"/>
            <w:rFonts w:ascii="Times New Roman" w:hAnsi="Times New Roman" w:cs="Times New Roman"/>
            <w:sz w:val="22"/>
            <w:szCs w:val="22"/>
          </w:rPr>
          <w:t>https://doi.org/10.1016/j.marpol.2019.103671</w:t>
        </w:r>
      </w:hyperlink>
    </w:p>
    <w:p w14:paraId="759FD00C"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Baiquni M, Widianingsih NN, Nurlaili. </w:t>
      </w:r>
      <w:r w:rsidRPr="004567DB">
        <w:rPr>
          <w:rFonts w:ascii="Times New Roman" w:hAnsi="Times New Roman" w:cs="Times New Roman"/>
          <w:sz w:val="22"/>
          <w:szCs w:val="22"/>
          <w:lang w:val="it-IT"/>
        </w:rPr>
        <w:t xml:space="preserve">2021. Pengelolaan wilayah pesisir terpadu: Tantangan dan strategi pembangunan berkelanjutan di Indonesia. </w:t>
      </w:r>
      <w:r w:rsidRPr="004567DB">
        <w:rPr>
          <w:rFonts w:ascii="Times New Roman" w:hAnsi="Times New Roman" w:cs="Times New Roman"/>
          <w:i/>
          <w:iCs/>
          <w:sz w:val="22"/>
          <w:szCs w:val="22"/>
        </w:rPr>
        <w:t>Jurnal Pembangunan Wilayah &amp; Kota</w:t>
      </w:r>
      <w:r w:rsidRPr="004567DB">
        <w:rPr>
          <w:rFonts w:ascii="Times New Roman" w:hAnsi="Times New Roman" w:cs="Times New Roman"/>
          <w:sz w:val="22"/>
          <w:szCs w:val="22"/>
        </w:rPr>
        <w:t xml:space="preserve">, 17(3):201–214. </w:t>
      </w:r>
      <w:hyperlink r:id="rId41" w:history="1">
        <w:r w:rsidRPr="004567DB">
          <w:rPr>
            <w:rStyle w:val="Hyperlink"/>
            <w:rFonts w:ascii="Times New Roman" w:hAnsi="Times New Roman" w:cs="Times New Roman"/>
            <w:sz w:val="22"/>
            <w:szCs w:val="22"/>
          </w:rPr>
          <w:t>https://doi.org/10.14710/pwk.v17i3.31516</w:t>
        </w:r>
      </w:hyperlink>
    </w:p>
    <w:p w14:paraId="0EFD5D77" w14:textId="77777777" w:rsidR="006A1A0B" w:rsidRPr="004567DB" w:rsidRDefault="006A1A0B" w:rsidP="004567DB">
      <w:pPr>
        <w:ind w:left="630" w:hanging="630"/>
        <w:jc w:val="both"/>
        <w:rPr>
          <w:rFonts w:ascii="Times New Roman" w:hAnsi="Times New Roman" w:cs="Times New Roman"/>
          <w:b/>
          <w:bCs/>
          <w:sz w:val="22"/>
          <w:szCs w:val="22"/>
        </w:rPr>
      </w:pPr>
      <w:r w:rsidRPr="004567DB">
        <w:rPr>
          <w:rFonts w:ascii="Times New Roman" w:hAnsi="Times New Roman" w:cs="Times New Roman"/>
          <w:sz w:val="22"/>
          <w:szCs w:val="22"/>
        </w:rPr>
        <w:t xml:space="preserve">Basconcillo B, Moon IJ, Wang B, Mistry M. 2021. Possible influence of the warm pool ITCZ on compound climate extremes during the boreal summer. </w:t>
      </w:r>
      <w:r w:rsidRPr="004567DB">
        <w:rPr>
          <w:rFonts w:ascii="Times New Roman" w:hAnsi="Times New Roman" w:cs="Times New Roman"/>
          <w:i/>
          <w:iCs/>
          <w:sz w:val="22"/>
          <w:szCs w:val="22"/>
        </w:rPr>
        <w:t>Environ Res Lett</w:t>
      </w:r>
      <w:r w:rsidRPr="004567DB">
        <w:rPr>
          <w:rFonts w:ascii="Times New Roman" w:hAnsi="Times New Roman" w:cs="Times New Roman"/>
          <w:sz w:val="22"/>
          <w:szCs w:val="22"/>
        </w:rPr>
        <w:t>.;16(11):Article 114039</w:t>
      </w:r>
    </w:p>
    <w:p w14:paraId="28F75082"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Béné C. 2016. Contribution of Fisheries and Aquaculture to Food Security and Poverty Reduction: Assessing the Current Evidence. </w:t>
      </w:r>
      <w:r w:rsidRPr="004567DB">
        <w:rPr>
          <w:rFonts w:ascii="Times New Roman" w:hAnsi="Times New Roman" w:cs="Times New Roman"/>
          <w:i/>
          <w:iCs/>
          <w:sz w:val="22"/>
          <w:szCs w:val="22"/>
        </w:rPr>
        <w:t>World Development</w:t>
      </w:r>
      <w:r w:rsidRPr="004567DB">
        <w:rPr>
          <w:rFonts w:ascii="Times New Roman" w:hAnsi="Times New Roman" w:cs="Times New Roman"/>
          <w:sz w:val="22"/>
          <w:szCs w:val="22"/>
        </w:rPr>
        <w:t>. 79:177–196.</w:t>
      </w:r>
    </w:p>
    <w:p w14:paraId="32D8607F"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BPS. 2021. Statistik Indonesia 2021. Jakarta: BPS. Retrieved from https://www.bps.go.id</w:t>
      </w:r>
    </w:p>
    <w:p w14:paraId="31FAB6BD" w14:textId="77777777" w:rsidR="006A1A0B" w:rsidRPr="004567DB" w:rsidRDefault="006A1A0B" w:rsidP="004567DB">
      <w:pPr>
        <w:ind w:left="630" w:hanging="630"/>
        <w:jc w:val="both"/>
        <w:rPr>
          <w:rFonts w:ascii="Times New Roman" w:hAnsi="Times New Roman" w:cs="Times New Roman"/>
          <w:sz w:val="22"/>
          <w:szCs w:val="22"/>
          <w:lang w:val="it-IT"/>
        </w:rPr>
      </w:pPr>
      <w:r w:rsidRPr="004567DB">
        <w:rPr>
          <w:rFonts w:ascii="Times New Roman" w:hAnsi="Times New Roman" w:cs="Times New Roman"/>
          <w:sz w:val="22"/>
          <w:szCs w:val="22"/>
        </w:rPr>
        <w:t xml:space="preserve">Cinner JE, Barnes ML. 2019. Social dimensions of resilience in social-ecological systems. </w:t>
      </w:r>
      <w:r w:rsidRPr="004567DB">
        <w:rPr>
          <w:rFonts w:ascii="Times New Roman" w:hAnsi="Times New Roman" w:cs="Times New Roman"/>
          <w:i/>
          <w:iCs/>
          <w:sz w:val="22"/>
          <w:szCs w:val="22"/>
          <w:lang w:val="it-IT"/>
        </w:rPr>
        <w:t>One Earth</w:t>
      </w:r>
      <w:r w:rsidRPr="004567DB">
        <w:rPr>
          <w:rFonts w:ascii="Times New Roman" w:hAnsi="Times New Roman" w:cs="Times New Roman"/>
          <w:sz w:val="22"/>
          <w:szCs w:val="22"/>
          <w:lang w:val="it-IT"/>
        </w:rPr>
        <w:t xml:space="preserve">. 1(1):51–56. </w:t>
      </w:r>
      <w:hyperlink r:id="rId42" w:history="1">
        <w:r w:rsidRPr="004567DB">
          <w:rPr>
            <w:rStyle w:val="Hyperlink"/>
            <w:rFonts w:ascii="Times New Roman" w:hAnsi="Times New Roman" w:cs="Times New Roman"/>
            <w:sz w:val="22"/>
            <w:szCs w:val="22"/>
            <w:lang w:val="it-IT"/>
          </w:rPr>
          <w:t>https://doi.org/10.1016/j.oneear.2019.08.003</w:t>
        </w:r>
      </w:hyperlink>
    </w:p>
    <w:p w14:paraId="7A4138E3"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lang w:val="it-IT"/>
        </w:rPr>
        <w:t xml:space="preserve">Cisneros MAH, Sarmiento NVR, Delrieux CA, Piccolo MC, Perillo GM, 2016. </w:t>
      </w:r>
      <w:r w:rsidRPr="004567DB">
        <w:rPr>
          <w:rFonts w:ascii="Times New Roman" w:hAnsi="Times New Roman" w:cs="Times New Roman"/>
          <w:sz w:val="22"/>
          <w:szCs w:val="22"/>
        </w:rPr>
        <w:t>Beach carrying capacity assessment through image processing tools for coastal management. Ocean &amp; Coastal Management. 130: 138-147.</w:t>
      </w:r>
    </w:p>
    <w:p w14:paraId="33306091"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Diemer A, Iammarino S, Rodríguez-Pose PA, Storper M. 2022. The Regional Development Trap in Europe. </w:t>
      </w:r>
      <w:r w:rsidRPr="004567DB">
        <w:rPr>
          <w:rFonts w:ascii="Times New Roman" w:hAnsi="Times New Roman" w:cs="Times New Roman"/>
          <w:i/>
          <w:iCs/>
          <w:sz w:val="22"/>
          <w:szCs w:val="22"/>
        </w:rPr>
        <w:t>Economic Geography.8</w:t>
      </w:r>
      <w:r w:rsidRPr="004567DB">
        <w:rPr>
          <w:rFonts w:ascii="Times New Roman" w:hAnsi="Times New Roman" w:cs="Times New Roman"/>
          <w:sz w:val="22"/>
          <w:szCs w:val="22"/>
        </w:rPr>
        <w:t>(5):487–509.</w:t>
      </w:r>
    </w:p>
    <w:p w14:paraId="61F55724"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FAO. 2020. </w:t>
      </w:r>
      <w:r w:rsidRPr="004567DB">
        <w:rPr>
          <w:rFonts w:ascii="Times New Roman" w:hAnsi="Times New Roman" w:cs="Times New Roman"/>
          <w:i/>
          <w:iCs/>
          <w:sz w:val="22"/>
          <w:szCs w:val="22"/>
        </w:rPr>
        <w:t>Gender and Fisheries: Do women count?</w:t>
      </w:r>
      <w:r w:rsidRPr="004567DB">
        <w:rPr>
          <w:rFonts w:ascii="Times New Roman" w:hAnsi="Times New Roman" w:cs="Times New Roman"/>
          <w:sz w:val="22"/>
          <w:szCs w:val="22"/>
        </w:rPr>
        <w:t>. Rome: Food and Agriculture Organization of the United Nations.</w:t>
      </w:r>
    </w:p>
    <w:p w14:paraId="1C1CF053"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FAO. 2022. </w:t>
      </w:r>
      <w:r w:rsidRPr="004567DB">
        <w:rPr>
          <w:rFonts w:ascii="Times New Roman" w:hAnsi="Times New Roman" w:cs="Times New Roman"/>
          <w:i/>
          <w:iCs/>
          <w:sz w:val="22"/>
          <w:szCs w:val="22"/>
        </w:rPr>
        <w:t>The State of World Fisheries and Aquaculture 2022</w:t>
      </w:r>
      <w:r w:rsidRPr="004567DB">
        <w:rPr>
          <w:rFonts w:ascii="Times New Roman" w:hAnsi="Times New Roman" w:cs="Times New Roman"/>
          <w:sz w:val="22"/>
          <w:szCs w:val="22"/>
        </w:rPr>
        <w:t>. Rome: FAO</w:t>
      </w:r>
    </w:p>
    <w:p w14:paraId="1D3C5760"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Fields GS. 2019. </w:t>
      </w:r>
      <w:r w:rsidRPr="004567DB">
        <w:rPr>
          <w:rFonts w:ascii="Times New Roman" w:hAnsi="Times New Roman" w:cs="Times New Roman"/>
          <w:i/>
          <w:iCs/>
          <w:sz w:val="22"/>
          <w:szCs w:val="22"/>
        </w:rPr>
        <w:t>Employment and Development: How Work Can Lead to Better Living Standards</w:t>
      </w:r>
      <w:r w:rsidRPr="004567DB">
        <w:rPr>
          <w:rFonts w:ascii="Times New Roman" w:hAnsi="Times New Roman" w:cs="Times New Roman"/>
          <w:sz w:val="22"/>
          <w:szCs w:val="22"/>
        </w:rPr>
        <w:t>. Oxford: Oxford University Press.</w:t>
      </w:r>
    </w:p>
    <w:p w14:paraId="2EF0D2B2"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Folke, C, Biggs R, Norström AV, Reyers B, Rockström J. 2016. Social-ecological resilience and biosphere-based sustainability science. </w:t>
      </w:r>
      <w:r w:rsidRPr="004567DB">
        <w:rPr>
          <w:rFonts w:ascii="Times New Roman" w:hAnsi="Times New Roman" w:cs="Times New Roman"/>
          <w:i/>
          <w:iCs/>
          <w:sz w:val="22"/>
          <w:szCs w:val="22"/>
        </w:rPr>
        <w:t>Ecology and Society</w:t>
      </w:r>
      <w:r w:rsidRPr="004567DB">
        <w:rPr>
          <w:rFonts w:ascii="Times New Roman" w:hAnsi="Times New Roman" w:cs="Times New Roman"/>
          <w:sz w:val="22"/>
          <w:szCs w:val="22"/>
        </w:rPr>
        <w:t xml:space="preserve">. 21(3):41. </w:t>
      </w:r>
      <w:hyperlink r:id="rId43" w:history="1">
        <w:r w:rsidRPr="004567DB">
          <w:rPr>
            <w:rStyle w:val="Hyperlink"/>
            <w:rFonts w:ascii="Times New Roman" w:hAnsi="Times New Roman" w:cs="Times New Roman"/>
            <w:sz w:val="22"/>
            <w:szCs w:val="22"/>
          </w:rPr>
          <w:t>https://doi.org/10.5751/ES-08748-210341</w:t>
        </w:r>
      </w:hyperlink>
    </w:p>
    <w:p w14:paraId="67CFC1D1"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Gupta J, Vegelin C. 2016. Sustainable development goals and inclusive development. </w:t>
      </w:r>
      <w:r w:rsidRPr="004567DB">
        <w:rPr>
          <w:rFonts w:ascii="Times New Roman" w:hAnsi="Times New Roman" w:cs="Times New Roman"/>
          <w:i/>
          <w:iCs/>
          <w:sz w:val="22"/>
          <w:szCs w:val="22"/>
        </w:rPr>
        <w:t>International Environmental Agreements: Politics, Law and Economics</w:t>
      </w:r>
      <w:r w:rsidRPr="004567DB">
        <w:rPr>
          <w:rFonts w:ascii="Times New Roman" w:hAnsi="Times New Roman" w:cs="Times New Roman"/>
          <w:sz w:val="22"/>
          <w:szCs w:val="22"/>
        </w:rPr>
        <w:t xml:space="preserve">, 16:433–448. </w:t>
      </w:r>
      <w:hyperlink r:id="rId44" w:history="1">
        <w:r w:rsidRPr="004567DB">
          <w:rPr>
            <w:rStyle w:val="Hyperlink"/>
            <w:rFonts w:ascii="Times New Roman" w:hAnsi="Times New Roman" w:cs="Times New Roman"/>
            <w:sz w:val="22"/>
            <w:szCs w:val="22"/>
          </w:rPr>
          <w:t>https://doi.org/10.1007/s10784-016-9323-z</w:t>
        </w:r>
      </w:hyperlink>
    </w:p>
    <w:p w14:paraId="284B4FE2"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Hishamunda N, Ridler N. 2014. </w:t>
      </w:r>
      <w:r w:rsidRPr="004567DB">
        <w:rPr>
          <w:rFonts w:ascii="Times New Roman" w:hAnsi="Times New Roman" w:cs="Times New Roman"/>
          <w:i/>
          <w:iCs/>
          <w:sz w:val="22"/>
          <w:szCs w:val="22"/>
        </w:rPr>
        <w:t>Policy frameworks for sustainable aquaculture development</w:t>
      </w:r>
      <w:r w:rsidRPr="004567DB">
        <w:rPr>
          <w:rFonts w:ascii="Times New Roman" w:hAnsi="Times New Roman" w:cs="Times New Roman"/>
          <w:sz w:val="22"/>
          <w:szCs w:val="22"/>
        </w:rPr>
        <w:t>. Fisheries and Aquaculture Technical Paper. Rome: FAO.</w:t>
      </w:r>
    </w:p>
    <w:p w14:paraId="6C446C96"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Ibrahim I, Sulista S, Pratama S. 2022. Struggling for power over the Bangka coast: Tin amongst the vortex of companies, the state, and residents. </w:t>
      </w:r>
      <w:r w:rsidRPr="004567DB">
        <w:rPr>
          <w:rFonts w:ascii="Times New Roman" w:hAnsi="Times New Roman" w:cs="Times New Roman"/>
          <w:i/>
          <w:iCs/>
          <w:sz w:val="22"/>
          <w:szCs w:val="22"/>
        </w:rPr>
        <w:t>Society</w:t>
      </w:r>
      <w:r w:rsidRPr="004567DB">
        <w:rPr>
          <w:rFonts w:ascii="Times New Roman" w:hAnsi="Times New Roman" w:cs="Times New Roman"/>
          <w:sz w:val="22"/>
          <w:szCs w:val="22"/>
        </w:rPr>
        <w:t xml:space="preserve">. </w:t>
      </w:r>
      <w:hyperlink r:id="rId45" w:history="1">
        <w:r w:rsidRPr="004567DB">
          <w:rPr>
            <w:rStyle w:val="Hyperlink"/>
            <w:rFonts w:ascii="Times New Roman" w:hAnsi="Times New Roman" w:cs="Times New Roman"/>
            <w:sz w:val="22"/>
            <w:szCs w:val="22"/>
          </w:rPr>
          <w:t>https://doi.org/10.1016/j.exis.2022.101055</w:t>
        </w:r>
      </w:hyperlink>
      <w:r w:rsidRPr="004567DB">
        <w:rPr>
          <w:rStyle w:val="Hyperlink"/>
          <w:rFonts w:ascii="Times New Roman" w:hAnsi="Times New Roman" w:cs="Times New Roman"/>
          <w:sz w:val="22"/>
          <w:szCs w:val="22"/>
        </w:rPr>
        <w:t>.</w:t>
      </w:r>
    </w:p>
    <w:p w14:paraId="1806AE61"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ILO. 2022. </w:t>
      </w:r>
      <w:r w:rsidRPr="004567DB">
        <w:rPr>
          <w:rFonts w:ascii="Times New Roman" w:hAnsi="Times New Roman" w:cs="Times New Roman"/>
          <w:i/>
          <w:iCs/>
          <w:sz w:val="22"/>
          <w:szCs w:val="22"/>
        </w:rPr>
        <w:t>Global Wage Report 2022–2023: The Impact of Inflation and COVID-19 on Wages and Purchasing Power</w:t>
      </w:r>
      <w:r w:rsidRPr="004567DB">
        <w:rPr>
          <w:rFonts w:ascii="Times New Roman" w:hAnsi="Times New Roman" w:cs="Times New Roman"/>
          <w:sz w:val="22"/>
          <w:szCs w:val="22"/>
        </w:rPr>
        <w:t>. Geneva: International Labour Organization.</w:t>
      </w:r>
    </w:p>
    <w:p w14:paraId="535C8AB1"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Kanbur R, Venables AJ. 2005. Spatial inequality and development. </w:t>
      </w:r>
      <w:r w:rsidRPr="004567DB">
        <w:rPr>
          <w:rFonts w:ascii="Times New Roman" w:hAnsi="Times New Roman" w:cs="Times New Roman"/>
          <w:i/>
          <w:iCs/>
          <w:sz w:val="22"/>
          <w:szCs w:val="22"/>
        </w:rPr>
        <w:t>Oxford University Press</w:t>
      </w:r>
      <w:r w:rsidRPr="004567DB">
        <w:rPr>
          <w:rFonts w:ascii="Times New Roman" w:hAnsi="Times New Roman" w:cs="Times New Roman"/>
          <w:sz w:val="22"/>
          <w:szCs w:val="22"/>
        </w:rPr>
        <w:t>.</w:t>
      </w:r>
    </w:p>
    <w:p w14:paraId="20417EC5"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Neumann B, Vafeidis AT, Zimmermann J. Nicholls RJ. 2015. Future coastal population growth and exposure to sea-level rise and coastal flooding—a global assessment. </w:t>
      </w:r>
      <w:r w:rsidRPr="004567DB">
        <w:rPr>
          <w:rFonts w:ascii="Times New Roman" w:hAnsi="Times New Roman" w:cs="Times New Roman"/>
          <w:i/>
          <w:iCs/>
          <w:sz w:val="22"/>
          <w:szCs w:val="22"/>
        </w:rPr>
        <w:t>PLOS ONE</w:t>
      </w:r>
      <w:r w:rsidRPr="004567DB">
        <w:rPr>
          <w:rFonts w:ascii="Times New Roman" w:hAnsi="Times New Roman" w:cs="Times New Roman"/>
          <w:sz w:val="22"/>
          <w:szCs w:val="22"/>
        </w:rPr>
        <w:t xml:space="preserve">:10(3), e0118571. </w:t>
      </w:r>
      <w:hyperlink r:id="rId46" w:history="1">
        <w:r w:rsidRPr="004567DB">
          <w:rPr>
            <w:rStyle w:val="Hyperlink"/>
            <w:rFonts w:ascii="Times New Roman" w:hAnsi="Times New Roman" w:cs="Times New Roman"/>
            <w:sz w:val="22"/>
            <w:szCs w:val="22"/>
          </w:rPr>
          <w:t>https://doi.org/10.1371/journal.pone.0118571</w:t>
        </w:r>
      </w:hyperlink>
    </w:p>
    <w:p w14:paraId="0BA91693"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Nurhidayah L, McIlgorm A, Amaral P. 2023. Implementation of the blue economy in coastal regions: Lessons for Indonesia. </w:t>
      </w:r>
      <w:r w:rsidRPr="004567DB">
        <w:rPr>
          <w:rFonts w:ascii="Times New Roman" w:hAnsi="Times New Roman" w:cs="Times New Roman"/>
          <w:i/>
          <w:iCs/>
          <w:sz w:val="22"/>
          <w:szCs w:val="22"/>
        </w:rPr>
        <w:t>Ocean &amp; Coastal Management</w:t>
      </w:r>
      <w:r w:rsidRPr="004567DB">
        <w:rPr>
          <w:rFonts w:ascii="Times New Roman" w:hAnsi="Times New Roman" w:cs="Times New Roman"/>
          <w:sz w:val="22"/>
          <w:szCs w:val="22"/>
        </w:rPr>
        <w:t xml:space="preserve">.234:106453. </w:t>
      </w:r>
    </w:p>
    <w:p w14:paraId="70D3B20F"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Psacharopoulos G, Patrinos HA. 2018. Returns to investment in education: A decennial review of the global literature. </w:t>
      </w:r>
      <w:r w:rsidRPr="004567DB">
        <w:rPr>
          <w:rFonts w:ascii="Times New Roman" w:hAnsi="Times New Roman" w:cs="Times New Roman"/>
          <w:i/>
          <w:iCs/>
          <w:sz w:val="22"/>
          <w:szCs w:val="22"/>
        </w:rPr>
        <w:t>Education Economics</w:t>
      </w:r>
      <w:r w:rsidRPr="004567DB">
        <w:rPr>
          <w:rFonts w:ascii="Times New Roman" w:hAnsi="Times New Roman" w:cs="Times New Roman"/>
          <w:sz w:val="22"/>
          <w:szCs w:val="22"/>
        </w:rPr>
        <w:t xml:space="preserve">, 26(5):445–458. </w:t>
      </w:r>
      <w:hyperlink r:id="rId47" w:history="1">
        <w:r w:rsidRPr="004567DB">
          <w:rPr>
            <w:rStyle w:val="Hyperlink"/>
            <w:rFonts w:ascii="Times New Roman" w:hAnsi="Times New Roman" w:cs="Times New Roman"/>
            <w:sz w:val="22"/>
            <w:szCs w:val="22"/>
          </w:rPr>
          <w:t>https://doi.org/10.1080/09645292.2018.1484426</w:t>
        </w:r>
      </w:hyperlink>
    </w:p>
    <w:p w14:paraId="0462CD2F" w14:textId="77777777" w:rsidR="006A1A0B" w:rsidRPr="004567DB" w:rsidRDefault="006A1A0B" w:rsidP="004567DB">
      <w:pPr>
        <w:ind w:left="630" w:hanging="630"/>
        <w:jc w:val="both"/>
        <w:rPr>
          <w:rFonts w:ascii="Times New Roman" w:hAnsi="Times New Roman" w:cs="Times New Roman"/>
          <w:sz w:val="22"/>
          <w:szCs w:val="22"/>
          <w:lang w:val="it-IT"/>
        </w:rPr>
      </w:pPr>
      <w:r w:rsidRPr="004567DB">
        <w:rPr>
          <w:rFonts w:ascii="Times New Roman" w:hAnsi="Times New Roman" w:cs="Times New Roman"/>
          <w:sz w:val="22"/>
          <w:szCs w:val="22"/>
          <w:lang w:val="de-DE"/>
        </w:rPr>
        <w:t xml:space="preserve">Rahman MM, Hassan M, Islam MA. 2020. </w:t>
      </w:r>
      <w:r w:rsidRPr="004567DB">
        <w:rPr>
          <w:rFonts w:ascii="Times New Roman" w:hAnsi="Times New Roman" w:cs="Times New Roman"/>
          <w:sz w:val="22"/>
          <w:szCs w:val="22"/>
        </w:rPr>
        <w:t xml:space="preserve">Coastal vulnerability, migration, and adaptation: A case study from Bangladesh. </w:t>
      </w:r>
      <w:r w:rsidRPr="004567DB">
        <w:rPr>
          <w:rFonts w:ascii="Times New Roman" w:hAnsi="Times New Roman" w:cs="Times New Roman"/>
          <w:i/>
          <w:iCs/>
          <w:sz w:val="22"/>
          <w:szCs w:val="22"/>
          <w:lang w:val="it-IT"/>
        </w:rPr>
        <w:t>Sustainability</w:t>
      </w:r>
      <w:r w:rsidRPr="004567DB">
        <w:rPr>
          <w:rFonts w:ascii="Times New Roman" w:hAnsi="Times New Roman" w:cs="Times New Roman"/>
          <w:sz w:val="22"/>
          <w:szCs w:val="22"/>
          <w:lang w:val="it-IT"/>
        </w:rPr>
        <w:t xml:space="preserve">. 12(12): 5086. </w:t>
      </w:r>
      <w:hyperlink r:id="rId48" w:history="1">
        <w:r w:rsidRPr="004567DB">
          <w:rPr>
            <w:rStyle w:val="Hyperlink"/>
            <w:rFonts w:ascii="Times New Roman" w:hAnsi="Times New Roman" w:cs="Times New Roman"/>
            <w:sz w:val="22"/>
            <w:szCs w:val="22"/>
            <w:lang w:val="it-IT"/>
          </w:rPr>
          <w:t>https://doi.org/10.3390/su12125086</w:t>
        </w:r>
      </w:hyperlink>
    </w:p>
    <w:p w14:paraId="5D662E8F"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lang w:val="it-IT"/>
        </w:rPr>
        <w:t xml:space="preserve">Setiawan A, Wicaksono R, Kusumastanto T. 2021. </w:t>
      </w:r>
      <w:r w:rsidRPr="004567DB">
        <w:rPr>
          <w:rFonts w:ascii="Times New Roman" w:hAnsi="Times New Roman" w:cs="Times New Roman"/>
          <w:sz w:val="22"/>
          <w:szCs w:val="22"/>
        </w:rPr>
        <w:t xml:space="preserve">Spatial inequality in Indonesian coastal development: Challenges and opportunities. </w:t>
      </w:r>
      <w:r w:rsidRPr="004567DB">
        <w:rPr>
          <w:rFonts w:ascii="Times New Roman" w:hAnsi="Times New Roman" w:cs="Times New Roman"/>
          <w:i/>
          <w:iCs/>
          <w:sz w:val="22"/>
          <w:szCs w:val="22"/>
        </w:rPr>
        <w:t>Indonesian Journal of Geography</w:t>
      </w:r>
      <w:r w:rsidRPr="004567DB">
        <w:rPr>
          <w:rFonts w:ascii="Times New Roman" w:hAnsi="Times New Roman" w:cs="Times New Roman"/>
          <w:sz w:val="22"/>
          <w:szCs w:val="22"/>
        </w:rPr>
        <w:t xml:space="preserve">, 53(2):210–223. </w:t>
      </w:r>
      <w:hyperlink r:id="rId49" w:history="1">
        <w:r w:rsidRPr="004567DB">
          <w:rPr>
            <w:rStyle w:val="Hyperlink"/>
            <w:rFonts w:ascii="Times New Roman" w:hAnsi="Times New Roman" w:cs="Times New Roman"/>
            <w:sz w:val="22"/>
            <w:szCs w:val="22"/>
          </w:rPr>
          <w:t>https://doi.org/10.22146/ijg.65432</w:t>
        </w:r>
      </w:hyperlink>
    </w:p>
    <w:p w14:paraId="3414FD6A" w14:textId="77777777" w:rsidR="006A1A0B" w:rsidRPr="004567DB" w:rsidRDefault="006A1A0B" w:rsidP="004567DB">
      <w:pPr>
        <w:ind w:left="630" w:hanging="630"/>
        <w:jc w:val="both"/>
        <w:rPr>
          <w:rFonts w:ascii="Times New Roman" w:hAnsi="Times New Roman" w:cs="Times New Roman"/>
          <w:b/>
          <w:bCs/>
          <w:sz w:val="22"/>
          <w:szCs w:val="22"/>
        </w:rPr>
      </w:pPr>
      <w:r w:rsidRPr="004567DB">
        <w:rPr>
          <w:rFonts w:ascii="Times New Roman" w:hAnsi="Times New Roman" w:cs="Times New Roman"/>
          <w:sz w:val="22"/>
          <w:szCs w:val="22"/>
        </w:rPr>
        <w:t>Silvius MJ, Noor YR, Lubis IR, Giesen W, Rais D. 2018. Sembilang National Park: Mangrove Reserves of Indonesia. Springer</w:t>
      </w:r>
      <w:r w:rsidRPr="004567DB">
        <w:rPr>
          <w:rFonts w:ascii="Times New Roman" w:hAnsi="Times New Roman" w:cs="Times New Roman"/>
          <w:b/>
          <w:bCs/>
          <w:sz w:val="22"/>
          <w:szCs w:val="22"/>
        </w:rPr>
        <w:t xml:space="preserve">.  </w:t>
      </w:r>
      <w:hyperlink r:id="rId50" w:tgtFrame="_blank" w:history="1">
        <w:r w:rsidRPr="004567DB">
          <w:rPr>
            <w:rStyle w:val="Hyperlink"/>
            <w:rFonts w:ascii="Times New Roman" w:hAnsi="Times New Roman" w:cs="Times New Roman"/>
            <w:sz w:val="22"/>
            <w:szCs w:val="22"/>
          </w:rPr>
          <w:t>10.1007/978-94-007-4001-3_213</w:t>
        </w:r>
      </w:hyperlink>
      <w:r w:rsidRPr="004567DB">
        <w:rPr>
          <w:rStyle w:val="Hyperlink"/>
          <w:rFonts w:ascii="Times New Roman" w:hAnsi="Times New Roman" w:cs="Times New Roman"/>
          <w:sz w:val="22"/>
          <w:szCs w:val="22"/>
        </w:rPr>
        <w:t>.</w:t>
      </w:r>
    </w:p>
    <w:p w14:paraId="244AA0B4"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Smith N. 2016. Urbanization in the coastal zone: Impacts and implications. </w:t>
      </w:r>
      <w:r w:rsidRPr="004567DB">
        <w:rPr>
          <w:rFonts w:ascii="Times New Roman" w:hAnsi="Times New Roman" w:cs="Times New Roman"/>
          <w:i/>
          <w:iCs/>
          <w:sz w:val="22"/>
          <w:szCs w:val="22"/>
        </w:rPr>
        <w:t>Ocean &amp; Coastal Management</w:t>
      </w:r>
      <w:r w:rsidRPr="004567DB">
        <w:rPr>
          <w:rFonts w:ascii="Times New Roman" w:hAnsi="Times New Roman" w:cs="Times New Roman"/>
          <w:sz w:val="22"/>
          <w:szCs w:val="22"/>
        </w:rPr>
        <w:t>. 125:1–8. https://doi.org/10.1016/j.ocecoaman.2016.02.003</w:t>
      </w:r>
    </w:p>
    <w:p w14:paraId="5E03E105"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lastRenderedPageBreak/>
        <w:t xml:space="preserve">Suharto R, Pribadi A, Kusuma H. 2022. Pendidikan dan pembangunan wilayah pesisir: Tantangan pemerataan akses di Indonesia Timur. </w:t>
      </w:r>
      <w:r w:rsidRPr="004567DB">
        <w:rPr>
          <w:rFonts w:ascii="Times New Roman" w:hAnsi="Times New Roman" w:cs="Times New Roman"/>
          <w:i/>
          <w:iCs/>
          <w:sz w:val="22"/>
          <w:szCs w:val="22"/>
        </w:rPr>
        <w:t>Jurnal Pembangunan Daerah</w:t>
      </w:r>
      <w:r w:rsidRPr="004567DB">
        <w:rPr>
          <w:rFonts w:ascii="Times New Roman" w:hAnsi="Times New Roman" w:cs="Times New Roman"/>
          <w:sz w:val="22"/>
          <w:szCs w:val="22"/>
        </w:rPr>
        <w:t xml:space="preserve">. 10(2):115–128. </w:t>
      </w:r>
      <w:hyperlink r:id="rId51" w:history="1">
        <w:r w:rsidRPr="004567DB">
          <w:rPr>
            <w:rStyle w:val="Hyperlink"/>
            <w:rFonts w:ascii="Times New Roman" w:hAnsi="Times New Roman" w:cs="Times New Roman"/>
            <w:sz w:val="22"/>
            <w:szCs w:val="22"/>
          </w:rPr>
          <w:t>https://doi.org/10.56083/jpd.v10i2.534</w:t>
        </w:r>
      </w:hyperlink>
    </w:p>
    <w:p w14:paraId="55DC6F88"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Todaro MP, Smit SC. 2020. Economic Development (13th ed.). Harlow: Pearson Education Limited. </w:t>
      </w:r>
      <w:hyperlink r:id="rId52" w:history="1">
        <w:r w:rsidRPr="004567DB">
          <w:rPr>
            <w:rStyle w:val="Hyperlink"/>
            <w:rFonts w:ascii="Times New Roman" w:hAnsi="Times New Roman" w:cs="Times New Roman"/>
            <w:b/>
            <w:bCs/>
            <w:sz w:val="22"/>
            <w:szCs w:val="22"/>
          </w:rPr>
          <w:t>https://www.indonesia-tourism.com/index.php</w:t>
        </w:r>
      </w:hyperlink>
      <w:r w:rsidRPr="004567DB">
        <w:rPr>
          <w:rStyle w:val="Hyperlink"/>
          <w:rFonts w:ascii="Times New Roman" w:hAnsi="Times New Roman" w:cs="Times New Roman"/>
          <w:b/>
          <w:bCs/>
          <w:sz w:val="22"/>
          <w:szCs w:val="22"/>
        </w:rPr>
        <w:t>.</w:t>
      </w:r>
    </w:p>
    <w:p w14:paraId="04AF91C5"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United Nations. 2019. World Population Prospects 2019. New York: United Nations Department of Economic and Social Affairs, Population Division.</w:t>
      </w:r>
    </w:p>
    <w:p w14:paraId="5E77F27B"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Weeks JR. 2015. </w:t>
      </w:r>
      <w:r w:rsidRPr="004567DB">
        <w:rPr>
          <w:rFonts w:ascii="Times New Roman" w:hAnsi="Times New Roman" w:cs="Times New Roman"/>
          <w:i/>
          <w:iCs/>
          <w:sz w:val="22"/>
          <w:szCs w:val="22"/>
        </w:rPr>
        <w:t>Population: An Introduction to Concepts and Issues</w:t>
      </w:r>
      <w:r w:rsidRPr="004567DB">
        <w:rPr>
          <w:rFonts w:ascii="Times New Roman" w:hAnsi="Times New Roman" w:cs="Times New Roman"/>
          <w:sz w:val="22"/>
          <w:szCs w:val="22"/>
        </w:rPr>
        <w:t xml:space="preserve"> (12th ed.):Cengage Learning.</w:t>
      </w:r>
    </w:p>
    <w:p w14:paraId="3A9E3033"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World Bank. 2021. </w:t>
      </w:r>
      <w:r w:rsidRPr="004567DB">
        <w:rPr>
          <w:rFonts w:ascii="Times New Roman" w:hAnsi="Times New Roman" w:cs="Times New Roman"/>
          <w:i/>
          <w:iCs/>
          <w:sz w:val="22"/>
          <w:szCs w:val="22"/>
        </w:rPr>
        <w:t>Blue Economy Development Framework</w:t>
      </w:r>
      <w:r w:rsidRPr="004567DB">
        <w:rPr>
          <w:rFonts w:ascii="Times New Roman" w:hAnsi="Times New Roman" w:cs="Times New Roman"/>
          <w:sz w:val="22"/>
          <w:szCs w:val="22"/>
        </w:rPr>
        <w:t>. Washington, DC: World Bank Group.</w:t>
      </w:r>
    </w:p>
    <w:p w14:paraId="61ABF45C"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World Bank. 2021. </w:t>
      </w:r>
      <w:r w:rsidRPr="004567DB">
        <w:rPr>
          <w:rFonts w:ascii="Times New Roman" w:hAnsi="Times New Roman" w:cs="Times New Roman"/>
          <w:i/>
          <w:iCs/>
          <w:sz w:val="22"/>
          <w:szCs w:val="22"/>
        </w:rPr>
        <w:t>Indonesia Economic Prospects: Boosting the Recovery</w:t>
      </w:r>
      <w:r w:rsidRPr="004567DB">
        <w:rPr>
          <w:rFonts w:ascii="Times New Roman" w:hAnsi="Times New Roman" w:cs="Times New Roman"/>
          <w:sz w:val="22"/>
          <w:szCs w:val="22"/>
        </w:rPr>
        <w:t>. Washington, DC: World Bank Group.</w:t>
      </w:r>
    </w:p>
    <w:p w14:paraId="1CCA537A" w14:textId="77777777" w:rsidR="006A1A0B" w:rsidRPr="004567DB" w:rsidRDefault="006A1A0B" w:rsidP="004567DB">
      <w:pPr>
        <w:ind w:left="630" w:hanging="630"/>
        <w:jc w:val="both"/>
        <w:rPr>
          <w:rFonts w:ascii="Times New Roman" w:hAnsi="Times New Roman" w:cs="Times New Roman"/>
          <w:sz w:val="22"/>
          <w:szCs w:val="22"/>
        </w:rPr>
      </w:pPr>
      <w:r w:rsidRPr="004567DB">
        <w:rPr>
          <w:rFonts w:ascii="Times New Roman" w:hAnsi="Times New Roman" w:cs="Times New Roman"/>
          <w:sz w:val="22"/>
          <w:szCs w:val="22"/>
        </w:rPr>
        <w:t xml:space="preserve">Yang Y, Zhu Z, Li T, Yao M. 2019. Effects of western Pacificintraseasonal convection on surface air temperature anomalies over North America. </w:t>
      </w:r>
      <w:r w:rsidRPr="004567DB">
        <w:rPr>
          <w:rFonts w:ascii="Times New Roman" w:hAnsi="Times New Roman" w:cs="Times New Roman"/>
          <w:i/>
          <w:iCs/>
          <w:sz w:val="22"/>
          <w:szCs w:val="22"/>
        </w:rPr>
        <w:t>Int J Climatol</w:t>
      </w:r>
      <w:r w:rsidRPr="004567DB">
        <w:rPr>
          <w:rFonts w:ascii="Times New Roman" w:hAnsi="Times New Roman" w:cs="Times New Roman"/>
          <w:sz w:val="22"/>
          <w:szCs w:val="22"/>
        </w:rPr>
        <w:t>.40(6):2913–2923.</w:t>
      </w:r>
    </w:p>
    <w:p w14:paraId="18F131EF" w14:textId="77777777" w:rsidR="006A1A0B" w:rsidRPr="004567DB" w:rsidRDefault="006A1A0B" w:rsidP="004567DB">
      <w:pPr>
        <w:pStyle w:val="BodyText"/>
        <w:spacing w:after="0" w:line="240" w:lineRule="auto"/>
        <w:rPr>
          <w:rFonts w:ascii="Times New Roman" w:hAnsi="Times New Roman" w:cs="Times New Roman"/>
        </w:rPr>
      </w:pPr>
      <w:r w:rsidRPr="004567DB">
        <w:rPr>
          <w:rFonts w:ascii="Times New Roman" w:hAnsi="Times New Roman" w:cs="Times New Roman"/>
        </w:rPr>
        <w:t>Yang S, Chen D, Deng K. 2024. Global Effects of Climate Change in the South China Sea and Its Surrounding Areas. Ocean-Land- Atmos.https://doi.org/10.34133/olar.0038</w:t>
      </w:r>
    </w:p>
    <w:p w14:paraId="037E8C0D" w14:textId="36AA705C" w:rsidR="00652E1F" w:rsidRPr="009C52A2" w:rsidRDefault="004D0095" w:rsidP="009C52A2">
      <w:pPr>
        <w:pStyle w:val="ListParagraph"/>
        <w:numPr>
          <w:ilvl w:val="0"/>
          <w:numId w:val="140"/>
        </w:numPr>
        <w:outlineLvl w:val="0"/>
        <w:rPr>
          <w:rFonts w:ascii="Times New Roman" w:hAnsi="Times New Roman" w:cs="Times New Roman"/>
          <w:b/>
          <w:bCs/>
          <w:color w:val="0070C0"/>
          <w:sz w:val="32"/>
          <w:szCs w:val="32"/>
        </w:rPr>
      </w:pPr>
      <w:r w:rsidRPr="00CD0DB1">
        <w:rPr>
          <w:rFonts w:ascii="Times New Roman" w:hAnsi="Times New Roman" w:cs="Times New Roman"/>
        </w:rPr>
        <w:br w:type="page"/>
      </w:r>
      <w:bookmarkStart w:id="53" w:name="_Toc217297545"/>
      <w:r w:rsidR="00CA3F18" w:rsidRPr="00CD0DB1">
        <w:rPr>
          <w:rFonts w:ascii="Times New Roman" w:hAnsi="Times New Roman" w:cs="Times New Roman"/>
          <w:b/>
          <w:bCs/>
          <w:color w:val="0070C0"/>
          <w:sz w:val="32"/>
          <w:szCs w:val="32"/>
        </w:rPr>
        <w:lastRenderedPageBreak/>
        <w:t>ECOSYSTEM</w:t>
      </w:r>
      <w:r w:rsidR="009C52A2">
        <w:rPr>
          <w:rFonts w:ascii="Times New Roman" w:hAnsi="Times New Roman" w:cs="Times New Roman"/>
          <w:b/>
          <w:bCs/>
          <w:color w:val="0070C0"/>
          <w:sz w:val="32"/>
          <w:szCs w:val="32"/>
        </w:rPr>
        <w:t xml:space="preserve">: </w:t>
      </w:r>
      <w:r w:rsidR="00652E1F" w:rsidRPr="009C52A2">
        <w:rPr>
          <w:rFonts w:ascii="Times New Roman" w:eastAsia="Times New Roman" w:hAnsi="Times New Roman" w:cs="Times New Roman"/>
          <w:b/>
          <w:bCs/>
          <w:color w:val="0070C0"/>
          <w:sz w:val="28"/>
          <w:szCs w:val="28"/>
          <w:lang w:val="en-ID"/>
        </w:rPr>
        <w:t>Coastal Frontiers</w:t>
      </w:r>
      <w:r w:rsidR="009C52A2">
        <w:rPr>
          <w:rFonts w:ascii="Times New Roman" w:eastAsia="Times New Roman" w:hAnsi="Times New Roman" w:cs="Times New Roman"/>
          <w:b/>
          <w:bCs/>
          <w:color w:val="0070C0"/>
          <w:sz w:val="28"/>
          <w:szCs w:val="28"/>
          <w:lang w:val="en-ID"/>
        </w:rPr>
        <w:t xml:space="preserve"> -</w:t>
      </w:r>
      <w:r w:rsidR="00652E1F" w:rsidRPr="009C52A2">
        <w:rPr>
          <w:rFonts w:ascii="Times New Roman" w:eastAsia="Times New Roman" w:hAnsi="Times New Roman" w:cs="Times New Roman"/>
          <w:b/>
          <w:bCs/>
          <w:color w:val="0070C0"/>
          <w:sz w:val="28"/>
          <w:szCs w:val="28"/>
          <w:lang w:val="en-ID"/>
        </w:rPr>
        <w:t xml:space="preserve"> Indonesia’s Coastal Ecosystem Insights in South China Sea and Gulf Thailand</w:t>
      </w:r>
      <w:bookmarkEnd w:id="53"/>
    </w:p>
    <w:p w14:paraId="39362D8F" w14:textId="01D85854" w:rsidR="00652E1F" w:rsidRDefault="00652E1F" w:rsidP="00652E1F">
      <w:pPr>
        <w:spacing w:after="240"/>
        <w:rPr>
          <w:rFonts w:ascii="Times New Roman" w:eastAsia="Times New Roman" w:hAnsi="Times New Roman" w:cs="Times New Roman"/>
          <w:color w:val="000000"/>
          <w:sz w:val="22"/>
          <w:szCs w:val="22"/>
          <w:lang w:val="en-ID"/>
        </w:rPr>
      </w:pPr>
      <w:r w:rsidRPr="008D070F">
        <w:rPr>
          <w:rFonts w:ascii="Times New Roman" w:eastAsia="Times New Roman" w:hAnsi="Times New Roman" w:cs="Times New Roman"/>
          <w:sz w:val="22"/>
          <w:szCs w:val="22"/>
          <w:lang w:val="en-ID"/>
        </w:rPr>
        <w:br/>
      </w:r>
      <w:r w:rsidRPr="008D070F">
        <w:rPr>
          <w:rFonts w:ascii="Times New Roman" w:eastAsia="Times New Roman" w:hAnsi="Times New Roman" w:cs="Times New Roman"/>
          <w:color w:val="000000"/>
          <w:sz w:val="22"/>
          <w:szCs w:val="22"/>
          <w:lang w:val="en-ID"/>
        </w:rPr>
        <w:t>Yonvitner, Boimin, Hafiz</w:t>
      </w:r>
      <w:r w:rsidR="00FA23F8">
        <w:rPr>
          <w:rFonts w:ascii="Times New Roman" w:eastAsia="Times New Roman" w:hAnsi="Times New Roman" w:cs="Times New Roman"/>
          <w:color w:val="000000"/>
          <w:sz w:val="22"/>
          <w:szCs w:val="22"/>
          <w:lang w:val="en-ID"/>
        </w:rPr>
        <w:t>h Raihan</w:t>
      </w:r>
      <w:r w:rsidR="00623214">
        <w:rPr>
          <w:rFonts w:ascii="Times New Roman" w:eastAsia="Times New Roman" w:hAnsi="Times New Roman" w:cs="Times New Roman"/>
          <w:color w:val="000000"/>
          <w:sz w:val="22"/>
          <w:szCs w:val="22"/>
          <w:lang w:val="en-ID"/>
        </w:rPr>
        <w:t xml:space="preserve"> Jayanegara</w:t>
      </w:r>
      <w:r w:rsidRPr="008D070F">
        <w:rPr>
          <w:rFonts w:ascii="Times New Roman" w:eastAsia="Times New Roman" w:hAnsi="Times New Roman" w:cs="Times New Roman"/>
          <w:color w:val="000000"/>
          <w:sz w:val="22"/>
          <w:szCs w:val="22"/>
          <w:lang w:val="en-ID"/>
        </w:rPr>
        <w:t>, Sayid Muhadhar, Aditya Yuniarti, Heru Waluyo, Isdahartati, Ferry Kurniawan, Tri Edy Kuriandewa, Nyoto Santoso, Ragil Satrio, Lu</w:t>
      </w:r>
      <w:r w:rsidR="004D0095">
        <w:rPr>
          <w:rFonts w:ascii="Times New Roman" w:eastAsia="Times New Roman" w:hAnsi="Times New Roman" w:cs="Times New Roman"/>
          <w:color w:val="000000"/>
          <w:sz w:val="22"/>
          <w:szCs w:val="22"/>
          <w:lang w:val="en-ID"/>
        </w:rPr>
        <w:t>s</w:t>
      </w:r>
      <w:r w:rsidRPr="008D070F">
        <w:rPr>
          <w:rFonts w:ascii="Times New Roman" w:eastAsia="Times New Roman" w:hAnsi="Times New Roman" w:cs="Times New Roman"/>
          <w:color w:val="000000"/>
          <w:sz w:val="22"/>
          <w:szCs w:val="22"/>
          <w:lang w:val="en-ID"/>
        </w:rPr>
        <w:t>ita Meilana.</w:t>
      </w:r>
    </w:p>
    <w:p w14:paraId="780A5284" w14:textId="77777777" w:rsidR="00CD0DB1" w:rsidRDefault="00CD0DB1" w:rsidP="00CD0DB1">
      <w:pPr>
        <w:spacing w:before="240"/>
        <w:jc w:val="center"/>
        <w:rPr>
          <w:rFonts w:ascii="Times New Roman" w:eastAsia="Times New Roman" w:hAnsi="Times New Roman" w:cs="Times New Roman"/>
          <w:b/>
          <w:bCs/>
          <w:color w:val="0070C0"/>
          <w:sz w:val="22"/>
          <w:szCs w:val="22"/>
          <w:lang w:val="en-ID"/>
        </w:rPr>
      </w:pPr>
    </w:p>
    <w:p w14:paraId="07508092" w14:textId="28F91E40" w:rsidR="00652E1F" w:rsidRPr="004567DB" w:rsidRDefault="00652E1F" w:rsidP="00CD0DB1">
      <w:pPr>
        <w:spacing w:before="120"/>
        <w:jc w:val="center"/>
        <w:rPr>
          <w:rFonts w:ascii="Times New Roman" w:eastAsia="Times New Roman" w:hAnsi="Times New Roman" w:cs="Times New Roman"/>
          <w:color w:val="0070C0"/>
          <w:sz w:val="22"/>
          <w:szCs w:val="22"/>
          <w:lang w:val="en-ID"/>
        </w:rPr>
      </w:pPr>
      <w:r w:rsidRPr="004567DB">
        <w:rPr>
          <w:rFonts w:ascii="Times New Roman" w:eastAsia="Times New Roman" w:hAnsi="Times New Roman" w:cs="Times New Roman"/>
          <w:b/>
          <w:bCs/>
          <w:color w:val="0070C0"/>
          <w:sz w:val="22"/>
          <w:szCs w:val="22"/>
          <w:lang w:val="en-ID"/>
        </w:rPr>
        <w:t>Abstract</w:t>
      </w:r>
    </w:p>
    <w:p w14:paraId="366126A6" w14:textId="77777777" w:rsidR="00652E1F" w:rsidRPr="008D070F" w:rsidRDefault="00652E1F" w:rsidP="00652E1F">
      <w:pPr>
        <w:jc w:val="both"/>
        <w:rPr>
          <w:rFonts w:ascii="Times New Roman" w:eastAsia="Times New Roman" w:hAnsi="Times New Roman" w:cs="Times New Roman"/>
          <w:sz w:val="22"/>
          <w:szCs w:val="22"/>
          <w:lang w:val="en-ID"/>
        </w:rPr>
      </w:pPr>
      <w:r w:rsidRPr="008D070F">
        <w:rPr>
          <w:rFonts w:ascii="Times New Roman" w:eastAsia="Times New Roman" w:hAnsi="Times New Roman" w:cs="Times New Roman"/>
          <w:color w:val="000000"/>
          <w:sz w:val="22"/>
          <w:szCs w:val="22"/>
          <w:lang w:val="en-ID"/>
        </w:rPr>
        <w:t>During the period 2008–2021, the condition of mangrove, coral, seagrass, and wetland ecosystems in the Indonesian portion of the South China Sea experienced improvements in both ecological quality and governance. These improvements can be seen in the strengthening of policies as well as actions taken to restore and build the resilience of these ecosystems. During this period, there were 3 laws, 1 government regulation, and 3 ministerial regulations issued to govern ecosystems in the South China Sea region, including those related to rehabilitation activities.</w:t>
      </w:r>
    </w:p>
    <w:p w14:paraId="3EAAB50C" w14:textId="77777777" w:rsidR="00652E1F" w:rsidRPr="008D070F" w:rsidRDefault="00652E1F" w:rsidP="00652E1F">
      <w:pPr>
        <w:jc w:val="both"/>
        <w:rPr>
          <w:rFonts w:ascii="Times New Roman" w:eastAsia="Times New Roman" w:hAnsi="Times New Roman" w:cs="Times New Roman"/>
          <w:color w:val="000000"/>
          <w:sz w:val="22"/>
          <w:szCs w:val="22"/>
          <w:lang w:val="en-ID"/>
        </w:rPr>
      </w:pPr>
    </w:p>
    <w:p w14:paraId="48147E54" w14:textId="415D985B" w:rsidR="00652E1F" w:rsidRPr="008D070F" w:rsidRDefault="00652E1F" w:rsidP="00652E1F">
      <w:pPr>
        <w:jc w:val="both"/>
        <w:rPr>
          <w:rFonts w:ascii="Times New Roman" w:eastAsia="Times New Roman" w:hAnsi="Times New Roman" w:cs="Times New Roman"/>
          <w:sz w:val="22"/>
          <w:szCs w:val="22"/>
          <w:lang w:val="en-ID"/>
        </w:rPr>
      </w:pPr>
      <w:r w:rsidRPr="008D070F">
        <w:rPr>
          <w:rFonts w:ascii="Times New Roman" w:eastAsia="Times New Roman" w:hAnsi="Times New Roman" w:cs="Times New Roman"/>
          <w:color w:val="000000"/>
          <w:sz w:val="22"/>
          <w:szCs w:val="22"/>
          <w:lang w:val="en-ID"/>
        </w:rPr>
        <w:t>Mangrove restoration efforts Riau Archipelago were carried out as part of rehabilitation and ecological recovery initiatives. A total of 16,319 hectares was set as the mangrove restoration target for the Bangka Belitung Islands; of this, 3,069 hectares were located within conservation areas, and 13,250 hectares outside conservation areas. West Kalimantan is among the priority provinces for mangrove restoration under BRGM. Nationally, from 2016 to 2024, BRGM rehabilitated around 84,396 hectares of mangroves across priority provinces.</w:t>
      </w:r>
    </w:p>
    <w:p w14:paraId="553F360E" w14:textId="77777777" w:rsidR="00652E1F" w:rsidRPr="008D070F" w:rsidRDefault="00652E1F" w:rsidP="00652E1F">
      <w:pPr>
        <w:jc w:val="both"/>
        <w:rPr>
          <w:rFonts w:ascii="Times New Roman" w:eastAsia="Times New Roman" w:hAnsi="Times New Roman" w:cs="Times New Roman"/>
          <w:sz w:val="22"/>
          <w:szCs w:val="22"/>
          <w:lang w:val="en-ID"/>
        </w:rPr>
      </w:pPr>
      <w:r w:rsidRPr="008D070F">
        <w:rPr>
          <w:rFonts w:ascii="Times New Roman" w:eastAsia="Times New Roman" w:hAnsi="Times New Roman" w:cs="Times New Roman"/>
          <w:color w:val="000000"/>
          <w:sz w:val="22"/>
          <w:szCs w:val="22"/>
          <w:lang w:val="en-ID"/>
        </w:rPr>
        <w:t>Artificial reef rehabilitation activities in the Bangka Belitung Islands included the installation of around 7,680 units from 2016–2024, including 240 reef modules installed in Rambak in 2022. During 2022–2024, average seagrass cover in South Bangka—used here as an example—was only 26.8%, classified as “poor.” In Kayong Utara District, seagrass beds at one surveyed location also showed low density and cover, at 27.77%. These ecosystem conditions indicate ongoing efforts to restore mangrove, seagrass, coral, and wetland ecosystems, along with improvements in related policies.  Furthermore, strengthening national and regional cooperation is needed to accelerate ecosystem recovery in the future.</w:t>
      </w:r>
    </w:p>
    <w:p w14:paraId="02C921C8" w14:textId="7509933F" w:rsidR="00652E1F" w:rsidRPr="008D070F" w:rsidRDefault="00652E1F" w:rsidP="00652E1F">
      <w:pPr>
        <w:pStyle w:val="BodyText"/>
        <w:spacing w:before="188"/>
        <w:rPr>
          <w:rFonts w:ascii="Times New Roman" w:hAnsi="Times New Roman" w:cs="Times New Roman"/>
          <w:b/>
          <w:bCs/>
          <w:color w:val="0070C0"/>
        </w:rPr>
      </w:pPr>
      <w:r w:rsidRPr="008D070F">
        <w:rPr>
          <w:rFonts w:ascii="Times New Roman" w:eastAsia="Times New Roman" w:hAnsi="Times New Roman" w:cs="Times New Roman"/>
          <w:b/>
          <w:bCs/>
          <w:color w:val="000000"/>
          <w:lang w:val="en-ID"/>
        </w:rPr>
        <w:t xml:space="preserve">Keyword:  </w:t>
      </w:r>
      <w:r w:rsidRPr="008D070F">
        <w:rPr>
          <w:rFonts w:ascii="Times New Roman" w:eastAsia="Times New Roman" w:hAnsi="Times New Roman" w:cs="Times New Roman"/>
          <w:color w:val="000000"/>
          <w:lang w:val="en-ID"/>
        </w:rPr>
        <w:t>Ecosystem degradation, Resilience, TDA, SAP, Future Action</w:t>
      </w:r>
    </w:p>
    <w:p w14:paraId="4A45BCCB" w14:textId="083D5D0B" w:rsidR="006437D0" w:rsidRPr="006437D0" w:rsidRDefault="006437D0" w:rsidP="007F0F81">
      <w:pPr>
        <w:pStyle w:val="BodyText"/>
        <w:numPr>
          <w:ilvl w:val="1"/>
          <w:numId w:val="140"/>
        </w:numPr>
        <w:spacing w:before="188"/>
        <w:ind w:left="426"/>
        <w:outlineLvl w:val="1"/>
        <w:rPr>
          <w:rFonts w:ascii="Times New Roman" w:hAnsi="Times New Roman" w:cs="Times New Roman"/>
          <w:b/>
          <w:bCs/>
          <w:color w:val="0070C0"/>
          <w:sz w:val="24"/>
          <w:szCs w:val="24"/>
        </w:rPr>
      </w:pPr>
      <w:r>
        <w:rPr>
          <w:rFonts w:ascii="Times New Roman" w:hAnsi="Times New Roman" w:cs="Times New Roman"/>
          <w:b/>
          <w:bCs/>
          <w:color w:val="0070C0"/>
          <w:sz w:val="24"/>
          <w:szCs w:val="24"/>
        </w:rPr>
        <w:t xml:space="preserve"> </w:t>
      </w:r>
      <w:bookmarkStart w:id="54" w:name="_Toc217297546"/>
      <w:r>
        <w:rPr>
          <w:rFonts w:ascii="Times New Roman" w:hAnsi="Times New Roman" w:cs="Times New Roman"/>
          <w:b/>
          <w:bCs/>
          <w:color w:val="0070C0"/>
        </w:rPr>
        <w:t>Introduction</w:t>
      </w:r>
      <w:bookmarkEnd w:id="54"/>
    </w:p>
    <w:p w14:paraId="5E125253" w14:textId="77777777" w:rsidR="006437D0" w:rsidRPr="000118A3" w:rsidRDefault="006437D0" w:rsidP="005D2B89">
      <w:pPr>
        <w:pStyle w:val="NormalWeb"/>
        <w:spacing w:before="0" w:beforeAutospacing="0" w:after="0" w:afterAutospacing="0"/>
        <w:jc w:val="both"/>
        <w:rPr>
          <w:sz w:val="22"/>
          <w:szCs w:val="22"/>
        </w:rPr>
      </w:pPr>
      <w:r w:rsidRPr="000118A3">
        <w:rPr>
          <w:sz w:val="22"/>
          <w:szCs w:val="22"/>
        </w:rPr>
        <w:t xml:space="preserve">The Indonesian chapter of the South China Sea hosts a rich mosaic of coastal and marine ecosystems that play a vital role in supporting biodiversity, fisheries productivity, and the livelihoods of coastal communities. Among the most important of these ecosystems are </w:t>
      </w:r>
      <w:r w:rsidRPr="000118A3">
        <w:rPr>
          <w:b/>
          <w:bCs/>
          <w:sz w:val="22"/>
          <w:szCs w:val="22"/>
        </w:rPr>
        <w:t>mangrove forests, coral reefs, seagrass beds</w:t>
      </w:r>
      <w:r w:rsidRPr="000118A3">
        <w:rPr>
          <w:sz w:val="22"/>
          <w:szCs w:val="22"/>
        </w:rPr>
        <w:t xml:space="preserve">, and </w:t>
      </w:r>
      <w:r w:rsidRPr="000118A3">
        <w:rPr>
          <w:b/>
          <w:bCs/>
          <w:sz w:val="22"/>
          <w:szCs w:val="22"/>
        </w:rPr>
        <w:t>wetlands</w:t>
      </w:r>
      <w:r w:rsidRPr="000118A3">
        <w:rPr>
          <w:sz w:val="22"/>
          <w:szCs w:val="22"/>
        </w:rPr>
        <w:t>, each providing essential ecological functions and contributing to the overall resilience of the region’s marine environment.</w:t>
      </w:r>
    </w:p>
    <w:p w14:paraId="7FED1AE2" w14:textId="77777777" w:rsidR="006437D0" w:rsidRPr="000118A3" w:rsidRDefault="006437D0" w:rsidP="005D2B89">
      <w:pPr>
        <w:pStyle w:val="NormalWeb"/>
        <w:spacing w:before="120" w:beforeAutospacing="0" w:after="0" w:afterAutospacing="0"/>
        <w:jc w:val="both"/>
        <w:rPr>
          <w:color w:val="000000" w:themeColor="text1"/>
          <w:sz w:val="22"/>
          <w:szCs w:val="22"/>
        </w:rPr>
      </w:pPr>
      <w:r w:rsidRPr="000118A3">
        <w:rPr>
          <w:color w:val="000000" w:themeColor="text1"/>
          <w:sz w:val="22"/>
          <w:szCs w:val="22"/>
        </w:rPr>
        <w:t>Mangrove ecosystems along the Indonesian coastline form critical buffers between land and sea, protecting shorelines from erosion, storm surges, and sedimentation. They serve as nurseries for numerous commercially and ecologically important fish and invertebrate species while also acting as significant carbon sinks, contributing to climate change mitigation.</w:t>
      </w:r>
    </w:p>
    <w:p w14:paraId="462D3D0C" w14:textId="77777777" w:rsidR="006437D0" w:rsidRPr="000118A3" w:rsidRDefault="006437D0" w:rsidP="005D2B89">
      <w:pPr>
        <w:pStyle w:val="NormalWeb"/>
        <w:spacing w:before="120" w:beforeAutospacing="0" w:after="0" w:afterAutospacing="0"/>
        <w:jc w:val="both"/>
        <w:rPr>
          <w:color w:val="000000" w:themeColor="text1"/>
          <w:sz w:val="22"/>
          <w:szCs w:val="22"/>
        </w:rPr>
      </w:pPr>
      <w:r w:rsidRPr="000118A3">
        <w:rPr>
          <w:color w:val="000000" w:themeColor="text1"/>
          <w:sz w:val="22"/>
          <w:szCs w:val="22"/>
        </w:rPr>
        <w:t>Coral reefs within the Indonesian waters of the South China Sea are part of the globally significant Coral Triangle region, known for its unparalleled marine species richness. These reefs support complex ecological interactions, sustain artisanal and commercial fisheries, and attract tourism activities that contribute to local economies. However, they remain vulnerable to overfishing, habitat degradation, and climate-induced stressors such as coral bleaching.</w:t>
      </w:r>
    </w:p>
    <w:p w14:paraId="508BD365" w14:textId="77777777" w:rsidR="006437D0" w:rsidRPr="000118A3" w:rsidRDefault="006437D0" w:rsidP="005D2B89">
      <w:pPr>
        <w:pStyle w:val="NormalWeb"/>
        <w:spacing w:before="0" w:beforeAutospacing="0" w:after="0" w:afterAutospacing="0"/>
        <w:jc w:val="both"/>
        <w:rPr>
          <w:color w:val="000000" w:themeColor="text1"/>
          <w:sz w:val="22"/>
          <w:szCs w:val="22"/>
        </w:rPr>
      </w:pPr>
      <w:r w:rsidRPr="000118A3">
        <w:rPr>
          <w:color w:val="000000" w:themeColor="text1"/>
          <w:sz w:val="22"/>
          <w:szCs w:val="22"/>
        </w:rPr>
        <w:t>Seagrass meadows, often found adjacent to coral reef and mangrove systems, function as productive feeding grounds for species such as sea turtles, dugongs, and various fish communities. Their ability to stabilize sediments, enhance water clarity, and sequester carbon makes them essential components of coastal ecosystem health.</w:t>
      </w:r>
    </w:p>
    <w:p w14:paraId="1F39A1F6" w14:textId="77777777" w:rsidR="006437D0" w:rsidRPr="000118A3" w:rsidRDefault="006437D0" w:rsidP="005D2B89">
      <w:pPr>
        <w:pStyle w:val="NormalWeb"/>
        <w:spacing w:before="120" w:beforeAutospacing="0" w:after="0" w:afterAutospacing="0"/>
        <w:jc w:val="both"/>
        <w:rPr>
          <w:color w:val="000000" w:themeColor="text1"/>
          <w:sz w:val="22"/>
          <w:szCs w:val="22"/>
        </w:rPr>
      </w:pPr>
      <w:r w:rsidRPr="000118A3">
        <w:rPr>
          <w:color w:val="000000" w:themeColor="text1"/>
          <w:sz w:val="22"/>
          <w:szCs w:val="22"/>
        </w:rPr>
        <w:t xml:space="preserve">Wetlands across the coastal landscapes of the South China Sea region further enrich ecological diversity by providing habitat for migratory birds, supporting nutrient cycling, and regulating hydrological processes. They </w:t>
      </w:r>
      <w:r w:rsidRPr="000118A3">
        <w:rPr>
          <w:color w:val="000000" w:themeColor="text1"/>
          <w:sz w:val="22"/>
          <w:szCs w:val="22"/>
        </w:rPr>
        <w:lastRenderedPageBreak/>
        <w:t>play a key role in maintaining water quality and sustaining ecological connectivity between terrestrial and marine environments.</w:t>
      </w:r>
    </w:p>
    <w:p w14:paraId="01070CCC" w14:textId="77777777" w:rsidR="006437D0" w:rsidRPr="000118A3" w:rsidRDefault="006437D0" w:rsidP="005D2B89">
      <w:pPr>
        <w:pStyle w:val="NormalWeb"/>
        <w:spacing w:before="120" w:beforeAutospacing="0" w:after="0" w:afterAutospacing="0"/>
        <w:jc w:val="both"/>
        <w:rPr>
          <w:color w:val="000000" w:themeColor="text1"/>
          <w:sz w:val="22"/>
          <w:szCs w:val="22"/>
        </w:rPr>
      </w:pPr>
      <w:r w:rsidRPr="000118A3">
        <w:rPr>
          <w:color w:val="000000" w:themeColor="text1"/>
          <w:sz w:val="22"/>
          <w:szCs w:val="22"/>
        </w:rPr>
        <w:t xml:space="preserve">Together, these interconnected ecosystems form the ecological backbone of the Indonesian South China Sea, supporting biodiversity, enhancing climate resilience, and underpinning the socio-economic well-being of surrounding communities. Understanding their status, ecological roles, and the pressures they face is critical for advancing sustainable management and conservation efforts in this strategically and ecologically important marine region.  Coastal and marine ecosystems in the Indonesian chapter of the South China Sea highlights the ecological richness and vulnerability of mangroves, coral reefs, seagrass beds, and coastal wetlands. </w:t>
      </w:r>
    </w:p>
    <w:p w14:paraId="0682AAF4" w14:textId="2CDE2D16" w:rsidR="006437D0" w:rsidRPr="000118A3" w:rsidRDefault="006437D0" w:rsidP="005D2B89">
      <w:pPr>
        <w:pStyle w:val="NormalWeb"/>
        <w:spacing w:before="120" w:beforeAutospacing="0" w:after="0" w:afterAutospacing="0"/>
        <w:jc w:val="both"/>
        <w:rPr>
          <w:color w:val="000000" w:themeColor="text1"/>
          <w:sz w:val="22"/>
          <w:szCs w:val="22"/>
        </w:rPr>
      </w:pPr>
      <w:r w:rsidRPr="000118A3">
        <w:rPr>
          <w:color w:val="000000" w:themeColor="text1"/>
          <w:sz w:val="22"/>
          <w:szCs w:val="22"/>
        </w:rPr>
        <w:t>Studies on mangrove ecosystems in the region emphasize their critical role in shoreline protection, fisheries productivity, and carbon sequestration, while also documenting pressures from land-use change and coastal development (e.g., regional mangrove assessments and restoration reviews by Gerona-Daga et al., 2022). Coral reef research, including assessments through the International and National Society for Reef Studies, reveals that reefs in the South China Sea are part of the highly diverse Coral Triangle and remain threatened by overfishing, sedimentation, and climate-driven bleaching events. Additional analyses (such as Heery et al., 2019) show how reefs near urbanized or heavily used waters</w:t>
      </w:r>
      <w:r w:rsidR="00454663">
        <w:rPr>
          <w:color w:val="000000" w:themeColor="text1"/>
          <w:sz w:val="22"/>
          <w:szCs w:val="22"/>
        </w:rPr>
        <w:t xml:space="preserve"> </w:t>
      </w:r>
      <w:r w:rsidRPr="000118A3">
        <w:rPr>
          <w:color w:val="000000" w:themeColor="text1"/>
          <w:sz w:val="22"/>
          <w:szCs w:val="22"/>
        </w:rPr>
        <w:t>conditions relevant to Indonesian waters near Natuna</w:t>
      </w:r>
      <w:r w:rsidR="00454663">
        <w:rPr>
          <w:color w:val="000000" w:themeColor="text1"/>
          <w:sz w:val="22"/>
          <w:szCs w:val="22"/>
        </w:rPr>
        <w:t xml:space="preserve"> </w:t>
      </w:r>
      <w:r w:rsidRPr="000118A3">
        <w:rPr>
          <w:color w:val="000000" w:themeColor="text1"/>
          <w:sz w:val="22"/>
          <w:szCs w:val="22"/>
        </w:rPr>
        <w:t>face degradation but also exhibit varying degrees of resilience.</w:t>
      </w:r>
    </w:p>
    <w:p w14:paraId="3814DCA2" w14:textId="5DE518FF" w:rsidR="006437D0" w:rsidRDefault="006437D0" w:rsidP="00454663">
      <w:pPr>
        <w:pStyle w:val="BodyText"/>
        <w:spacing w:before="120" w:after="0" w:line="240" w:lineRule="auto"/>
        <w:jc w:val="both"/>
        <w:rPr>
          <w:rFonts w:ascii="Times New Roman" w:hAnsi="Times New Roman" w:cs="Times New Roman"/>
          <w:b/>
          <w:bCs/>
          <w:color w:val="0070C0"/>
          <w:sz w:val="24"/>
          <w:szCs w:val="24"/>
        </w:rPr>
      </w:pPr>
      <w:r w:rsidRPr="000118A3">
        <w:rPr>
          <w:rFonts w:ascii="Times New Roman" w:eastAsia="Times New Roman" w:hAnsi="Times New Roman" w:cs="Times New Roman"/>
          <w:color w:val="000000" w:themeColor="text1"/>
          <w:lang w:val="en-GB" w:eastAsia="en-GB"/>
        </w:rPr>
        <w:t>Seagrass ecosystems have been widely documented across Southeast Asia, with Fortes et al. (2018) providing one of the most comprehensive regional reviews. Their work highlights Indonesia as a major seagrass hotspot, supporting critical species such as dugongs and sea turtles, while facing pressures from trawling, coastal reclamation, and declining water quality. Meanwhile, research on coastal wetlands, including Indonesian-focused studies such as Hapsari (2019) and reports from Wetlands International, illustrates their importance for hydrological regulation, nutrient cycling, and migratory bird habitats. These wetlands are increasingly affected by land conversion, aquaculture expansion, and altered sediment dynamics.  This paper aims to examine the status of mangrove, seagrass, and coral reef ecosystems, as well as coastal wetlands, in the South China Sea region as part evaluation on transboundary achievement of Indonesia nation on South China Sea Large Marine Ecosystem (SCS-LME).</w:t>
      </w:r>
    </w:p>
    <w:p w14:paraId="2B1E6D45" w14:textId="30305BFD" w:rsidR="00D56F0F" w:rsidRPr="008D070F" w:rsidRDefault="00D56F0F" w:rsidP="007F0F81">
      <w:pPr>
        <w:pStyle w:val="BodyText"/>
        <w:numPr>
          <w:ilvl w:val="1"/>
          <w:numId w:val="140"/>
        </w:numPr>
        <w:spacing w:before="188"/>
        <w:ind w:left="426"/>
        <w:outlineLvl w:val="1"/>
        <w:rPr>
          <w:rFonts w:ascii="Times New Roman" w:hAnsi="Times New Roman" w:cs="Times New Roman"/>
          <w:b/>
          <w:bCs/>
          <w:color w:val="0070C0"/>
          <w:sz w:val="24"/>
          <w:szCs w:val="24"/>
        </w:rPr>
      </w:pPr>
      <w:bookmarkStart w:id="55" w:name="_Toc217297547"/>
      <w:r w:rsidRPr="008D070F">
        <w:rPr>
          <w:rFonts w:ascii="Times New Roman" w:hAnsi="Times New Roman" w:cs="Times New Roman"/>
          <w:b/>
          <w:bCs/>
          <w:color w:val="0070C0"/>
          <w:sz w:val="24"/>
          <w:szCs w:val="24"/>
        </w:rPr>
        <w:t>Key Finding</w:t>
      </w:r>
      <w:bookmarkEnd w:id="55"/>
    </w:p>
    <w:p w14:paraId="5F58C3B4" w14:textId="5C961795" w:rsidR="00D56F0F" w:rsidRDefault="00D56F0F" w:rsidP="00454663">
      <w:pPr>
        <w:pStyle w:val="BodyText"/>
        <w:spacing w:after="0" w:line="240" w:lineRule="auto"/>
        <w:jc w:val="both"/>
        <w:rPr>
          <w:rFonts w:ascii="Times New Roman" w:eastAsia="Times New Roman" w:hAnsi="Times New Roman" w:cs="Times New Roman"/>
          <w:lang w:val="en-GB" w:eastAsia="en-GB"/>
        </w:rPr>
      </w:pPr>
      <w:r w:rsidRPr="000118A3">
        <w:rPr>
          <w:rFonts w:ascii="Times New Roman" w:eastAsia="Times New Roman" w:hAnsi="Times New Roman" w:cs="Times New Roman"/>
          <w:lang w:val="en-GB" w:eastAsia="en-GB"/>
        </w:rPr>
        <w:t>The key findings of the TDA–SAP study on mangrove, seagrass, coral reef, and wetland ecosystems indicate that information on the extent and condition of these habitats has become increasingly well documented from 2008 to 2024 in the Natuna Sea region, although the data has not yet been fully consolidated. Overall, ecosystem status remains relatively similar, but several areas show a decline in extent and coverage due to various coastal pressures. Global commitments have also encouraged efforts to strengthen local rehabilitation and restoration initiatives. Programs aimed at improving coral reef conditions include the establishment of conservation areas and ongoing monitoring; for example, the Anambas National Marine Park contains an estimated 6,740.66 ha of coral reef habitat, with live coral cover exceeding 36% in its core zone. Despite this, fish biomass has declined sharply—from 355 kg/ha in 2018 to 176.16 kg/ha in 2024, representing a reduction of approximately 50.3% over six years. From 2021 to 2024, mangrove rehabilitation activities covered 574 ha, including 61 ha restored in 2024, while in West Kalimantan national programs achieved 6,010 ha of rehabilitation. Seagrass protection measures generally focus on establishing conservation areas, monitoring, preventing destructive activities, and supporting other preservation efforts. Overall, the Natuna Sea and South China Sea are considered sensitive and vulnerable, subject to pressures from fishing, pollution, and a wide range of human activities, placing many ecosystem functions at ongoing risk. Major issues identified include both local and transboundary threats, such as oil spills, plastic pollution, habitat damage caused by foreign and illegal activities, and other destructive events.</w:t>
      </w:r>
    </w:p>
    <w:p w14:paraId="02745D52" w14:textId="77777777" w:rsidR="00CD0DB1" w:rsidRPr="000118A3" w:rsidRDefault="00CD0DB1" w:rsidP="00454663">
      <w:pPr>
        <w:pStyle w:val="BodyText"/>
        <w:spacing w:after="0" w:line="240" w:lineRule="auto"/>
        <w:jc w:val="both"/>
        <w:rPr>
          <w:rFonts w:ascii="Times New Roman" w:eastAsia="Times New Roman" w:hAnsi="Times New Roman" w:cs="Times New Roman"/>
          <w:lang w:val="en-GB" w:eastAsia="en-GB"/>
        </w:rPr>
      </w:pPr>
    </w:p>
    <w:p w14:paraId="7B302E40" w14:textId="702D726E" w:rsidR="00D56F0F" w:rsidRPr="000118A3" w:rsidRDefault="00CD0DB1" w:rsidP="007F0F81">
      <w:pPr>
        <w:pStyle w:val="BodyText"/>
        <w:numPr>
          <w:ilvl w:val="1"/>
          <w:numId w:val="140"/>
        </w:numPr>
        <w:spacing w:before="120" w:after="0" w:line="240" w:lineRule="auto"/>
        <w:ind w:left="284"/>
        <w:outlineLvl w:val="1"/>
        <w:rPr>
          <w:rFonts w:ascii="Times New Roman" w:hAnsi="Times New Roman" w:cs="Times New Roman"/>
          <w:b/>
          <w:bCs/>
          <w:color w:val="0070C0"/>
        </w:rPr>
      </w:pPr>
      <w:bookmarkStart w:id="56" w:name="_Toc217297548"/>
      <w:r w:rsidRPr="000118A3">
        <w:rPr>
          <w:rFonts w:ascii="Times New Roman" w:hAnsi="Times New Roman" w:cs="Times New Roman"/>
          <w:b/>
          <w:bCs/>
          <w:color w:val="0070C0"/>
        </w:rPr>
        <w:t>Current Ecosystem</w:t>
      </w:r>
      <w:r w:rsidR="00D56F0F" w:rsidRPr="000118A3">
        <w:rPr>
          <w:rFonts w:ascii="Times New Roman" w:hAnsi="Times New Roman" w:cs="Times New Roman"/>
          <w:b/>
          <w:bCs/>
          <w:color w:val="0070C0"/>
        </w:rPr>
        <w:t xml:space="preserve"> Status</w:t>
      </w:r>
      <w:bookmarkEnd w:id="56"/>
    </w:p>
    <w:p w14:paraId="3800A0F0" w14:textId="2426E63E" w:rsidR="00D56F0F" w:rsidRPr="000118A3" w:rsidRDefault="00D56F0F" w:rsidP="00454663">
      <w:pPr>
        <w:pStyle w:val="BodyText"/>
        <w:numPr>
          <w:ilvl w:val="2"/>
          <w:numId w:val="140"/>
        </w:numPr>
        <w:spacing w:before="120" w:after="0" w:line="240" w:lineRule="auto"/>
        <w:ind w:left="709"/>
        <w:rPr>
          <w:rFonts w:ascii="Times New Roman" w:hAnsi="Times New Roman" w:cs="Times New Roman"/>
          <w:b/>
          <w:bCs/>
          <w:color w:val="0070C0"/>
        </w:rPr>
      </w:pPr>
      <w:r w:rsidRPr="000118A3">
        <w:rPr>
          <w:rFonts w:ascii="Times New Roman" w:hAnsi="Times New Roman" w:cs="Times New Roman"/>
          <w:b/>
          <w:bCs/>
          <w:color w:val="0070C0"/>
        </w:rPr>
        <w:t>Coral Reef and Seagrass</w:t>
      </w:r>
    </w:p>
    <w:p w14:paraId="709F6A48" w14:textId="52987088" w:rsidR="00D56F0F" w:rsidRPr="000118A3" w:rsidRDefault="00D56F0F" w:rsidP="00454663">
      <w:pPr>
        <w:pStyle w:val="ListParagraph"/>
        <w:ind w:left="0"/>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 xml:space="preserve">The essential ecosystems in the South China Sea and Gulf of Thailand (Indonesia sites) are mangroves, seagrass, coral reefs, and wetlands.  The data show notable changes in ecosystem coverage across several Indonesian </w:t>
      </w:r>
      <w:r w:rsidRPr="000118A3">
        <w:rPr>
          <w:rFonts w:ascii="Times New Roman" w:eastAsia="Times New Roman" w:hAnsi="Times New Roman" w:cs="Times New Roman"/>
          <w:color w:val="000000" w:themeColor="text1"/>
          <w:sz w:val="22"/>
          <w:szCs w:val="22"/>
          <w:lang w:val="en-GB" w:eastAsia="en-GB"/>
        </w:rPr>
        <w:lastRenderedPageBreak/>
        <w:t xml:space="preserve">regions bordering the South China Sea between 2008 and 2024.  The Indonesia region of mangrove, coral, seagrass and wetland distribution as below and Tabel 1 in Apendix. </w:t>
      </w:r>
    </w:p>
    <w:p w14:paraId="2EBD3DD3" w14:textId="77777777" w:rsidR="00D56F0F" w:rsidRPr="000118A3" w:rsidRDefault="00D56F0F" w:rsidP="00A21B9E">
      <w:pPr>
        <w:pStyle w:val="ListParagraph"/>
        <w:spacing w:line="276" w:lineRule="auto"/>
        <w:ind w:left="644"/>
        <w:jc w:val="center"/>
        <w:rPr>
          <w:rFonts w:ascii="Times New Roman" w:hAnsi="Times New Roman" w:cs="Times New Roman"/>
          <w:color w:val="000000" w:themeColor="text1"/>
          <w:sz w:val="22"/>
          <w:szCs w:val="22"/>
        </w:rPr>
      </w:pPr>
      <w:r w:rsidRPr="000118A3">
        <w:rPr>
          <w:rFonts w:ascii="Times New Roman" w:hAnsi="Times New Roman" w:cs="Times New Roman"/>
          <w:noProof/>
          <w:sz w:val="22"/>
          <w:szCs w:val="22"/>
        </w:rPr>
        <w:drawing>
          <wp:inline distT="0" distB="0" distL="0" distR="0" wp14:anchorId="4B0ED707" wp14:editId="135BFB64">
            <wp:extent cx="4014216" cy="2238846"/>
            <wp:effectExtent l="0" t="0" r="0" b="0"/>
            <wp:docPr id="15612092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209208" name=""/>
                    <pic:cNvPicPr/>
                  </pic:nvPicPr>
                  <pic:blipFill rotWithShape="1">
                    <a:blip r:embed="rId53"/>
                    <a:srcRect l="1422" r="1200" b="6957"/>
                    <a:stretch>
                      <a:fillRect/>
                    </a:stretch>
                  </pic:blipFill>
                  <pic:spPr bwMode="auto">
                    <a:xfrm>
                      <a:off x="0" y="0"/>
                      <a:ext cx="4031115" cy="2248271"/>
                    </a:xfrm>
                    <a:prstGeom prst="rect">
                      <a:avLst/>
                    </a:prstGeom>
                    <a:ln>
                      <a:noFill/>
                    </a:ln>
                    <a:extLst>
                      <a:ext uri="{53640926-AAD7-44D8-BBD7-CCE9431645EC}">
                        <a14:shadowObscured xmlns:a14="http://schemas.microsoft.com/office/drawing/2010/main"/>
                      </a:ext>
                    </a:extLst>
                  </pic:spPr>
                </pic:pic>
              </a:graphicData>
            </a:graphic>
          </wp:inline>
        </w:drawing>
      </w:r>
    </w:p>
    <w:p w14:paraId="2CF99042" w14:textId="3EA55052" w:rsidR="00D56F0F" w:rsidRPr="00A21B9E" w:rsidRDefault="00A21B9E" w:rsidP="00A21B9E">
      <w:pPr>
        <w:pStyle w:val="Caption"/>
        <w:jc w:val="center"/>
        <w:rPr>
          <w:rFonts w:ascii="Times New Roman" w:hAnsi="Times New Roman" w:cs="Times New Roman"/>
          <w:i w:val="0"/>
          <w:iCs w:val="0"/>
          <w:color w:val="000000" w:themeColor="text1"/>
          <w:sz w:val="22"/>
          <w:szCs w:val="22"/>
        </w:rPr>
      </w:pPr>
      <w:bookmarkStart w:id="57" w:name="_Toc217297610"/>
      <w:r w:rsidRPr="00A21B9E">
        <w:rPr>
          <w:rFonts w:ascii="Times New Roman" w:hAnsi="Times New Roman" w:cs="Times New Roman"/>
          <w:i w:val="0"/>
          <w:iCs w:val="0"/>
          <w:color w:val="000000" w:themeColor="text1"/>
          <w:sz w:val="22"/>
          <w:szCs w:val="22"/>
        </w:rPr>
        <w:t xml:space="preserve">Figure </w:t>
      </w:r>
      <w:r w:rsidRPr="00A21B9E">
        <w:rPr>
          <w:rFonts w:ascii="Times New Roman" w:hAnsi="Times New Roman" w:cs="Times New Roman"/>
          <w:i w:val="0"/>
          <w:iCs w:val="0"/>
          <w:color w:val="000000" w:themeColor="text1"/>
          <w:sz w:val="22"/>
          <w:szCs w:val="22"/>
        </w:rPr>
        <w:fldChar w:fldCharType="begin"/>
      </w:r>
      <w:r w:rsidRPr="00A21B9E">
        <w:rPr>
          <w:rFonts w:ascii="Times New Roman" w:hAnsi="Times New Roman" w:cs="Times New Roman"/>
          <w:i w:val="0"/>
          <w:iCs w:val="0"/>
          <w:color w:val="000000" w:themeColor="text1"/>
          <w:sz w:val="22"/>
          <w:szCs w:val="22"/>
        </w:rPr>
        <w:instrText xml:space="preserve"> SEQ Figure \* ARABIC </w:instrText>
      </w:r>
      <w:r w:rsidRPr="00A21B9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23</w:t>
      </w:r>
      <w:r w:rsidRPr="00A21B9E">
        <w:rPr>
          <w:rFonts w:ascii="Times New Roman" w:hAnsi="Times New Roman" w:cs="Times New Roman"/>
          <w:i w:val="0"/>
          <w:iCs w:val="0"/>
          <w:color w:val="000000" w:themeColor="text1"/>
          <w:sz w:val="22"/>
          <w:szCs w:val="22"/>
        </w:rPr>
        <w:fldChar w:fldCharType="end"/>
      </w:r>
      <w:r w:rsidR="00D56F0F" w:rsidRPr="00A21B9E">
        <w:rPr>
          <w:rFonts w:ascii="Times New Roman" w:hAnsi="Times New Roman" w:cs="Times New Roman"/>
          <w:i w:val="0"/>
          <w:iCs w:val="0"/>
          <w:color w:val="000000" w:themeColor="text1"/>
          <w:sz w:val="22"/>
          <w:szCs w:val="22"/>
        </w:rPr>
        <w:t xml:space="preserve">  Mangrove, Coral, Seagrass and Wetland Distribution</w:t>
      </w:r>
      <w:bookmarkEnd w:id="57"/>
    </w:p>
    <w:p w14:paraId="7D200E30" w14:textId="77777777" w:rsidR="00D56F0F" w:rsidRPr="000118A3" w:rsidRDefault="00D56F0F" w:rsidP="00D56F0F">
      <w:pPr>
        <w:pStyle w:val="ListParagraph"/>
        <w:spacing w:line="276" w:lineRule="auto"/>
        <w:ind w:left="644"/>
        <w:jc w:val="both"/>
        <w:rPr>
          <w:rFonts w:ascii="Times New Roman" w:hAnsi="Times New Roman" w:cs="Times New Roman"/>
          <w:color w:val="000000" w:themeColor="text1"/>
          <w:sz w:val="22"/>
          <w:szCs w:val="22"/>
        </w:rPr>
      </w:pPr>
    </w:p>
    <w:p w14:paraId="51CD3BF3" w14:textId="77777777" w:rsidR="00D56F0F" w:rsidRPr="000118A3" w:rsidRDefault="00D56F0F" w:rsidP="00A21B9E">
      <w:pPr>
        <w:pStyle w:val="ListParagraph"/>
        <w:spacing w:line="276" w:lineRule="auto"/>
        <w:ind w:left="644"/>
        <w:jc w:val="center"/>
        <w:rPr>
          <w:rFonts w:ascii="Times New Roman" w:hAnsi="Times New Roman" w:cs="Times New Roman"/>
          <w:color w:val="000000" w:themeColor="text1"/>
          <w:sz w:val="22"/>
          <w:szCs w:val="22"/>
        </w:rPr>
      </w:pPr>
      <w:r w:rsidRPr="000118A3">
        <w:rPr>
          <w:rFonts w:ascii="Times New Roman" w:hAnsi="Times New Roman" w:cs="Times New Roman"/>
          <w:noProof/>
          <w:sz w:val="22"/>
          <w:szCs w:val="22"/>
        </w:rPr>
        <w:drawing>
          <wp:inline distT="0" distB="0" distL="0" distR="0" wp14:anchorId="4AC7E89E" wp14:editId="337D56E6">
            <wp:extent cx="4736592" cy="2823545"/>
            <wp:effectExtent l="0" t="0" r="635" b="0"/>
            <wp:docPr id="1857602852" name="Picture 1" descr="A graph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602852" name="Picture 1" descr="A graph of different colored bars&#10;&#10;AI-generated content may be incorrect."/>
                    <pic:cNvPicPr/>
                  </pic:nvPicPr>
                  <pic:blipFill rotWithShape="1">
                    <a:blip r:embed="rId54"/>
                    <a:srcRect l="3078" r="11231" b="1903"/>
                    <a:stretch>
                      <a:fillRect/>
                    </a:stretch>
                  </pic:blipFill>
                  <pic:spPr bwMode="auto">
                    <a:xfrm>
                      <a:off x="0" y="0"/>
                      <a:ext cx="4744858" cy="2828473"/>
                    </a:xfrm>
                    <a:prstGeom prst="rect">
                      <a:avLst/>
                    </a:prstGeom>
                    <a:ln>
                      <a:noFill/>
                    </a:ln>
                    <a:extLst>
                      <a:ext uri="{53640926-AAD7-44D8-BBD7-CCE9431645EC}">
                        <a14:shadowObscured xmlns:a14="http://schemas.microsoft.com/office/drawing/2010/main"/>
                      </a:ext>
                    </a:extLst>
                  </pic:spPr>
                </pic:pic>
              </a:graphicData>
            </a:graphic>
          </wp:inline>
        </w:drawing>
      </w:r>
    </w:p>
    <w:p w14:paraId="4981C480" w14:textId="4273BA07" w:rsidR="00D56F0F" w:rsidRPr="00A21B9E" w:rsidRDefault="00A21B9E" w:rsidP="00A21B9E">
      <w:pPr>
        <w:pStyle w:val="Caption"/>
        <w:jc w:val="center"/>
        <w:rPr>
          <w:rFonts w:ascii="Times New Roman" w:hAnsi="Times New Roman" w:cs="Times New Roman"/>
          <w:i w:val="0"/>
          <w:iCs w:val="0"/>
          <w:color w:val="000000" w:themeColor="text1"/>
          <w:sz w:val="22"/>
          <w:szCs w:val="22"/>
        </w:rPr>
      </w:pPr>
      <w:bookmarkStart w:id="58" w:name="_Toc217297611"/>
      <w:r w:rsidRPr="00A21B9E">
        <w:rPr>
          <w:rFonts w:ascii="Times New Roman" w:hAnsi="Times New Roman" w:cs="Times New Roman"/>
          <w:i w:val="0"/>
          <w:iCs w:val="0"/>
          <w:color w:val="000000" w:themeColor="text1"/>
          <w:sz w:val="22"/>
          <w:szCs w:val="22"/>
        </w:rPr>
        <w:t xml:space="preserve">Figure </w:t>
      </w:r>
      <w:r w:rsidRPr="00A21B9E">
        <w:rPr>
          <w:rFonts w:ascii="Times New Roman" w:hAnsi="Times New Roman" w:cs="Times New Roman"/>
          <w:i w:val="0"/>
          <w:iCs w:val="0"/>
          <w:color w:val="000000" w:themeColor="text1"/>
          <w:sz w:val="22"/>
          <w:szCs w:val="22"/>
        </w:rPr>
        <w:fldChar w:fldCharType="begin"/>
      </w:r>
      <w:r w:rsidRPr="00A21B9E">
        <w:rPr>
          <w:rFonts w:ascii="Times New Roman" w:hAnsi="Times New Roman" w:cs="Times New Roman"/>
          <w:i w:val="0"/>
          <w:iCs w:val="0"/>
          <w:color w:val="000000" w:themeColor="text1"/>
          <w:sz w:val="22"/>
          <w:szCs w:val="22"/>
        </w:rPr>
        <w:instrText xml:space="preserve"> SEQ Figure \* ARABIC </w:instrText>
      </w:r>
      <w:r w:rsidRPr="00A21B9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24</w:t>
      </w:r>
      <w:r w:rsidRPr="00A21B9E">
        <w:rPr>
          <w:rFonts w:ascii="Times New Roman" w:hAnsi="Times New Roman" w:cs="Times New Roman"/>
          <w:i w:val="0"/>
          <w:iCs w:val="0"/>
          <w:color w:val="000000" w:themeColor="text1"/>
          <w:sz w:val="22"/>
          <w:szCs w:val="22"/>
        </w:rPr>
        <w:fldChar w:fldCharType="end"/>
      </w:r>
      <w:r w:rsidR="00D56F0F" w:rsidRPr="00A21B9E">
        <w:rPr>
          <w:rFonts w:ascii="Times New Roman" w:hAnsi="Times New Roman" w:cs="Times New Roman"/>
          <w:i w:val="0"/>
          <w:iCs w:val="0"/>
          <w:color w:val="000000" w:themeColor="text1"/>
          <w:sz w:val="22"/>
          <w:szCs w:val="22"/>
        </w:rPr>
        <w:t xml:space="preserve"> Regional Variability in Coral Habitat Extent Within Indonesian Marine Protected Areas</w:t>
      </w:r>
      <w:bookmarkEnd w:id="58"/>
    </w:p>
    <w:p w14:paraId="77194C0F" w14:textId="717F086D" w:rsidR="00D56F0F" w:rsidRPr="000118A3" w:rsidRDefault="00D56F0F" w:rsidP="00CD0DB1">
      <w:pPr>
        <w:pStyle w:val="ListParagraph"/>
        <w:spacing w:before="120"/>
        <w:ind w:left="284"/>
        <w:contextualSpacing w:val="0"/>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The bar chart illustrates substantial variability in coral reef area changes across Indonesian coastal regions between 2008, 2014, and 2024. Significant increases are evident in Anambas, Senayang-Lingga, Natuna, and Batam, with Natuna showing the most dramatic rise from 15,905 ha in 2008 to 55,527 ha in 2024. In contrast, regions such as Karimata, Bangka, and Belitung recorded no coral reef data in 2014 and 2024, suggesting possible degradation or gaps in monitoring. Bintan exhibits notable fluctuations, while Lingga and Mapur only appear in the 2014 dataset. Tanjungpinang reports a small coverage in 2024. Overall, the graphic highlights uneven progress among sites, where some regions show strong recovery or improved assessments, while others reflect data limitations or ecosystem decline, underscoring the need for consistent monitoring and strengthened coastal ecosystem management.</w:t>
      </w:r>
    </w:p>
    <w:p w14:paraId="1FECF564" w14:textId="77777777" w:rsidR="00D56F0F" w:rsidRPr="000118A3" w:rsidRDefault="00D56F0F" w:rsidP="00454663">
      <w:pPr>
        <w:pStyle w:val="ListParagraph"/>
        <w:ind w:left="644"/>
        <w:jc w:val="both"/>
        <w:rPr>
          <w:rFonts w:ascii="Times New Roman" w:hAnsi="Times New Roman" w:cs="Times New Roman"/>
          <w:color w:val="000000" w:themeColor="text1"/>
          <w:sz w:val="22"/>
          <w:szCs w:val="22"/>
        </w:rPr>
      </w:pPr>
    </w:p>
    <w:p w14:paraId="2087DA3B" w14:textId="41742645" w:rsidR="00D56F0F" w:rsidRPr="000118A3" w:rsidRDefault="00D56F0F" w:rsidP="00454663">
      <w:pPr>
        <w:pStyle w:val="ListParagraph"/>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Seagrass species composition varies across locations, reflecting ecosystem complexity. The highest species diversity is found in the Riau Islands, with species including Halodule uninervis, Halophila ovalis, Thalassia hemprichii, Cymodocea rotundata, Enhalus acoroides, and Syringodium isoetifolium.</w:t>
      </w:r>
      <w:bookmarkStart w:id="59" w:name="_heading=h.rkvcgbo951c2" w:colFirst="0" w:colLast="0"/>
      <w:bookmarkEnd w:id="59"/>
      <w:r w:rsidRPr="000118A3">
        <w:rPr>
          <w:rFonts w:ascii="Times New Roman" w:eastAsia="Times New Roman" w:hAnsi="Times New Roman" w:cs="Times New Roman"/>
          <w:color w:val="000000" w:themeColor="text1"/>
          <w:sz w:val="22"/>
          <w:szCs w:val="22"/>
          <w:lang w:val="en-GB" w:eastAsia="en-GB"/>
        </w:rPr>
        <w:t xml:space="preserve">  The data show varying trends in ecosystem extent across several Indonesian regions between 2008 and 2024, all of which fall under either National or Regional Marine Protected Areas. </w:t>
      </w:r>
    </w:p>
    <w:p w14:paraId="4AE35B9B" w14:textId="77777777" w:rsidR="00D56F0F" w:rsidRPr="000118A3" w:rsidRDefault="00D56F0F" w:rsidP="00D56F0F">
      <w:pPr>
        <w:pStyle w:val="ListParagraph"/>
        <w:spacing w:line="276" w:lineRule="auto"/>
        <w:ind w:left="284"/>
        <w:jc w:val="both"/>
        <w:rPr>
          <w:rFonts w:ascii="Times New Roman" w:eastAsia="Times New Roman" w:hAnsi="Times New Roman" w:cs="Times New Roman"/>
          <w:color w:val="000000" w:themeColor="text1"/>
          <w:sz w:val="22"/>
          <w:szCs w:val="22"/>
          <w:lang w:val="en-GB" w:eastAsia="en-GB"/>
        </w:rPr>
      </w:pPr>
    </w:p>
    <w:p w14:paraId="16CBC9CD" w14:textId="77777777" w:rsidR="00D56F0F" w:rsidRPr="000118A3" w:rsidRDefault="00D56F0F" w:rsidP="00A21B9E">
      <w:pPr>
        <w:pStyle w:val="ListParagraph"/>
        <w:spacing w:line="276" w:lineRule="auto"/>
        <w:ind w:left="644"/>
        <w:jc w:val="center"/>
        <w:rPr>
          <w:rFonts w:ascii="Times New Roman" w:hAnsi="Times New Roman" w:cs="Times New Roman"/>
          <w:color w:val="000000" w:themeColor="text1"/>
          <w:sz w:val="22"/>
          <w:szCs w:val="22"/>
        </w:rPr>
      </w:pPr>
      <w:r w:rsidRPr="000118A3">
        <w:rPr>
          <w:rFonts w:ascii="Times New Roman" w:hAnsi="Times New Roman" w:cs="Times New Roman"/>
          <w:noProof/>
          <w:sz w:val="22"/>
          <w:szCs w:val="22"/>
        </w:rPr>
        <w:drawing>
          <wp:inline distT="0" distB="0" distL="0" distR="0" wp14:anchorId="4BFAC24B" wp14:editId="6A7B80EE">
            <wp:extent cx="4306824" cy="2139608"/>
            <wp:effectExtent l="0" t="0" r="0" b="0"/>
            <wp:docPr id="1281151193" name="Picture 1" descr="A graph with green and blue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1151193" name="Picture 1" descr="A graph with green and blue bars&#10;&#10;AI-generated content may be incorrect."/>
                    <pic:cNvPicPr/>
                  </pic:nvPicPr>
                  <pic:blipFill>
                    <a:blip r:embed="rId55"/>
                    <a:stretch>
                      <a:fillRect/>
                    </a:stretch>
                  </pic:blipFill>
                  <pic:spPr>
                    <a:xfrm>
                      <a:off x="0" y="0"/>
                      <a:ext cx="4319831" cy="2146070"/>
                    </a:xfrm>
                    <a:prstGeom prst="rect">
                      <a:avLst/>
                    </a:prstGeom>
                  </pic:spPr>
                </pic:pic>
              </a:graphicData>
            </a:graphic>
          </wp:inline>
        </w:drawing>
      </w:r>
    </w:p>
    <w:p w14:paraId="23097213" w14:textId="13DD0589" w:rsidR="00D56F0F" w:rsidRPr="00A21B9E" w:rsidRDefault="00A21B9E" w:rsidP="00A21B9E">
      <w:pPr>
        <w:pStyle w:val="Caption"/>
        <w:jc w:val="center"/>
        <w:rPr>
          <w:rFonts w:ascii="Times New Roman" w:hAnsi="Times New Roman" w:cs="Times New Roman"/>
          <w:i w:val="0"/>
          <w:iCs w:val="0"/>
          <w:color w:val="000000" w:themeColor="text1"/>
          <w:sz w:val="22"/>
          <w:szCs w:val="22"/>
        </w:rPr>
      </w:pPr>
      <w:bookmarkStart w:id="60" w:name="_Toc217297612"/>
      <w:r w:rsidRPr="00A21B9E">
        <w:rPr>
          <w:rFonts w:ascii="Times New Roman" w:hAnsi="Times New Roman" w:cs="Times New Roman"/>
          <w:i w:val="0"/>
          <w:iCs w:val="0"/>
          <w:color w:val="000000" w:themeColor="text1"/>
          <w:sz w:val="22"/>
          <w:szCs w:val="22"/>
        </w:rPr>
        <w:t xml:space="preserve">Figure </w:t>
      </w:r>
      <w:r w:rsidRPr="00A21B9E">
        <w:rPr>
          <w:rFonts w:ascii="Times New Roman" w:hAnsi="Times New Roman" w:cs="Times New Roman"/>
          <w:i w:val="0"/>
          <w:iCs w:val="0"/>
          <w:color w:val="000000" w:themeColor="text1"/>
          <w:sz w:val="22"/>
          <w:szCs w:val="22"/>
        </w:rPr>
        <w:fldChar w:fldCharType="begin"/>
      </w:r>
      <w:r w:rsidRPr="00A21B9E">
        <w:rPr>
          <w:rFonts w:ascii="Times New Roman" w:hAnsi="Times New Roman" w:cs="Times New Roman"/>
          <w:i w:val="0"/>
          <w:iCs w:val="0"/>
          <w:color w:val="000000" w:themeColor="text1"/>
          <w:sz w:val="22"/>
          <w:szCs w:val="22"/>
        </w:rPr>
        <w:instrText xml:space="preserve"> SEQ Figure \* ARABIC </w:instrText>
      </w:r>
      <w:r w:rsidRPr="00A21B9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25</w:t>
      </w:r>
      <w:r w:rsidRPr="00A21B9E">
        <w:rPr>
          <w:rFonts w:ascii="Times New Roman" w:hAnsi="Times New Roman" w:cs="Times New Roman"/>
          <w:i w:val="0"/>
          <w:iCs w:val="0"/>
          <w:color w:val="000000" w:themeColor="text1"/>
          <w:sz w:val="22"/>
          <w:szCs w:val="22"/>
        </w:rPr>
        <w:fldChar w:fldCharType="end"/>
      </w:r>
      <w:r w:rsidR="00D56F0F" w:rsidRPr="00A21B9E">
        <w:rPr>
          <w:rFonts w:ascii="Times New Roman" w:hAnsi="Times New Roman" w:cs="Times New Roman"/>
          <w:i w:val="0"/>
          <w:iCs w:val="0"/>
          <w:color w:val="000000" w:themeColor="text1"/>
          <w:sz w:val="22"/>
          <w:szCs w:val="22"/>
        </w:rPr>
        <w:t xml:space="preserve"> Regional Variability in Seagrass Habitat Extent Within Indonesian Marine Protected Areas</w:t>
      </w:r>
      <w:bookmarkEnd w:id="60"/>
    </w:p>
    <w:p w14:paraId="14BD0B65" w14:textId="3C6A0A03" w:rsidR="00D56F0F" w:rsidRPr="000118A3" w:rsidRDefault="00D56F0F" w:rsidP="00454663">
      <w:pPr>
        <w:pStyle w:val="BodyText"/>
        <w:spacing w:before="120" w:after="0" w:line="240" w:lineRule="auto"/>
        <w:ind w:left="284"/>
        <w:jc w:val="both"/>
        <w:rPr>
          <w:rFonts w:ascii="Times New Roman" w:eastAsia="Times New Roman" w:hAnsi="Times New Roman" w:cs="Times New Roman"/>
          <w:color w:val="000000" w:themeColor="text1"/>
          <w:lang w:val="en-GB" w:eastAsia="en-GB"/>
        </w:rPr>
      </w:pPr>
      <w:r w:rsidRPr="000118A3">
        <w:rPr>
          <w:rFonts w:ascii="Times New Roman" w:eastAsia="Times New Roman" w:hAnsi="Times New Roman" w:cs="Times New Roman"/>
          <w:color w:val="000000" w:themeColor="text1"/>
          <w:lang w:val="en-GB" w:eastAsia="en-GB"/>
        </w:rPr>
        <w:t>The data reveal substantial variability in seagrass ecosystem extent across regions from 2008 to 2024. Temiang (Lingga) shows the most dramatic fluctuations, rising from only 5 ha in 2008 to 16,942 ha in 2014 before declining to 5,816 ha in 2024. Bangka–Belitung also demonstrates major growth, expanding from 350 ha to 3,641 ha and then to 44,050 ha in 2024. Several areas—such as Bintan, Natuna, Batam, and Tanjungpinang—display significant increases only in 2024, indicating recent improvements in monitoring or conservation efforts. In contrast, Mapur, Senayang, and Anambas experienced declines or loss of recorded seagrass extent over time. Overall, the patterns suggest diverse regional trajectories influenced by ecological conditions, management effectiveness, and varying levels of data availability.</w:t>
      </w:r>
    </w:p>
    <w:p w14:paraId="28E571B1" w14:textId="5BDBE129" w:rsidR="00D56F0F" w:rsidRPr="000118A3" w:rsidRDefault="0058534A" w:rsidP="00223F84">
      <w:pPr>
        <w:pStyle w:val="BodyText"/>
        <w:numPr>
          <w:ilvl w:val="2"/>
          <w:numId w:val="140"/>
        </w:numPr>
        <w:spacing w:before="188"/>
        <w:ind w:left="993"/>
        <w:rPr>
          <w:rFonts w:ascii="Times New Roman" w:hAnsi="Times New Roman" w:cs="Times New Roman"/>
          <w:b/>
          <w:bCs/>
          <w:color w:val="0070C0"/>
        </w:rPr>
      </w:pPr>
      <w:r w:rsidRPr="000118A3">
        <w:rPr>
          <w:rFonts w:ascii="Times New Roman" w:hAnsi="Times New Roman" w:cs="Times New Roman"/>
          <w:b/>
          <w:bCs/>
          <w:color w:val="0070C0"/>
        </w:rPr>
        <w:t>Mangrove dan Wetland</w:t>
      </w:r>
    </w:p>
    <w:p w14:paraId="7AE206CE" w14:textId="40B87FBF" w:rsidR="0058534A" w:rsidRPr="000118A3" w:rsidRDefault="0058534A" w:rsidP="00454663">
      <w:pPr>
        <w:pStyle w:val="ListParagraph"/>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Between 2003 and 2025, Indonesia has experienced both mangrove loss and efforts towards restoration (Jong 2022; Ismi, 2024; World Bank, 2021). In 2020, the government set an ambitious target to rehabilitate 600,000 hectares of mangroves by 2024, concentrated in nine provinces (Ismi, 2024). While progress has been made, the initial target was not fully met, with only 130,000 hectares restored by February 2024. Despite this, the restoration efforts are crucial for mitigating climate change and protecting coastal communities (Ismi, 2024). The total of mangrove coverage in Indonesia from 2003-2025 can be seen on Tabel 2 and 3 in Appendix</w:t>
      </w:r>
      <w:r w:rsidR="003E2C66">
        <w:rPr>
          <w:rFonts w:ascii="Times New Roman" w:eastAsia="Times New Roman" w:hAnsi="Times New Roman" w:cs="Times New Roman"/>
          <w:color w:val="000000" w:themeColor="text1"/>
          <w:sz w:val="22"/>
          <w:szCs w:val="22"/>
          <w:lang w:val="en-GB" w:eastAsia="en-GB"/>
        </w:rPr>
        <w:t xml:space="preserve"> 3.2 and Appendix 3.3</w:t>
      </w:r>
      <w:r w:rsidRPr="000118A3">
        <w:rPr>
          <w:rFonts w:ascii="Times New Roman" w:eastAsia="Times New Roman" w:hAnsi="Times New Roman" w:cs="Times New Roman"/>
          <w:color w:val="000000" w:themeColor="text1"/>
          <w:sz w:val="22"/>
          <w:szCs w:val="22"/>
          <w:lang w:val="en-GB" w:eastAsia="en-GB"/>
        </w:rPr>
        <w:t>.</w:t>
      </w:r>
    </w:p>
    <w:p w14:paraId="4C2C13A2" w14:textId="0F47ACC3" w:rsidR="0058534A" w:rsidRPr="000118A3" w:rsidRDefault="0058534A" w:rsidP="00CD0DB1">
      <w:pPr>
        <w:pStyle w:val="ListParagraph"/>
        <w:pBdr>
          <w:top w:val="nil"/>
          <w:left w:val="nil"/>
          <w:bottom w:val="nil"/>
          <w:right w:val="nil"/>
          <w:between w:val="nil"/>
        </w:pBdr>
        <w:spacing w:before="120"/>
        <w:ind w:left="284"/>
        <w:contextualSpacing w:val="0"/>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The mangrove coverage in West Kalimantan (Kubu Raya) shows a significant decrease. The mangrove coverage in 1993 was 1,011,37 km2 and in 2023 was 964.37 km2. The average loss of mangrove forest cover was 3.25 km2 per year, including mangroves, open areas, ponds, water bodies, agricultural areas, and settlements (Wiarta et al., 2025).  Mangrove in Riau Island based on Saputra et al (2021), there was degradation of 34.19% mangrove area, or about 46.61 ha, from 2007 to 2018.   Koesdariyanto et al (2024) reported that the mangrove cover analysis on the east coast of South Sumatra found that the area of mangroves in 2003, 2013, and 2023 reached 115,072, 118,674, and 97,332 ha. The mangrove area increased by 3,601.47 ha (+3.13%) in 2003-2013 and decreased by 21,342 ha (-17.98%) in 2013-2023.</w:t>
      </w:r>
    </w:p>
    <w:p w14:paraId="7EB871F9" w14:textId="77777777" w:rsidR="0058534A" w:rsidRPr="000118A3" w:rsidRDefault="0058534A" w:rsidP="00CD0DB1">
      <w:pPr>
        <w:pStyle w:val="ListParagraph"/>
        <w:pBdr>
          <w:top w:val="nil"/>
          <w:left w:val="nil"/>
          <w:bottom w:val="nil"/>
          <w:right w:val="nil"/>
          <w:between w:val="nil"/>
        </w:pBdr>
        <w:spacing w:before="120"/>
        <w:ind w:left="284"/>
        <w:contextualSpacing w:val="0"/>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 xml:space="preserve">Wetlands in eastern Sumatra and West Kalimantan (2008-now) have undergone significant ecological change driven by land conversion, drainage, and recurring fires. Between 2008 and 2014, rapid expansion of plantations—especially on peat—accelerated degradation across both regions, culminating in the catastrophic 2015 fires that burned more than two million hectares nationally and severely damaged peat swamp ecosystems in Sumatra and Kalimantan. In response, Indonesia established the Peatland Restoration Agency (BRG) in 2016, targeting the rehabilitation of 2.6 million hectares of degraded peatlands. From 2016 to 2023, restoration activities in West Kalimantan alone reached over 200,000 hectares through canal blocking and rewetting initiatives, although large areas remain at risk. Recent regional assessments estimate that West Kalimantan still retains around 3.14 million hectares of wetlands, including 1.79 million hectares of peatland, while eastern Sumatra continues to experience fragmentation, subsidence, and hydrological </w:t>
      </w:r>
      <w:r w:rsidRPr="000118A3">
        <w:rPr>
          <w:rFonts w:ascii="Times New Roman" w:eastAsia="Times New Roman" w:hAnsi="Times New Roman" w:cs="Times New Roman"/>
          <w:color w:val="000000" w:themeColor="text1"/>
          <w:sz w:val="22"/>
          <w:szCs w:val="22"/>
          <w:lang w:val="en-GB" w:eastAsia="en-GB"/>
        </w:rPr>
        <w:lastRenderedPageBreak/>
        <w:t>degradation despite ongoing restoration programs. Overall, both regions show progress in restoration efforts but still face substantial challenges in halting wetland loss and meeting long-term ecological recovery targets.</w:t>
      </w:r>
    </w:p>
    <w:p w14:paraId="6AC6B363" w14:textId="04F94889" w:rsidR="0058534A" w:rsidRPr="000118A3" w:rsidRDefault="0058534A" w:rsidP="00454663">
      <w:pPr>
        <w:pStyle w:val="BodyText"/>
        <w:spacing w:after="0" w:line="240" w:lineRule="auto"/>
        <w:ind w:left="284"/>
        <w:jc w:val="both"/>
        <w:rPr>
          <w:rFonts w:ascii="Times New Roman" w:eastAsia="Times New Roman" w:hAnsi="Times New Roman" w:cs="Times New Roman"/>
          <w:color w:val="000000" w:themeColor="text1"/>
          <w:lang w:val="en-GB" w:eastAsia="en-GB"/>
        </w:rPr>
      </w:pPr>
      <w:r w:rsidRPr="000118A3">
        <w:rPr>
          <w:rFonts w:ascii="Times New Roman" w:eastAsia="Times New Roman" w:hAnsi="Times New Roman" w:cs="Times New Roman"/>
          <w:color w:val="000000" w:themeColor="text1"/>
          <w:lang w:val="en-GB" w:eastAsia="en-GB"/>
        </w:rPr>
        <w:t>Based on Field survey results (2018) and Landsat images (1992; 2017)— by Armanto et al. (2018)—reclamation was one of the main causes of wetland ecosystem losses in South Sumatera. Reclamation alone contributed 78% of total wetland losses. During 1990-2017, the wetland loss had been occured approximately (-) 20.09%. That number came from the wetland expantion ((+) 32.24%) minus the wetland lost ((-) 52.33%).  Data related the coverage of Wetland (Sites characterized by the SCS Project) in Indonesia (Sumatra and Kalimantan) can be seen in Table 4 in Apendix.</w:t>
      </w:r>
    </w:p>
    <w:p w14:paraId="5F0732D1" w14:textId="7ADE4840" w:rsidR="0058534A" w:rsidRPr="000118A3" w:rsidRDefault="0058534A" w:rsidP="00223F84">
      <w:pPr>
        <w:pStyle w:val="BodyText"/>
        <w:numPr>
          <w:ilvl w:val="2"/>
          <w:numId w:val="140"/>
        </w:numPr>
        <w:spacing w:before="188"/>
        <w:ind w:left="993"/>
        <w:rPr>
          <w:rFonts w:ascii="Times New Roman" w:hAnsi="Times New Roman" w:cs="Times New Roman"/>
          <w:b/>
          <w:bCs/>
          <w:color w:val="0070C0"/>
        </w:rPr>
      </w:pPr>
      <w:r w:rsidRPr="000118A3">
        <w:rPr>
          <w:rFonts w:ascii="Times New Roman" w:hAnsi="Times New Roman" w:cs="Times New Roman"/>
          <w:b/>
          <w:bCs/>
          <w:color w:val="0070C0"/>
        </w:rPr>
        <w:t>Biodiversity Hotspot and Sensitive Area</w:t>
      </w:r>
    </w:p>
    <w:p w14:paraId="6E972FF9" w14:textId="77777777" w:rsidR="0058534A" w:rsidRPr="000118A3" w:rsidRDefault="0058534A" w:rsidP="00454663">
      <w:pPr>
        <w:pStyle w:val="ListParagraph"/>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 xml:space="preserve">Annual monitoring data from 2015 to 2018 in the Bangka Belitung Islands identified 342 coral species from 63 genera. Of these, 231 species (&gt;65%) were rare or uncommon, occurring in &lt;40% of all sites. The species richness of hard corals was categorized as moderate compared to other studies in Indonesia, averaging 53 species across sites and years, and there was an increasing number of sites with high species richness (Hadi et al, 2023). </w:t>
      </w:r>
    </w:p>
    <w:p w14:paraId="39185B31" w14:textId="4AA31325" w:rsidR="0058534A" w:rsidRPr="000118A3" w:rsidRDefault="0058534A" w:rsidP="00CD0DB1">
      <w:pPr>
        <w:pStyle w:val="ListParagraph"/>
        <w:spacing w:before="120"/>
        <w:ind w:left="284"/>
        <w:contextualSpacing w:val="0"/>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Coral fish biodiversity found in Natuna about 100 species of target-reef fish belonging to 18 families and 23 species of indicator-reef fish of the Chaetodontidae family. Species with the highest individual number in Natuna coral reefs was Scarus ghobban (18.64 %) of family Scaridae, followed by Caesio cuning (14,28 %) of family Caesionidae. Furthermore, the top biomass rank of reef fish species were Caesio cuning (15.2 %), followed by Caesio caerulaurea (12 %) and Scarus ghobban (10.5 %) (Edrus and Pratiwi, 2020).</w:t>
      </w:r>
    </w:p>
    <w:p w14:paraId="766F4AD4" w14:textId="5C382CFE" w:rsidR="0058534A" w:rsidRPr="000118A3" w:rsidRDefault="0058534A" w:rsidP="00CD0DB1">
      <w:pPr>
        <w:pStyle w:val="ListParagraph"/>
        <w:spacing w:before="120"/>
        <w:ind w:left="284"/>
        <w:contextualSpacing w:val="0"/>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An assessment covering 19 sites—including Natuna Besar, Tiga, and Sedanau Islands— The number of species was recorded 42 species: 6 corallivores; 30 herbivores and 6 carnivores.  At Sedanau Island only 12 species were recorded across all groups (Febarianto, 2021).  In 2010, a trawl-based survey around Tambelan Island revealed: 105 species across 44 families from 1,224 individuals. Dominant families: Mullidae (~35.7%), Nemipteridae (16.3%), Apogonidae (11.4%), and Lutjanidae (7.7%). Diversity and evenness values varied by site, with richness indexes ~1862–3121 and evenness (equitability) ~0.33–0.58 (Fahmi and Yonvitner, 2017).</w:t>
      </w:r>
    </w:p>
    <w:p w14:paraId="269693AA" w14:textId="74E0F1B5" w:rsidR="0058534A" w:rsidRPr="000118A3" w:rsidRDefault="0058534A" w:rsidP="00CD0DB1">
      <w:pPr>
        <w:pStyle w:val="ListParagraph"/>
        <w:spacing w:before="120"/>
        <w:ind w:left="284"/>
        <w:contextualSpacing w:val="0"/>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Seagrass biodiversity based on a multi-site survey (published 2023) across Batam, Bintan, Lingga, Anambas, and Natuna recorded 11 species: Enhalus acoroides, Thalassia hemprichii, Cymodocea rotundata, C. serrulata, Halophila ovalis, H. minor, H. spinulosa, Thalassodendron ciliatum, Halodule uninervis, H. pinifolia, and Syringodium isoetifolium (Nugraha et al, 2023). Riau archipelagic province, wide seagrass cover ranges from 20.7–54.5%, with an overall classification around “mederate” (fair/moderate) in that 2021 survey (Hadi et al, 2023).</w:t>
      </w:r>
    </w:p>
    <w:p w14:paraId="79ABA2EB" w14:textId="77777777" w:rsidR="0058534A" w:rsidRPr="000118A3" w:rsidRDefault="0058534A" w:rsidP="0058534A">
      <w:pPr>
        <w:pStyle w:val="ListParagraph"/>
        <w:spacing w:line="276" w:lineRule="auto"/>
        <w:ind w:left="64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noProof/>
          <w:color w:val="000000" w:themeColor="text1"/>
          <w:sz w:val="22"/>
          <w:szCs w:val="22"/>
          <w:lang w:val="en-GB" w:eastAsia="en-GB"/>
        </w:rPr>
        <w:lastRenderedPageBreak/>
        <w:drawing>
          <wp:inline distT="114300" distB="114300" distL="114300" distR="114300" wp14:anchorId="73BC1A9E" wp14:editId="671C6D8E">
            <wp:extent cx="5301205" cy="3570790"/>
            <wp:effectExtent l="0" t="0" r="0" b="0"/>
            <wp:docPr id="2144424893" name="image43.png" descr="A map of the world with different colored labels&#10;&#10;AI-generated content may be incorrect."/>
            <wp:cNvGraphicFramePr/>
            <a:graphic xmlns:a="http://schemas.openxmlformats.org/drawingml/2006/main">
              <a:graphicData uri="http://schemas.openxmlformats.org/drawingml/2006/picture">
                <pic:pic xmlns:pic="http://schemas.openxmlformats.org/drawingml/2006/picture">
                  <pic:nvPicPr>
                    <pic:cNvPr id="2144424893" name="image43.png" descr="A map of the world with different colored labels&#10;&#10;AI-generated content may be incorrect."/>
                    <pic:cNvPicPr preferRelativeResize="0"/>
                  </pic:nvPicPr>
                  <pic:blipFill>
                    <a:blip r:embed="rId56"/>
                    <a:srcRect/>
                    <a:stretch>
                      <a:fillRect/>
                    </a:stretch>
                  </pic:blipFill>
                  <pic:spPr>
                    <a:xfrm>
                      <a:off x="0" y="0"/>
                      <a:ext cx="5309740" cy="3576539"/>
                    </a:xfrm>
                    <a:prstGeom prst="rect">
                      <a:avLst/>
                    </a:prstGeom>
                    <a:ln/>
                  </pic:spPr>
                </pic:pic>
              </a:graphicData>
            </a:graphic>
          </wp:inline>
        </w:drawing>
      </w:r>
    </w:p>
    <w:p w14:paraId="4895FA1F" w14:textId="64FC2219" w:rsidR="0058534A" w:rsidRPr="00A21B9E" w:rsidRDefault="00A21B9E" w:rsidP="00A21B9E">
      <w:pPr>
        <w:pStyle w:val="Caption"/>
        <w:jc w:val="center"/>
        <w:rPr>
          <w:rFonts w:ascii="Times New Roman" w:eastAsia="Times New Roman" w:hAnsi="Times New Roman" w:cs="Times New Roman"/>
          <w:i w:val="0"/>
          <w:iCs w:val="0"/>
          <w:color w:val="000000" w:themeColor="text1"/>
          <w:sz w:val="22"/>
          <w:szCs w:val="22"/>
          <w:lang w:val="en-GB" w:eastAsia="en-GB"/>
        </w:rPr>
      </w:pPr>
      <w:bookmarkStart w:id="61" w:name="_heading=h.z2oinmhftdu" w:colFirst="0" w:colLast="0"/>
      <w:bookmarkStart w:id="62" w:name="_Toc217297613"/>
      <w:bookmarkEnd w:id="61"/>
      <w:r w:rsidRPr="00A21B9E">
        <w:rPr>
          <w:rFonts w:ascii="Times New Roman" w:hAnsi="Times New Roman" w:cs="Times New Roman"/>
          <w:i w:val="0"/>
          <w:iCs w:val="0"/>
          <w:color w:val="000000" w:themeColor="text1"/>
          <w:sz w:val="22"/>
          <w:szCs w:val="22"/>
        </w:rPr>
        <w:t xml:space="preserve">Figure </w:t>
      </w:r>
      <w:r w:rsidRPr="00A21B9E">
        <w:rPr>
          <w:rFonts w:ascii="Times New Roman" w:hAnsi="Times New Roman" w:cs="Times New Roman"/>
          <w:i w:val="0"/>
          <w:iCs w:val="0"/>
          <w:color w:val="000000" w:themeColor="text1"/>
          <w:sz w:val="22"/>
          <w:szCs w:val="22"/>
        </w:rPr>
        <w:fldChar w:fldCharType="begin"/>
      </w:r>
      <w:r w:rsidRPr="00A21B9E">
        <w:rPr>
          <w:rFonts w:ascii="Times New Roman" w:hAnsi="Times New Roman" w:cs="Times New Roman"/>
          <w:i w:val="0"/>
          <w:iCs w:val="0"/>
          <w:color w:val="000000" w:themeColor="text1"/>
          <w:sz w:val="22"/>
          <w:szCs w:val="22"/>
        </w:rPr>
        <w:instrText xml:space="preserve"> SEQ Figure \* ARABIC </w:instrText>
      </w:r>
      <w:r w:rsidRPr="00A21B9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26</w:t>
      </w:r>
      <w:r w:rsidRPr="00A21B9E">
        <w:rPr>
          <w:rFonts w:ascii="Times New Roman" w:hAnsi="Times New Roman" w:cs="Times New Roman"/>
          <w:i w:val="0"/>
          <w:iCs w:val="0"/>
          <w:color w:val="000000" w:themeColor="text1"/>
          <w:sz w:val="22"/>
          <w:szCs w:val="22"/>
        </w:rPr>
        <w:fldChar w:fldCharType="end"/>
      </w:r>
      <w:r w:rsidRPr="00A21B9E">
        <w:rPr>
          <w:rFonts w:ascii="Times New Roman" w:hAnsi="Times New Roman" w:cs="Times New Roman"/>
          <w:i w:val="0"/>
          <w:iCs w:val="0"/>
          <w:color w:val="000000" w:themeColor="text1"/>
          <w:sz w:val="22"/>
          <w:szCs w:val="22"/>
        </w:rPr>
        <w:t xml:space="preserve"> </w:t>
      </w:r>
      <w:r w:rsidR="0058534A" w:rsidRPr="00A21B9E">
        <w:rPr>
          <w:rFonts w:ascii="Times New Roman" w:eastAsia="Times New Roman" w:hAnsi="Times New Roman" w:cs="Times New Roman"/>
          <w:i w:val="0"/>
          <w:iCs w:val="0"/>
          <w:color w:val="000000" w:themeColor="text1"/>
          <w:sz w:val="22"/>
          <w:szCs w:val="22"/>
          <w:lang w:val="en-GB" w:eastAsia="en-GB"/>
        </w:rPr>
        <w:t>Seagrass connectivity of Enhalus acroides biodiversity (Hadi, et al, 2023)</w:t>
      </w:r>
      <w:bookmarkEnd w:id="62"/>
    </w:p>
    <w:p w14:paraId="463D2841" w14:textId="77777777" w:rsidR="0058534A" w:rsidRPr="000118A3" w:rsidRDefault="0058534A" w:rsidP="00CD0DB1">
      <w:pPr>
        <w:pStyle w:val="ListParagraph"/>
        <w:spacing w:before="120"/>
        <w:ind w:left="284"/>
        <w:contextualSpacing w:val="0"/>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The biodiversity seagrass, based on observed locations, shows that the connectivity of seagrass (Enhalus) between Tunda Island (TD), Pramuka Island (PR), Batam Island (BM), and Bangka Belitung is relatively close shown at figure above.   According to Maduppa (2021), the similarity of genetic biological characteristics is related to the dispersal processes of genetic sources, which can extend widely due to the dynamics of marine waters.</w:t>
      </w:r>
    </w:p>
    <w:p w14:paraId="45C63843" w14:textId="333E2FCA" w:rsidR="0058534A" w:rsidRPr="000118A3" w:rsidRDefault="0058534A" w:rsidP="00454663">
      <w:pPr>
        <w:pStyle w:val="BodyText"/>
        <w:spacing w:after="0" w:line="240" w:lineRule="auto"/>
        <w:ind w:left="284"/>
        <w:jc w:val="both"/>
        <w:rPr>
          <w:rFonts w:ascii="Times New Roman" w:eastAsia="Times New Roman" w:hAnsi="Times New Roman" w:cs="Times New Roman"/>
          <w:color w:val="000000" w:themeColor="text1"/>
          <w:lang w:val="en-GB" w:eastAsia="en-GB"/>
        </w:rPr>
      </w:pPr>
      <w:r w:rsidRPr="000118A3">
        <w:rPr>
          <w:rFonts w:ascii="Times New Roman" w:eastAsia="Times New Roman" w:hAnsi="Times New Roman" w:cs="Times New Roman"/>
          <w:color w:val="000000" w:themeColor="text1"/>
          <w:lang w:val="en-GB" w:eastAsia="en-GB"/>
        </w:rPr>
        <w:t>Mangrove flora (biodiversity) found in Bintan are Avicennia officinalis, Bruguiera gymnorhiza, Rhizophora apiculata, R. mucronata, R. stylosa, Sonneratia alba, S. caseolaris, Xylocarpus granatum; with common associates like Acrostichum speciosum, Derris trifoliata, Pandanus odoratissimus, Scaevola taccada, Thespesia populnea (Hakim et al, 2023). Other biota associate with mangroves: long-tailed macaque (Macaca fascicularis), Natuna leaf monkey (Presbytis natunae), dugong (Dugong dugon); and at least 32 bird species recorded around Ekang Mangrove Park (8 orders, 20 families), including hornbills and kingfishers (Hakim et al, 2023).</w:t>
      </w:r>
    </w:p>
    <w:p w14:paraId="6A5D8CC5" w14:textId="77777777" w:rsidR="004D0095" w:rsidRDefault="0058534A" w:rsidP="004D0095">
      <w:pPr>
        <w:pStyle w:val="BodyText"/>
        <w:numPr>
          <w:ilvl w:val="2"/>
          <w:numId w:val="140"/>
        </w:numPr>
        <w:spacing w:before="120" w:after="0" w:line="240" w:lineRule="auto"/>
        <w:ind w:left="993"/>
        <w:rPr>
          <w:rFonts w:ascii="Times New Roman" w:hAnsi="Times New Roman" w:cs="Times New Roman"/>
          <w:b/>
          <w:bCs/>
          <w:color w:val="0070C0"/>
        </w:rPr>
      </w:pPr>
      <w:r w:rsidRPr="000118A3">
        <w:rPr>
          <w:rFonts w:ascii="Times New Roman" w:hAnsi="Times New Roman" w:cs="Times New Roman"/>
          <w:b/>
          <w:bCs/>
          <w:color w:val="0070C0"/>
        </w:rPr>
        <w:t>Sensitivity Area</w:t>
      </w:r>
    </w:p>
    <w:p w14:paraId="1F4EBD93" w14:textId="5299578D" w:rsidR="0058534A" w:rsidRPr="004D0095" w:rsidRDefault="0058534A" w:rsidP="004D0095">
      <w:pPr>
        <w:pStyle w:val="BodyText"/>
        <w:spacing w:before="120" w:after="0" w:line="240" w:lineRule="auto"/>
        <w:ind w:left="273"/>
        <w:rPr>
          <w:rFonts w:ascii="Times New Roman" w:hAnsi="Times New Roman" w:cs="Times New Roman"/>
          <w:b/>
          <w:bCs/>
          <w:color w:val="0070C0"/>
        </w:rPr>
      </w:pPr>
      <w:r w:rsidRPr="004D0095">
        <w:rPr>
          <w:rFonts w:ascii="Times New Roman" w:eastAsia="Times New Roman" w:hAnsi="Times New Roman" w:cs="Times New Roman"/>
          <w:color w:val="000000" w:themeColor="text1"/>
          <w:lang w:val="en-GB" w:eastAsia="en-GB"/>
        </w:rPr>
        <w:t>A sensitivity area can be defined as an area that is easily affected and potentially vulnerable and at risk. These areas include ecosystems, species and regions that support community livelihoods, and areas that play an important role for society. Several sensitive areas around the South China Sea include sea transportation, national boundaries, conservation areas, submarine cables, EETS migration species routes, and local transportation as table</w:t>
      </w:r>
      <w:r w:rsidR="00454663" w:rsidRPr="004D0095">
        <w:rPr>
          <w:rFonts w:ascii="Times New Roman" w:eastAsia="Times New Roman" w:hAnsi="Times New Roman" w:cs="Times New Roman"/>
          <w:color w:val="000000" w:themeColor="text1"/>
          <w:lang w:val="en-GB" w:eastAsia="en-GB"/>
        </w:rPr>
        <w:t xml:space="preserve"> </w:t>
      </w:r>
      <w:r w:rsidR="00A21B9E">
        <w:rPr>
          <w:rFonts w:ascii="Times New Roman" w:eastAsia="Times New Roman" w:hAnsi="Times New Roman" w:cs="Times New Roman"/>
          <w:color w:val="000000" w:themeColor="text1"/>
          <w:lang w:val="en-GB" w:eastAsia="en-GB"/>
        </w:rPr>
        <w:t>10</w:t>
      </w:r>
      <w:r w:rsidRPr="004D0095">
        <w:rPr>
          <w:rFonts w:ascii="Times New Roman" w:eastAsia="Times New Roman" w:hAnsi="Times New Roman" w:cs="Times New Roman"/>
          <w:color w:val="000000" w:themeColor="text1"/>
          <w:lang w:val="en-GB" w:eastAsia="en-GB"/>
        </w:rPr>
        <w:t xml:space="preserve"> below.</w:t>
      </w:r>
    </w:p>
    <w:p w14:paraId="5BCE51DA" w14:textId="0BDC399C" w:rsidR="0058534A" w:rsidRPr="00A21B9E" w:rsidRDefault="00A21B9E" w:rsidP="00A21B9E">
      <w:pPr>
        <w:pStyle w:val="Caption"/>
        <w:rPr>
          <w:rFonts w:ascii="Times New Roman" w:eastAsia="Times New Roman" w:hAnsi="Times New Roman" w:cs="Times New Roman"/>
          <w:i w:val="0"/>
          <w:iCs w:val="0"/>
          <w:color w:val="000000" w:themeColor="text1"/>
          <w:sz w:val="22"/>
          <w:szCs w:val="22"/>
          <w:lang w:val="en-GB" w:eastAsia="en-GB"/>
        </w:rPr>
      </w:pPr>
      <w:bookmarkStart w:id="63" w:name="_Toc217297655"/>
      <w:r w:rsidRPr="00A21B9E">
        <w:rPr>
          <w:rFonts w:ascii="Times New Roman" w:hAnsi="Times New Roman" w:cs="Times New Roman"/>
          <w:i w:val="0"/>
          <w:iCs w:val="0"/>
          <w:color w:val="000000" w:themeColor="text1"/>
          <w:sz w:val="22"/>
          <w:szCs w:val="22"/>
        </w:rPr>
        <w:t xml:space="preserve">Table </w:t>
      </w:r>
      <w:r w:rsidRPr="00A21B9E">
        <w:rPr>
          <w:rFonts w:ascii="Times New Roman" w:hAnsi="Times New Roman" w:cs="Times New Roman"/>
          <w:i w:val="0"/>
          <w:iCs w:val="0"/>
          <w:color w:val="000000" w:themeColor="text1"/>
          <w:sz w:val="22"/>
          <w:szCs w:val="22"/>
        </w:rPr>
        <w:fldChar w:fldCharType="begin"/>
      </w:r>
      <w:r w:rsidRPr="00A21B9E">
        <w:rPr>
          <w:rFonts w:ascii="Times New Roman" w:hAnsi="Times New Roman" w:cs="Times New Roman"/>
          <w:i w:val="0"/>
          <w:iCs w:val="0"/>
          <w:color w:val="000000" w:themeColor="text1"/>
          <w:sz w:val="22"/>
          <w:szCs w:val="22"/>
        </w:rPr>
        <w:instrText xml:space="preserve"> SEQ Table \* ARABIC </w:instrText>
      </w:r>
      <w:r w:rsidRPr="00A21B9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10</w:t>
      </w:r>
      <w:r w:rsidRPr="00A21B9E">
        <w:rPr>
          <w:rFonts w:ascii="Times New Roman" w:hAnsi="Times New Roman" w:cs="Times New Roman"/>
          <w:i w:val="0"/>
          <w:iCs w:val="0"/>
          <w:color w:val="000000" w:themeColor="text1"/>
          <w:sz w:val="22"/>
          <w:szCs w:val="22"/>
        </w:rPr>
        <w:fldChar w:fldCharType="end"/>
      </w:r>
      <w:r w:rsidR="0058534A" w:rsidRPr="00A21B9E">
        <w:rPr>
          <w:rFonts w:ascii="Times New Roman" w:eastAsia="Times New Roman" w:hAnsi="Times New Roman" w:cs="Times New Roman"/>
          <w:i w:val="0"/>
          <w:iCs w:val="0"/>
          <w:color w:val="000000" w:themeColor="text1"/>
          <w:sz w:val="22"/>
          <w:szCs w:val="22"/>
          <w:lang w:val="en-GB" w:eastAsia="en-GB"/>
        </w:rPr>
        <w:t xml:space="preserve">  Sensitivity issue in Indonesia region</w:t>
      </w:r>
      <w:bookmarkEnd w:id="63"/>
    </w:p>
    <w:tbl>
      <w:tblPr>
        <w:tblStyle w:val="TableGrid"/>
        <w:tblW w:w="0" w:type="auto"/>
        <w:tblInd w:w="279" w:type="dxa"/>
        <w:tblLook w:val="04A0" w:firstRow="1" w:lastRow="0" w:firstColumn="1" w:lastColumn="0" w:noHBand="0" w:noVBand="1"/>
      </w:tblPr>
      <w:tblGrid>
        <w:gridCol w:w="2122"/>
        <w:gridCol w:w="2693"/>
        <w:gridCol w:w="4394"/>
      </w:tblGrid>
      <w:tr w:rsidR="0058534A" w:rsidRPr="000118A3" w14:paraId="2CBCBEA0" w14:textId="77777777" w:rsidTr="0058534A">
        <w:trPr>
          <w:trHeight w:val="428"/>
        </w:trPr>
        <w:tc>
          <w:tcPr>
            <w:tcW w:w="2122" w:type="dxa"/>
            <w:shd w:val="clear" w:color="auto" w:fill="BFBFBF" w:themeFill="background1" w:themeFillShade="BF"/>
          </w:tcPr>
          <w:p w14:paraId="1526FE2D" w14:textId="77777777" w:rsidR="0058534A" w:rsidRPr="000118A3" w:rsidRDefault="0058534A" w:rsidP="0058534A">
            <w:pPr>
              <w:spacing w:line="276" w:lineRule="auto"/>
              <w:jc w:val="center"/>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Name</w:t>
            </w:r>
          </w:p>
        </w:tc>
        <w:tc>
          <w:tcPr>
            <w:tcW w:w="2693" w:type="dxa"/>
            <w:shd w:val="clear" w:color="auto" w:fill="BFBFBF" w:themeFill="background1" w:themeFillShade="BF"/>
          </w:tcPr>
          <w:p w14:paraId="13F1BFFE" w14:textId="77777777" w:rsidR="0058534A" w:rsidRPr="000118A3" w:rsidRDefault="0058534A" w:rsidP="0058534A">
            <w:pPr>
              <w:spacing w:line="276" w:lineRule="auto"/>
              <w:jc w:val="center"/>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Sensitive issue</w:t>
            </w:r>
          </w:p>
        </w:tc>
        <w:tc>
          <w:tcPr>
            <w:tcW w:w="4394" w:type="dxa"/>
            <w:shd w:val="clear" w:color="auto" w:fill="BFBFBF" w:themeFill="background1" w:themeFillShade="BF"/>
          </w:tcPr>
          <w:p w14:paraId="3C5F3D3A" w14:textId="54910B4E" w:rsidR="0058534A" w:rsidRPr="000118A3" w:rsidRDefault="0058534A" w:rsidP="0058534A">
            <w:pPr>
              <w:spacing w:line="276" w:lineRule="auto"/>
              <w:jc w:val="center"/>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Description</w:t>
            </w:r>
          </w:p>
        </w:tc>
      </w:tr>
      <w:tr w:rsidR="0058534A" w:rsidRPr="000118A3" w14:paraId="103E3CB1" w14:textId="77777777" w:rsidTr="0058534A">
        <w:trPr>
          <w:trHeight w:val="1695"/>
        </w:trPr>
        <w:tc>
          <w:tcPr>
            <w:tcW w:w="2122" w:type="dxa"/>
          </w:tcPr>
          <w:p w14:paraId="5FE9D0D2"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Sea Line (ALKI) Indonesia</w:t>
            </w:r>
          </w:p>
        </w:tc>
        <w:tc>
          <w:tcPr>
            <w:tcW w:w="2693" w:type="dxa"/>
          </w:tcPr>
          <w:p w14:paraId="27FCFA2F"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 xml:space="preserve">Balast discharge and oil spill from ship and oil and gas minning </w:t>
            </w:r>
          </w:p>
        </w:tc>
        <w:tc>
          <w:tcPr>
            <w:tcW w:w="4394" w:type="dxa"/>
          </w:tcPr>
          <w:p w14:paraId="2F169426"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hAnsi="Times New Roman" w:cs="Times New Roman"/>
                <w:color w:val="000000" w:themeColor="text1"/>
                <w:sz w:val="22"/>
                <w:szCs w:val="22"/>
              </w:rPr>
              <w:t xml:space="preserve">A Study for the northern South China Sea (2015–2019) identified </w:t>
            </w:r>
            <w:r w:rsidRPr="000118A3">
              <w:rPr>
                <w:rStyle w:val="Strong"/>
                <w:rFonts w:ascii="Times New Roman" w:eastAsiaTheme="majorEastAsia" w:hAnsi="Times New Roman" w:cs="Times New Roman"/>
                <w:color w:val="000000" w:themeColor="text1"/>
                <w:sz w:val="22"/>
                <w:szCs w:val="22"/>
              </w:rPr>
              <w:t>632 oil slicks</w:t>
            </w:r>
            <w:r w:rsidRPr="000118A3">
              <w:rPr>
                <w:rFonts w:ascii="Times New Roman" w:hAnsi="Times New Roman" w:cs="Times New Roman"/>
                <w:color w:val="000000" w:themeColor="text1"/>
                <w:sz w:val="22"/>
                <w:szCs w:val="22"/>
              </w:rPr>
              <w:t xml:space="preserve">, of which </w:t>
            </w:r>
            <w:r w:rsidRPr="000118A3">
              <w:rPr>
                <w:rStyle w:val="Strong"/>
                <w:rFonts w:ascii="Times New Roman" w:eastAsiaTheme="majorEastAsia" w:hAnsi="Times New Roman" w:cs="Times New Roman"/>
                <w:color w:val="000000" w:themeColor="text1"/>
                <w:sz w:val="22"/>
                <w:szCs w:val="22"/>
              </w:rPr>
              <w:t>490 came from ships and 57 from platforms</w:t>
            </w:r>
            <w:r w:rsidRPr="000118A3">
              <w:rPr>
                <w:rFonts w:ascii="Times New Roman" w:hAnsi="Times New Roman" w:cs="Times New Roman"/>
                <w:color w:val="000000" w:themeColor="text1"/>
                <w:sz w:val="22"/>
                <w:szCs w:val="22"/>
              </w:rPr>
              <w:t xml:space="preserve">; the average slick size was about </w:t>
            </w:r>
            <w:r w:rsidRPr="000118A3">
              <w:rPr>
                <w:rStyle w:val="Strong"/>
                <w:rFonts w:ascii="Times New Roman" w:eastAsiaTheme="majorEastAsia" w:hAnsi="Times New Roman" w:cs="Times New Roman"/>
                <w:color w:val="000000" w:themeColor="text1"/>
                <w:sz w:val="22"/>
                <w:szCs w:val="22"/>
              </w:rPr>
              <w:t>4.8 km²</w:t>
            </w:r>
            <w:r w:rsidRPr="000118A3">
              <w:rPr>
                <w:rFonts w:ascii="Times New Roman" w:hAnsi="Times New Roman" w:cs="Times New Roman"/>
                <w:color w:val="000000" w:themeColor="text1"/>
                <w:sz w:val="22"/>
                <w:szCs w:val="22"/>
              </w:rPr>
              <w:t xml:space="preserve">, though half of all slicks were under </w:t>
            </w:r>
            <w:r w:rsidRPr="000118A3">
              <w:rPr>
                <w:rStyle w:val="Strong"/>
                <w:rFonts w:ascii="Times New Roman" w:eastAsiaTheme="majorEastAsia" w:hAnsi="Times New Roman" w:cs="Times New Roman"/>
                <w:color w:val="000000" w:themeColor="text1"/>
                <w:sz w:val="22"/>
                <w:szCs w:val="22"/>
              </w:rPr>
              <w:t>1.7 km²</w:t>
            </w:r>
            <w:r w:rsidRPr="000118A3">
              <w:rPr>
                <w:rFonts w:ascii="Times New Roman" w:hAnsi="Times New Roman" w:cs="Times New Roman"/>
                <w:color w:val="000000" w:themeColor="text1"/>
                <w:sz w:val="22"/>
                <w:szCs w:val="22"/>
              </w:rPr>
              <w:t xml:space="preserve">. </w:t>
            </w:r>
            <w:r w:rsidRPr="000118A3">
              <w:rPr>
                <w:rStyle w:val="ms-1"/>
                <w:rFonts w:ascii="Times New Roman" w:eastAsiaTheme="majorEastAsia" w:hAnsi="Times New Roman" w:cs="Times New Roman"/>
                <w:color w:val="000000" w:themeColor="text1"/>
                <w:sz w:val="22"/>
                <w:szCs w:val="22"/>
              </w:rPr>
              <w:t xml:space="preserve">(Hong et al, 2022).  </w:t>
            </w:r>
          </w:p>
        </w:tc>
      </w:tr>
      <w:tr w:rsidR="0058534A" w:rsidRPr="000118A3" w14:paraId="2769DF0D" w14:textId="77777777" w:rsidTr="0058534A">
        <w:tc>
          <w:tcPr>
            <w:tcW w:w="2122" w:type="dxa"/>
          </w:tcPr>
          <w:p w14:paraId="3EAAFF55"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lastRenderedPageBreak/>
              <w:t>National Boundaries</w:t>
            </w:r>
          </w:p>
        </w:tc>
        <w:tc>
          <w:tcPr>
            <w:tcW w:w="2693" w:type="dxa"/>
          </w:tcPr>
          <w:p w14:paraId="41124016"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The overlapping maritime claims in the South China Sea (China versus ASEAN member states)</w:t>
            </w:r>
          </w:p>
        </w:tc>
        <w:tc>
          <w:tcPr>
            <w:tcW w:w="4394" w:type="dxa"/>
          </w:tcPr>
          <w:p w14:paraId="74316E85" w14:textId="77777777" w:rsidR="0058534A" w:rsidRPr="000118A3" w:rsidRDefault="0058534A" w:rsidP="00671D7D">
            <w:pPr>
              <w:pStyle w:val="NormalWeb"/>
              <w:spacing w:before="0" w:beforeAutospacing="0" w:after="0" w:afterAutospacing="0"/>
              <w:jc w:val="both"/>
              <w:rPr>
                <w:rFonts w:eastAsia="Arial"/>
                <w:color w:val="000000" w:themeColor="text1"/>
                <w:sz w:val="22"/>
                <w:szCs w:val="22"/>
              </w:rPr>
            </w:pPr>
            <w:r w:rsidRPr="000118A3">
              <w:rPr>
                <w:color w:val="000000" w:themeColor="text1"/>
                <w:sz w:val="22"/>
                <w:szCs w:val="22"/>
              </w:rPr>
              <w:t xml:space="preserve">China’s expansive claims in the South China Sea have created several sensitive issues for the region, including legal disputes stemming from the invalidated </w:t>
            </w:r>
            <w:r w:rsidRPr="000118A3">
              <w:rPr>
                <w:rStyle w:val="Emphasis"/>
                <w:rFonts w:eastAsiaTheme="majorEastAsia"/>
                <w:color w:val="000000" w:themeColor="text1"/>
                <w:sz w:val="22"/>
                <w:szCs w:val="22"/>
              </w:rPr>
              <w:t>nine-dash line</w:t>
            </w:r>
            <w:r w:rsidRPr="000118A3">
              <w:rPr>
                <w:color w:val="000000" w:themeColor="text1"/>
                <w:sz w:val="22"/>
                <w:szCs w:val="22"/>
              </w:rPr>
              <w:t xml:space="preserve">, overlapping maritime boundaries with ASEAN states, and the militarization of artificial islands. </w:t>
            </w:r>
          </w:p>
        </w:tc>
      </w:tr>
      <w:tr w:rsidR="0058534A" w:rsidRPr="000118A3" w14:paraId="569498BF" w14:textId="77777777" w:rsidTr="0058534A">
        <w:tc>
          <w:tcPr>
            <w:tcW w:w="2122" w:type="dxa"/>
          </w:tcPr>
          <w:p w14:paraId="239EBD95"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Conservation area</w:t>
            </w:r>
          </w:p>
        </w:tc>
        <w:tc>
          <w:tcPr>
            <w:tcW w:w="2693" w:type="dxa"/>
          </w:tcPr>
          <w:p w14:paraId="1BDBB806"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Impact from antropigenic and non antropogenic to coral, mangrove and seagrass</w:t>
            </w:r>
          </w:p>
        </w:tc>
        <w:tc>
          <w:tcPr>
            <w:tcW w:w="4394" w:type="dxa"/>
          </w:tcPr>
          <w:p w14:paraId="572F8F2D" w14:textId="77777777" w:rsidR="0058534A" w:rsidRPr="000118A3" w:rsidRDefault="0058534A" w:rsidP="00671D7D">
            <w:pPr>
              <w:jc w:val="both"/>
              <w:rPr>
                <w:rFonts w:ascii="Times New Roman" w:eastAsia="Arial" w:hAnsi="Times New Roman" w:cs="Times New Roman"/>
                <w:i/>
                <w:color w:val="000000" w:themeColor="text1"/>
                <w:sz w:val="22"/>
                <w:szCs w:val="22"/>
              </w:rPr>
            </w:pPr>
            <w:r w:rsidRPr="000118A3">
              <w:rPr>
                <w:rFonts w:ascii="Times New Roman" w:eastAsia="Arial" w:hAnsi="Times New Roman" w:cs="Times New Roman"/>
                <w:color w:val="000000" w:themeColor="text1"/>
                <w:sz w:val="22"/>
                <w:szCs w:val="22"/>
              </w:rPr>
              <w:t>Muawanah et al. (2020), record, only 53% of coral reef ecosystems are managed within conservation areas. In addition to the sensitivity of designated conservation areas, coral reef ecosystems themselves are highly sensitive and vulnerable to degradation, both from anthropogenic influences and non-anthropogenic factors.</w:t>
            </w:r>
          </w:p>
        </w:tc>
      </w:tr>
      <w:tr w:rsidR="0058534A" w:rsidRPr="000118A3" w14:paraId="415286AC" w14:textId="77777777" w:rsidTr="0058534A">
        <w:tc>
          <w:tcPr>
            <w:tcW w:w="2122" w:type="dxa"/>
          </w:tcPr>
          <w:p w14:paraId="1DB4CAB4"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Submarine Cable</w:t>
            </w:r>
          </w:p>
        </w:tc>
        <w:tc>
          <w:tcPr>
            <w:tcW w:w="2693" w:type="dxa"/>
          </w:tcPr>
          <w:p w14:paraId="3BD123C6"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b/>
                <w:color w:val="000000" w:themeColor="text1"/>
                <w:sz w:val="22"/>
                <w:szCs w:val="22"/>
              </w:rPr>
              <w:t>Sensitivity and risks related to cable cuts:</w:t>
            </w:r>
            <w:r w:rsidRPr="000118A3">
              <w:rPr>
                <w:rFonts w:ascii="Times New Roman" w:eastAsia="Arial" w:hAnsi="Times New Roman" w:cs="Times New Roman"/>
                <w:color w:val="000000" w:themeColor="text1"/>
                <w:sz w:val="22"/>
                <w:szCs w:val="22"/>
              </w:rPr>
              <w:t xml:space="preserve"> Frequent disruptions may occur due to ship anchors, fishing trawlers, and natural hazards.</w:t>
            </w:r>
          </w:p>
        </w:tc>
        <w:tc>
          <w:tcPr>
            <w:tcW w:w="4394" w:type="dxa"/>
          </w:tcPr>
          <w:p w14:paraId="6156283D"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b/>
                <w:color w:val="000000" w:themeColor="text1"/>
                <w:sz w:val="22"/>
                <w:szCs w:val="22"/>
              </w:rPr>
              <w:t>Cybersecurity risks:</w:t>
            </w:r>
            <w:r w:rsidRPr="000118A3">
              <w:rPr>
                <w:rFonts w:ascii="Times New Roman" w:eastAsia="Arial" w:hAnsi="Times New Roman" w:cs="Times New Roman"/>
                <w:color w:val="000000" w:themeColor="text1"/>
                <w:sz w:val="22"/>
                <w:szCs w:val="22"/>
              </w:rPr>
              <w:t xml:space="preserve"> There are growing concerns about interception or tapping of submarine cables by state actors, making risk management in cybersecurity an urgent priority.</w:t>
            </w:r>
          </w:p>
        </w:tc>
      </w:tr>
      <w:tr w:rsidR="0058534A" w:rsidRPr="000118A3" w14:paraId="24454705" w14:textId="77777777" w:rsidTr="0058534A">
        <w:tc>
          <w:tcPr>
            <w:tcW w:w="2122" w:type="dxa"/>
          </w:tcPr>
          <w:p w14:paraId="16055E83"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EETS Route and Migration</w:t>
            </w:r>
          </w:p>
        </w:tc>
        <w:tc>
          <w:tcPr>
            <w:tcW w:w="2693" w:type="dxa"/>
          </w:tcPr>
          <w:p w14:paraId="67077BE3"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 xml:space="preserve">These are </w:t>
            </w:r>
            <w:r w:rsidRPr="000118A3">
              <w:rPr>
                <w:rFonts w:ascii="Times New Roman" w:eastAsia="Arial" w:hAnsi="Times New Roman" w:cs="Times New Roman"/>
                <w:b/>
                <w:color w:val="000000" w:themeColor="text1"/>
                <w:sz w:val="22"/>
                <w:szCs w:val="22"/>
              </w:rPr>
              <w:t>migratory or resident marine species</w:t>
            </w:r>
            <w:r w:rsidRPr="000118A3">
              <w:rPr>
                <w:rFonts w:ascii="Times New Roman" w:eastAsia="Arial" w:hAnsi="Times New Roman" w:cs="Times New Roman"/>
                <w:color w:val="000000" w:themeColor="text1"/>
                <w:sz w:val="22"/>
                <w:szCs w:val="22"/>
              </w:rPr>
              <w:t xml:space="preserve"> that move along the South China Sea corridor, passing through Natuna waters</w:t>
            </w:r>
          </w:p>
        </w:tc>
        <w:tc>
          <w:tcPr>
            <w:tcW w:w="4394" w:type="dxa"/>
          </w:tcPr>
          <w:p w14:paraId="2528AB6D"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b/>
                <w:color w:val="000000" w:themeColor="text1"/>
                <w:sz w:val="22"/>
                <w:szCs w:val="22"/>
              </w:rPr>
              <w:t xml:space="preserve">Dugong (Dugong dugon) with habitat in </w:t>
            </w:r>
            <w:r w:rsidRPr="000118A3">
              <w:rPr>
                <w:rFonts w:ascii="Times New Roman" w:eastAsia="Arial" w:hAnsi="Times New Roman" w:cs="Times New Roman"/>
                <w:color w:val="000000" w:themeColor="text1"/>
                <w:sz w:val="22"/>
                <w:szCs w:val="22"/>
              </w:rPr>
              <w:t xml:space="preserve">seagrass beds in Natuna &amp; Bintan.  </w:t>
            </w:r>
            <w:r w:rsidRPr="000118A3">
              <w:rPr>
                <w:rFonts w:ascii="Times New Roman" w:eastAsia="Arial" w:hAnsi="Times New Roman" w:cs="Times New Roman"/>
                <w:b/>
                <w:color w:val="000000" w:themeColor="text1"/>
                <w:sz w:val="22"/>
                <w:szCs w:val="22"/>
              </w:rPr>
              <w:t xml:space="preserve">Sea Turtles </w:t>
            </w:r>
            <w:r w:rsidRPr="000118A3">
              <w:rPr>
                <w:rFonts w:ascii="Times New Roman" w:eastAsia="Arial" w:hAnsi="Times New Roman" w:cs="Times New Roman"/>
                <w:color w:val="000000" w:themeColor="text1"/>
                <w:sz w:val="22"/>
                <w:szCs w:val="22"/>
              </w:rPr>
              <w:t xml:space="preserve">that dominantly found </w:t>
            </w:r>
            <w:r w:rsidRPr="000118A3">
              <w:rPr>
                <w:rFonts w:ascii="Times New Roman" w:eastAsia="Arial" w:hAnsi="Times New Roman" w:cs="Times New Roman"/>
                <w:b/>
                <w:color w:val="000000" w:themeColor="text1"/>
                <w:sz w:val="22"/>
                <w:szCs w:val="22"/>
              </w:rPr>
              <w:t xml:space="preserve">green turtle (Chelonia mydas) </w:t>
            </w:r>
            <w:r w:rsidRPr="000118A3">
              <w:rPr>
                <w:rFonts w:ascii="Times New Roman" w:eastAsia="Arial" w:hAnsi="Times New Roman" w:cs="Times New Roman"/>
                <w:color w:val="000000" w:themeColor="text1"/>
                <w:sz w:val="22"/>
                <w:szCs w:val="22"/>
              </w:rPr>
              <w:t>and</w:t>
            </w:r>
            <w:r w:rsidRPr="000118A3">
              <w:rPr>
                <w:rFonts w:ascii="Times New Roman" w:eastAsia="Arial" w:hAnsi="Times New Roman" w:cs="Times New Roman"/>
                <w:b/>
                <w:color w:val="000000" w:themeColor="text1"/>
                <w:sz w:val="22"/>
                <w:szCs w:val="22"/>
              </w:rPr>
              <w:t xml:space="preserve"> Hawksbill Turtle (Eretmochelys imbricata) </w:t>
            </w:r>
            <w:r w:rsidRPr="000118A3">
              <w:rPr>
                <w:rFonts w:ascii="Times New Roman" w:eastAsia="Arial" w:hAnsi="Times New Roman" w:cs="Times New Roman"/>
                <w:color w:val="000000" w:themeColor="text1"/>
                <w:sz w:val="22"/>
                <w:szCs w:val="22"/>
              </w:rPr>
              <w:t>migration</w:t>
            </w:r>
            <w:r w:rsidRPr="000118A3">
              <w:rPr>
                <w:rFonts w:ascii="Times New Roman" w:eastAsia="Arial" w:hAnsi="Times New Roman" w:cs="Times New Roman"/>
                <w:b/>
                <w:color w:val="000000" w:themeColor="text1"/>
                <w:sz w:val="22"/>
                <w:szCs w:val="22"/>
              </w:rPr>
              <w:t xml:space="preserve"> </w:t>
            </w:r>
            <w:r w:rsidRPr="000118A3">
              <w:rPr>
                <w:rFonts w:ascii="Times New Roman" w:eastAsia="Arial" w:hAnsi="Times New Roman" w:cs="Times New Roman"/>
                <w:color w:val="000000" w:themeColor="text1"/>
                <w:sz w:val="22"/>
                <w:szCs w:val="22"/>
              </w:rPr>
              <w:t xml:space="preserve">route across SCS feeding grounds (Natuna–Spratlys–Philippines–Malaysia).  </w:t>
            </w:r>
            <w:r w:rsidRPr="000118A3">
              <w:rPr>
                <w:rFonts w:ascii="Times New Roman" w:eastAsia="Arial" w:hAnsi="Times New Roman" w:cs="Times New Roman"/>
                <w:b/>
                <w:color w:val="000000" w:themeColor="text1"/>
                <w:sz w:val="22"/>
                <w:szCs w:val="22"/>
              </w:rPr>
              <w:t>Napoleon Wrasse (Cheilinus undulatus)</w:t>
            </w:r>
            <w:r w:rsidRPr="000118A3">
              <w:rPr>
                <w:rFonts w:ascii="Times New Roman" w:eastAsia="Arial" w:hAnsi="Times New Roman" w:cs="Times New Roman"/>
                <w:color w:val="000000" w:themeColor="text1"/>
                <w:sz w:val="22"/>
                <w:szCs w:val="22"/>
              </w:rPr>
              <w:t xml:space="preserve"> have migration route at Coral reef belts from Natuna to Spratly Islands  and in the Philippines.  </w:t>
            </w:r>
            <w:r w:rsidRPr="000118A3">
              <w:rPr>
                <w:rFonts w:ascii="Times New Roman" w:eastAsia="Arial" w:hAnsi="Times New Roman" w:cs="Times New Roman"/>
                <w:b/>
                <w:color w:val="000000" w:themeColor="text1"/>
                <w:sz w:val="22"/>
                <w:szCs w:val="22"/>
              </w:rPr>
              <w:t>Whale Shark (Rhincodon typus)</w:t>
            </w:r>
            <w:r w:rsidRPr="000118A3">
              <w:rPr>
                <w:rFonts w:ascii="Times New Roman" w:eastAsia="Arial" w:hAnsi="Times New Roman" w:cs="Times New Roman"/>
                <w:color w:val="000000" w:themeColor="text1"/>
                <w:sz w:val="22"/>
                <w:szCs w:val="22"/>
              </w:rPr>
              <w:t xml:space="preserve"> as one of Vulnerable species have migration route  Vietnam coast to Natuna and Java Sea while alga blooms. The </w:t>
            </w:r>
            <w:r w:rsidRPr="000118A3">
              <w:rPr>
                <w:rFonts w:ascii="Times New Roman" w:eastAsia="Arial" w:hAnsi="Times New Roman" w:cs="Times New Roman"/>
                <w:b/>
                <w:color w:val="000000" w:themeColor="text1"/>
                <w:sz w:val="22"/>
                <w:szCs w:val="22"/>
              </w:rPr>
              <w:t>Irrawaddy Dolphin (Orcaella brevirostris)</w:t>
            </w:r>
            <w:r w:rsidRPr="000118A3">
              <w:rPr>
                <w:rFonts w:ascii="Times New Roman" w:eastAsia="Arial" w:hAnsi="Times New Roman" w:cs="Times New Roman"/>
                <w:color w:val="000000" w:themeColor="text1"/>
                <w:sz w:val="22"/>
                <w:szCs w:val="22"/>
              </w:rPr>
              <w:t xml:space="preserve"> as endangered found in estuaries and shallow coastal waters. The migration route from and to Mekong estuary (Vietnam/Cambodia) to Natuna Sea and along side of  West Kalimantan coastal.  The </w:t>
            </w:r>
            <w:r w:rsidRPr="000118A3">
              <w:rPr>
                <w:rFonts w:ascii="Times New Roman" w:eastAsia="Arial" w:hAnsi="Times New Roman" w:cs="Times New Roman"/>
                <w:b/>
                <w:color w:val="000000" w:themeColor="text1"/>
                <w:sz w:val="22"/>
                <w:szCs w:val="22"/>
              </w:rPr>
              <w:t>Scalloped Hammerhead Shark (Sphyrna lewini)</w:t>
            </w:r>
            <w:r w:rsidRPr="000118A3">
              <w:rPr>
                <w:rFonts w:ascii="Times New Roman" w:eastAsia="Arial" w:hAnsi="Times New Roman" w:cs="Times New Roman"/>
                <w:color w:val="000000" w:themeColor="text1"/>
                <w:sz w:val="22"/>
                <w:szCs w:val="22"/>
              </w:rPr>
              <w:t xml:space="preserve"> that record as Critically Endangered (CE) have route from Spratlys to Natuna and Banda Sea.  </w:t>
            </w:r>
            <w:r w:rsidRPr="000118A3">
              <w:rPr>
                <w:rFonts w:ascii="Times New Roman" w:eastAsia="Arial" w:hAnsi="Times New Roman" w:cs="Times New Roman"/>
                <w:b/>
                <w:color w:val="000000" w:themeColor="text1"/>
                <w:sz w:val="22"/>
                <w:szCs w:val="22"/>
              </w:rPr>
              <w:t>Leatherback Turtle (Dermochelys coriacea)</w:t>
            </w:r>
            <w:r w:rsidRPr="000118A3">
              <w:rPr>
                <w:rFonts w:ascii="Times New Roman" w:eastAsia="Arial" w:hAnsi="Times New Roman" w:cs="Times New Roman"/>
                <w:color w:val="000000" w:themeColor="text1"/>
                <w:sz w:val="22"/>
                <w:szCs w:val="22"/>
              </w:rPr>
              <w:t xml:space="preserve"> record as Critically Endangered have route from Pacific (Papua nesting sites) to South China Sea (feeding grounds) and the end in Indian Ocean.</w:t>
            </w:r>
          </w:p>
        </w:tc>
      </w:tr>
      <w:tr w:rsidR="0058534A" w:rsidRPr="000118A3" w14:paraId="15451E9C" w14:textId="77777777" w:rsidTr="0058534A">
        <w:tc>
          <w:tcPr>
            <w:tcW w:w="2122" w:type="dxa"/>
          </w:tcPr>
          <w:p w14:paraId="10C25D2A"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Fish Spawning Habitat</w:t>
            </w:r>
          </w:p>
        </w:tc>
        <w:tc>
          <w:tcPr>
            <w:tcW w:w="2693" w:type="dxa"/>
          </w:tcPr>
          <w:p w14:paraId="0B7CDFA4"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color w:val="000000" w:themeColor="text1"/>
                <w:sz w:val="22"/>
                <w:szCs w:val="22"/>
              </w:rPr>
              <w:t>Disruption of essential habitat for spawning and nursery</w:t>
            </w:r>
          </w:p>
        </w:tc>
        <w:tc>
          <w:tcPr>
            <w:tcW w:w="4394" w:type="dxa"/>
          </w:tcPr>
          <w:p w14:paraId="509C3FB7" w14:textId="77777777" w:rsidR="0058534A" w:rsidRPr="000118A3" w:rsidRDefault="0058534A" w:rsidP="00671D7D">
            <w:pPr>
              <w:jc w:val="both"/>
              <w:rPr>
                <w:rFonts w:ascii="Times New Roman" w:eastAsia="Arial" w:hAnsi="Times New Roman" w:cs="Times New Roman"/>
                <w:color w:val="000000" w:themeColor="text1"/>
                <w:sz w:val="22"/>
                <w:szCs w:val="22"/>
              </w:rPr>
            </w:pPr>
            <w:r w:rsidRPr="000118A3">
              <w:rPr>
                <w:rFonts w:ascii="Times New Roman" w:eastAsia="Arial" w:hAnsi="Times New Roman" w:cs="Times New Roman"/>
                <w:b/>
                <w:color w:val="000000" w:themeColor="text1"/>
                <w:sz w:val="22"/>
                <w:szCs w:val="22"/>
              </w:rPr>
              <w:t xml:space="preserve">The potential spawning grounds </w:t>
            </w:r>
            <w:r w:rsidRPr="000118A3">
              <w:rPr>
                <w:rFonts w:ascii="Times New Roman" w:eastAsia="Arial" w:hAnsi="Times New Roman" w:cs="Times New Roman"/>
                <w:color w:val="000000" w:themeColor="text1"/>
                <w:sz w:val="22"/>
                <w:szCs w:val="22"/>
              </w:rPr>
              <w:t>for skipjack, yellowfin tuna, mackerel mainly on</w:t>
            </w:r>
            <w:r w:rsidRPr="000118A3">
              <w:rPr>
                <w:rFonts w:ascii="Times New Roman" w:eastAsia="Arial" w:hAnsi="Times New Roman" w:cs="Times New Roman"/>
                <w:b/>
                <w:color w:val="000000" w:themeColor="text1"/>
                <w:sz w:val="22"/>
                <w:szCs w:val="22"/>
              </w:rPr>
              <w:t xml:space="preserve"> offshore pelagic zones </w:t>
            </w:r>
            <w:r w:rsidRPr="000118A3">
              <w:rPr>
                <w:rFonts w:ascii="Times New Roman" w:eastAsia="Arial" w:hAnsi="Times New Roman" w:cs="Times New Roman"/>
                <w:color w:val="000000" w:themeColor="text1"/>
                <w:sz w:val="22"/>
                <w:szCs w:val="22"/>
              </w:rPr>
              <w:t xml:space="preserve">north and northeast of Bunguran Island.  Coral </w:t>
            </w:r>
            <w:r w:rsidRPr="000118A3">
              <w:rPr>
                <w:rFonts w:ascii="Times New Roman" w:eastAsia="Arial" w:hAnsi="Times New Roman" w:cs="Times New Roman"/>
                <w:b/>
                <w:color w:val="000000" w:themeColor="text1"/>
                <w:sz w:val="22"/>
                <w:szCs w:val="22"/>
              </w:rPr>
              <w:t xml:space="preserve">reef-associated areas </w:t>
            </w:r>
            <w:r w:rsidRPr="000118A3">
              <w:rPr>
                <w:rFonts w:ascii="Times New Roman" w:eastAsia="Arial" w:hAnsi="Times New Roman" w:cs="Times New Roman"/>
                <w:color w:val="000000" w:themeColor="text1"/>
                <w:sz w:val="22"/>
                <w:szCs w:val="22"/>
              </w:rPr>
              <w:t>around Sedanau, Pulau Senoa, Midai as spawning ground for  groupers (</w:t>
            </w:r>
            <w:r w:rsidRPr="000118A3">
              <w:rPr>
                <w:rFonts w:ascii="Times New Roman" w:eastAsia="Arial" w:hAnsi="Times New Roman" w:cs="Times New Roman"/>
                <w:i/>
                <w:color w:val="000000" w:themeColor="text1"/>
                <w:sz w:val="22"/>
                <w:szCs w:val="22"/>
              </w:rPr>
              <w:t>Epinephelus</w:t>
            </w:r>
            <w:r w:rsidRPr="000118A3">
              <w:rPr>
                <w:rFonts w:ascii="Times New Roman" w:eastAsia="Arial" w:hAnsi="Times New Roman" w:cs="Times New Roman"/>
                <w:color w:val="000000" w:themeColor="text1"/>
                <w:sz w:val="22"/>
                <w:szCs w:val="22"/>
              </w:rPr>
              <w:t>), snappers (</w:t>
            </w:r>
            <w:r w:rsidRPr="000118A3">
              <w:rPr>
                <w:rFonts w:ascii="Times New Roman" w:eastAsia="Arial" w:hAnsi="Times New Roman" w:cs="Times New Roman"/>
                <w:i/>
                <w:color w:val="000000" w:themeColor="text1"/>
                <w:sz w:val="22"/>
                <w:szCs w:val="22"/>
              </w:rPr>
              <w:t>Lutjanus</w:t>
            </w:r>
            <w:r w:rsidRPr="000118A3">
              <w:rPr>
                <w:rFonts w:ascii="Times New Roman" w:eastAsia="Arial" w:hAnsi="Times New Roman" w:cs="Times New Roman"/>
                <w:color w:val="000000" w:themeColor="text1"/>
                <w:sz w:val="22"/>
                <w:szCs w:val="22"/>
              </w:rPr>
              <w:t>).  Seagrass meadows as spawning habitat of rabbitfish (</w:t>
            </w:r>
            <w:r w:rsidRPr="000118A3">
              <w:rPr>
                <w:rFonts w:ascii="Times New Roman" w:eastAsia="Arial" w:hAnsi="Times New Roman" w:cs="Times New Roman"/>
                <w:i/>
                <w:color w:val="000000" w:themeColor="text1"/>
                <w:sz w:val="22"/>
                <w:szCs w:val="22"/>
              </w:rPr>
              <w:t>Siganus</w:t>
            </w:r>
            <w:r w:rsidRPr="000118A3">
              <w:rPr>
                <w:rFonts w:ascii="Times New Roman" w:eastAsia="Arial" w:hAnsi="Times New Roman" w:cs="Times New Roman"/>
                <w:color w:val="000000" w:themeColor="text1"/>
                <w:sz w:val="22"/>
                <w:szCs w:val="22"/>
              </w:rPr>
              <w:t xml:space="preserve">), mullets.  </w:t>
            </w:r>
          </w:p>
        </w:tc>
      </w:tr>
    </w:tbl>
    <w:p w14:paraId="6819B5D5" w14:textId="478438B7" w:rsidR="0058534A" w:rsidRPr="000118A3" w:rsidRDefault="0058534A" w:rsidP="00223F84">
      <w:pPr>
        <w:pStyle w:val="BodyText"/>
        <w:numPr>
          <w:ilvl w:val="2"/>
          <w:numId w:val="140"/>
        </w:numPr>
        <w:spacing w:before="188"/>
        <w:ind w:left="993"/>
        <w:rPr>
          <w:rFonts w:ascii="Times New Roman" w:hAnsi="Times New Roman" w:cs="Times New Roman"/>
          <w:b/>
          <w:bCs/>
          <w:color w:val="0070C0"/>
        </w:rPr>
      </w:pPr>
      <w:r w:rsidRPr="000118A3">
        <w:rPr>
          <w:rFonts w:ascii="Times New Roman" w:hAnsi="Times New Roman" w:cs="Times New Roman"/>
          <w:b/>
          <w:bCs/>
          <w:color w:val="0070C0"/>
        </w:rPr>
        <w:lastRenderedPageBreak/>
        <w:t>Endemic, Endanger, and Threatened Species (EETS)</w:t>
      </w:r>
    </w:p>
    <w:p w14:paraId="1235FB21" w14:textId="77777777" w:rsidR="0058534A" w:rsidRPr="000118A3" w:rsidRDefault="0058534A" w:rsidP="00454663">
      <w:pPr>
        <w:pStyle w:val="ListParagraph"/>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Endemic, endangered, and threatened species (EETS) found in the waters of the Natuna and North Natuna Seas include groups of dolphins, whales, dugongs, and several Napoleon wrasses (Cheilinus undulatus).  Species such as dugongs and the Napoleon wrasse (Cheilinus undulatus), as well as spinner dolphins (Stenella longirostris) and bottlenose dolphins (Tursiops truncatus), are listed as protected fauna. Based on their IUCN Red List status, spinner dolphins are categorized as Least Concern (LC), while bottlenose dolphins are classified as Near Threatened (NT). According to CITES, these species are included in Appendix II (not necessarily threatened with extinction but may become so unless trade is strictly regulated).</w:t>
      </w:r>
    </w:p>
    <w:p w14:paraId="0263F1D3" w14:textId="77777777" w:rsidR="0058534A" w:rsidRPr="000118A3" w:rsidRDefault="0058534A" w:rsidP="00454663">
      <w:pPr>
        <w:pStyle w:val="ListParagraph"/>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p>
    <w:p w14:paraId="3BEFE28D" w14:textId="77777777" w:rsidR="0058534A" w:rsidRPr="000118A3" w:rsidRDefault="0058534A" w:rsidP="00454663">
      <w:pPr>
        <w:pStyle w:val="ListParagraph"/>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All EETS groups are widely distributed across Indonesian waters. Some of the EETS species found in the Natuna waters of Indonesia are as follows:</w:t>
      </w:r>
    </w:p>
    <w:p w14:paraId="7CD31296" w14:textId="77777777" w:rsidR="0058534A" w:rsidRPr="000118A3" w:rsidRDefault="0058534A" w:rsidP="000373FE">
      <w:pPr>
        <w:pStyle w:val="ListParagraph"/>
        <w:widowControl w:val="0"/>
        <w:pBdr>
          <w:top w:val="nil"/>
          <w:left w:val="nil"/>
          <w:bottom w:val="nil"/>
          <w:right w:val="nil"/>
          <w:between w:val="nil"/>
        </w:pBdr>
        <w:tabs>
          <w:tab w:val="left" w:pos="0"/>
          <w:tab w:val="left" w:pos="930"/>
        </w:tabs>
        <w:spacing w:line="276" w:lineRule="auto"/>
        <w:ind w:left="284"/>
        <w:jc w:val="center"/>
        <w:rPr>
          <w:rFonts w:ascii="Times New Roman" w:eastAsia="Arial" w:hAnsi="Times New Roman" w:cs="Times New Roman"/>
          <w:color w:val="000000" w:themeColor="text1"/>
          <w:sz w:val="22"/>
          <w:szCs w:val="22"/>
        </w:rPr>
      </w:pPr>
      <w:r w:rsidRPr="000118A3">
        <w:rPr>
          <w:rFonts w:ascii="Times New Roman" w:hAnsi="Times New Roman" w:cs="Times New Roman"/>
          <w:noProof/>
          <w:sz w:val="22"/>
          <w:szCs w:val="22"/>
        </w:rPr>
        <w:drawing>
          <wp:inline distT="0" distB="0" distL="0" distR="0" wp14:anchorId="5E1DAE17" wp14:editId="282AF0B2">
            <wp:extent cx="4276845" cy="2729231"/>
            <wp:effectExtent l="0" t="0" r="9525" b="0"/>
            <wp:docPr id="1838257640" name="Picture 1" descr="A map of the are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8257640" name="Picture 1" descr="A map of the area&#10;&#10;AI-generated content may be incorrect."/>
                    <pic:cNvPicPr/>
                  </pic:nvPicPr>
                  <pic:blipFill>
                    <a:blip r:embed="rId57"/>
                    <a:stretch>
                      <a:fillRect/>
                    </a:stretch>
                  </pic:blipFill>
                  <pic:spPr>
                    <a:xfrm>
                      <a:off x="0" y="0"/>
                      <a:ext cx="4326905" cy="2761177"/>
                    </a:xfrm>
                    <a:prstGeom prst="rect">
                      <a:avLst/>
                    </a:prstGeom>
                  </pic:spPr>
                </pic:pic>
              </a:graphicData>
            </a:graphic>
          </wp:inline>
        </w:drawing>
      </w:r>
    </w:p>
    <w:p w14:paraId="487CFCC0" w14:textId="186CA48B" w:rsidR="0058534A" w:rsidRPr="00A21B9E" w:rsidRDefault="00A21B9E" w:rsidP="00A21B9E">
      <w:pPr>
        <w:pStyle w:val="Caption"/>
        <w:jc w:val="center"/>
        <w:rPr>
          <w:rFonts w:ascii="Times New Roman" w:eastAsia="Arial" w:hAnsi="Times New Roman" w:cs="Times New Roman"/>
          <w:i w:val="0"/>
          <w:iCs w:val="0"/>
          <w:color w:val="000000" w:themeColor="text1"/>
          <w:sz w:val="22"/>
          <w:szCs w:val="22"/>
        </w:rPr>
      </w:pPr>
      <w:bookmarkStart w:id="64" w:name="_heading=h.8ezkufkfiwpx" w:colFirst="0" w:colLast="0"/>
      <w:bookmarkStart w:id="65" w:name="_Toc212144557"/>
      <w:bookmarkStart w:id="66" w:name="_Toc217297614"/>
      <w:bookmarkEnd w:id="64"/>
      <w:r w:rsidRPr="00A21B9E">
        <w:rPr>
          <w:rFonts w:ascii="Times New Roman" w:hAnsi="Times New Roman" w:cs="Times New Roman"/>
          <w:i w:val="0"/>
          <w:iCs w:val="0"/>
          <w:color w:val="000000" w:themeColor="text1"/>
          <w:sz w:val="22"/>
          <w:szCs w:val="22"/>
        </w:rPr>
        <w:t xml:space="preserve">Figure </w:t>
      </w:r>
      <w:r w:rsidRPr="00A21B9E">
        <w:rPr>
          <w:rFonts w:ascii="Times New Roman" w:hAnsi="Times New Roman" w:cs="Times New Roman"/>
          <w:i w:val="0"/>
          <w:iCs w:val="0"/>
          <w:color w:val="000000" w:themeColor="text1"/>
          <w:sz w:val="22"/>
          <w:szCs w:val="22"/>
        </w:rPr>
        <w:fldChar w:fldCharType="begin"/>
      </w:r>
      <w:r w:rsidRPr="00A21B9E">
        <w:rPr>
          <w:rFonts w:ascii="Times New Roman" w:hAnsi="Times New Roman" w:cs="Times New Roman"/>
          <w:i w:val="0"/>
          <w:iCs w:val="0"/>
          <w:color w:val="000000" w:themeColor="text1"/>
          <w:sz w:val="22"/>
          <w:szCs w:val="22"/>
        </w:rPr>
        <w:instrText xml:space="preserve"> SEQ Figure \* ARABIC </w:instrText>
      </w:r>
      <w:r w:rsidRPr="00A21B9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27</w:t>
      </w:r>
      <w:r w:rsidRPr="00A21B9E">
        <w:rPr>
          <w:rFonts w:ascii="Times New Roman" w:hAnsi="Times New Roman" w:cs="Times New Roman"/>
          <w:i w:val="0"/>
          <w:iCs w:val="0"/>
          <w:color w:val="000000" w:themeColor="text1"/>
          <w:sz w:val="22"/>
          <w:szCs w:val="22"/>
        </w:rPr>
        <w:fldChar w:fldCharType="end"/>
      </w:r>
      <w:r w:rsidR="0058534A" w:rsidRPr="00A21B9E">
        <w:rPr>
          <w:rFonts w:ascii="Times New Roman" w:hAnsi="Times New Roman" w:cs="Times New Roman"/>
          <w:i w:val="0"/>
          <w:iCs w:val="0"/>
          <w:color w:val="000000" w:themeColor="text1"/>
          <w:sz w:val="22"/>
          <w:szCs w:val="22"/>
        </w:rPr>
        <w:t xml:space="preserve">  The distribution of EETS species in Indones</w:t>
      </w:r>
      <w:r w:rsidR="0058534A" w:rsidRPr="00A21B9E">
        <w:rPr>
          <w:rFonts w:ascii="Times New Roman" w:hAnsi="Times New Roman" w:cs="Times New Roman"/>
          <w:i w:val="0"/>
          <w:iCs w:val="0"/>
          <w:noProof/>
          <w:color w:val="000000" w:themeColor="text1"/>
          <w:sz w:val="22"/>
          <w:szCs w:val="22"/>
        </w:rPr>
        <w:t>ia</w:t>
      </w:r>
      <w:bookmarkEnd w:id="65"/>
      <w:bookmarkEnd w:id="66"/>
    </w:p>
    <w:p w14:paraId="155B277C" w14:textId="7DF9401E" w:rsidR="0058534A" w:rsidRDefault="0058534A" w:rsidP="004D0095">
      <w:pPr>
        <w:pStyle w:val="BodyText"/>
        <w:spacing w:before="120" w:after="0" w:line="240" w:lineRule="auto"/>
        <w:ind w:left="284"/>
        <w:jc w:val="both"/>
        <w:rPr>
          <w:rFonts w:ascii="Times New Roman" w:eastAsia="Times New Roman" w:hAnsi="Times New Roman" w:cs="Times New Roman"/>
          <w:color w:val="000000" w:themeColor="text1"/>
          <w:lang w:val="en-GB" w:eastAsia="en-GB"/>
        </w:rPr>
      </w:pPr>
      <w:r w:rsidRPr="000118A3">
        <w:rPr>
          <w:rFonts w:ascii="Times New Roman" w:eastAsia="Times New Roman" w:hAnsi="Times New Roman" w:cs="Times New Roman"/>
          <w:color w:val="000000" w:themeColor="text1"/>
          <w:lang w:val="en-GB" w:eastAsia="en-GB"/>
        </w:rPr>
        <w:t>The dolphin species likely to be found in the waters around the North Natuna Sea are the South China Sea dolphin (Lagenodelphis hosei) or the Malacca dolphin (Delphininae sp.) (Sudjoko, 1988). Based on the literature, the distribution range of Lagenodelphis hosei is very wide, covering tropical to temperate regions, within approximately 30° north and 30° south latitude. Meanwhile, the distribution of Delphininae sp. includes the waters of the Riau Archipelago, along the coast of the Malacca Peninsula, and the Malacca Strait (Sudjoko, 1988).  The following presents the conservation status information of EETS (Endemic, Endangered, and Threatened Species) found in the waters of Natuna, Indonesia.</w:t>
      </w:r>
    </w:p>
    <w:p w14:paraId="1937E067" w14:textId="77777777" w:rsidR="005C0646" w:rsidRDefault="005C0646" w:rsidP="004D0095">
      <w:pPr>
        <w:pStyle w:val="BodyText"/>
        <w:spacing w:before="120" w:after="0" w:line="240" w:lineRule="auto"/>
        <w:ind w:left="284"/>
        <w:jc w:val="both"/>
        <w:rPr>
          <w:rFonts w:ascii="Times New Roman" w:eastAsia="Times New Roman" w:hAnsi="Times New Roman" w:cs="Times New Roman"/>
          <w:color w:val="000000" w:themeColor="text1"/>
          <w:lang w:val="en-GB" w:eastAsia="en-GB"/>
        </w:rPr>
      </w:pPr>
    </w:p>
    <w:p w14:paraId="665F8455" w14:textId="1619468C" w:rsidR="00D56F0F" w:rsidRPr="000118A3" w:rsidRDefault="00972833" w:rsidP="007F0F81">
      <w:pPr>
        <w:pStyle w:val="BodyText"/>
        <w:numPr>
          <w:ilvl w:val="1"/>
          <w:numId w:val="140"/>
        </w:numPr>
        <w:spacing w:before="120" w:after="0" w:line="240" w:lineRule="auto"/>
        <w:ind w:left="567" w:hanging="283"/>
        <w:outlineLvl w:val="1"/>
        <w:rPr>
          <w:rFonts w:ascii="Times New Roman" w:hAnsi="Times New Roman" w:cs="Times New Roman"/>
          <w:b/>
          <w:bCs/>
          <w:color w:val="0070C0"/>
        </w:rPr>
      </w:pPr>
      <w:bookmarkStart w:id="67" w:name="_Toc217297549"/>
      <w:r w:rsidRPr="000118A3">
        <w:rPr>
          <w:rFonts w:ascii="Times New Roman" w:hAnsi="Times New Roman" w:cs="Times New Roman"/>
          <w:b/>
          <w:bCs/>
          <w:color w:val="0070C0"/>
        </w:rPr>
        <w:t>Discussion</w:t>
      </w:r>
      <w:bookmarkEnd w:id="67"/>
      <w:r w:rsidRPr="000118A3">
        <w:rPr>
          <w:rFonts w:ascii="Times New Roman" w:hAnsi="Times New Roman" w:cs="Times New Roman"/>
          <w:b/>
          <w:bCs/>
          <w:color w:val="0070C0"/>
        </w:rPr>
        <w:t xml:space="preserve"> </w:t>
      </w:r>
    </w:p>
    <w:p w14:paraId="3641F7CA" w14:textId="582AA6BF" w:rsidR="00972833" w:rsidRPr="000118A3" w:rsidRDefault="00972833" w:rsidP="007B22FB">
      <w:pPr>
        <w:pStyle w:val="BodyText"/>
        <w:numPr>
          <w:ilvl w:val="2"/>
          <w:numId w:val="140"/>
        </w:numPr>
        <w:spacing w:after="0" w:line="240" w:lineRule="auto"/>
        <w:ind w:left="851" w:hanging="567"/>
        <w:rPr>
          <w:rFonts w:ascii="Times New Roman" w:hAnsi="Times New Roman" w:cs="Times New Roman"/>
          <w:b/>
          <w:bCs/>
          <w:color w:val="0070C0"/>
        </w:rPr>
      </w:pPr>
      <w:r w:rsidRPr="000118A3">
        <w:rPr>
          <w:rFonts w:ascii="Times New Roman" w:hAnsi="Times New Roman" w:cs="Times New Roman"/>
          <w:b/>
          <w:bCs/>
          <w:color w:val="0070C0"/>
        </w:rPr>
        <w:t>Priority Transboundary Issue</w:t>
      </w:r>
    </w:p>
    <w:p w14:paraId="19E02DAE" w14:textId="212BCFD5" w:rsidR="00972833" w:rsidRDefault="00972833" w:rsidP="00972833">
      <w:pPr>
        <w:pStyle w:val="ListParagraph"/>
        <w:pBdr>
          <w:top w:val="nil"/>
          <w:left w:val="nil"/>
          <w:bottom w:val="nil"/>
          <w:right w:val="nil"/>
          <w:between w:val="nil"/>
        </w:pBdr>
        <w:spacing w:line="276" w:lineRule="auto"/>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Based on surveys and data collection conducted at local and provincial levels in Bintan, West Borneo, the crucial issues and programs related to the marine ecosystems of Bintan, Natuna, and other waters in Western Kalimantan have been identified. This physical destruction is further exacerbated by reclamation and coastal construction, which increase water turbidity and directly destroy coral and mangrove areas. The conversion of land cover for brackish water aquaculture is another major driver of mangrove degradation. Additional pressures stem from destructive fishing practices, unregulated sand mining, and pollution from local tourism. Compounding these issues, large-scale national strategic projects pose a threat of irreversible landscape changes.  The main identified tran</w:t>
      </w:r>
      <w:r w:rsidR="000373FE">
        <w:rPr>
          <w:rFonts w:ascii="Times New Roman" w:eastAsia="Times New Roman" w:hAnsi="Times New Roman" w:cs="Times New Roman"/>
          <w:color w:val="000000" w:themeColor="text1"/>
          <w:sz w:val="22"/>
          <w:szCs w:val="22"/>
          <w:lang w:val="en-GB" w:eastAsia="en-GB"/>
        </w:rPr>
        <w:t>s</w:t>
      </w:r>
      <w:r w:rsidRPr="000118A3">
        <w:rPr>
          <w:rFonts w:ascii="Times New Roman" w:eastAsia="Times New Roman" w:hAnsi="Times New Roman" w:cs="Times New Roman"/>
          <w:color w:val="000000" w:themeColor="text1"/>
          <w:sz w:val="22"/>
          <w:szCs w:val="22"/>
          <w:lang w:val="en-GB" w:eastAsia="en-GB"/>
        </w:rPr>
        <w:t>boundary issues and their descriptions are summarized in the table</w:t>
      </w:r>
      <w:r w:rsidR="00A21B9E">
        <w:rPr>
          <w:rFonts w:ascii="Times New Roman" w:eastAsia="Times New Roman" w:hAnsi="Times New Roman" w:cs="Times New Roman"/>
          <w:color w:val="000000" w:themeColor="text1"/>
          <w:sz w:val="22"/>
          <w:szCs w:val="22"/>
          <w:lang w:val="en-GB" w:eastAsia="en-GB"/>
        </w:rPr>
        <w:t xml:space="preserve"> 11</w:t>
      </w:r>
      <w:r w:rsidRPr="000118A3">
        <w:rPr>
          <w:rFonts w:ascii="Times New Roman" w:eastAsia="Times New Roman" w:hAnsi="Times New Roman" w:cs="Times New Roman"/>
          <w:color w:val="000000" w:themeColor="text1"/>
          <w:sz w:val="22"/>
          <w:szCs w:val="22"/>
          <w:lang w:val="en-GB" w:eastAsia="en-GB"/>
        </w:rPr>
        <w:t xml:space="preserve"> below.</w:t>
      </w:r>
    </w:p>
    <w:p w14:paraId="79EBAC93" w14:textId="77777777" w:rsidR="005C0646" w:rsidRDefault="005C0646" w:rsidP="00972833">
      <w:pPr>
        <w:pStyle w:val="ListParagraph"/>
        <w:pBdr>
          <w:top w:val="nil"/>
          <w:left w:val="nil"/>
          <w:bottom w:val="nil"/>
          <w:right w:val="nil"/>
          <w:between w:val="nil"/>
        </w:pBdr>
        <w:spacing w:line="276" w:lineRule="auto"/>
        <w:ind w:left="284"/>
        <w:jc w:val="both"/>
        <w:rPr>
          <w:rFonts w:ascii="Times New Roman" w:eastAsia="Times New Roman" w:hAnsi="Times New Roman" w:cs="Times New Roman"/>
          <w:color w:val="000000" w:themeColor="text1"/>
          <w:sz w:val="22"/>
          <w:szCs w:val="22"/>
          <w:lang w:val="en-GB" w:eastAsia="en-GB"/>
        </w:rPr>
      </w:pPr>
    </w:p>
    <w:p w14:paraId="58FF96E3" w14:textId="77777777" w:rsidR="005C0646" w:rsidRPr="000118A3" w:rsidRDefault="005C0646" w:rsidP="00972833">
      <w:pPr>
        <w:pStyle w:val="ListParagraph"/>
        <w:pBdr>
          <w:top w:val="nil"/>
          <w:left w:val="nil"/>
          <w:bottom w:val="nil"/>
          <w:right w:val="nil"/>
          <w:between w:val="nil"/>
        </w:pBdr>
        <w:spacing w:line="276" w:lineRule="auto"/>
        <w:ind w:left="284"/>
        <w:jc w:val="both"/>
        <w:rPr>
          <w:rFonts w:ascii="Times New Roman" w:eastAsia="Times New Roman" w:hAnsi="Times New Roman" w:cs="Times New Roman"/>
          <w:color w:val="000000" w:themeColor="text1"/>
          <w:sz w:val="22"/>
          <w:szCs w:val="22"/>
          <w:lang w:val="en-GB" w:eastAsia="en-GB"/>
        </w:rPr>
      </w:pPr>
    </w:p>
    <w:p w14:paraId="1FBDAA86" w14:textId="39C3EDFF" w:rsidR="00972833" w:rsidRPr="000118A3" w:rsidRDefault="00A21B9E" w:rsidP="00A21B9E">
      <w:pPr>
        <w:pStyle w:val="Caption"/>
        <w:rPr>
          <w:rFonts w:ascii="Times New Roman" w:eastAsia="Times New Roman" w:hAnsi="Times New Roman" w:cs="Times New Roman"/>
          <w:i w:val="0"/>
          <w:iCs w:val="0"/>
          <w:color w:val="000000" w:themeColor="text1"/>
          <w:kern w:val="0"/>
          <w:sz w:val="22"/>
          <w:szCs w:val="22"/>
          <w:lang w:val="en-GB" w:eastAsia="en-GB"/>
          <w14:ligatures w14:val="none"/>
        </w:rPr>
      </w:pPr>
      <w:bookmarkStart w:id="68" w:name="_Toc212144428"/>
      <w:bookmarkStart w:id="69" w:name="_Toc217297656"/>
      <w:r w:rsidRPr="00A21B9E">
        <w:rPr>
          <w:rFonts w:ascii="Times New Roman" w:hAnsi="Times New Roman" w:cs="Times New Roman"/>
          <w:i w:val="0"/>
          <w:iCs w:val="0"/>
          <w:color w:val="000000" w:themeColor="text1"/>
          <w:sz w:val="22"/>
          <w:szCs w:val="22"/>
        </w:rPr>
        <w:lastRenderedPageBreak/>
        <w:t xml:space="preserve">Table </w:t>
      </w:r>
      <w:r w:rsidRPr="00A21B9E">
        <w:rPr>
          <w:rFonts w:ascii="Times New Roman" w:hAnsi="Times New Roman" w:cs="Times New Roman"/>
          <w:i w:val="0"/>
          <w:iCs w:val="0"/>
          <w:color w:val="000000" w:themeColor="text1"/>
          <w:sz w:val="22"/>
          <w:szCs w:val="22"/>
        </w:rPr>
        <w:fldChar w:fldCharType="begin"/>
      </w:r>
      <w:r w:rsidRPr="00A21B9E">
        <w:rPr>
          <w:rFonts w:ascii="Times New Roman" w:hAnsi="Times New Roman" w:cs="Times New Roman"/>
          <w:i w:val="0"/>
          <w:iCs w:val="0"/>
          <w:color w:val="000000" w:themeColor="text1"/>
          <w:sz w:val="22"/>
          <w:szCs w:val="22"/>
        </w:rPr>
        <w:instrText xml:space="preserve"> SEQ Table \* ARABIC </w:instrText>
      </w:r>
      <w:r w:rsidRPr="00A21B9E">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11</w:t>
      </w:r>
      <w:r w:rsidRPr="00A21B9E">
        <w:rPr>
          <w:rFonts w:ascii="Times New Roman" w:hAnsi="Times New Roman" w:cs="Times New Roman"/>
          <w:i w:val="0"/>
          <w:iCs w:val="0"/>
          <w:color w:val="000000" w:themeColor="text1"/>
          <w:sz w:val="22"/>
          <w:szCs w:val="22"/>
        </w:rPr>
        <w:fldChar w:fldCharType="end"/>
      </w:r>
      <w:r w:rsidR="00972833" w:rsidRPr="00A21B9E">
        <w:rPr>
          <w:rFonts w:ascii="Times New Roman" w:eastAsia="Times New Roman" w:hAnsi="Times New Roman" w:cs="Times New Roman"/>
          <w:i w:val="0"/>
          <w:iCs w:val="0"/>
          <w:color w:val="000000" w:themeColor="text1"/>
          <w:kern w:val="0"/>
          <w:sz w:val="22"/>
          <w:szCs w:val="22"/>
          <w:lang w:val="en-GB" w:eastAsia="en-GB"/>
          <w14:ligatures w14:val="none"/>
        </w:rPr>
        <w:t xml:space="preserve"> </w:t>
      </w:r>
      <w:r w:rsidR="00972833" w:rsidRPr="000118A3">
        <w:rPr>
          <w:rFonts w:ascii="Times New Roman" w:eastAsia="Times New Roman" w:hAnsi="Times New Roman" w:cs="Times New Roman"/>
          <w:i w:val="0"/>
          <w:iCs w:val="0"/>
          <w:color w:val="000000" w:themeColor="text1"/>
          <w:kern w:val="0"/>
          <w:sz w:val="22"/>
          <w:szCs w:val="22"/>
          <w:lang w:val="en-GB" w:eastAsia="en-GB"/>
          <w14:ligatures w14:val="none"/>
        </w:rPr>
        <w:t>The main identified issues and their descriptions</w:t>
      </w:r>
      <w:bookmarkEnd w:id="68"/>
      <w:bookmarkEnd w:id="69"/>
    </w:p>
    <w:tbl>
      <w:tblPr>
        <w:tblW w:w="9497"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0"/>
        <w:gridCol w:w="2268"/>
        <w:gridCol w:w="6379"/>
      </w:tblGrid>
      <w:tr w:rsidR="00972833" w:rsidRPr="000118A3" w14:paraId="5167EDA5" w14:textId="77777777" w:rsidTr="007B22FB">
        <w:tc>
          <w:tcPr>
            <w:tcW w:w="850"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4A43A188"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No</w:t>
            </w:r>
          </w:p>
        </w:tc>
        <w:tc>
          <w:tcPr>
            <w:tcW w:w="2268"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1F98C9DB"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b/>
                <w:bCs/>
                <w:sz w:val="22"/>
                <w:szCs w:val="22"/>
                <w:lang w:val="en-GB" w:eastAsia="en-GB"/>
              </w:rPr>
              <w:t>Transboundary Issue</w:t>
            </w:r>
          </w:p>
        </w:tc>
        <w:tc>
          <w:tcPr>
            <w:tcW w:w="6379" w:type="dxa"/>
            <w:tcBorders>
              <w:top w:val="single" w:sz="4" w:space="0" w:color="000000"/>
              <w:left w:val="single" w:sz="4" w:space="0" w:color="000000"/>
              <w:bottom w:val="single" w:sz="4" w:space="0" w:color="000000"/>
              <w:right w:val="single" w:sz="4" w:space="0" w:color="000000"/>
            </w:tcBorders>
            <w:shd w:val="clear" w:color="auto" w:fill="E7E6E6" w:themeFill="background2"/>
          </w:tcPr>
          <w:p w14:paraId="43849C2B"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Description</w:t>
            </w:r>
          </w:p>
        </w:tc>
      </w:tr>
      <w:tr w:rsidR="00972833" w:rsidRPr="000118A3" w14:paraId="40379AB3" w14:textId="77777777" w:rsidTr="007B22FB">
        <w:tc>
          <w:tcPr>
            <w:tcW w:w="850" w:type="dxa"/>
            <w:tcBorders>
              <w:top w:val="single" w:sz="4" w:space="0" w:color="000000"/>
              <w:left w:val="single" w:sz="4" w:space="0" w:color="000000"/>
              <w:bottom w:val="single" w:sz="4" w:space="0" w:color="000000"/>
              <w:right w:val="single" w:sz="4" w:space="0" w:color="000000"/>
            </w:tcBorders>
          </w:tcPr>
          <w:p w14:paraId="1B14AC7C"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1</w:t>
            </w:r>
          </w:p>
        </w:tc>
        <w:tc>
          <w:tcPr>
            <w:tcW w:w="2268" w:type="dxa"/>
            <w:tcBorders>
              <w:top w:val="single" w:sz="4" w:space="0" w:color="000000"/>
              <w:left w:val="single" w:sz="4" w:space="0" w:color="000000"/>
              <w:bottom w:val="single" w:sz="4" w:space="0" w:color="000000"/>
              <w:right w:val="single" w:sz="4" w:space="0" w:color="000000"/>
            </w:tcBorders>
          </w:tcPr>
          <w:p w14:paraId="0329C6D9"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Climate Impact</w:t>
            </w:r>
          </w:p>
        </w:tc>
        <w:tc>
          <w:tcPr>
            <w:tcW w:w="6379" w:type="dxa"/>
            <w:tcBorders>
              <w:top w:val="single" w:sz="4" w:space="0" w:color="000000"/>
              <w:left w:val="single" w:sz="4" w:space="0" w:color="000000"/>
              <w:bottom w:val="single" w:sz="4" w:space="0" w:color="000000"/>
              <w:right w:val="single" w:sz="4" w:space="0" w:color="000000"/>
            </w:tcBorders>
          </w:tcPr>
          <w:p w14:paraId="74BE3657"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Increasing sea surface temperature causes coral bleaching and is exacerbated by coastal ecosystem changes from waves and currents.</w:t>
            </w:r>
          </w:p>
        </w:tc>
      </w:tr>
      <w:tr w:rsidR="00972833" w:rsidRPr="000118A3" w14:paraId="2B85DC93" w14:textId="77777777" w:rsidTr="007B22FB">
        <w:tc>
          <w:tcPr>
            <w:tcW w:w="850" w:type="dxa"/>
            <w:tcBorders>
              <w:top w:val="single" w:sz="4" w:space="0" w:color="000000"/>
              <w:left w:val="single" w:sz="4" w:space="0" w:color="000000"/>
              <w:bottom w:val="single" w:sz="4" w:space="0" w:color="000000"/>
              <w:right w:val="single" w:sz="4" w:space="0" w:color="000000"/>
            </w:tcBorders>
          </w:tcPr>
          <w:p w14:paraId="30368F95"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2</w:t>
            </w:r>
          </w:p>
        </w:tc>
        <w:tc>
          <w:tcPr>
            <w:tcW w:w="2268" w:type="dxa"/>
            <w:tcBorders>
              <w:top w:val="single" w:sz="4" w:space="0" w:color="000000"/>
              <w:left w:val="single" w:sz="4" w:space="0" w:color="000000"/>
              <w:bottom w:val="single" w:sz="4" w:space="0" w:color="000000"/>
              <w:right w:val="single" w:sz="4" w:space="0" w:color="000000"/>
            </w:tcBorders>
          </w:tcPr>
          <w:p w14:paraId="382F16B4"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Marine Pollution</w:t>
            </w:r>
          </w:p>
        </w:tc>
        <w:tc>
          <w:tcPr>
            <w:tcW w:w="6379" w:type="dxa"/>
            <w:tcBorders>
              <w:top w:val="single" w:sz="4" w:space="0" w:color="000000"/>
              <w:left w:val="single" w:sz="4" w:space="0" w:color="000000"/>
              <w:bottom w:val="single" w:sz="4" w:space="0" w:color="000000"/>
              <w:right w:val="single" w:sz="4" w:space="0" w:color="000000"/>
            </w:tcBorders>
          </w:tcPr>
          <w:p w14:paraId="0186CD7D"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Degradation of mangrove, coral, and seagrass ecosystems due to debris and plastic pollution.</w:t>
            </w:r>
          </w:p>
        </w:tc>
      </w:tr>
      <w:tr w:rsidR="00972833" w:rsidRPr="000118A3" w14:paraId="752AF995" w14:textId="77777777" w:rsidTr="007B22FB">
        <w:tc>
          <w:tcPr>
            <w:tcW w:w="850" w:type="dxa"/>
            <w:tcBorders>
              <w:top w:val="single" w:sz="4" w:space="0" w:color="000000"/>
              <w:left w:val="single" w:sz="4" w:space="0" w:color="000000"/>
              <w:bottom w:val="single" w:sz="4" w:space="0" w:color="000000"/>
              <w:right w:val="single" w:sz="4" w:space="0" w:color="000000"/>
            </w:tcBorders>
          </w:tcPr>
          <w:p w14:paraId="496BB4AA"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3</w:t>
            </w:r>
          </w:p>
        </w:tc>
        <w:tc>
          <w:tcPr>
            <w:tcW w:w="2268" w:type="dxa"/>
            <w:tcBorders>
              <w:top w:val="single" w:sz="4" w:space="0" w:color="000000"/>
              <w:left w:val="single" w:sz="4" w:space="0" w:color="000000"/>
              <w:bottom w:val="single" w:sz="4" w:space="0" w:color="000000"/>
              <w:right w:val="single" w:sz="4" w:space="0" w:color="000000"/>
            </w:tcBorders>
          </w:tcPr>
          <w:p w14:paraId="43FECB1E"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Oil Spill</w:t>
            </w:r>
          </w:p>
        </w:tc>
        <w:tc>
          <w:tcPr>
            <w:tcW w:w="6379" w:type="dxa"/>
            <w:tcBorders>
              <w:top w:val="single" w:sz="4" w:space="0" w:color="000000"/>
              <w:left w:val="single" w:sz="4" w:space="0" w:color="000000"/>
              <w:bottom w:val="single" w:sz="4" w:space="0" w:color="000000"/>
              <w:right w:val="single" w:sz="4" w:space="0" w:color="000000"/>
            </w:tcBorders>
          </w:tcPr>
          <w:p w14:paraId="20C30887"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Oil spills impact coasts, mangroves, coral reefs, and coastal biodiversity.</w:t>
            </w:r>
          </w:p>
        </w:tc>
      </w:tr>
      <w:tr w:rsidR="00972833" w:rsidRPr="000118A3" w14:paraId="0A5380C1" w14:textId="77777777" w:rsidTr="007B22FB">
        <w:tc>
          <w:tcPr>
            <w:tcW w:w="850" w:type="dxa"/>
            <w:tcBorders>
              <w:top w:val="single" w:sz="4" w:space="0" w:color="000000"/>
              <w:left w:val="single" w:sz="4" w:space="0" w:color="000000"/>
              <w:bottom w:val="single" w:sz="4" w:space="0" w:color="000000"/>
              <w:right w:val="single" w:sz="4" w:space="0" w:color="000000"/>
            </w:tcBorders>
          </w:tcPr>
          <w:p w14:paraId="0CB5C178"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4</w:t>
            </w:r>
          </w:p>
        </w:tc>
        <w:tc>
          <w:tcPr>
            <w:tcW w:w="2268" w:type="dxa"/>
            <w:tcBorders>
              <w:top w:val="single" w:sz="4" w:space="0" w:color="000000"/>
              <w:left w:val="single" w:sz="4" w:space="0" w:color="000000"/>
              <w:bottom w:val="single" w:sz="4" w:space="0" w:color="000000"/>
              <w:right w:val="single" w:sz="4" w:space="0" w:color="000000"/>
            </w:tcBorders>
          </w:tcPr>
          <w:p w14:paraId="33CBC148"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Ecosystem Degradation from Illegal Fishing</w:t>
            </w:r>
          </w:p>
        </w:tc>
        <w:tc>
          <w:tcPr>
            <w:tcW w:w="6379" w:type="dxa"/>
            <w:tcBorders>
              <w:top w:val="single" w:sz="4" w:space="0" w:color="000000"/>
              <w:left w:val="single" w:sz="4" w:space="0" w:color="000000"/>
              <w:bottom w:val="single" w:sz="4" w:space="0" w:color="000000"/>
              <w:right w:val="single" w:sz="4" w:space="0" w:color="000000"/>
            </w:tcBorders>
          </w:tcPr>
          <w:p w14:paraId="2AC2B2D6"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Illegal fishing causes coral destruction in various coral ecosystems in the Natuna and Anambas Seas.</w:t>
            </w:r>
          </w:p>
        </w:tc>
      </w:tr>
      <w:tr w:rsidR="00972833" w:rsidRPr="000118A3" w14:paraId="72367FC2" w14:textId="77777777" w:rsidTr="007B22FB">
        <w:tc>
          <w:tcPr>
            <w:tcW w:w="850" w:type="dxa"/>
            <w:tcBorders>
              <w:top w:val="single" w:sz="4" w:space="0" w:color="000000"/>
              <w:left w:val="single" w:sz="4" w:space="0" w:color="000000"/>
              <w:bottom w:val="single" w:sz="4" w:space="0" w:color="000000"/>
              <w:right w:val="single" w:sz="4" w:space="0" w:color="000000"/>
            </w:tcBorders>
          </w:tcPr>
          <w:p w14:paraId="407F2AC1"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5</w:t>
            </w:r>
          </w:p>
        </w:tc>
        <w:tc>
          <w:tcPr>
            <w:tcW w:w="2268" w:type="dxa"/>
            <w:tcBorders>
              <w:top w:val="single" w:sz="4" w:space="0" w:color="000000"/>
              <w:left w:val="single" w:sz="4" w:space="0" w:color="000000"/>
              <w:bottom w:val="single" w:sz="4" w:space="0" w:color="000000"/>
              <w:right w:val="single" w:sz="4" w:space="0" w:color="000000"/>
            </w:tcBorders>
          </w:tcPr>
          <w:p w14:paraId="69980241"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Invasive Species in Ecosystems</w:t>
            </w:r>
          </w:p>
        </w:tc>
        <w:tc>
          <w:tcPr>
            <w:tcW w:w="6379" w:type="dxa"/>
            <w:tcBorders>
              <w:top w:val="single" w:sz="4" w:space="0" w:color="000000"/>
              <w:left w:val="single" w:sz="4" w:space="0" w:color="000000"/>
              <w:bottom w:val="single" w:sz="4" w:space="0" w:color="000000"/>
              <w:right w:val="single" w:sz="4" w:space="0" w:color="000000"/>
            </w:tcBorders>
          </w:tcPr>
          <w:p w14:paraId="079B7725" w14:textId="77777777" w:rsidR="00972833" w:rsidRPr="000118A3" w:rsidRDefault="00972833" w:rsidP="007B22FB">
            <w:pPr>
              <w:pBdr>
                <w:top w:val="nil"/>
                <w:left w:val="nil"/>
                <w:bottom w:val="nil"/>
                <w:right w:val="nil"/>
                <w:between w:val="nil"/>
              </w:pBdr>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The main issue regarding marine invasives is the predation by the Crown-of-Thorns Starfish (</w:t>
            </w:r>
            <w:r w:rsidRPr="000118A3">
              <w:rPr>
                <w:rFonts w:ascii="Times New Roman" w:eastAsia="Times New Roman" w:hAnsi="Times New Roman" w:cs="Times New Roman"/>
                <w:i/>
                <w:iCs/>
                <w:sz w:val="22"/>
                <w:szCs w:val="22"/>
                <w:lang w:val="en-GB" w:eastAsia="en-GB"/>
              </w:rPr>
              <w:t>Acanthaster planci</w:t>
            </w:r>
            <w:r w:rsidRPr="000118A3">
              <w:rPr>
                <w:rFonts w:ascii="Times New Roman" w:eastAsia="Times New Roman" w:hAnsi="Times New Roman" w:cs="Times New Roman"/>
                <w:color w:val="000000" w:themeColor="text1"/>
                <w:sz w:val="22"/>
                <w:szCs w:val="22"/>
                <w:lang w:val="en-GB" w:eastAsia="en-GB"/>
              </w:rPr>
              <w:t>) and the invasion of other fish populations from different ecosystems in the region.</w:t>
            </w:r>
          </w:p>
        </w:tc>
      </w:tr>
    </w:tbl>
    <w:p w14:paraId="20F4CC45" w14:textId="77777777" w:rsidR="007B22FB" w:rsidRDefault="007B22FB" w:rsidP="007B22FB">
      <w:pPr>
        <w:pStyle w:val="BodyText"/>
        <w:spacing w:after="0" w:line="240" w:lineRule="auto"/>
        <w:ind w:left="993"/>
        <w:rPr>
          <w:rFonts w:ascii="Times New Roman" w:hAnsi="Times New Roman" w:cs="Times New Roman"/>
          <w:b/>
          <w:bCs/>
          <w:color w:val="0070C0"/>
        </w:rPr>
      </w:pPr>
    </w:p>
    <w:p w14:paraId="097CBA62" w14:textId="517C19C0" w:rsidR="00972833" w:rsidRPr="000118A3" w:rsidRDefault="00972833" w:rsidP="007B22FB">
      <w:pPr>
        <w:pStyle w:val="BodyText"/>
        <w:numPr>
          <w:ilvl w:val="2"/>
          <w:numId w:val="140"/>
        </w:numPr>
        <w:spacing w:after="0" w:line="240" w:lineRule="auto"/>
        <w:ind w:left="993"/>
        <w:rPr>
          <w:rFonts w:ascii="Times New Roman" w:hAnsi="Times New Roman" w:cs="Times New Roman"/>
          <w:b/>
          <w:bCs/>
          <w:color w:val="0070C0"/>
        </w:rPr>
      </w:pPr>
      <w:r w:rsidRPr="000118A3">
        <w:rPr>
          <w:rFonts w:ascii="Times New Roman" w:hAnsi="Times New Roman" w:cs="Times New Roman"/>
          <w:b/>
          <w:bCs/>
          <w:color w:val="0070C0"/>
        </w:rPr>
        <w:t xml:space="preserve">Risk Assessment and Valuation of economic losses </w:t>
      </w:r>
    </w:p>
    <w:p w14:paraId="57B07E41" w14:textId="77777777" w:rsidR="00972833" w:rsidRPr="000118A3" w:rsidRDefault="00972833" w:rsidP="007B22FB">
      <w:pPr>
        <w:pStyle w:val="p1"/>
        <w:ind w:left="284"/>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 xml:space="preserve">Mangrove forests and coastal wetlands in the Indonesian part of the South China Sea covering the Natuna Islands, Anambas Islands, and the western coast of Kalimantan are facing increasing ecological risks due to the combined pressures of climate change and anthropogenic activities. Global studies estimate that about 40–56% of the world’s mangrove area is at high to very high risk due to a combination of sea-level rise and tropical storms, including the Southeast Asian region such as Indonesia (Hülsen et al., 2025).  Overall, the combination of climate hazards (sea-level rise, cyclones), biophysical exposure (fragmented cover), and social vulnerability (economic dependence and limited livelihood diversification) places the coastal areas of Natuna, Anambas, and West Kalimantan within the medium-to-high risk category. </w:t>
      </w:r>
    </w:p>
    <w:p w14:paraId="28E85729" w14:textId="6FB293EA" w:rsidR="00972833" w:rsidRPr="000118A3" w:rsidRDefault="00972833" w:rsidP="007B22FB">
      <w:pPr>
        <w:pStyle w:val="ListParagraph"/>
        <w:spacing w:before="120"/>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 xml:space="preserve">The site-level risk data for the western South China Sea demonstrates a compelling narrative of interconnected threats. High-risk sites like Bangka and Belitung are characterized by a synergy of intense stressors, primarily sedimentation from tin mining and growing tourism.  In contrast, sites like Batam, Bintan, and the Barelang islands face a different risk profile, dominated by high-impact tourism and coastal development. The "High" scores for uncontrolled tourism and medium-to-high scores for eutrophication point to pressures from resort wastewater, sewage, and physical damage from reef trampling and anchors. </w:t>
      </w:r>
    </w:p>
    <w:p w14:paraId="57430E6F" w14:textId="107E8713" w:rsidR="00972833" w:rsidRDefault="00972833" w:rsidP="007B22FB">
      <w:pPr>
        <w:pStyle w:val="BodyText"/>
        <w:spacing w:before="120" w:after="0" w:line="240" w:lineRule="auto"/>
        <w:ind w:left="284"/>
        <w:jc w:val="both"/>
        <w:rPr>
          <w:rFonts w:ascii="Times New Roman" w:eastAsia="Times New Roman" w:hAnsi="Times New Roman" w:cs="Times New Roman"/>
          <w:color w:val="000000" w:themeColor="text1"/>
          <w:lang w:val="en-GB" w:eastAsia="en-GB"/>
        </w:rPr>
      </w:pPr>
      <w:r w:rsidRPr="000118A3">
        <w:rPr>
          <w:rFonts w:ascii="Times New Roman" w:eastAsia="Times New Roman" w:hAnsi="Times New Roman" w:cs="Times New Roman"/>
          <w:color w:val="000000" w:themeColor="text1"/>
          <w:lang w:val="en-GB" w:eastAsia="en-GB"/>
        </w:rPr>
        <w:t xml:space="preserve">Conversely, sites within the western South China Sea such as Karimata and Natuna presently reside in lower risk categories. Karimata's seagrass and coral ecosystems benefit from limited access and lower direct anthropogenic input, while Natuna's offshore ecosystems remain relatively intact due to lower population density. However, Natuna faces a unique transboundary threat: a "High" risk from Illegal, Unreported, and Unregulated (IUU) fishing by foreign vessels. This highlights that risk to these marine ecosystems is not only from resident population growth but also from external resource demand, which can undermine local fisheries and cause collateral habitat destruction for reefs and seagrasses.  The assessment of risk and its level from each issue in list at Tabel </w:t>
      </w:r>
      <w:r w:rsidR="000373FE">
        <w:rPr>
          <w:rFonts w:ascii="Times New Roman" w:eastAsia="Times New Roman" w:hAnsi="Times New Roman" w:cs="Times New Roman"/>
          <w:color w:val="000000" w:themeColor="text1"/>
          <w:lang w:val="en-GB" w:eastAsia="en-GB"/>
        </w:rPr>
        <w:t>4</w:t>
      </w:r>
      <w:r w:rsidRPr="000118A3">
        <w:rPr>
          <w:rFonts w:ascii="Times New Roman" w:eastAsia="Times New Roman" w:hAnsi="Times New Roman" w:cs="Times New Roman"/>
          <w:color w:val="000000" w:themeColor="text1"/>
          <w:lang w:val="en-GB" w:eastAsia="en-GB"/>
        </w:rPr>
        <w:t xml:space="preserve"> in </w:t>
      </w:r>
      <w:r w:rsidR="000373FE" w:rsidRPr="000118A3">
        <w:rPr>
          <w:rFonts w:ascii="Times New Roman" w:eastAsia="Times New Roman" w:hAnsi="Times New Roman" w:cs="Times New Roman"/>
          <w:color w:val="000000" w:themeColor="text1"/>
          <w:lang w:val="en-GB" w:eastAsia="en-GB"/>
        </w:rPr>
        <w:t>Appendix</w:t>
      </w:r>
      <w:r w:rsidR="003E2C66">
        <w:rPr>
          <w:rFonts w:ascii="Times New Roman" w:eastAsia="Times New Roman" w:hAnsi="Times New Roman" w:cs="Times New Roman"/>
          <w:color w:val="000000" w:themeColor="text1"/>
          <w:lang w:val="en-GB" w:eastAsia="en-GB"/>
        </w:rPr>
        <w:t xml:space="preserve"> 3.5</w:t>
      </w:r>
      <w:r w:rsidRPr="000118A3">
        <w:rPr>
          <w:rFonts w:ascii="Times New Roman" w:eastAsia="Times New Roman" w:hAnsi="Times New Roman" w:cs="Times New Roman"/>
          <w:color w:val="000000" w:themeColor="text1"/>
          <w:lang w:val="en-GB" w:eastAsia="en-GB"/>
        </w:rPr>
        <w:t>.</w:t>
      </w:r>
    </w:p>
    <w:p w14:paraId="545081C4" w14:textId="4B26CB22" w:rsidR="00972833" w:rsidRPr="000118A3" w:rsidRDefault="006118E1" w:rsidP="007B22FB">
      <w:pPr>
        <w:pStyle w:val="BodyText"/>
        <w:numPr>
          <w:ilvl w:val="2"/>
          <w:numId w:val="140"/>
        </w:numPr>
        <w:spacing w:before="240" w:after="0" w:line="240" w:lineRule="auto"/>
        <w:ind w:left="992"/>
        <w:rPr>
          <w:rFonts w:ascii="Times New Roman" w:hAnsi="Times New Roman" w:cs="Times New Roman"/>
          <w:b/>
          <w:bCs/>
          <w:color w:val="0070C0"/>
        </w:rPr>
      </w:pPr>
      <w:r w:rsidRPr="000118A3">
        <w:rPr>
          <w:rFonts w:ascii="Times New Roman" w:hAnsi="Times New Roman" w:cs="Times New Roman"/>
          <w:b/>
          <w:bCs/>
          <w:color w:val="0070C0"/>
        </w:rPr>
        <w:t xml:space="preserve">Current Management and Institutions </w:t>
      </w:r>
    </w:p>
    <w:p w14:paraId="326D38D2" w14:textId="77777777" w:rsidR="006118E1" w:rsidRPr="000118A3" w:rsidRDefault="006118E1" w:rsidP="007B22FB">
      <w:pPr>
        <w:pStyle w:val="ListParagraph"/>
        <w:spacing w:before="120"/>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 xml:space="preserve">The management of coastal ecosystems—coral reefs, mangroves, seagrass beds, and wetlands—in the Indonesian sector of the South China Sea is carried out through a multi-layered system involving national ministries, regional governments, research institutions, and community-based initiatives. At the national level, the Ministry of Marine Affairs and Fisheries (KKP) leads marine conservation policy, MPA establishment, habitat mapping, and fisheries regulation, while the Ministry of Environment and Forestry (KLHK) oversees mangrove and wetland protection within the coastal–terrestrial regulatory framework. Scientific support is provided by the National Research and Innovation Agency (BRIN) and universities, which conduct ecosystem monitoring and generate updated habitat data to guide planning. </w:t>
      </w:r>
    </w:p>
    <w:p w14:paraId="74105A83" w14:textId="4018C4B8" w:rsidR="006118E1" w:rsidRDefault="006118E1" w:rsidP="007B22FB">
      <w:pPr>
        <w:pStyle w:val="BodyText"/>
        <w:spacing w:after="0" w:line="240" w:lineRule="auto"/>
        <w:ind w:left="284"/>
        <w:jc w:val="both"/>
        <w:rPr>
          <w:rFonts w:ascii="Times New Roman" w:eastAsia="Times New Roman" w:hAnsi="Times New Roman" w:cs="Times New Roman"/>
          <w:color w:val="000000" w:themeColor="text1"/>
          <w:lang w:val="en-GB" w:eastAsia="en-GB"/>
        </w:rPr>
      </w:pPr>
      <w:r w:rsidRPr="000118A3">
        <w:rPr>
          <w:rFonts w:ascii="Times New Roman" w:eastAsia="Times New Roman" w:hAnsi="Times New Roman" w:cs="Times New Roman"/>
          <w:color w:val="000000" w:themeColor="text1"/>
          <w:lang w:val="en-GB" w:eastAsia="en-GB"/>
        </w:rPr>
        <w:lastRenderedPageBreak/>
        <w:t>At the provincial and district levels particularly in the Riau Islands Province covering Natuna, Anambas, and Bintan local marine and fisheries agencies are responsible for implementing zoning, enforcing regulations, and managing regionally administered MPAs. Large programs such as COREMAP, the GFCR/Koralestari blue-finance initiative, and various restoration projects led by NGOs (e.g., WWF, YKAN, TNC), private partners, and coastal communities strengthen on-the-ground conservation through co-management, restoration, and livelihood integration. Together, these institutions form an integrated governance system that combines national policy, local capacity, scientific evidence, and community participation to safeguard Indonesia’s coastal ecosystems in the South China Sea region.</w:t>
      </w:r>
    </w:p>
    <w:p w14:paraId="6D873008" w14:textId="77777777" w:rsidR="007B22FB" w:rsidRPr="000118A3" w:rsidRDefault="007B22FB" w:rsidP="007B22FB">
      <w:pPr>
        <w:pStyle w:val="BodyText"/>
        <w:spacing w:after="0" w:line="240" w:lineRule="auto"/>
        <w:ind w:left="284"/>
        <w:jc w:val="both"/>
        <w:rPr>
          <w:rFonts w:ascii="Times New Roman" w:eastAsia="Times New Roman" w:hAnsi="Times New Roman" w:cs="Times New Roman"/>
          <w:color w:val="000000" w:themeColor="text1"/>
          <w:lang w:val="en-GB" w:eastAsia="en-GB"/>
        </w:rPr>
      </w:pPr>
    </w:p>
    <w:p w14:paraId="33750683" w14:textId="3191F491" w:rsidR="006118E1" w:rsidRPr="000118A3" w:rsidRDefault="006118E1" w:rsidP="007B22FB">
      <w:pPr>
        <w:pStyle w:val="BodyText"/>
        <w:numPr>
          <w:ilvl w:val="2"/>
          <w:numId w:val="140"/>
        </w:numPr>
        <w:spacing w:after="0" w:line="240" w:lineRule="auto"/>
        <w:ind w:left="993"/>
        <w:rPr>
          <w:rFonts w:ascii="Times New Roman" w:hAnsi="Times New Roman" w:cs="Times New Roman"/>
          <w:b/>
          <w:bCs/>
          <w:color w:val="0070C0"/>
        </w:rPr>
      </w:pPr>
      <w:r w:rsidRPr="000118A3">
        <w:rPr>
          <w:rFonts w:ascii="Times New Roman" w:hAnsi="Times New Roman" w:cs="Times New Roman"/>
          <w:b/>
          <w:bCs/>
          <w:color w:val="0070C0"/>
        </w:rPr>
        <w:t xml:space="preserve">Gaps and Priority Challenges </w:t>
      </w:r>
    </w:p>
    <w:p w14:paraId="51F442F1" w14:textId="174987D0" w:rsidR="006118E1" w:rsidRDefault="006118E1" w:rsidP="007B22FB">
      <w:pPr>
        <w:pStyle w:val="BodyText"/>
        <w:spacing w:before="120" w:after="0" w:line="240" w:lineRule="auto"/>
        <w:ind w:left="284"/>
        <w:jc w:val="both"/>
        <w:rPr>
          <w:rFonts w:ascii="Times New Roman" w:eastAsia="Times New Roman" w:hAnsi="Times New Roman" w:cs="Times New Roman"/>
          <w:color w:val="000000" w:themeColor="text1"/>
          <w:lang w:val="en-GB" w:eastAsia="en-GB"/>
        </w:rPr>
      </w:pPr>
      <w:r w:rsidRPr="000118A3">
        <w:rPr>
          <w:rFonts w:ascii="Times New Roman" w:eastAsia="Times New Roman" w:hAnsi="Times New Roman" w:cs="Times New Roman"/>
          <w:color w:val="000000" w:themeColor="text1"/>
          <w:lang w:val="en-GB" w:eastAsia="en-GB"/>
        </w:rPr>
        <w:t>Several critical gaps and challenges persist in Indonesia’s mangrove governance, which have direct implications for the TDA process. First, there is a scale mismatch between ambition and achievement. The national target of 600,000 ha restoration by 2024 (BRGM, 2021) remains far from completion, with less than one-fourth realized by 2024 (Ismi, 2024). Land-use constraints and competing economic priorities exacerbate the issue (Jong, 2022). Second, fragmented governance and overlapping mandates among KLHK, KKP, BRGM, and provincial authorities have hindered coordination and enforcement, leading to inconsistent zoning and weak law enforcement (MoEF, 2020; Rahman et al., 2024). Third, data gaps and limited interoperability remain major bottlenecks. Although the National Mangrove Map (PMN 2021) provides a strong baseline, data sharing and updating are uneven across regions (BRIN &amp; MoEF, 2021). Fourth, economic pressures continue to drive conversion for aquaculture, agriculture, and coastal infrastructure (Koesdaryanto et al., 2024; Wiarta et al., 2025). These pressures are locally driven yet have transboundary ecological effects across the SCS region. Fifth, sustainable financing mechanisms remain limited. Many restoration projects depend on donor grants, and blue carbon markets are still nascent (Alongi, 2020; Arifanti et al., 2021). Finally, regional coordination under the SCS TDA/SAP remains weak. Despite regional frameworks, operationalizing joint mangrove monitoring, pollution control, and ecological corridor planning among ASEAN countries has yet to materialize effectively (Sievers et al., 2023).</w:t>
      </w:r>
    </w:p>
    <w:p w14:paraId="53CFEDDB" w14:textId="77777777" w:rsidR="007B22FB" w:rsidRPr="000118A3" w:rsidRDefault="007B22FB" w:rsidP="007B22FB">
      <w:pPr>
        <w:pStyle w:val="BodyText"/>
        <w:spacing w:before="120" w:after="0" w:line="240" w:lineRule="auto"/>
        <w:ind w:left="284"/>
        <w:jc w:val="both"/>
        <w:rPr>
          <w:rFonts w:ascii="Times New Roman" w:eastAsia="Times New Roman" w:hAnsi="Times New Roman" w:cs="Times New Roman"/>
          <w:color w:val="000000" w:themeColor="text1"/>
          <w:lang w:val="en-GB" w:eastAsia="en-GB"/>
        </w:rPr>
      </w:pPr>
    </w:p>
    <w:p w14:paraId="4E377639" w14:textId="142B103C" w:rsidR="006118E1" w:rsidRPr="000118A3" w:rsidRDefault="006118E1" w:rsidP="007B22FB">
      <w:pPr>
        <w:pStyle w:val="BodyText"/>
        <w:numPr>
          <w:ilvl w:val="2"/>
          <w:numId w:val="140"/>
        </w:numPr>
        <w:spacing w:after="0" w:line="240" w:lineRule="auto"/>
        <w:ind w:left="993"/>
        <w:rPr>
          <w:rFonts w:ascii="Times New Roman" w:hAnsi="Times New Roman" w:cs="Times New Roman"/>
          <w:b/>
          <w:bCs/>
          <w:color w:val="0070C0"/>
        </w:rPr>
      </w:pPr>
      <w:r w:rsidRPr="000118A3">
        <w:rPr>
          <w:rFonts w:ascii="Times New Roman" w:hAnsi="Times New Roman" w:cs="Times New Roman"/>
          <w:b/>
          <w:bCs/>
          <w:color w:val="0070C0"/>
        </w:rPr>
        <w:t xml:space="preserve">Recommended priority actions including regional cooperation </w:t>
      </w:r>
    </w:p>
    <w:p w14:paraId="77DF3472" w14:textId="71B48CA0" w:rsidR="006118E1" w:rsidRDefault="006118E1" w:rsidP="007B22FB">
      <w:pPr>
        <w:spacing w:before="120"/>
        <w:ind w:left="284"/>
        <w:jc w:val="both"/>
        <w:rPr>
          <w:rFonts w:ascii="Times New Roman" w:eastAsia="Times New Roman" w:hAnsi="Times New Roman" w:cs="Times New Roman"/>
          <w:color w:val="000000" w:themeColor="text1"/>
          <w:sz w:val="22"/>
          <w:szCs w:val="22"/>
          <w:lang w:val="en-GB" w:eastAsia="en-GB"/>
        </w:rPr>
      </w:pPr>
      <w:r w:rsidRPr="000118A3">
        <w:rPr>
          <w:rFonts w:ascii="Times New Roman" w:eastAsia="Times New Roman" w:hAnsi="Times New Roman" w:cs="Times New Roman"/>
          <w:color w:val="000000" w:themeColor="text1"/>
          <w:sz w:val="22"/>
          <w:szCs w:val="22"/>
          <w:lang w:val="en-GB" w:eastAsia="en-GB"/>
        </w:rPr>
        <w:t>Recommendations and action planning for each ecosystem must be carried out based on the criteria of the key issues identified. Differences in challenges require different actions and approaches. Therefore, each action should be planned according to the characteristics of each ecosystem</w:t>
      </w:r>
      <w:r w:rsidR="000373FE">
        <w:rPr>
          <w:rFonts w:ascii="Times New Roman" w:eastAsia="Times New Roman" w:hAnsi="Times New Roman" w:cs="Times New Roman"/>
          <w:color w:val="000000" w:themeColor="text1"/>
          <w:sz w:val="22"/>
          <w:szCs w:val="22"/>
          <w:lang w:val="en-GB" w:eastAsia="en-GB"/>
        </w:rPr>
        <w:t xml:space="preserve"> </w:t>
      </w:r>
      <w:r w:rsidRPr="000118A3">
        <w:rPr>
          <w:rFonts w:ascii="Times New Roman" w:eastAsia="Times New Roman" w:hAnsi="Times New Roman" w:cs="Times New Roman"/>
          <w:color w:val="000000" w:themeColor="text1"/>
          <w:sz w:val="22"/>
          <w:szCs w:val="22"/>
          <w:lang w:val="en-GB" w:eastAsia="en-GB"/>
        </w:rPr>
        <w:t>mangroves, wetlands, coral reefs, and seagrass.</w:t>
      </w:r>
    </w:p>
    <w:p w14:paraId="07778DC2" w14:textId="77777777" w:rsidR="005C0646" w:rsidRPr="000118A3" w:rsidRDefault="005C0646" w:rsidP="007B22FB">
      <w:pPr>
        <w:spacing w:before="120"/>
        <w:ind w:left="284"/>
        <w:jc w:val="both"/>
        <w:rPr>
          <w:rFonts w:ascii="Times New Roman" w:eastAsia="Times New Roman" w:hAnsi="Times New Roman" w:cs="Times New Roman"/>
          <w:color w:val="000000" w:themeColor="text1"/>
          <w:sz w:val="22"/>
          <w:szCs w:val="22"/>
          <w:lang w:val="en-GB" w:eastAsia="en-GB"/>
        </w:rPr>
      </w:pPr>
    </w:p>
    <w:p w14:paraId="48EBFCB0" w14:textId="4B8F124E" w:rsidR="006118E1" w:rsidRPr="003519B5" w:rsidRDefault="003519B5" w:rsidP="003519B5">
      <w:pPr>
        <w:pStyle w:val="Caption"/>
        <w:ind w:left="284"/>
        <w:rPr>
          <w:rFonts w:ascii="Times New Roman" w:hAnsi="Times New Roman" w:cs="Times New Roman"/>
          <w:i w:val="0"/>
          <w:iCs w:val="0"/>
          <w:color w:val="000000" w:themeColor="text1"/>
          <w:sz w:val="22"/>
          <w:szCs w:val="22"/>
        </w:rPr>
      </w:pPr>
      <w:bookmarkStart w:id="70" w:name="_Toc217297657"/>
      <w:r w:rsidRPr="003519B5">
        <w:rPr>
          <w:rFonts w:ascii="Times New Roman" w:hAnsi="Times New Roman" w:cs="Times New Roman"/>
          <w:i w:val="0"/>
          <w:iCs w:val="0"/>
          <w:color w:val="000000" w:themeColor="text1"/>
          <w:sz w:val="22"/>
          <w:szCs w:val="22"/>
        </w:rPr>
        <w:t xml:space="preserve">Table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Table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12</w:t>
      </w:r>
      <w:r w:rsidRPr="003519B5">
        <w:rPr>
          <w:rFonts w:ascii="Times New Roman" w:hAnsi="Times New Roman" w:cs="Times New Roman"/>
          <w:i w:val="0"/>
          <w:iCs w:val="0"/>
          <w:color w:val="000000" w:themeColor="text1"/>
          <w:sz w:val="22"/>
          <w:szCs w:val="22"/>
        </w:rPr>
        <w:fldChar w:fldCharType="end"/>
      </w:r>
      <w:r w:rsidRPr="003519B5">
        <w:rPr>
          <w:rFonts w:ascii="Times New Roman" w:hAnsi="Times New Roman" w:cs="Times New Roman"/>
          <w:i w:val="0"/>
          <w:iCs w:val="0"/>
          <w:color w:val="000000" w:themeColor="text1"/>
          <w:sz w:val="22"/>
          <w:szCs w:val="22"/>
        </w:rPr>
        <w:t xml:space="preserve"> </w:t>
      </w:r>
      <w:r w:rsidR="006118E1" w:rsidRPr="003519B5">
        <w:rPr>
          <w:rFonts w:ascii="Times New Roman" w:hAnsi="Times New Roman" w:cs="Times New Roman"/>
          <w:i w:val="0"/>
          <w:iCs w:val="0"/>
          <w:color w:val="000000" w:themeColor="text1"/>
          <w:sz w:val="22"/>
          <w:szCs w:val="22"/>
        </w:rPr>
        <w:t>Key issu and recommendation action and regional cooperation</w:t>
      </w:r>
      <w:bookmarkEnd w:id="70"/>
    </w:p>
    <w:tbl>
      <w:tblPr>
        <w:tblStyle w:val="TableGrid"/>
        <w:tblW w:w="0" w:type="auto"/>
        <w:tblInd w:w="279" w:type="dxa"/>
        <w:tblLook w:val="04A0" w:firstRow="1" w:lastRow="0" w:firstColumn="1" w:lastColumn="0" w:noHBand="0" w:noVBand="1"/>
      </w:tblPr>
      <w:tblGrid>
        <w:gridCol w:w="1814"/>
        <w:gridCol w:w="3044"/>
        <w:gridCol w:w="2246"/>
        <w:gridCol w:w="2246"/>
      </w:tblGrid>
      <w:tr w:rsidR="006118E1" w:rsidRPr="000118A3" w14:paraId="0AE6CB72" w14:textId="77777777" w:rsidTr="005C0646">
        <w:trPr>
          <w:tblHeader/>
        </w:trPr>
        <w:tc>
          <w:tcPr>
            <w:tcW w:w="1814" w:type="dxa"/>
            <w:shd w:val="clear" w:color="auto" w:fill="BDD6EE" w:themeFill="accent5" w:themeFillTint="66"/>
          </w:tcPr>
          <w:p w14:paraId="2049CEC5" w14:textId="77777777" w:rsidR="006118E1" w:rsidRPr="000118A3" w:rsidRDefault="006118E1" w:rsidP="007B22FB">
            <w:pPr>
              <w:jc w:val="both"/>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Key Issue</w:t>
            </w:r>
          </w:p>
        </w:tc>
        <w:tc>
          <w:tcPr>
            <w:tcW w:w="3044" w:type="dxa"/>
            <w:shd w:val="clear" w:color="auto" w:fill="BDD6EE" w:themeFill="accent5" w:themeFillTint="66"/>
          </w:tcPr>
          <w:p w14:paraId="4A8E2572" w14:textId="77777777" w:rsidR="006118E1" w:rsidRPr="000118A3" w:rsidRDefault="006118E1" w:rsidP="007B22FB">
            <w:pPr>
              <w:jc w:val="both"/>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Mangrove</w:t>
            </w:r>
          </w:p>
        </w:tc>
        <w:tc>
          <w:tcPr>
            <w:tcW w:w="2246" w:type="dxa"/>
            <w:shd w:val="clear" w:color="auto" w:fill="BDD6EE" w:themeFill="accent5" w:themeFillTint="66"/>
          </w:tcPr>
          <w:p w14:paraId="4A3F6400" w14:textId="77777777" w:rsidR="006118E1" w:rsidRPr="000118A3" w:rsidRDefault="006118E1" w:rsidP="007B22FB">
            <w:pPr>
              <w:jc w:val="both"/>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Wetland</w:t>
            </w:r>
          </w:p>
        </w:tc>
        <w:tc>
          <w:tcPr>
            <w:tcW w:w="2246" w:type="dxa"/>
            <w:shd w:val="clear" w:color="auto" w:fill="BDD6EE" w:themeFill="accent5" w:themeFillTint="66"/>
          </w:tcPr>
          <w:p w14:paraId="7CEC28D1" w14:textId="77777777" w:rsidR="006118E1" w:rsidRPr="000118A3" w:rsidRDefault="006118E1" w:rsidP="007B22FB">
            <w:pPr>
              <w:jc w:val="both"/>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 xml:space="preserve">Seagrass and coral reef </w:t>
            </w:r>
          </w:p>
        </w:tc>
      </w:tr>
      <w:tr w:rsidR="006118E1" w:rsidRPr="000118A3" w14:paraId="1FCA2689" w14:textId="77777777" w:rsidTr="000373FE">
        <w:tc>
          <w:tcPr>
            <w:tcW w:w="1814" w:type="dxa"/>
          </w:tcPr>
          <w:p w14:paraId="53178F15" w14:textId="77777777" w:rsidR="006118E1" w:rsidRPr="000118A3" w:rsidRDefault="006118E1" w:rsidP="007B22FB">
            <w:pPr>
              <w:jc w:val="both"/>
              <w:rPr>
                <w:rFonts w:ascii="Times New Roman" w:hAnsi="Times New Roman" w:cs="Times New Roman"/>
                <w:i/>
                <w:iCs/>
                <w:color w:val="000000" w:themeColor="text1"/>
                <w:sz w:val="22"/>
                <w:szCs w:val="22"/>
                <w:lang w:val="en-ID"/>
              </w:rPr>
            </w:pPr>
            <w:r w:rsidRPr="000118A3">
              <w:rPr>
                <w:rFonts w:ascii="Times New Roman" w:hAnsi="Times New Roman" w:cs="Times New Roman"/>
                <w:i/>
                <w:iCs/>
                <w:color w:val="000000" w:themeColor="text1"/>
                <w:sz w:val="22"/>
                <w:szCs w:val="22"/>
                <w:lang w:val="en-ID"/>
              </w:rPr>
              <w:t>Governance and Policy</w:t>
            </w:r>
          </w:p>
          <w:p w14:paraId="49D8FB16" w14:textId="77777777" w:rsidR="006118E1" w:rsidRPr="000118A3" w:rsidRDefault="006118E1" w:rsidP="007B22FB">
            <w:pPr>
              <w:jc w:val="both"/>
              <w:rPr>
                <w:rFonts w:ascii="Times New Roman" w:hAnsi="Times New Roman" w:cs="Times New Roman"/>
                <w:b/>
                <w:bCs/>
                <w:color w:val="000000" w:themeColor="text1"/>
                <w:sz w:val="22"/>
                <w:szCs w:val="22"/>
              </w:rPr>
            </w:pPr>
          </w:p>
        </w:tc>
        <w:tc>
          <w:tcPr>
            <w:tcW w:w="3044" w:type="dxa"/>
          </w:tcPr>
          <w:p w14:paraId="24254865" w14:textId="77777777" w:rsidR="006118E1" w:rsidRPr="000118A3" w:rsidRDefault="006118E1" w:rsidP="007B22FB">
            <w:pPr>
              <w:numPr>
                <w:ilvl w:val="0"/>
                <w:numId w:val="119"/>
              </w:numPr>
              <w:tabs>
                <w:tab w:val="clear" w:pos="720"/>
              </w:tabs>
              <w:ind w:left="426" w:hanging="426"/>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Clarify mandates and establish joint coordinating bodies. This includes forming a National Mangrove Coordination Taskforce to align restoration targets, spatial planning, and enforcement, and establishing an SCS Mangrove Working Group under the SCS TDA–SAP to coordinate cross-border priorities (Rahman et al., 2024).</w:t>
            </w:r>
          </w:p>
          <w:p w14:paraId="45571685" w14:textId="77777777" w:rsidR="006118E1" w:rsidRPr="000118A3" w:rsidRDefault="006118E1" w:rsidP="007B22FB">
            <w:pPr>
              <w:numPr>
                <w:ilvl w:val="0"/>
                <w:numId w:val="119"/>
              </w:numPr>
              <w:tabs>
                <w:tab w:val="clear" w:pos="720"/>
              </w:tabs>
              <w:ind w:left="426" w:hanging="426"/>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lastRenderedPageBreak/>
              <w:t>Harmonize legal and land-use instruments. Clarifying land tenure for rehabilitation sites, tightening permits for aquaculture conversion, and adopting standardized restoration protocols will prevent further degradation (MoEF, 2022).</w:t>
            </w:r>
          </w:p>
          <w:p w14:paraId="3907BF43" w14:textId="77777777" w:rsidR="006118E1" w:rsidRPr="000118A3" w:rsidRDefault="006118E1" w:rsidP="007B22FB">
            <w:pPr>
              <w:jc w:val="both"/>
              <w:rPr>
                <w:rFonts w:ascii="Times New Roman" w:hAnsi="Times New Roman" w:cs="Times New Roman"/>
                <w:b/>
                <w:bCs/>
                <w:color w:val="000000" w:themeColor="text1"/>
                <w:sz w:val="22"/>
                <w:szCs w:val="22"/>
              </w:rPr>
            </w:pPr>
          </w:p>
        </w:tc>
        <w:tc>
          <w:tcPr>
            <w:tcW w:w="2246" w:type="dxa"/>
          </w:tcPr>
          <w:p w14:paraId="79414A19" w14:textId="77777777" w:rsidR="006118E1" w:rsidRPr="000118A3" w:rsidRDefault="006118E1" w:rsidP="007B22FB">
            <w:pPr>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lastRenderedPageBreak/>
              <w:t>Operationalize the One Map Policy to clarify land-use boundaries across ministries and provinces, aligning PHUs under a unified national platform (MoEF, 2022).</w:t>
            </w:r>
          </w:p>
          <w:p w14:paraId="58C49C56" w14:textId="77777777" w:rsidR="006118E1" w:rsidRPr="000118A3" w:rsidRDefault="006118E1" w:rsidP="007B22FB">
            <w:pPr>
              <w:jc w:val="both"/>
              <w:rPr>
                <w:rFonts w:ascii="Times New Roman" w:hAnsi="Times New Roman" w:cs="Times New Roman"/>
                <w:b/>
                <w:bCs/>
                <w:color w:val="000000" w:themeColor="text1"/>
                <w:sz w:val="22"/>
                <w:szCs w:val="22"/>
              </w:rPr>
            </w:pPr>
          </w:p>
        </w:tc>
        <w:tc>
          <w:tcPr>
            <w:tcW w:w="2246" w:type="dxa"/>
          </w:tcPr>
          <w:p w14:paraId="09AE87CE" w14:textId="77777777" w:rsidR="006118E1" w:rsidRPr="000118A3" w:rsidRDefault="006118E1" w:rsidP="007B22FB">
            <w:pPr>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 xml:space="preserve">Policy priorities should emphasize strengthening co-management arrangements with coastal communities, securing sustainable funding for long-term monitoring using indicators such as the Coral Health Index and Seagrass Ecological Quality Index, and promoting low-impact marine tourism in </w:t>
            </w:r>
            <w:r w:rsidRPr="000118A3">
              <w:rPr>
                <w:rFonts w:ascii="Times New Roman" w:hAnsi="Times New Roman" w:cs="Times New Roman"/>
                <w:color w:val="000000" w:themeColor="text1"/>
                <w:sz w:val="22"/>
                <w:szCs w:val="22"/>
              </w:rPr>
              <w:lastRenderedPageBreak/>
              <w:t>high-conservation-value areas. In the Bangka–Belitung region, post-mining rehabilitation should combine substrate stabilization, coral transplantation, and pioneer seagrass restoration, financed through transparent industry partnerships and corporate social responsibility schemes (Adi &amp; Hartoko, 2024). In the estuarine–coastal zone of eastern Sumatra, closer integration between the Ministry of Environment and Forestry (KLHK) and the Ministry of Marine Affairs and Fisheries (KKP) is crucial to incorporate coastal water quality monitoring and seagrass surveys into national park management, ensuring that wetland conservation benefits extend to shallow marine habitats (UNESCO, 2018).</w:t>
            </w:r>
          </w:p>
          <w:p w14:paraId="079CA748" w14:textId="77777777" w:rsidR="006118E1" w:rsidRPr="000118A3" w:rsidRDefault="006118E1" w:rsidP="007B22FB">
            <w:pPr>
              <w:jc w:val="both"/>
              <w:rPr>
                <w:rFonts w:ascii="Times New Roman" w:hAnsi="Times New Roman" w:cs="Times New Roman"/>
                <w:b/>
                <w:bCs/>
                <w:color w:val="000000" w:themeColor="text1"/>
                <w:sz w:val="22"/>
                <w:szCs w:val="22"/>
              </w:rPr>
            </w:pPr>
          </w:p>
        </w:tc>
      </w:tr>
      <w:tr w:rsidR="006118E1" w:rsidRPr="000118A3" w14:paraId="6FB1FF1B" w14:textId="77777777" w:rsidTr="000373FE">
        <w:tc>
          <w:tcPr>
            <w:tcW w:w="1814" w:type="dxa"/>
          </w:tcPr>
          <w:p w14:paraId="29352425" w14:textId="77777777" w:rsidR="006118E1" w:rsidRPr="000118A3" w:rsidRDefault="006118E1" w:rsidP="007B22FB">
            <w:pPr>
              <w:jc w:val="both"/>
              <w:rPr>
                <w:rFonts w:ascii="Times New Roman" w:hAnsi="Times New Roman" w:cs="Times New Roman"/>
                <w:i/>
                <w:iCs/>
                <w:color w:val="000000" w:themeColor="text1"/>
                <w:sz w:val="22"/>
                <w:szCs w:val="22"/>
                <w:lang w:val="en-ID"/>
              </w:rPr>
            </w:pPr>
            <w:r w:rsidRPr="000118A3">
              <w:rPr>
                <w:rFonts w:ascii="Times New Roman" w:hAnsi="Times New Roman" w:cs="Times New Roman"/>
                <w:i/>
                <w:iCs/>
                <w:color w:val="000000" w:themeColor="text1"/>
                <w:sz w:val="22"/>
                <w:szCs w:val="22"/>
                <w:lang w:val="en-ID"/>
              </w:rPr>
              <w:lastRenderedPageBreak/>
              <w:t>Science, Data, and Monitoring</w:t>
            </w:r>
          </w:p>
          <w:p w14:paraId="76B87921" w14:textId="77777777" w:rsidR="006118E1" w:rsidRPr="000118A3" w:rsidRDefault="006118E1" w:rsidP="007B22FB">
            <w:pPr>
              <w:jc w:val="both"/>
              <w:rPr>
                <w:rFonts w:ascii="Times New Roman" w:hAnsi="Times New Roman" w:cs="Times New Roman"/>
                <w:b/>
                <w:bCs/>
                <w:color w:val="000000" w:themeColor="text1"/>
                <w:sz w:val="22"/>
                <w:szCs w:val="22"/>
              </w:rPr>
            </w:pPr>
          </w:p>
        </w:tc>
        <w:tc>
          <w:tcPr>
            <w:tcW w:w="3044" w:type="dxa"/>
          </w:tcPr>
          <w:p w14:paraId="1E0BD117" w14:textId="77777777" w:rsidR="006118E1" w:rsidRPr="000118A3" w:rsidRDefault="006118E1" w:rsidP="007B22FB">
            <w:pPr>
              <w:pStyle w:val="ListParagraph"/>
              <w:numPr>
                <w:ilvl w:val="1"/>
                <w:numId w:val="119"/>
              </w:numPr>
              <w:tabs>
                <w:tab w:val="clear" w:pos="1440"/>
              </w:tabs>
              <w:ind w:left="339" w:hanging="339"/>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A regional interoperable monitoring system is needed for consistent tracking of mangrove extent, carbon stock, and biodiversity. Integration with blue carbon accounting linked to national NDCs can enhance financing access and ensure transparency (Alongi, 2020; Arifanti et al., 2021).</w:t>
            </w:r>
          </w:p>
          <w:p w14:paraId="46611AA0" w14:textId="77777777" w:rsidR="006118E1" w:rsidRPr="000118A3" w:rsidRDefault="006118E1" w:rsidP="007B22FB">
            <w:pPr>
              <w:pStyle w:val="ListParagraph"/>
              <w:numPr>
                <w:ilvl w:val="0"/>
                <w:numId w:val="119"/>
              </w:numPr>
              <w:ind w:left="339" w:hanging="339"/>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 xml:space="preserve">Restoration Quality and Site Selection. Site selection should prioritize hydrologically suitable </w:t>
            </w:r>
            <w:r w:rsidRPr="000118A3">
              <w:rPr>
                <w:rFonts w:ascii="Times New Roman" w:hAnsi="Times New Roman" w:cs="Times New Roman"/>
                <w:color w:val="000000" w:themeColor="text1"/>
                <w:sz w:val="22"/>
                <w:szCs w:val="22"/>
                <w:lang w:val="en-ID"/>
              </w:rPr>
              <w:lastRenderedPageBreak/>
              <w:t>zones identified in the PMN, avoiding areas unsuitable for natural regeneration. Local incentives and capacity building for communities must precede restoration to ensure long-term success (Setyawan &amp; Winarno, 2006; Spalding et al., 2014).</w:t>
            </w:r>
          </w:p>
          <w:p w14:paraId="1647399B" w14:textId="77777777" w:rsidR="006118E1" w:rsidRPr="000118A3" w:rsidRDefault="006118E1" w:rsidP="007B22FB">
            <w:pPr>
              <w:ind w:left="339" w:hanging="339"/>
              <w:jc w:val="both"/>
              <w:rPr>
                <w:rFonts w:ascii="Times New Roman" w:hAnsi="Times New Roman" w:cs="Times New Roman"/>
                <w:b/>
                <w:bCs/>
                <w:color w:val="000000" w:themeColor="text1"/>
                <w:sz w:val="22"/>
                <w:szCs w:val="22"/>
              </w:rPr>
            </w:pPr>
          </w:p>
        </w:tc>
        <w:tc>
          <w:tcPr>
            <w:tcW w:w="2246" w:type="dxa"/>
          </w:tcPr>
          <w:p w14:paraId="45799BBE" w14:textId="77777777" w:rsidR="006118E1" w:rsidRPr="000118A3" w:rsidRDefault="006118E1" w:rsidP="007B22FB">
            <w:pPr>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lastRenderedPageBreak/>
              <w:t xml:space="preserve">Invest in provincial and local capacity building, embed community-based knowledge in wetland management, and integrate wetlands into Indonesia’s NDC and ASEAN reporting systems (MoEF, 2022; Murdiyarso </w:t>
            </w:r>
            <w:r w:rsidRPr="000118A3">
              <w:rPr>
                <w:rFonts w:ascii="Times New Roman" w:hAnsi="Times New Roman" w:cs="Times New Roman"/>
                <w:i/>
                <w:iCs/>
                <w:color w:val="000000" w:themeColor="text1"/>
                <w:sz w:val="22"/>
                <w:szCs w:val="22"/>
                <w:lang w:val="en-ID"/>
              </w:rPr>
              <w:t>et al.</w:t>
            </w:r>
            <w:r w:rsidRPr="000118A3">
              <w:rPr>
                <w:rFonts w:ascii="Times New Roman" w:hAnsi="Times New Roman" w:cs="Times New Roman"/>
                <w:color w:val="000000" w:themeColor="text1"/>
                <w:sz w:val="22"/>
                <w:szCs w:val="22"/>
                <w:lang w:val="en-ID"/>
              </w:rPr>
              <w:t>, 2015).</w:t>
            </w:r>
          </w:p>
          <w:p w14:paraId="655896D9" w14:textId="77777777" w:rsidR="006118E1" w:rsidRPr="000118A3" w:rsidRDefault="006118E1" w:rsidP="007B22FB">
            <w:pPr>
              <w:jc w:val="both"/>
              <w:rPr>
                <w:rFonts w:ascii="Times New Roman" w:hAnsi="Times New Roman" w:cs="Times New Roman"/>
                <w:b/>
                <w:bCs/>
                <w:color w:val="000000" w:themeColor="text1"/>
                <w:sz w:val="22"/>
                <w:szCs w:val="22"/>
              </w:rPr>
            </w:pPr>
          </w:p>
        </w:tc>
        <w:tc>
          <w:tcPr>
            <w:tcW w:w="2246" w:type="dxa"/>
          </w:tcPr>
          <w:p w14:paraId="129FDFF9" w14:textId="77777777" w:rsidR="006118E1" w:rsidRPr="000118A3" w:rsidRDefault="006118E1" w:rsidP="007B22FB">
            <w:pPr>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 xml:space="preserve">At the national level, the National Coral Reef and Seagrass Map, jointly developed by KKP and the Nature Conservancy Indonesia (YKAN), serves as the “single source of truth” for marine spatial planning and policy evaluation (YKAN &amp; KKP, 2025). This map also underpins blue carbon accounting </w:t>
            </w:r>
            <w:r w:rsidRPr="000118A3">
              <w:rPr>
                <w:rFonts w:ascii="Times New Roman" w:hAnsi="Times New Roman" w:cs="Times New Roman"/>
                <w:color w:val="000000" w:themeColor="text1"/>
                <w:sz w:val="22"/>
                <w:szCs w:val="22"/>
              </w:rPr>
              <w:lastRenderedPageBreak/>
              <w:t xml:space="preserve">frameworks that can unlock conservation financing. </w:t>
            </w:r>
          </w:p>
          <w:p w14:paraId="1A5FFE78" w14:textId="77777777" w:rsidR="006118E1" w:rsidRPr="000118A3" w:rsidRDefault="006118E1" w:rsidP="007B22FB">
            <w:pPr>
              <w:jc w:val="both"/>
              <w:rPr>
                <w:rFonts w:ascii="Times New Roman" w:hAnsi="Times New Roman" w:cs="Times New Roman"/>
                <w:b/>
                <w:bCs/>
                <w:color w:val="000000" w:themeColor="text1"/>
                <w:sz w:val="22"/>
                <w:szCs w:val="22"/>
              </w:rPr>
            </w:pPr>
          </w:p>
        </w:tc>
      </w:tr>
      <w:tr w:rsidR="006118E1" w:rsidRPr="000118A3" w14:paraId="75A23D85" w14:textId="77777777" w:rsidTr="000373FE">
        <w:tc>
          <w:tcPr>
            <w:tcW w:w="1814" w:type="dxa"/>
          </w:tcPr>
          <w:p w14:paraId="1A94B3E2" w14:textId="77777777" w:rsidR="006118E1" w:rsidRPr="000118A3" w:rsidRDefault="006118E1" w:rsidP="007B22FB">
            <w:pPr>
              <w:jc w:val="both"/>
              <w:rPr>
                <w:rFonts w:ascii="Times New Roman" w:hAnsi="Times New Roman" w:cs="Times New Roman"/>
                <w:i/>
                <w:iCs/>
                <w:color w:val="000000" w:themeColor="text1"/>
                <w:sz w:val="22"/>
                <w:szCs w:val="22"/>
                <w:lang w:val="en-ID"/>
              </w:rPr>
            </w:pPr>
            <w:r w:rsidRPr="000118A3">
              <w:rPr>
                <w:rFonts w:ascii="Times New Roman" w:hAnsi="Times New Roman" w:cs="Times New Roman"/>
                <w:i/>
                <w:iCs/>
                <w:color w:val="000000" w:themeColor="text1"/>
                <w:sz w:val="22"/>
                <w:szCs w:val="22"/>
                <w:lang w:val="en-ID"/>
              </w:rPr>
              <w:lastRenderedPageBreak/>
              <w:t>Mobilizing of Finance and Market Mechanisms</w:t>
            </w:r>
          </w:p>
          <w:p w14:paraId="55C5AF5B" w14:textId="77777777" w:rsidR="006118E1" w:rsidRPr="000118A3" w:rsidRDefault="006118E1" w:rsidP="007B22FB">
            <w:pPr>
              <w:jc w:val="both"/>
              <w:rPr>
                <w:rFonts w:ascii="Times New Roman" w:hAnsi="Times New Roman" w:cs="Times New Roman"/>
                <w:i/>
                <w:iCs/>
                <w:color w:val="000000" w:themeColor="text1"/>
                <w:sz w:val="22"/>
                <w:szCs w:val="22"/>
                <w:lang w:val="en-ID"/>
              </w:rPr>
            </w:pPr>
          </w:p>
        </w:tc>
        <w:tc>
          <w:tcPr>
            <w:tcW w:w="3044" w:type="dxa"/>
          </w:tcPr>
          <w:p w14:paraId="1BE51020" w14:textId="77777777" w:rsidR="006118E1" w:rsidRPr="000118A3" w:rsidRDefault="006118E1" w:rsidP="007B22FB">
            <w:pPr>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Blending national funds, World Bank grants, and private sector finance (blue carbon) is essential. Introducing performance-based disbursement—linked to verified restoration outcomes such as carbon sequestration and survival rates—can enhance accountability (World Bank, 2021). Simplifying carbon project legal pathways will allow community cooperatives to participate and share equitable benefits (Arifanti et al., 2021).</w:t>
            </w:r>
          </w:p>
          <w:p w14:paraId="3DA85BD7" w14:textId="77777777" w:rsidR="006118E1" w:rsidRPr="000118A3" w:rsidRDefault="006118E1" w:rsidP="007B22FB">
            <w:pPr>
              <w:pStyle w:val="ListParagraph"/>
              <w:numPr>
                <w:ilvl w:val="1"/>
                <w:numId w:val="119"/>
              </w:numPr>
              <w:jc w:val="both"/>
              <w:rPr>
                <w:rFonts w:ascii="Times New Roman" w:hAnsi="Times New Roman" w:cs="Times New Roman"/>
                <w:color w:val="000000" w:themeColor="text1"/>
                <w:sz w:val="22"/>
                <w:szCs w:val="22"/>
                <w:lang w:val="en-ID"/>
              </w:rPr>
            </w:pPr>
          </w:p>
        </w:tc>
        <w:tc>
          <w:tcPr>
            <w:tcW w:w="2246" w:type="dxa"/>
          </w:tcPr>
          <w:p w14:paraId="7ED81421" w14:textId="77777777" w:rsidR="006118E1" w:rsidRPr="000118A3" w:rsidRDefault="006118E1" w:rsidP="007B22FB">
            <w:pPr>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Develop results-based payment schemes for rewetting and emission reduction, leverage carbon and blue carbon markets, and incentivize private sector compliance with no-deforestation and no-peat-drainage commitments (BRGM, 2021; MoEF, 2022).</w:t>
            </w:r>
          </w:p>
          <w:p w14:paraId="42892BB3" w14:textId="77777777" w:rsidR="006118E1" w:rsidRPr="000118A3" w:rsidRDefault="006118E1" w:rsidP="007B22FB">
            <w:pPr>
              <w:jc w:val="both"/>
              <w:rPr>
                <w:rFonts w:ascii="Times New Roman" w:hAnsi="Times New Roman" w:cs="Times New Roman"/>
                <w:b/>
                <w:bCs/>
                <w:color w:val="000000" w:themeColor="text1"/>
                <w:sz w:val="22"/>
                <w:szCs w:val="22"/>
              </w:rPr>
            </w:pPr>
          </w:p>
        </w:tc>
        <w:tc>
          <w:tcPr>
            <w:tcW w:w="2246" w:type="dxa"/>
          </w:tcPr>
          <w:p w14:paraId="235E59A8" w14:textId="77777777" w:rsidR="006118E1" w:rsidRPr="000118A3" w:rsidRDefault="006118E1" w:rsidP="007B22FB">
            <w:pPr>
              <w:jc w:val="both"/>
              <w:rPr>
                <w:rFonts w:ascii="Times New Roman" w:hAnsi="Times New Roman" w:cs="Times New Roman"/>
                <w:b/>
                <w:bCs/>
                <w:color w:val="000000" w:themeColor="text1"/>
                <w:sz w:val="22"/>
                <w:szCs w:val="22"/>
              </w:rPr>
            </w:pPr>
          </w:p>
        </w:tc>
      </w:tr>
      <w:tr w:rsidR="006118E1" w:rsidRPr="000118A3" w14:paraId="7E411C25" w14:textId="77777777" w:rsidTr="000373FE">
        <w:tc>
          <w:tcPr>
            <w:tcW w:w="1814" w:type="dxa"/>
          </w:tcPr>
          <w:p w14:paraId="6C1F200F" w14:textId="77777777" w:rsidR="006118E1" w:rsidRPr="000118A3" w:rsidRDefault="006118E1" w:rsidP="007B22FB">
            <w:pPr>
              <w:jc w:val="both"/>
              <w:rPr>
                <w:rFonts w:ascii="Times New Roman" w:hAnsi="Times New Roman" w:cs="Times New Roman"/>
                <w:i/>
                <w:iCs/>
                <w:color w:val="000000" w:themeColor="text1"/>
                <w:sz w:val="22"/>
                <w:szCs w:val="22"/>
                <w:lang w:val="en-ID"/>
              </w:rPr>
            </w:pPr>
            <w:r w:rsidRPr="000118A3">
              <w:rPr>
                <w:rFonts w:ascii="Times New Roman" w:hAnsi="Times New Roman" w:cs="Times New Roman"/>
                <w:i/>
                <w:iCs/>
                <w:color w:val="000000" w:themeColor="text1"/>
                <w:sz w:val="22"/>
                <w:szCs w:val="22"/>
                <w:lang w:val="en-ID"/>
              </w:rPr>
              <w:t>Regional Cooperation Actions</w:t>
            </w:r>
          </w:p>
          <w:p w14:paraId="011DCC53" w14:textId="77777777" w:rsidR="006118E1" w:rsidRPr="000118A3" w:rsidRDefault="006118E1" w:rsidP="007B22FB">
            <w:pPr>
              <w:jc w:val="both"/>
              <w:rPr>
                <w:rFonts w:ascii="Times New Roman" w:hAnsi="Times New Roman" w:cs="Times New Roman"/>
                <w:i/>
                <w:iCs/>
                <w:color w:val="000000" w:themeColor="text1"/>
                <w:sz w:val="22"/>
                <w:szCs w:val="22"/>
                <w:lang w:val="en-ID"/>
              </w:rPr>
            </w:pPr>
          </w:p>
        </w:tc>
        <w:tc>
          <w:tcPr>
            <w:tcW w:w="3044" w:type="dxa"/>
          </w:tcPr>
          <w:p w14:paraId="6F343CC7" w14:textId="77777777" w:rsidR="006118E1" w:rsidRPr="000118A3" w:rsidRDefault="006118E1" w:rsidP="007B22FB">
            <w:pPr>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Creating an SCS Mangrove Corridor connecting Indonesian hotspots (Riau, Natuna, North Kalimantan) with neighboring countries (Malaysia, Vietnam, Philippines) can protect nursery connectivity and migratory species (Sievers et al., 2023). A joint pollution mitigation program—addressing plastic, agricultural runoff, and mining sediment—should be coordinated via SCS TDA/SAP and ASEAN mechanisms (Murdiyarso et al., 2015). Establishing an SCS-level R&amp;D Fund for blue carbon, larval connectivity, and climate resilience studies is also recommended.</w:t>
            </w:r>
          </w:p>
          <w:p w14:paraId="420C9A13" w14:textId="77777777" w:rsidR="006118E1" w:rsidRPr="000118A3" w:rsidRDefault="006118E1" w:rsidP="007B22FB">
            <w:pPr>
              <w:jc w:val="both"/>
              <w:rPr>
                <w:rFonts w:ascii="Times New Roman" w:hAnsi="Times New Roman" w:cs="Times New Roman"/>
                <w:color w:val="000000" w:themeColor="text1"/>
                <w:sz w:val="22"/>
                <w:szCs w:val="22"/>
                <w:lang w:val="en-ID"/>
              </w:rPr>
            </w:pPr>
          </w:p>
        </w:tc>
        <w:tc>
          <w:tcPr>
            <w:tcW w:w="2246" w:type="dxa"/>
          </w:tcPr>
          <w:p w14:paraId="787FB2FA" w14:textId="77777777" w:rsidR="006118E1" w:rsidRPr="000118A3" w:rsidRDefault="006118E1" w:rsidP="007B22FB">
            <w:pPr>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Establish a National Wetland Monitoring Dashboard integrating satellite, hydrological, and social data—aligned with ASEAN’s APMS indicators (ASEAN Secretariat, 2023). Annual State of the Wetlands Reports would strengthen transparency and attract climate finance (MoEF, 2022).</w:t>
            </w:r>
          </w:p>
          <w:p w14:paraId="5602061F" w14:textId="77777777" w:rsidR="006118E1" w:rsidRPr="000118A3" w:rsidRDefault="006118E1" w:rsidP="007B22FB">
            <w:pPr>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Align national restoration efforts with ASEAN Peatland Management Strategy (APMS 2023–2030) and South China Sea SAP, establish an ASEAN Peat Knowledge Hub, and strengthen cross-</w:t>
            </w:r>
            <w:r w:rsidRPr="000118A3">
              <w:rPr>
                <w:rFonts w:ascii="Times New Roman" w:hAnsi="Times New Roman" w:cs="Times New Roman"/>
                <w:color w:val="000000" w:themeColor="text1"/>
                <w:sz w:val="22"/>
                <w:szCs w:val="22"/>
                <w:lang w:val="en-ID"/>
              </w:rPr>
              <w:lastRenderedPageBreak/>
              <w:t>border haze prevention with Malaysia, Brunei, and Viet Nam (ASEAN Secretariat, 2023; UNEP/GEF SCS, 2007).</w:t>
            </w:r>
          </w:p>
          <w:p w14:paraId="26B1C348" w14:textId="77777777" w:rsidR="006118E1" w:rsidRPr="000118A3" w:rsidRDefault="006118E1" w:rsidP="007B22FB">
            <w:pPr>
              <w:jc w:val="both"/>
              <w:rPr>
                <w:rFonts w:ascii="Times New Roman" w:hAnsi="Times New Roman" w:cs="Times New Roman"/>
                <w:b/>
                <w:bCs/>
                <w:color w:val="000000" w:themeColor="text1"/>
                <w:sz w:val="22"/>
                <w:szCs w:val="22"/>
              </w:rPr>
            </w:pPr>
          </w:p>
        </w:tc>
        <w:tc>
          <w:tcPr>
            <w:tcW w:w="2246" w:type="dxa"/>
          </w:tcPr>
          <w:p w14:paraId="0C9D69D7" w14:textId="77777777" w:rsidR="006118E1" w:rsidRPr="000118A3" w:rsidRDefault="006118E1" w:rsidP="007B22FB">
            <w:pPr>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lastRenderedPageBreak/>
              <w:t xml:space="preserve">Regionally, implementation of the CTI-CFF Regional Plan of Action 2.0 (RPOA 2.0) and cooperative mechanisms within WPPNRI 711 (North Natuna Sea) can enhance cross-border surveillance, ecological data sharing, and rapid response to bleaching events and extreme weather phenomena (CTI-CFF, 2020; World Bank, 2024). With an integrated, science-based, and multi-level governance approach, the sustainability of seagrass and coral reef </w:t>
            </w:r>
            <w:r w:rsidRPr="000118A3">
              <w:rPr>
                <w:rFonts w:ascii="Times New Roman" w:hAnsi="Times New Roman" w:cs="Times New Roman"/>
                <w:color w:val="000000" w:themeColor="text1"/>
                <w:sz w:val="22"/>
                <w:szCs w:val="22"/>
              </w:rPr>
              <w:lastRenderedPageBreak/>
              <w:t>ecosystems can serve as a cornerstone of the blue economy across the South China Sea.</w:t>
            </w:r>
          </w:p>
          <w:p w14:paraId="0DF217ED" w14:textId="77777777" w:rsidR="006118E1" w:rsidRPr="000118A3" w:rsidRDefault="006118E1" w:rsidP="007B22FB">
            <w:pPr>
              <w:jc w:val="both"/>
              <w:rPr>
                <w:rFonts w:ascii="Times New Roman" w:hAnsi="Times New Roman" w:cs="Times New Roman"/>
                <w:color w:val="000000" w:themeColor="text1"/>
                <w:sz w:val="22"/>
                <w:szCs w:val="22"/>
              </w:rPr>
            </w:pPr>
          </w:p>
          <w:p w14:paraId="1B8CA921" w14:textId="77777777" w:rsidR="006118E1" w:rsidRPr="000118A3" w:rsidRDefault="006118E1" w:rsidP="007B22FB">
            <w:pPr>
              <w:jc w:val="both"/>
              <w:rPr>
                <w:rFonts w:ascii="Times New Roman" w:hAnsi="Times New Roman" w:cs="Times New Roman"/>
                <w:b/>
                <w:bCs/>
                <w:color w:val="000000" w:themeColor="text1"/>
                <w:sz w:val="22"/>
                <w:szCs w:val="22"/>
              </w:rPr>
            </w:pPr>
          </w:p>
        </w:tc>
      </w:tr>
      <w:tr w:rsidR="006118E1" w:rsidRPr="000118A3" w14:paraId="20E3910F" w14:textId="77777777" w:rsidTr="000373FE">
        <w:tc>
          <w:tcPr>
            <w:tcW w:w="1814" w:type="dxa"/>
          </w:tcPr>
          <w:p w14:paraId="22E1AA62" w14:textId="77777777" w:rsidR="006118E1" w:rsidRPr="000118A3" w:rsidRDefault="006118E1" w:rsidP="007B22FB">
            <w:pPr>
              <w:jc w:val="both"/>
              <w:rPr>
                <w:rFonts w:ascii="Times New Roman" w:hAnsi="Times New Roman" w:cs="Times New Roman"/>
                <w:i/>
                <w:iCs/>
                <w:color w:val="000000" w:themeColor="text1"/>
                <w:sz w:val="22"/>
                <w:szCs w:val="22"/>
                <w:lang w:val="en-ID"/>
              </w:rPr>
            </w:pPr>
            <w:r w:rsidRPr="000118A3">
              <w:rPr>
                <w:rFonts w:ascii="Times New Roman" w:hAnsi="Times New Roman" w:cs="Times New Roman"/>
                <w:i/>
                <w:iCs/>
                <w:color w:val="000000" w:themeColor="text1"/>
                <w:sz w:val="22"/>
                <w:szCs w:val="22"/>
                <w:lang w:val="en-ID"/>
              </w:rPr>
              <w:lastRenderedPageBreak/>
              <w:t>Social Safeguards and Inclusion</w:t>
            </w:r>
          </w:p>
          <w:p w14:paraId="46523DA7" w14:textId="77777777" w:rsidR="006118E1" w:rsidRPr="000118A3" w:rsidRDefault="006118E1" w:rsidP="007B22FB">
            <w:pPr>
              <w:jc w:val="both"/>
              <w:rPr>
                <w:rFonts w:ascii="Times New Roman" w:hAnsi="Times New Roman" w:cs="Times New Roman"/>
                <w:i/>
                <w:iCs/>
                <w:color w:val="000000" w:themeColor="text1"/>
                <w:sz w:val="22"/>
                <w:szCs w:val="22"/>
                <w:lang w:val="en-ID"/>
              </w:rPr>
            </w:pPr>
          </w:p>
        </w:tc>
        <w:tc>
          <w:tcPr>
            <w:tcW w:w="3044" w:type="dxa"/>
          </w:tcPr>
          <w:p w14:paraId="5C141784" w14:textId="77777777" w:rsidR="006118E1" w:rsidRPr="000118A3" w:rsidRDefault="006118E1" w:rsidP="007B22FB">
            <w:pPr>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Embedding community co-management and gender equity ensures sustainability. Formalized tenure rights for community forests and empowerment of women’s groups can make mangrove restoration socially inclusive (Setyawan &amp; Winarno, 2006; Spalding et al., 2014).</w:t>
            </w:r>
          </w:p>
        </w:tc>
        <w:tc>
          <w:tcPr>
            <w:tcW w:w="2246" w:type="dxa"/>
          </w:tcPr>
          <w:p w14:paraId="09D719B8" w14:textId="77777777" w:rsidR="006118E1" w:rsidRPr="000118A3" w:rsidRDefault="006118E1" w:rsidP="007B22FB">
            <w:pPr>
              <w:jc w:val="both"/>
              <w:rPr>
                <w:rFonts w:ascii="Times New Roman" w:hAnsi="Times New Roman" w:cs="Times New Roman"/>
                <w:b/>
                <w:bCs/>
                <w:color w:val="000000" w:themeColor="text1"/>
                <w:sz w:val="22"/>
                <w:szCs w:val="22"/>
              </w:rPr>
            </w:pPr>
          </w:p>
        </w:tc>
        <w:tc>
          <w:tcPr>
            <w:tcW w:w="2246" w:type="dxa"/>
          </w:tcPr>
          <w:p w14:paraId="1C025780" w14:textId="77777777" w:rsidR="006118E1" w:rsidRPr="000118A3" w:rsidRDefault="006118E1" w:rsidP="007B22FB">
            <w:pPr>
              <w:jc w:val="both"/>
              <w:rPr>
                <w:rFonts w:ascii="Times New Roman" w:hAnsi="Times New Roman" w:cs="Times New Roman"/>
                <w:b/>
                <w:bCs/>
                <w:color w:val="000000" w:themeColor="text1"/>
                <w:sz w:val="22"/>
                <w:szCs w:val="22"/>
              </w:rPr>
            </w:pPr>
          </w:p>
        </w:tc>
      </w:tr>
      <w:tr w:rsidR="006118E1" w:rsidRPr="000118A3" w14:paraId="37308634" w14:textId="77777777" w:rsidTr="000373FE">
        <w:tc>
          <w:tcPr>
            <w:tcW w:w="1814" w:type="dxa"/>
          </w:tcPr>
          <w:p w14:paraId="5540B1D5" w14:textId="77777777" w:rsidR="006118E1" w:rsidRPr="000118A3" w:rsidRDefault="006118E1" w:rsidP="007B22FB">
            <w:pPr>
              <w:jc w:val="both"/>
              <w:rPr>
                <w:rFonts w:ascii="Times New Roman" w:hAnsi="Times New Roman" w:cs="Times New Roman"/>
                <w:i/>
                <w:iCs/>
                <w:color w:val="000000" w:themeColor="text1"/>
                <w:sz w:val="22"/>
                <w:szCs w:val="22"/>
                <w:lang w:val="en-ID"/>
              </w:rPr>
            </w:pPr>
            <w:r w:rsidRPr="000118A3">
              <w:rPr>
                <w:rFonts w:ascii="Times New Roman" w:hAnsi="Times New Roman" w:cs="Times New Roman"/>
                <w:i/>
                <w:iCs/>
                <w:color w:val="000000" w:themeColor="text1"/>
                <w:sz w:val="22"/>
                <w:szCs w:val="22"/>
                <w:lang w:val="en-ID"/>
              </w:rPr>
              <w:t>Advancing Hydrology-First Restoration</w:t>
            </w:r>
          </w:p>
          <w:p w14:paraId="2DF319DD" w14:textId="77777777" w:rsidR="006118E1" w:rsidRPr="000118A3" w:rsidRDefault="006118E1" w:rsidP="007B22FB">
            <w:pPr>
              <w:jc w:val="both"/>
              <w:rPr>
                <w:rFonts w:ascii="Times New Roman" w:hAnsi="Times New Roman" w:cs="Times New Roman"/>
                <w:i/>
                <w:iCs/>
                <w:color w:val="000000" w:themeColor="text1"/>
                <w:sz w:val="22"/>
                <w:szCs w:val="22"/>
                <w:lang w:val="en-ID"/>
              </w:rPr>
            </w:pPr>
          </w:p>
        </w:tc>
        <w:tc>
          <w:tcPr>
            <w:tcW w:w="3044" w:type="dxa"/>
          </w:tcPr>
          <w:p w14:paraId="6233F2D3" w14:textId="77777777" w:rsidR="006118E1" w:rsidRPr="000118A3" w:rsidRDefault="006118E1" w:rsidP="007B22FB">
            <w:pPr>
              <w:jc w:val="both"/>
              <w:rPr>
                <w:rFonts w:ascii="Times New Roman" w:hAnsi="Times New Roman" w:cs="Times New Roman"/>
                <w:color w:val="000000" w:themeColor="text1"/>
                <w:sz w:val="22"/>
                <w:szCs w:val="22"/>
                <w:lang w:val="en-ID"/>
              </w:rPr>
            </w:pPr>
          </w:p>
        </w:tc>
        <w:tc>
          <w:tcPr>
            <w:tcW w:w="2246" w:type="dxa"/>
          </w:tcPr>
          <w:p w14:paraId="7DF763B0" w14:textId="77777777" w:rsidR="006118E1" w:rsidRPr="000118A3" w:rsidRDefault="006118E1" w:rsidP="007B22FB">
            <w:pPr>
              <w:jc w:val="both"/>
              <w:rPr>
                <w:rFonts w:ascii="Times New Roman" w:hAnsi="Times New Roman" w:cs="Times New Roman"/>
                <w:b/>
                <w:bCs/>
                <w:color w:val="000000" w:themeColor="text1"/>
                <w:sz w:val="22"/>
                <w:szCs w:val="22"/>
              </w:rPr>
            </w:pPr>
            <w:r w:rsidRPr="000118A3">
              <w:rPr>
                <w:rFonts w:ascii="Times New Roman" w:hAnsi="Times New Roman" w:cs="Times New Roman"/>
                <w:color w:val="000000" w:themeColor="text1"/>
                <w:sz w:val="22"/>
                <w:szCs w:val="22"/>
                <w:lang w:val="en-ID"/>
              </w:rPr>
              <w:t xml:space="preserve">Focus on rewetting and canal blocking in degraded PHUs of South Sumatra, Jambi, and West Kalimantan, complemented by native revegetation that supports local livelihoods (Evans </w:t>
            </w:r>
            <w:r w:rsidRPr="000118A3">
              <w:rPr>
                <w:rFonts w:ascii="Times New Roman" w:hAnsi="Times New Roman" w:cs="Times New Roman"/>
                <w:i/>
                <w:iCs/>
                <w:color w:val="000000" w:themeColor="text1"/>
                <w:sz w:val="22"/>
                <w:szCs w:val="22"/>
                <w:lang w:val="en-ID"/>
              </w:rPr>
              <w:t>et al.</w:t>
            </w:r>
            <w:r w:rsidRPr="000118A3">
              <w:rPr>
                <w:rFonts w:ascii="Times New Roman" w:hAnsi="Times New Roman" w:cs="Times New Roman"/>
                <w:color w:val="000000" w:themeColor="text1"/>
                <w:sz w:val="22"/>
                <w:szCs w:val="22"/>
                <w:lang w:val="en-ID"/>
              </w:rPr>
              <w:t>,</w:t>
            </w:r>
          </w:p>
        </w:tc>
        <w:tc>
          <w:tcPr>
            <w:tcW w:w="2246" w:type="dxa"/>
          </w:tcPr>
          <w:p w14:paraId="16B84B61" w14:textId="77777777" w:rsidR="006118E1" w:rsidRPr="000118A3" w:rsidRDefault="006118E1" w:rsidP="007B22FB">
            <w:pPr>
              <w:jc w:val="both"/>
              <w:rPr>
                <w:rFonts w:ascii="Times New Roman" w:hAnsi="Times New Roman" w:cs="Times New Roman"/>
                <w:b/>
                <w:bCs/>
                <w:color w:val="000000" w:themeColor="text1"/>
                <w:sz w:val="22"/>
                <w:szCs w:val="22"/>
              </w:rPr>
            </w:pPr>
          </w:p>
        </w:tc>
      </w:tr>
      <w:tr w:rsidR="006118E1" w:rsidRPr="000118A3" w14:paraId="0E2A5DA8" w14:textId="77777777" w:rsidTr="000373FE">
        <w:tc>
          <w:tcPr>
            <w:tcW w:w="1814" w:type="dxa"/>
          </w:tcPr>
          <w:p w14:paraId="5B995B0C" w14:textId="77777777" w:rsidR="006118E1" w:rsidRPr="000118A3" w:rsidRDefault="006118E1" w:rsidP="007B22FB">
            <w:pPr>
              <w:jc w:val="both"/>
              <w:rPr>
                <w:rFonts w:ascii="Times New Roman" w:hAnsi="Times New Roman" w:cs="Times New Roman"/>
                <w:i/>
                <w:iCs/>
                <w:color w:val="000000" w:themeColor="text1"/>
                <w:sz w:val="22"/>
                <w:szCs w:val="22"/>
                <w:lang w:val="en-ID"/>
              </w:rPr>
            </w:pPr>
            <w:r w:rsidRPr="000118A3">
              <w:rPr>
                <w:rFonts w:ascii="Times New Roman" w:hAnsi="Times New Roman" w:cs="Times New Roman"/>
                <w:i/>
                <w:iCs/>
                <w:color w:val="000000" w:themeColor="text1"/>
                <w:sz w:val="22"/>
                <w:szCs w:val="22"/>
                <w:lang w:val="en-ID"/>
              </w:rPr>
              <w:t>Empowering Community-Based Fire Prevention</w:t>
            </w:r>
          </w:p>
          <w:p w14:paraId="2546B341" w14:textId="77777777" w:rsidR="006118E1" w:rsidRPr="000118A3" w:rsidRDefault="006118E1" w:rsidP="007B22FB">
            <w:pPr>
              <w:jc w:val="both"/>
              <w:rPr>
                <w:rFonts w:ascii="Times New Roman" w:hAnsi="Times New Roman" w:cs="Times New Roman"/>
                <w:i/>
                <w:iCs/>
                <w:color w:val="000000" w:themeColor="text1"/>
                <w:sz w:val="22"/>
                <w:szCs w:val="22"/>
                <w:lang w:val="en-ID"/>
              </w:rPr>
            </w:pPr>
          </w:p>
        </w:tc>
        <w:tc>
          <w:tcPr>
            <w:tcW w:w="3044" w:type="dxa"/>
          </w:tcPr>
          <w:p w14:paraId="24577A90" w14:textId="77777777" w:rsidR="006118E1" w:rsidRPr="000118A3" w:rsidRDefault="006118E1" w:rsidP="007B22FB">
            <w:pPr>
              <w:jc w:val="both"/>
              <w:rPr>
                <w:rFonts w:ascii="Times New Roman" w:hAnsi="Times New Roman" w:cs="Times New Roman"/>
                <w:color w:val="000000" w:themeColor="text1"/>
                <w:sz w:val="22"/>
                <w:szCs w:val="22"/>
                <w:lang w:val="en-ID"/>
              </w:rPr>
            </w:pPr>
          </w:p>
        </w:tc>
        <w:tc>
          <w:tcPr>
            <w:tcW w:w="2246" w:type="dxa"/>
          </w:tcPr>
          <w:p w14:paraId="4B05B7C2" w14:textId="77777777" w:rsidR="006118E1" w:rsidRPr="000118A3" w:rsidRDefault="006118E1" w:rsidP="007B22FB">
            <w:pPr>
              <w:jc w:val="both"/>
              <w:rPr>
                <w:rFonts w:ascii="Times New Roman" w:hAnsi="Times New Roman" w:cs="Times New Roman"/>
                <w:color w:val="000000" w:themeColor="text1"/>
                <w:sz w:val="22"/>
                <w:szCs w:val="22"/>
                <w:lang w:val="en-ID"/>
              </w:rPr>
            </w:pPr>
            <w:r w:rsidRPr="000118A3">
              <w:rPr>
                <w:rFonts w:ascii="Times New Roman" w:hAnsi="Times New Roman" w:cs="Times New Roman"/>
                <w:color w:val="000000" w:themeColor="text1"/>
                <w:sz w:val="22"/>
                <w:szCs w:val="22"/>
                <w:lang w:val="en-ID"/>
              </w:rPr>
              <w:t>Expand village fire brigades (MPA), integrate early-warning systems, and promote alternative livelihoods such as wetland rice and fishponds (Mongabay Indonesia, 2023; Rizki &amp; Suryadi, 2023).</w:t>
            </w:r>
          </w:p>
          <w:p w14:paraId="35677853" w14:textId="77777777" w:rsidR="006118E1" w:rsidRPr="000118A3" w:rsidRDefault="006118E1" w:rsidP="007B22FB">
            <w:pPr>
              <w:jc w:val="both"/>
              <w:rPr>
                <w:rFonts w:ascii="Times New Roman" w:hAnsi="Times New Roman" w:cs="Times New Roman"/>
                <w:color w:val="000000" w:themeColor="text1"/>
                <w:sz w:val="22"/>
                <w:szCs w:val="22"/>
                <w:lang w:val="en-ID"/>
              </w:rPr>
            </w:pPr>
          </w:p>
        </w:tc>
        <w:tc>
          <w:tcPr>
            <w:tcW w:w="2246" w:type="dxa"/>
          </w:tcPr>
          <w:p w14:paraId="5D7FE2BD" w14:textId="77777777" w:rsidR="006118E1" w:rsidRPr="000118A3" w:rsidRDefault="006118E1" w:rsidP="007B22FB">
            <w:pPr>
              <w:jc w:val="both"/>
              <w:rPr>
                <w:rFonts w:ascii="Times New Roman" w:hAnsi="Times New Roman" w:cs="Times New Roman"/>
                <w:b/>
                <w:bCs/>
                <w:color w:val="000000" w:themeColor="text1"/>
                <w:sz w:val="22"/>
                <w:szCs w:val="22"/>
              </w:rPr>
            </w:pPr>
          </w:p>
        </w:tc>
      </w:tr>
    </w:tbl>
    <w:p w14:paraId="0A57A637" w14:textId="506AFC4F" w:rsidR="004D0095" w:rsidRDefault="004D0095" w:rsidP="006118E1">
      <w:pPr>
        <w:jc w:val="both"/>
        <w:rPr>
          <w:rFonts w:ascii="Times New Roman" w:hAnsi="Times New Roman" w:cs="Times New Roman"/>
          <w:b/>
          <w:bCs/>
          <w:color w:val="000000" w:themeColor="text1"/>
          <w:sz w:val="22"/>
          <w:szCs w:val="22"/>
        </w:rPr>
      </w:pPr>
    </w:p>
    <w:p w14:paraId="64614FB9" w14:textId="77777777" w:rsidR="004567DB" w:rsidRDefault="004567DB" w:rsidP="004D0095">
      <w:pPr>
        <w:ind w:left="567" w:hanging="567"/>
        <w:jc w:val="center"/>
        <w:rPr>
          <w:color w:val="000000" w:themeColor="text1"/>
          <w:shd w:val="clear" w:color="auto" w:fill="FFFFFF"/>
        </w:rPr>
      </w:pPr>
    </w:p>
    <w:p w14:paraId="1827A1F9" w14:textId="6ECFF905" w:rsidR="004567DB" w:rsidRDefault="004567DB" w:rsidP="004567DB">
      <w:pPr>
        <w:ind w:left="142"/>
        <w:jc w:val="both"/>
        <w:rPr>
          <w:color w:val="000000" w:themeColor="text1"/>
          <w:shd w:val="clear" w:color="auto" w:fill="FFFFFF"/>
        </w:rPr>
      </w:pPr>
      <w:r w:rsidRPr="004567DB">
        <w:rPr>
          <w:rFonts w:ascii="Times New Roman" w:hAnsi="Times New Roman" w:cs="Times New Roman"/>
          <w:b/>
          <w:bCs/>
          <w:color w:val="000000" w:themeColor="text1"/>
          <w:sz w:val="22"/>
          <w:szCs w:val="22"/>
          <w:shd w:val="clear" w:color="auto" w:fill="FFFFFF"/>
        </w:rPr>
        <w:t xml:space="preserve">Acknowledgements : </w:t>
      </w:r>
      <w:r w:rsidRPr="004567DB">
        <w:rPr>
          <w:rFonts w:ascii="Times New Roman" w:hAnsi="Times New Roman" w:cs="Times New Roman"/>
          <w:color w:val="000000" w:themeColor="text1"/>
          <w:sz w:val="22"/>
          <w:szCs w:val="22"/>
          <w:shd w:val="clear" w:color="auto" w:fill="FFFFFF"/>
        </w:rPr>
        <w:t>The authors are grateful to the Misitry of Environment of Indonesia, UNOPS and  the Center for Coastal and Marine Resources Studies, IPB University (PKSPL IPB), Indonesia,   that provided the research facilities and  funding, especially during data collection processes including Focus Group Discussion in Bintan and Pontianak</w:t>
      </w:r>
      <w:r w:rsidRPr="004567DB">
        <w:rPr>
          <w:color w:val="000000" w:themeColor="text1"/>
          <w:shd w:val="clear" w:color="auto" w:fill="FFFFFF"/>
        </w:rPr>
        <w:t>.</w:t>
      </w:r>
    </w:p>
    <w:p w14:paraId="2FAF7E0A" w14:textId="77777777" w:rsidR="004567DB" w:rsidRDefault="004567DB" w:rsidP="004D0095">
      <w:pPr>
        <w:ind w:left="567" w:hanging="567"/>
        <w:jc w:val="center"/>
        <w:rPr>
          <w:rFonts w:ascii="Times New Roman" w:hAnsi="Times New Roman" w:cs="Times New Roman"/>
          <w:b/>
          <w:bCs/>
          <w:color w:val="0070C0"/>
          <w:sz w:val="28"/>
          <w:szCs w:val="28"/>
          <w:shd w:val="clear" w:color="auto" w:fill="FFFFFF"/>
        </w:rPr>
      </w:pPr>
    </w:p>
    <w:p w14:paraId="0F2DA8F7" w14:textId="77777777" w:rsidR="005C0646" w:rsidRDefault="005C0646" w:rsidP="004D0095">
      <w:pPr>
        <w:ind w:left="567" w:hanging="567"/>
        <w:jc w:val="center"/>
        <w:rPr>
          <w:rFonts w:ascii="Times New Roman" w:hAnsi="Times New Roman" w:cs="Times New Roman"/>
          <w:b/>
          <w:bCs/>
          <w:color w:val="0070C0"/>
          <w:sz w:val="28"/>
          <w:szCs w:val="28"/>
          <w:shd w:val="clear" w:color="auto" w:fill="FFFFFF"/>
        </w:rPr>
      </w:pPr>
    </w:p>
    <w:p w14:paraId="53661A7D" w14:textId="77777777" w:rsidR="005C0646" w:rsidRDefault="005C0646" w:rsidP="004D0095">
      <w:pPr>
        <w:ind w:left="567" w:hanging="567"/>
        <w:jc w:val="center"/>
        <w:rPr>
          <w:rFonts w:ascii="Times New Roman" w:hAnsi="Times New Roman" w:cs="Times New Roman"/>
          <w:b/>
          <w:bCs/>
          <w:color w:val="0070C0"/>
          <w:sz w:val="28"/>
          <w:szCs w:val="28"/>
          <w:shd w:val="clear" w:color="auto" w:fill="FFFFFF"/>
        </w:rPr>
      </w:pPr>
    </w:p>
    <w:p w14:paraId="0A73E410" w14:textId="77777777" w:rsidR="005C0646" w:rsidRDefault="005C0646" w:rsidP="004D0095">
      <w:pPr>
        <w:ind w:left="567" w:hanging="567"/>
        <w:jc w:val="center"/>
        <w:rPr>
          <w:rFonts w:ascii="Times New Roman" w:hAnsi="Times New Roman" w:cs="Times New Roman"/>
          <w:b/>
          <w:bCs/>
          <w:color w:val="0070C0"/>
          <w:sz w:val="28"/>
          <w:szCs w:val="28"/>
          <w:shd w:val="clear" w:color="auto" w:fill="FFFFFF"/>
        </w:rPr>
      </w:pPr>
    </w:p>
    <w:p w14:paraId="0C8E1C44" w14:textId="580370B7" w:rsidR="004D0095" w:rsidRPr="004567DB" w:rsidRDefault="004D0095" w:rsidP="0092522E">
      <w:pPr>
        <w:pStyle w:val="Heading2"/>
        <w:rPr>
          <w:rFonts w:ascii="Times New Roman" w:hAnsi="Times New Roman" w:cs="Times New Roman"/>
          <w:b w:val="0"/>
          <w:bCs/>
          <w:sz w:val="28"/>
          <w:szCs w:val="28"/>
          <w:shd w:val="clear" w:color="auto" w:fill="FFFFFF"/>
        </w:rPr>
      </w:pPr>
      <w:bookmarkStart w:id="71" w:name="_Toc217297550"/>
      <w:r w:rsidRPr="004567DB">
        <w:rPr>
          <w:rFonts w:ascii="Times New Roman" w:hAnsi="Times New Roman" w:cs="Times New Roman"/>
          <w:bCs/>
          <w:sz w:val="28"/>
          <w:szCs w:val="28"/>
          <w:shd w:val="clear" w:color="auto" w:fill="FFFFFF"/>
        </w:rPr>
        <w:lastRenderedPageBreak/>
        <w:t>Reference</w:t>
      </w:r>
      <w:r w:rsidR="00F05CEC">
        <w:rPr>
          <w:rFonts w:ascii="Times New Roman" w:hAnsi="Times New Roman" w:cs="Times New Roman"/>
          <w:bCs/>
          <w:sz w:val="28"/>
          <w:szCs w:val="28"/>
          <w:shd w:val="clear" w:color="auto" w:fill="FFFFFF"/>
        </w:rPr>
        <w:t>s</w:t>
      </w:r>
      <w:bookmarkEnd w:id="71"/>
    </w:p>
    <w:p w14:paraId="05429D70" w14:textId="77777777" w:rsidR="004D0095" w:rsidRPr="004567DB" w:rsidRDefault="004D0095" w:rsidP="004D0095">
      <w:pPr>
        <w:ind w:left="567" w:hanging="567"/>
        <w:jc w:val="both"/>
        <w:rPr>
          <w:rFonts w:ascii="Times New Roman" w:hAnsi="Times New Roman" w:cs="Times New Roman"/>
          <w:color w:val="000000" w:themeColor="text1"/>
          <w:sz w:val="22"/>
          <w:szCs w:val="22"/>
          <w:shd w:val="clear" w:color="auto" w:fill="FFFFFF"/>
        </w:rPr>
      </w:pPr>
    </w:p>
    <w:p w14:paraId="4A45FB74" w14:textId="42DF22B0"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shd w:val="clear" w:color="auto" w:fill="FFFFFF"/>
        </w:rPr>
        <w:t xml:space="preserve">Adrim M, Iis Chen, ZP Chen, KKP Lim, HH Tan, Y Yusuf. 2004.   Marine fishes recorded from the Anambas and Natuna islands, South China Sea. The Rafless Bulleting of Zoology.  </w:t>
      </w:r>
    </w:p>
    <w:p w14:paraId="79CC7B29"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shd w:val="clear" w:color="auto" w:fill="FFFFFF"/>
        </w:rPr>
        <w:t>Hadi TA, Utama RS, Arfianti T. Species richness and the dynamics of coral cover in Bangka Belitung Islands, Indonesia. PeerJ. 2023 Feb 24;11:e14625. doi: 10.7717/peerj.14625. PMID: 36860768; PMCID: PMC9969856.</w:t>
      </w:r>
    </w:p>
    <w:p w14:paraId="349DD4EC"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shd w:val="clear" w:color="auto" w:fill="FFFFFF"/>
        </w:rPr>
        <w:t>A. H. Nugraha et al., "Sebaran Jenis dan Kondisi Tutupan Lamun di Perairan Kepulauan Riau," </w:t>
      </w:r>
      <w:r w:rsidRPr="004567DB">
        <w:rPr>
          <w:rFonts w:ascii="Times New Roman" w:hAnsi="Times New Roman" w:cs="Times New Roman"/>
          <w:i/>
          <w:iCs/>
          <w:color w:val="000000" w:themeColor="text1"/>
          <w:sz w:val="22"/>
          <w:szCs w:val="22"/>
          <w:shd w:val="clear" w:color="auto" w:fill="FFFFFF"/>
        </w:rPr>
        <w:t>Journal of Marine Research</w:t>
      </w:r>
      <w:r w:rsidRPr="004567DB">
        <w:rPr>
          <w:rFonts w:ascii="Times New Roman" w:hAnsi="Times New Roman" w:cs="Times New Roman"/>
          <w:color w:val="000000" w:themeColor="text1"/>
          <w:sz w:val="22"/>
          <w:szCs w:val="22"/>
          <w:shd w:val="clear" w:color="auto" w:fill="FFFFFF"/>
        </w:rPr>
        <w:t>, vol. 12, no. 3, pp. 431-438, Jul. 2023. </w:t>
      </w:r>
      <w:hyperlink r:id="rId58" w:history="1">
        <w:r w:rsidRPr="004567DB">
          <w:rPr>
            <w:rFonts w:ascii="Times New Roman" w:hAnsi="Times New Roman" w:cs="Times New Roman"/>
            <w:color w:val="000000" w:themeColor="text1"/>
            <w:sz w:val="22"/>
            <w:szCs w:val="22"/>
            <w:shd w:val="clear" w:color="auto" w:fill="FFFFFF"/>
          </w:rPr>
          <w:t>https://doi.org/10.14710/jmr.v12i3.36274</w:t>
        </w:r>
      </w:hyperlink>
    </w:p>
    <w:p w14:paraId="25FE337C"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 xml:space="preserve">PPID Loka Konservasi Pekanbaru. 2025.  Ekosistem Terumbu Karang di Kawasan Konservasi Anambas.  </w:t>
      </w:r>
    </w:p>
    <w:p w14:paraId="2409D60B"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Wiarta R, Firdaus Silamon R, Ishag Arbab M, Badshah MT and Hayat U and Meng J (2025) Assessing of driving factors and change detection of mangrove forest in Kubu Raya District, Indonesia. Front. For. Glob. Change 8:1511361. doi: 10.3389/ffgc.2025.1511361.</w:t>
      </w:r>
    </w:p>
    <w:p w14:paraId="28652E1A"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shd w:val="clear" w:color="auto" w:fill="FFFFFF"/>
        </w:rPr>
        <w:t>Fahmi, and Yonvitner; 2017.  Biodiversity and Abundance of Demersal Fish Stock in Tambelan Water, Natuna Sea. (2017). </w:t>
      </w:r>
      <w:r w:rsidRPr="004567DB">
        <w:rPr>
          <w:rFonts w:ascii="Times New Roman" w:hAnsi="Times New Roman" w:cs="Times New Roman"/>
          <w:i/>
          <w:iCs/>
          <w:color w:val="000000" w:themeColor="text1"/>
          <w:sz w:val="22"/>
          <w:szCs w:val="22"/>
          <w:shd w:val="clear" w:color="auto" w:fill="FFFFFF"/>
        </w:rPr>
        <w:t>Jurnal Ilmu Dan Teknologi Kelautan Tropis</w:t>
      </w:r>
      <w:r w:rsidRPr="004567DB">
        <w:rPr>
          <w:rFonts w:ascii="Times New Roman" w:hAnsi="Times New Roman" w:cs="Times New Roman"/>
          <w:color w:val="000000" w:themeColor="text1"/>
          <w:sz w:val="22"/>
          <w:szCs w:val="22"/>
          <w:shd w:val="clear" w:color="auto" w:fill="FFFFFF"/>
        </w:rPr>
        <w:t>, </w:t>
      </w:r>
      <w:r w:rsidRPr="004567DB">
        <w:rPr>
          <w:rFonts w:ascii="Times New Roman" w:hAnsi="Times New Roman" w:cs="Times New Roman"/>
          <w:i/>
          <w:iCs/>
          <w:color w:val="000000" w:themeColor="text1"/>
          <w:sz w:val="22"/>
          <w:szCs w:val="22"/>
          <w:shd w:val="clear" w:color="auto" w:fill="FFFFFF"/>
        </w:rPr>
        <w:t>8</w:t>
      </w:r>
      <w:r w:rsidRPr="004567DB">
        <w:rPr>
          <w:rFonts w:ascii="Times New Roman" w:hAnsi="Times New Roman" w:cs="Times New Roman"/>
          <w:color w:val="000000" w:themeColor="text1"/>
          <w:sz w:val="22"/>
          <w:szCs w:val="22"/>
          <w:shd w:val="clear" w:color="auto" w:fill="FFFFFF"/>
        </w:rPr>
        <w:t>(2), 503-516. </w:t>
      </w:r>
      <w:r w:rsidRPr="004567DB">
        <w:rPr>
          <w:rFonts w:ascii="Times New Roman" w:hAnsi="Times New Roman" w:cs="Times New Roman"/>
          <w:color w:val="000000" w:themeColor="text1"/>
          <w:sz w:val="22"/>
          <w:szCs w:val="22"/>
        </w:rPr>
        <w:t xml:space="preserve"> </w:t>
      </w:r>
    </w:p>
    <w:p w14:paraId="4CA66792"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Adi, W., &amp; Hartoko, A. (2024). Ecological condition of seagrass meadows around sea-based tin mining activities in the waters of Bangka Belitung Islands, Indonesia. Marine Pollution Bulletin, 198, 120685.</w:t>
      </w:r>
    </w:p>
    <w:p w14:paraId="26E03ADC"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CTI-CFF. (2020). Regional Plan of Action 2.0 (RPOA 2.0): Securing the Coral Triangle for future generations. Coral Triangle Initiative on Coral Reefs, Fisheries, and Food Security.</w:t>
      </w:r>
    </w:p>
    <w:p w14:paraId="033ED634" w14:textId="77777777" w:rsidR="004D0095" w:rsidRPr="004567DB" w:rsidRDefault="004D0095" w:rsidP="00CD0DB1">
      <w:pPr>
        <w:ind w:left="567" w:hanging="567"/>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Hughes, T. P., et al. (2017). Global warming and recurrent mass bleaching of corals. Nature, 543, 373–377.</w:t>
      </w:r>
    </w:p>
    <w:p w14:paraId="1CAC38EC"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shd w:val="clear" w:color="auto" w:fill="FFFFFF"/>
        </w:rPr>
        <w:t>Hong, X., Chen, L., Sun, S., Sun, Z., Chen, Y., Mei, Q., &amp; Chen, Z. (2022). Detection of Oil Spills in the Northern South China Sea Using Landsat-8 OLI. </w:t>
      </w:r>
      <w:r w:rsidRPr="004567DB">
        <w:rPr>
          <w:rStyle w:val="Emphasis"/>
          <w:rFonts w:ascii="Times New Roman" w:eastAsiaTheme="majorEastAsia" w:hAnsi="Times New Roman" w:cs="Times New Roman"/>
          <w:color w:val="000000" w:themeColor="text1"/>
          <w:sz w:val="22"/>
          <w:szCs w:val="22"/>
          <w:shd w:val="clear" w:color="auto" w:fill="FFFFFF"/>
        </w:rPr>
        <w:t>Remote Sensing</w:t>
      </w:r>
      <w:r w:rsidRPr="004567DB">
        <w:rPr>
          <w:rFonts w:ascii="Times New Roman" w:hAnsi="Times New Roman" w:cs="Times New Roman"/>
          <w:color w:val="000000" w:themeColor="text1"/>
          <w:sz w:val="22"/>
          <w:szCs w:val="22"/>
          <w:shd w:val="clear" w:color="auto" w:fill="FFFFFF"/>
        </w:rPr>
        <w:t>, </w:t>
      </w:r>
      <w:r w:rsidRPr="004567DB">
        <w:rPr>
          <w:rStyle w:val="Emphasis"/>
          <w:rFonts w:ascii="Times New Roman" w:eastAsiaTheme="majorEastAsia" w:hAnsi="Times New Roman" w:cs="Times New Roman"/>
          <w:color w:val="000000" w:themeColor="text1"/>
          <w:sz w:val="22"/>
          <w:szCs w:val="22"/>
          <w:shd w:val="clear" w:color="auto" w:fill="FFFFFF"/>
        </w:rPr>
        <w:t>14</w:t>
      </w:r>
      <w:r w:rsidRPr="004567DB">
        <w:rPr>
          <w:rFonts w:ascii="Times New Roman" w:hAnsi="Times New Roman" w:cs="Times New Roman"/>
          <w:color w:val="000000" w:themeColor="text1"/>
          <w:sz w:val="22"/>
          <w:szCs w:val="22"/>
          <w:shd w:val="clear" w:color="auto" w:fill="FFFFFF"/>
        </w:rPr>
        <w:t>(16), 3966. https://doi.org/10.3390/rs14163966</w:t>
      </w:r>
    </w:p>
    <w:p w14:paraId="161079C6"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IPCC. (2022). Climate Change 2022: Impacts, Adaptation and Vulnerability. Contribution of Working Group II to the Sixth Assessment Report. Cambridge University Press.</w:t>
      </w:r>
    </w:p>
    <w:p w14:paraId="111C68B7"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Kementerian Kelautan dan Perikanan. (2022). Keputusan Menteri Kelautan dan Perikanan Nomor 18 Tahun 2022 tentang Kawasan Konservasi di Perairan Timur Pulau Bintan. Jakarta: KKP.</w:t>
      </w:r>
    </w:p>
    <w:p w14:paraId="09E9E869"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NOAA Coral Reef Watch. (2024). Annual bleaching outlook and DHW metrics for the Indo-Pacific. National Oceanic and Atmospheric Administration.</w:t>
      </w:r>
    </w:p>
    <w:p w14:paraId="6D85B2E6"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Ramsar Secretariat. (2011). Sembilang National Park (RIS No. 1945). Gland: Ramsar Convention Bureau.</w:t>
      </w:r>
    </w:p>
    <w:p w14:paraId="3D2D0895"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Rifai, H., et al. (2024). Understanding stakeholders’ perception on developing seagrass-associated tourism: Evidence from MPAs of Bintan Island, Indonesia. Marine Pollution Bulletin, 203, 115244.</w:t>
      </w:r>
    </w:p>
    <w:p w14:paraId="03AF0CAE"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Turissa, P., et al. (2024). Sentinel‑2A multispectral image analysis for seagrass mapping in Bintan’s shallow-water ecosystem. Kuwait Journal of Science, 51(4), 1–16.</w:t>
      </w:r>
    </w:p>
    <w:p w14:paraId="6D862CCD"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UNESCO. (2018). Berbak–Sembilang Biosphere Reserve (Indonesia). Paris: UNESCO.</w:t>
      </w:r>
    </w:p>
    <w:p w14:paraId="4F719A26" w14:textId="77777777" w:rsidR="004D0095" w:rsidRPr="004567DB" w:rsidRDefault="004D0095" w:rsidP="00CD0DB1">
      <w:pPr>
        <w:ind w:left="567" w:hanging="567"/>
        <w:jc w:val="both"/>
        <w:rPr>
          <w:rFonts w:ascii="Times New Roman" w:hAnsi="Times New Roman" w:cs="Times New Roman"/>
          <w:color w:val="000000" w:themeColor="text1"/>
          <w:sz w:val="22"/>
          <w:szCs w:val="22"/>
          <w:shd w:val="clear" w:color="auto" w:fill="FFFFFF"/>
        </w:rPr>
      </w:pPr>
      <w:r w:rsidRPr="004567DB">
        <w:rPr>
          <w:rFonts w:ascii="Times New Roman" w:hAnsi="Times New Roman" w:cs="Times New Roman"/>
          <w:color w:val="000000" w:themeColor="text1"/>
          <w:sz w:val="22"/>
          <w:szCs w:val="22"/>
        </w:rPr>
        <w:t>World Bank. (2024). Indonesia – Coral Reef Rehabilitation and Management Program (COREMAP‑CTI): Project Performance Assessment Report No. 187437. Washington DC: World Bank.</w:t>
      </w:r>
    </w:p>
    <w:p w14:paraId="54339060" w14:textId="77777777" w:rsidR="004D0095" w:rsidRPr="004567DB" w:rsidRDefault="004D0095" w:rsidP="00CD0DB1">
      <w:pPr>
        <w:ind w:left="567" w:hanging="567"/>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YKAN &amp; KKP. (2025). Indonesia develops national map of coral reefs and seagrass beds. Jakarta: Yayasan Konservasi Alam Nusantara</w:t>
      </w:r>
    </w:p>
    <w:p w14:paraId="59369448"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Bappenas. (2023). National Strategy for Wetland Management. Jakarta: Ministry of National Development Planning (Bappenas).</w:t>
      </w:r>
    </w:p>
    <w:p w14:paraId="1DE36D18"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CIFOR-ICRAF. (2022). Coastal Rehabilitation for Climate Change Mitigation (Working Paper 11). Bogor: CIFOR-ICRAF.</w:t>
      </w:r>
    </w:p>
    <w:p w14:paraId="38DCEA84"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Fan, B., Ren, H., Liu, H., Chen, Q., &amp; Wang, Y. (2024). Exploring cumulative vulnerability of mangrove forests to intensive coastal anthropogenic threats. Environmental Health &amp; Sustainability, 1(1), 0153.</w:t>
      </w:r>
    </w:p>
    <w:p w14:paraId="0E1D97A8"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Gerona-Daga, M. E. B., et al. (2022). A systematic review of mangrove restoration studies in Southeast Asia. Frontiers in Marine Science, 9, 987737.</w:t>
      </w:r>
    </w:p>
    <w:p w14:paraId="204FC95F"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Hülsen, S., Dee, L. E., Kropf, C. M., Meiler, S., &amp; Bresch, D. N. (2025). Mangroves and their services are at risk from tropical climate change. Communications Earth &amp; Environment, 6, 262.</w:t>
      </w:r>
    </w:p>
    <w:p w14:paraId="2FED03F9"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KLHK (Ministry of Environment and Forestry). (2021). National Mangrove Map 2021. Jakarta: KLHK.</w:t>
      </w:r>
    </w:p>
    <w:p w14:paraId="32BE45B8"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Republic of Indonesia. (2020). Presidential Regulation No. 120 of 2020 on the Peatland and Mangrove Restoration Agency (BRGM). Jakarta.</w:t>
      </w:r>
    </w:p>
    <w:p w14:paraId="48856AA7"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lastRenderedPageBreak/>
        <w:t>Sasmito, S. D., Basyuni, M., Kridalaksana, A., Saragi-Sasmito, M. F., Lovelock, C. E., Murdiyarso, D., &amp; Friess, D. A. (2023). Challenges and opportunities for achieving sustainable mangrove rehabilitation in Indonesia. Nature Ecology &amp; Evolution, 7, 62–70.</w:t>
      </w:r>
    </w:p>
    <w:p w14:paraId="41595518"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Wiarta, R., Yamada, Y., Matsushita, B., &amp; Nurdiana, A. (2025). Assessing driving factors and change detection of mangrove forest over 30 years in Kubu Raya District, West Kalimantan, Indonesia. Frontiers in Forests and Global Change, 8, 1511361.</w:t>
      </w:r>
    </w:p>
    <w:p w14:paraId="1B225E0D" w14:textId="77777777" w:rsidR="004D0095" w:rsidRPr="004567DB" w:rsidRDefault="004D0095" w:rsidP="00CD0DB1">
      <w:pPr>
        <w:ind w:left="720" w:hanging="720"/>
        <w:jc w:val="both"/>
        <w:rPr>
          <w:rFonts w:ascii="Times New Roman" w:hAnsi="Times New Roman" w:cs="Times New Roman"/>
          <w:color w:val="000000" w:themeColor="text1"/>
          <w:sz w:val="22"/>
          <w:szCs w:val="22"/>
        </w:rPr>
      </w:pPr>
      <w:r w:rsidRPr="004567DB">
        <w:rPr>
          <w:rFonts w:ascii="Times New Roman" w:hAnsi="Times New Roman" w:cs="Times New Roman"/>
          <w:color w:val="000000" w:themeColor="text1"/>
          <w:sz w:val="22"/>
          <w:szCs w:val="22"/>
        </w:rPr>
        <w:t>Zhou, P., Jiang, Z., Zhao, L., Hu, H., &amp; Li, D. (2025). Mapping and potential risk assessment of marine debris in mangrove wetlands in the northern South China Sea. Sustainability, 17(14), 6311.</w:t>
      </w:r>
    </w:p>
    <w:p w14:paraId="107ED485"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Alongi, D. M. (2018). </w:t>
      </w:r>
      <w:r w:rsidRPr="004567DB">
        <w:rPr>
          <w:rFonts w:ascii="Times New Roman" w:hAnsi="Times New Roman" w:cs="Times New Roman"/>
          <w:i/>
          <w:iCs/>
          <w:color w:val="000000" w:themeColor="text1"/>
          <w:sz w:val="22"/>
          <w:szCs w:val="22"/>
          <w:lang w:val="en-ID"/>
        </w:rPr>
        <w:t>The role of mangroves in coastal protection and climate change adaptation.</w:t>
      </w:r>
      <w:r w:rsidRPr="004567DB">
        <w:rPr>
          <w:rFonts w:ascii="Times New Roman" w:hAnsi="Times New Roman" w:cs="Times New Roman"/>
          <w:color w:val="000000" w:themeColor="text1"/>
          <w:sz w:val="22"/>
          <w:szCs w:val="22"/>
          <w:lang w:val="en-ID"/>
        </w:rPr>
        <w:t xml:space="preserve"> Estuarine, Coastal and Shelf Science, 210, 1–8.</w:t>
      </w:r>
    </w:p>
    <w:p w14:paraId="6CABA3D7"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Alongi, D. M. (2020). </w:t>
      </w:r>
      <w:r w:rsidRPr="004567DB">
        <w:rPr>
          <w:rFonts w:ascii="Times New Roman" w:hAnsi="Times New Roman" w:cs="Times New Roman"/>
          <w:i/>
          <w:iCs/>
          <w:color w:val="000000" w:themeColor="text1"/>
          <w:sz w:val="22"/>
          <w:szCs w:val="22"/>
          <w:lang w:val="en-ID"/>
        </w:rPr>
        <w:t>The impact of climate change on mangrove forests.</w:t>
      </w:r>
      <w:r w:rsidRPr="004567DB">
        <w:rPr>
          <w:rFonts w:ascii="Times New Roman" w:hAnsi="Times New Roman" w:cs="Times New Roman"/>
          <w:color w:val="000000" w:themeColor="text1"/>
          <w:sz w:val="22"/>
          <w:szCs w:val="22"/>
          <w:lang w:val="en-ID"/>
        </w:rPr>
        <w:t xml:space="preserve"> Current Climate Change Reports, 6, 1–7.</w:t>
      </w:r>
    </w:p>
    <w:p w14:paraId="0FB971C9"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Arifanti, V. B. et al. (2021). </w:t>
      </w:r>
      <w:r w:rsidRPr="004567DB">
        <w:rPr>
          <w:rFonts w:ascii="Times New Roman" w:hAnsi="Times New Roman" w:cs="Times New Roman"/>
          <w:i/>
          <w:iCs/>
          <w:color w:val="000000" w:themeColor="text1"/>
          <w:sz w:val="22"/>
          <w:szCs w:val="22"/>
          <w:lang w:val="en-ID"/>
        </w:rPr>
        <w:t>Carbon dynamics and deforestation in Indonesian mangroves.</w:t>
      </w:r>
      <w:r w:rsidRPr="004567DB">
        <w:rPr>
          <w:rFonts w:ascii="Times New Roman" w:hAnsi="Times New Roman" w:cs="Times New Roman"/>
          <w:color w:val="000000" w:themeColor="text1"/>
          <w:sz w:val="22"/>
          <w:szCs w:val="22"/>
          <w:lang w:val="en-ID"/>
        </w:rPr>
        <w:t xml:space="preserve"> Nature Communications, 12, 4164.</w:t>
      </w:r>
    </w:p>
    <w:p w14:paraId="584ED71A"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Badan Restorasi Gambut dan Mangrove (BRGM). (2021). </w:t>
      </w:r>
      <w:r w:rsidRPr="004567DB">
        <w:rPr>
          <w:rFonts w:ascii="Times New Roman" w:hAnsi="Times New Roman" w:cs="Times New Roman"/>
          <w:i/>
          <w:iCs/>
          <w:color w:val="000000" w:themeColor="text1"/>
          <w:sz w:val="22"/>
          <w:szCs w:val="22"/>
          <w:lang w:val="en-ID"/>
        </w:rPr>
        <w:t>National Peatland and Mangrove Restoration Targets.</w:t>
      </w:r>
      <w:r w:rsidRPr="004567DB">
        <w:rPr>
          <w:rFonts w:ascii="Times New Roman" w:hAnsi="Times New Roman" w:cs="Times New Roman"/>
          <w:color w:val="000000" w:themeColor="text1"/>
          <w:sz w:val="22"/>
          <w:szCs w:val="22"/>
          <w:lang w:val="en-ID"/>
        </w:rPr>
        <w:t xml:space="preserve"> Government of Indonesia, Jakarta.</w:t>
      </w:r>
    </w:p>
    <w:p w14:paraId="639EEB4B"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Donato, D. C., Kauffman, J. B., Murdiyarso, D. et al. (2011). </w:t>
      </w:r>
      <w:r w:rsidRPr="004567DB">
        <w:rPr>
          <w:rFonts w:ascii="Times New Roman" w:hAnsi="Times New Roman" w:cs="Times New Roman"/>
          <w:i/>
          <w:iCs/>
          <w:color w:val="000000" w:themeColor="text1"/>
          <w:sz w:val="22"/>
          <w:szCs w:val="22"/>
          <w:lang w:val="en-ID"/>
        </w:rPr>
        <w:t>Mangroves among the most carbon-rich forests in the tropics.</w:t>
      </w:r>
      <w:r w:rsidRPr="004567DB">
        <w:rPr>
          <w:rFonts w:ascii="Times New Roman" w:hAnsi="Times New Roman" w:cs="Times New Roman"/>
          <w:color w:val="000000" w:themeColor="text1"/>
          <w:sz w:val="22"/>
          <w:szCs w:val="22"/>
          <w:lang w:val="en-ID"/>
        </w:rPr>
        <w:t xml:space="preserve"> Nature Geoscience, 4, 293–297.</w:t>
      </w:r>
    </w:p>
    <w:p w14:paraId="62B576D5"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Duke, N. C. et al. (2007). </w:t>
      </w:r>
      <w:r w:rsidRPr="004567DB">
        <w:rPr>
          <w:rFonts w:ascii="Times New Roman" w:hAnsi="Times New Roman" w:cs="Times New Roman"/>
          <w:i/>
          <w:iCs/>
          <w:color w:val="000000" w:themeColor="text1"/>
          <w:sz w:val="22"/>
          <w:szCs w:val="22"/>
          <w:lang w:val="en-ID"/>
        </w:rPr>
        <w:t>A world without mangroves?</w:t>
      </w:r>
      <w:r w:rsidRPr="004567DB">
        <w:rPr>
          <w:rFonts w:ascii="Times New Roman" w:hAnsi="Times New Roman" w:cs="Times New Roman"/>
          <w:color w:val="000000" w:themeColor="text1"/>
          <w:sz w:val="22"/>
          <w:szCs w:val="22"/>
          <w:lang w:val="en-ID"/>
        </w:rPr>
        <w:t xml:space="preserve"> Science, 317, 41–42.</w:t>
      </w:r>
    </w:p>
    <w:p w14:paraId="669CBA5E"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Giri, C., Ochieng, E., Tieszen, L. L. et al. (2011). </w:t>
      </w:r>
      <w:r w:rsidRPr="004567DB">
        <w:rPr>
          <w:rFonts w:ascii="Times New Roman" w:hAnsi="Times New Roman" w:cs="Times New Roman"/>
          <w:i/>
          <w:iCs/>
          <w:color w:val="000000" w:themeColor="text1"/>
          <w:sz w:val="22"/>
          <w:szCs w:val="22"/>
          <w:lang w:val="en-ID"/>
        </w:rPr>
        <w:t>Status and distribution of mangrove forests of the world using Earth observation satellite data.</w:t>
      </w:r>
      <w:r w:rsidRPr="004567DB">
        <w:rPr>
          <w:rFonts w:ascii="Times New Roman" w:hAnsi="Times New Roman" w:cs="Times New Roman"/>
          <w:color w:val="000000" w:themeColor="text1"/>
          <w:sz w:val="22"/>
          <w:szCs w:val="22"/>
          <w:lang w:val="en-ID"/>
        </w:rPr>
        <w:t xml:space="preserve"> Global Ecology and Biogeography, 20, 154–159.</w:t>
      </w:r>
    </w:p>
    <w:p w14:paraId="25A6A50E"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Ismi, N. (2024). </w:t>
      </w:r>
      <w:r w:rsidRPr="004567DB">
        <w:rPr>
          <w:rFonts w:ascii="Times New Roman" w:hAnsi="Times New Roman" w:cs="Times New Roman"/>
          <w:i/>
          <w:iCs/>
          <w:color w:val="000000" w:themeColor="text1"/>
          <w:sz w:val="22"/>
          <w:szCs w:val="22"/>
          <w:lang w:val="en-ID"/>
        </w:rPr>
        <w:t>Progress and Challenges of Indonesia’s Mangrove Rehabilitation Program.</w:t>
      </w:r>
      <w:r w:rsidRPr="004567DB">
        <w:rPr>
          <w:rFonts w:ascii="Times New Roman" w:hAnsi="Times New Roman" w:cs="Times New Roman"/>
          <w:color w:val="000000" w:themeColor="text1"/>
          <w:sz w:val="22"/>
          <w:szCs w:val="22"/>
          <w:lang w:val="en-ID"/>
        </w:rPr>
        <w:t xml:space="preserve"> MoEF Policy Brief No. 8/2024.</w:t>
      </w:r>
    </w:p>
    <w:p w14:paraId="0516DC10"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Jong, H. (2022). </w:t>
      </w:r>
      <w:r w:rsidRPr="004567DB">
        <w:rPr>
          <w:rFonts w:ascii="Times New Roman" w:hAnsi="Times New Roman" w:cs="Times New Roman"/>
          <w:i/>
          <w:iCs/>
          <w:color w:val="000000" w:themeColor="text1"/>
          <w:sz w:val="22"/>
          <w:szCs w:val="22"/>
          <w:lang w:val="en-ID"/>
        </w:rPr>
        <w:t>Indonesia’s Mangrove Restoration Progress and Deforestation Trends.</w:t>
      </w:r>
      <w:r w:rsidRPr="004567DB">
        <w:rPr>
          <w:rFonts w:ascii="Times New Roman" w:hAnsi="Times New Roman" w:cs="Times New Roman"/>
          <w:color w:val="000000" w:themeColor="text1"/>
          <w:sz w:val="22"/>
          <w:szCs w:val="22"/>
          <w:lang w:val="en-ID"/>
        </w:rPr>
        <w:t xml:space="preserve"> Mongabay News, Jakarta.</w:t>
      </w:r>
    </w:p>
    <w:p w14:paraId="5904FA59"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Koesdaryanto, E., et al. (2024). </w:t>
      </w:r>
      <w:r w:rsidRPr="004567DB">
        <w:rPr>
          <w:rFonts w:ascii="Times New Roman" w:hAnsi="Times New Roman" w:cs="Times New Roman"/>
          <w:i/>
          <w:iCs/>
          <w:color w:val="000000" w:themeColor="text1"/>
          <w:sz w:val="22"/>
          <w:szCs w:val="22"/>
          <w:lang w:val="en-ID"/>
        </w:rPr>
        <w:t>Mangrove cover dynamics and community drivers in South Sumatra.</w:t>
      </w:r>
      <w:r w:rsidRPr="004567DB">
        <w:rPr>
          <w:rFonts w:ascii="Times New Roman" w:hAnsi="Times New Roman" w:cs="Times New Roman"/>
          <w:color w:val="000000" w:themeColor="text1"/>
          <w:sz w:val="22"/>
          <w:szCs w:val="22"/>
          <w:lang w:val="en-ID"/>
        </w:rPr>
        <w:t xml:space="preserve"> Journal of Coastal Research, 40(2), 150–162.</w:t>
      </w:r>
    </w:p>
    <w:p w14:paraId="2F050C70"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Ministry of Environment and Forestry (MoEF). (2020). </w:t>
      </w:r>
      <w:r w:rsidRPr="004567DB">
        <w:rPr>
          <w:rFonts w:ascii="Times New Roman" w:hAnsi="Times New Roman" w:cs="Times New Roman"/>
          <w:i/>
          <w:iCs/>
          <w:color w:val="000000" w:themeColor="text1"/>
          <w:sz w:val="22"/>
          <w:szCs w:val="22"/>
          <w:lang w:val="en-ID"/>
        </w:rPr>
        <w:t>State of Indonesia’s Forests 2020.</w:t>
      </w:r>
      <w:r w:rsidRPr="004567DB">
        <w:rPr>
          <w:rFonts w:ascii="Times New Roman" w:hAnsi="Times New Roman" w:cs="Times New Roman"/>
          <w:color w:val="000000" w:themeColor="text1"/>
          <w:sz w:val="22"/>
          <w:szCs w:val="22"/>
          <w:lang w:val="en-ID"/>
        </w:rPr>
        <w:t xml:space="preserve"> Government of Indonesia, Jakarta.</w:t>
      </w:r>
    </w:p>
    <w:p w14:paraId="6FBAF1F0"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Ministry of Environment and Forestry (MoEF). (2022). </w:t>
      </w:r>
      <w:r w:rsidRPr="004567DB">
        <w:rPr>
          <w:rFonts w:ascii="Times New Roman" w:hAnsi="Times New Roman" w:cs="Times New Roman"/>
          <w:i/>
          <w:iCs/>
          <w:color w:val="000000" w:themeColor="text1"/>
          <w:sz w:val="22"/>
          <w:szCs w:val="22"/>
          <w:lang w:val="en-ID"/>
        </w:rPr>
        <w:t>Indonesia’s Enhanced Nationally Determined Contribution.</w:t>
      </w:r>
      <w:r w:rsidRPr="004567DB">
        <w:rPr>
          <w:rFonts w:ascii="Times New Roman" w:hAnsi="Times New Roman" w:cs="Times New Roman"/>
          <w:color w:val="000000" w:themeColor="text1"/>
          <w:sz w:val="22"/>
          <w:szCs w:val="22"/>
          <w:lang w:val="en-ID"/>
        </w:rPr>
        <w:t xml:space="preserve"> Republic of Indonesia, Jakarta.</w:t>
      </w:r>
    </w:p>
    <w:p w14:paraId="71E06870"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Murdiyarso, D. et al. (2015). </w:t>
      </w:r>
      <w:r w:rsidRPr="004567DB">
        <w:rPr>
          <w:rFonts w:ascii="Times New Roman" w:hAnsi="Times New Roman" w:cs="Times New Roman"/>
          <w:i/>
          <w:iCs/>
          <w:color w:val="000000" w:themeColor="text1"/>
          <w:sz w:val="22"/>
          <w:szCs w:val="22"/>
          <w:lang w:val="en-ID"/>
        </w:rPr>
        <w:t>The potential of Indonesian mangrove forests for global climate change mitigation.</w:t>
      </w:r>
      <w:r w:rsidRPr="004567DB">
        <w:rPr>
          <w:rFonts w:ascii="Times New Roman" w:hAnsi="Times New Roman" w:cs="Times New Roman"/>
          <w:color w:val="000000" w:themeColor="text1"/>
          <w:sz w:val="22"/>
          <w:szCs w:val="22"/>
          <w:lang w:val="en-ID"/>
        </w:rPr>
        <w:t xml:space="preserve"> Nature Climate Change, 5, 1089–1092.</w:t>
      </w:r>
    </w:p>
    <w:p w14:paraId="49139263"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Rahman, R. et al. (2024). </w:t>
      </w:r>
      <w:r w:rsidRPr="004567DB">
        <w:rPr>
          <w:rFonts w:ascii="Times New Roman" w:hAnsi="Times New Roman" w:cs="Times New Roman"/>
          <w:i/>
          <w:iCs/>
          <w:color w:val="000000" w:themeColor="text1"/>
          <w:sz w:val="22"/>
          <w:szCs w:val="22"/>
          <w:lang w:val="en-ID"/>
        </w:rPr>
        <w:t>A review on the biodiversity and conservation of mangrove ecosystems in Indonesia.</w:t>
      </w:r>
      <w:r w:rsidRPr="004567DB">
        <w:rPr>
          <w:rFonts w:ascii="Times New Roman" w:hAnsi="Times New Roman" w:cs="Times New Roman"/>
          <w:color w:val="000000" w:themeColor="text1"/>
          <w:sz w:val="22"/>
          <w:szCs w:val="22"/>
          <w:lang w:val="en-ID"/>
        </w:rPr>
        <w:t xml:space="preserve"> Biodiversity and Conservation, 33, 875–903.</w:t>
      </w:r>
    </w:p>
    <w:p w14:paraId="0EE3C9FE"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Richards, D. R. &amp; Friess, D. A. (2016). </w:t>
      </w:r>
      <w:r w:rsidRPr="004567DB">
        <w:rPr>
          <w:rFonts w:ascii="Times New Roman" w:hAnsi="Times New Roman" w:cs="Times New Roman"/>
          <w:i/>
          <w:iCs/>
          <w:color w:val="000000" w:themeColor="text1"/>
          <w:sz w:val="22"/>
          <w:szCs w:val="22"/>
          <w:lang w:val="en-ID"/>
        </w:rPr>
        <w:t>Rates and drivers of mangrove deforestation in Southeast Asia, 2000–2012.</w:t>
      </w:r>
      <w:r w:rsidRPr="004567DB">
        <w:rPr>
          <w:rFonts w:ascii="Times New Roman" w:hAnsi="Times New Roman" w:cs="Times New Roman"/>
          <w:color w:val="000000" w:themeColor="text1"/>
          <w:sz w:val="22"/>
          <w:szCs w:val="22"/>
          <w:lang w:val="en-ID"/>
        </w:rPr>
        <w:t xml:space="preserve"> Proceedings of the National Academy of Sciences, 113, 344–349.</w:t>
      </w:r>
    </w:p>
    <w:p w14:paraId="53C8C993"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Setyawan, A. D. &amp; Winarno, K. (2006). </w:t>
      </w:r>
      <w:r w:rsidRPr="004567DB">
        <w:rPr>
          <w:rFonts w:ascii="Times New Roman" w:hAnsi="Times New Roman" w:cs="Times New Roman"/>
          <w:i/>
          <w:iCs/>
          <w:color w:val="000000" w:themeColor="text1"/>
          <w:sz w:val="22"/>
          <w:szCs w:val="22"/>
          <w:lang w:val="en-ID"/>
        </w:rPr>
        <w:t>Rehabilitation of mangroves in Java: Case study of community-based management.</w:t>
      </w:r>
      <w:r w:rsidRPr="004567DB">
        <w:rPr>
          <w:rFonts w:ascii="Times New Roman" w:hAnsi="Times New Roman" w:cs="Times New Roman"/>
          <w:color w:val="000000" w:themeColor="text1"/>
          <w:sz w:val="22"/>
          <w:szCs w:val="22"/>
          <w:lang w:val="en-ID"/>
        </w:rPr>
        <w:t xml:space="preserve"> Biodiversitas, 7, 45–50.</w:t>
      </w:r>
    </w:p>
    <w:p w14:paraId="58E9DE00"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Sievers, M. et al. (2023). </w:t>
      </w:r>
      <w:r w:rsidRPr="004567DB">
        <w:rPr>
          <w:rFonts w:ascii="Times New Roman" w:hAnsi="Times New Roman" w:cs="Times New Roman"/>
          <w:i/>
          <w:iCs/>
          <w:color w:val="000000" w:themeColor="text1"/>
          <w:sz w:val="22"/>
          <w:szCs w:val="22"/>
          <w:lang w:val="en-ID"/>
        </w:rPr>
        <w:t>The role of mangroves in supporting fisheries and coastal resilience.</w:t>
      </w:r>
      <w:r w:rsidRPr="004567DB">
        <w:rPr>
          <w:rFonts w:ascii="Times New Roman" w:hAnsi="Times New Roman" w:cs="Times New Roman"/>
          <w:color w:val="000000" w:themeColor="text1"/>
          <w:sz w:val="22"/>
          <w:szCs w:val="22"/>
          <w:lang w:val="en-ID"/>
        </w:rPr>
        <w:t xml:space="preserve"> Nature Ecology &amp; Evolution, 7, 635–646.</w:t>
      </w:r>
    </w:p>
    <w:p w14:paraId="1EF6786C"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Spalding, M. et al. (2014). </w:t>
      </w:r>
      <w:r w:rsidRPr="004567DB">
        <w:rPr>
          <w:rFonts w:ascii="Times New Roman" w:hAnsi="Times New Roman" w:cs="Times New Roman"/>
          <w:i/>
          <w:iCs/>
          <w:color w:val="000000" w:themeColor="text1"/>
          <w:sz w:val="22"/>
          <w:szCs w:val="22"/>
          <w:lang w:val="en-ID"/>
        </w:rPr>
        <w:t>Coastal ecosystems: Nature-based solutions for climate change mitigation and adaptation.</w:t>
      </w:r>
      <w:r w:rsidRPr="004567DB">
        <w:rPr>
          <w:rFonts w:ascii="Times New Roman" w:hAnsi="Times New Roman" w:cs="Times New Roman"/>
          <w:color w:val="000000" w:themeColor="text1"/>
          <w:sz w:val="22"/>
          <w:szCs w:val="22"/>
          <w:lang w:val="en-ID"/>
        </w:rPr>
        <w:t xml:space="preserve"> Frontiers in Ecology and the Environment, 12, 123–130.</w:t>
      </w:r>
    </w:p>
    <w:p w14:paraId="70769994"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Wiarta, D. et al. (2025). </w:t>
      </w:r>
      <w:r w:rsidRPr="004567DB">
        <w:rPr>
          <w:rFonts w:ascii="Times New Roman" w:hAnsi="Times New Roman" w:cs="Times New Roman"/>
          <w:i/>
          <w:iCs/>
          <w:color w:val="000000" w:themeColor="text1"/>
          <w:sz w:val="22"/>
          <w:szCs w:val="22"/>
          <w:lang w:val="en-ID"/>
        </w:rPr>
        <w:t>Socio-environmental drivers of mangrove cover change in Kubu Raya, West Kalimantan.</w:t>
      </w:r>
      <w:r w:rsidRPr="004567DB">
        <w:rPr>
          <w:rFonts w:ascii="Times New Roman" w:hAnsi="Times New Roman" w:cs="Times New Roman"/>
          <w:color w:val="000000" w:themeColor="text1"/>
          <w:sz w:val="22"/>
          <w:szCs w:val="22"/>
          <w:lang w:val="en-ID"/>
        </w:rPr>
        <w:t xml:space="preserve"> Environmental Monitoring and Assessment, 197(4), 112–125.</w:t>
      </w:r>
    </w:p>
    <w:p w14:paraId="10EEB483"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World Bank. (2021). </w:t>
      </w:r>
      <w:r w:rsidRPr="004567DB">
        <w:rPr>
          <w:rFonts w:ascii="Times New Roman" w:hAnsi="Times New Roman" w:cs="Times New Roman"/>
          <w:i/>
          <w:iCs/>
          <w:color w:val="000000" w:themeColor="text1"/>
          <w:sz w:val="22"/>
          <w:szCs w:val="22"/>
          <w:lang w:val="en-ID"/>
        </w:rPr>
        <w:t>Blue Economy Development Framework: Mangrove and Coastal Resilience in Indonesia.</w:t>
      </w:r>
      <w:r w:rsidRPr="004567DB">
        <w:rPr>
          <w:rFonts w:ascii="Times New Roman" w:hAnsi="Times New Roman" w:cs="Times New Roman"/>
          <w:color w:val="000000" w:themeColor="text1"/>
          <w:sz w:val="22"/>
          <w:szCs w:val="22"/>
          <w:lang w:val="en-ID"/>
        </w:rPr>
        <w:t xml:space="preserve"> Washington, DC.</w:t>
      </w:r>
    </w:p>
    <w:p w14:paraId="308FAEE0"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ASEAN Secretariat. </w:t>
      </w:r>
      <w:r w:rsidRPr="004567DB">
        <w:rPr>
          <w:rFonts w:ascii="Times New Roman" w:hAnsi="Times New Roman" w:cs="Times New Roman"/>
          <w:i/>
          <w:iCs/>
          <w:color w:val="000000" w:themeColor="text1"/>
          <w:sz w:val="22"/>
          <w:szCs w:val="22"/>
          <w:lang w:val="en-ID"/>
        </w:rPr>
        <w:t>ASEAN Peatland Management Strategy 2023–2030.</w:t>
      </w:r>
      <w:r w:rsidRPr="004567DB">
        <w:rPr>
          <w:rFonts w:ascii="Times New Roman" w:hAnsi="Times New Roman" w:cs="Times New Roman"/>
          <w:color w:val="000000" w:themeColor="text1"/>
          <w:sz w:val="22"/>
          <w:szCs w:val="22"/>
          <w:lang w:val="en-ID"/>
        </w:rPr>
        <w:t xml:space="preserve"> Jakarta: ASEAN Secretariat, 2023.</w:t>
      </w:r>
    </w:p>
    <w:p w14:paraId="1334A470"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Badan Restorasi Gambut dan Mangrove (BRGM). </w:t>
      </w:r>
      <w:r w:rsidRPr="004567DB">
        <w:rPr>
          <w:rFonts w:ascii="Times New Roman" w:hAnsi="Times New Roman" w:cs="Times New Roman"/>
          <w:i/>
          <w:iCs/>
          <w:color w:val="000000" w:themeColor="text1"/>
          <w:sz w:val="22"/>
          <w:szCs w:val="22"/>
          <w:lang w:val="en-ID"/>
        </w:rPr>
        <w:t>National Peatland and Mangrove Restoration Targets.</w:t>
      </w:r>
      <w:r w:rsidRPr="004567DB">
        <w:rPr>
          <w:rFonts w:ascii="Times New Roman" w:hAnsi="Times New Roman" w:cs="Times New Roman"/>
          <w:color w:val="000000" w:themeColor="text1"/>
          <w:sz w:val="22"/>
          <w:szCs w:val="22"/>
          <w:lang w:val="en-ID"/>
        </w:rPr>
        <w:t xml:space="preserve"> Jakarta: Government of Indonesia, 2021.</w:t>
      </w:r>
    </w:p>
    <w:p w14:paraId="65952717"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Evans, C. D., et al. “Overriding Importance of Water Table Depth in Controlling Greenhouse Gas Emissions from Peatlands.” </w:t>
      </w:r>
      <w:r w:rsidRPr="004567DB">
        <w:rPr>
          <w:rFonts w:ascii="Times New Roman" w:hAnsi="Times New Roman" w:cs="Times New Roman"/>
          <w:i/>
          <w:iCs/>
          <w:color w:val="000000" w:themeColor="text1"/>
          <w:sz w:val="22"/>
          <w:szCs w:val="22"/>
          <w:lang w:val="en-ID"/>
        </w:rPr>
        <w:t>Nature Geoscience</w:t>
      </w:r>
      <w:r w:rsidRPr="004567DB">
        <w:rPr>
          <w:rFonts w:ascii="Times New Roman" w:hAnsi="Times New Roman" w:cs="Times New Roman"/>
          <w:color w:val="000000" w:themeColor="text1"/>
          <w:sz w:val="22"/>
          <w:szCs w:val="22"/>
          <w:lang w:val="en-ID"/>
        </w:rPr>
        <w:t xml:space="preserve"> 14 (2021): 868–874.</w:t>
      </w:r>
    </w:p>
    <w:p w14:paraId="2609855C"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Jong, H. N. “Saling Bantah Antara Greenpeace dan APP tentang Pelanggaran Janji Tanpa Deforestasi.” </w:t>
      </w:r>
      <w:r w:rsidRPr="004567DB">
        <w:rPr>
          <w:rFonts w:ascii="Times New Roman" w:hAnsi="Times New Roman" w:cs="Times New Roman"/>
          <w:i/>
          <w:iCs/>
          <w:color w:val="000000" w:themeColor="text1"/>
          <w:sz w:val="22"/>
          <w:szCs w:val="22"/>
          <w:lang w:val="en-ID"/>
        </w:rPr>
        <w:t>Mongabay Indonesia</w:t>
      </w:r>
      <w:r w:rsidRPr="004567DB">
        <w:rPr>
          <w:rFonts w:ascii="Times New Roman" w:hAnsi="Times New Roman" w:cs="Times New Roman"/>
          <w:color w:val="000000" w:themeColor="text1"/>
          <w:sz w:val="22"/>
          <w:szCs w:val="22"/>
          <w:lang w:val="en-ID"/>
        </w:rPr>
        <w:t>, 2023.</w:t>
      </w:r>
    </w:p>
    <w:p w14:paraId="564DD264"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lastRenderedPageBreak/>
        <w:t xml:space="preserve">Ministry of Environment and Forestry (MoEF). </w:t>
      </w:r>
      <w:r w:rsidRPr="004567DB">
        <w:rPr>
          <w:rFonts w:ascii="Times New Roman" w:hAnsi="Times New Roman" w:cs="Times New Roman"/>
          <w:i/>
          <w:iCs/>
          <w:color w:val="000000" w:themeColor="text1"/>
          <w:sz w:val="22"/>
          <w:szCs w:val="22"/>
          <w:lang w:val="en-ID"/>
        </w:rPr>
        <w:t>Indonesia’s Enhanced Nationally Determined Contribution.</w:t>
      </w:r>
      <w:r w:rsidRPr="004567DB">
        <w:rPr>
          <w:rFonts w:ascii="Times New Roman" w:hAnsi="Times New Roman" w:cs="Times New Roman"/>
          <w:color w:val="000000" w:themeColor="text1"/>
          <w:sz w:val="22"/>
          <w:szCs w:val="22"/>
          <w:lang w:val="en-ID"/>
        </w:rPr>
        <w:t xml:space="preserve"> Jakarta: Republic of Indonesia, 2022.</w:t>
      </w:r>
    </w:p>
    <w:p w14:paraId="028D3A79"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Mongabay Indonesia. </w:t>
      </w:r>
      <w:r w:rsidRPr="004567DB">
        <w:rPr>
          <w:rFonts w:ascii="Times New Roman" w:hAnsi="Times New Roman" w:cs="Times New Roman"/>
          <w:i/>
          <w:iCs/>
          <w:color w:val="000000" w:themeColor="text1"/>
          <w:sz w:val="22"/>
          <w:szCs w:val="22"/>
          <w:lang w:val="en-ID"/>
        </w:rPr>
        <w:t>Ground Perspectives on Peatland Fires and Restoration (2023–2024).</w:t>
      </w:r>
      <w:r w:rsidRPr="004567DB">
        <w:rPr>
          <w:rFonts w:ascii="Times New Roman" w:hAnsi="Times New Roman" w:cs="Times New Roman"/>
          <w:color w:val="000000" w:themeColor="text1"/>
          <w:sz w:val="22"/>
          <w:szCs w:val="22"/>
          <w:lang w:val="en-ID"/>
        </w:rPr>
        <w:t xml:space="preserve"> </w:t>
      </w:r>
      <w:hyperlink r:id="rId59" w:tgtFrame="_new" w:history="1">
        <w:r w:rsidRPr="004567DB">
          <w:rPr>
            <w:rStyle w:val="Hyperlink"/>
            <w:rFonts w:ascii="Times New Roman" w:hAnsi="Times New Roman" w:cs="Times New Roman"/>
            <w:color w:val="000000" w:themeColor="text1"/>
            <w:sz w:val="22"/>
            <w:szCs w:val="22"/>
            <w:lang w:val="en-ID"/>
          </w:rPr>
          <w:t>https://www.mongabay.co.id</w:t>
        </w:r>
      </w:hyperlink>
    </w:p>
    <w:p w14:paraId="7F08D5E5"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Murdiyarso, D., et al. “Policy Options for Sustainable Peatland Management in Indonesia.” </w:t>
      </w:r>
      <w:r w:rsidRPr="004567DB">
        <w:rPr>
          <w:rFonts w:ascii="Times New Roman" w:hAnsi="Times New Roman" w:cs="Times New Roman"/>
          <w:i/>
          <w:iCs/>
          <w:color w:val="000000" w:themeColor="text1"/>
          <w:sz w:val="22"/>
          <w:szCs w:val="22"/>
          <w:lang w:val="en-ID"/>
        </w:rPr>
        <w:t>Nature Climate Change</w:t>
      </w:r>
      <w:r w:rsidRPr="004567DB">
        <w:rPr>
          <w:rFonts w:ascii="Times New Roman" w:hAnsi="Times New Roman" w:cs="Times New Roman"/>
          <w:color w:val="000000" w:themeColor="text1"/>
          <w:sz w:val="22"/>
          <w:szCs w:val="22"/>
          <w:lang w:val="en-ID"/>
        </w:rPr>
        <w:t xml:space="preserve"> 5 (2015): 1089–1092.</w:t>
      </w:r>
    </w:p>
    <w:p w14:paraId="1102BD44"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Page, S. E., Rieley, J. O., and Banks, C. J. “Global and Regional Importance of the Tropical Peatland Carbon Pool.” </w:t>
      </w:r>
      <w:r w:rsidRPr="004567DB">
        <w:rPr>
          <w:rFonts w:ascii="Times New Roman" w:hAnsi="Times New Roman" w:cs="Times New Roman"/>
          <w:i/>
          <w:iCs/>
          <w:color w:val="000000" w:themeColor="text1"/>
          <w:sz w:val="22"/>
          <w:szCs w:val="22"/>
          <w:lang w:val="en-ID"/>
        </w:rPr>
        <w:t>Global Change Biology</w:t>
      </w:r>
      <w:r w:rsidRPr="004567DB">
        <w:rPr>
          <w:rFonts w:ascii="Times New Roman" w:hAnsi="Times New Roman" w:cs="Times New Roman"/>
          <w:color w:val="000000" w:themeColor="text1"/>
          <w:sz w:val="22"/>
          <w:szCs w:val="22"/>
          <w:lang w:val="en-ID"/>
        </w:rPr>
        <w:t xml:space="preserve"> 17 (2011): 798–818.</w:t>
      </w:r>
    </w:p>
    <w:p w14:paraId="312382B1"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Ritzema, H., et al. “Hydrology of Peatlands: Impact of Drainage, Land Use Change, and Climate.” </w:t>
      </w:r>
      <w:r w:rsidRPr="004567DB">
        <w:rPr>
          <w:rFonts w:ascii="Times New Roman" w:hAnsi="Times New Roman" w:cs="Times New Roman"/>
          <w:i/>
          <w:iCs/>
          <w:color w:val="000000" w:themeColor="text1"/>
          <w:sz w:val="22"/>
          <w:szCs w:val="22"/>
          <w:lang w:val="en-ID"/>
        </w:rPr>
        <w:t>Hydrology and Earth System Sciences</w:t>
      </w:r>
      <w:r w:rsidRPr="004567DB">
        <w:rPr>
          <w:rFonts w:ascii="Times New Roman" w:hAnsi="Times New Roman" w:cs="Times New Roman"/>
          <w:color w:val="000000" w:themeColor="text1"/>
          <w:sz w:val="22"/>
          <w:szCs w:val="22"/>
          <w:lang w:val="en-ID"/>
        </w:rPr>
        <w:t xml:space="preserve"> 18 (2014): 3651–3670.</w:t>
      </w:r>
    </w:p>
    <w:p w14:paraId="3A59817D"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Rizki, R. D., and Suryadi. “Asap Karhutla Mulai Ganggu Kesehatan Warga.” </w:t>
      </w:r>
      <w:r w:rsidRPr="004567DB">
        <w:rPr>
          <w:rFonts w:ascii="Times New Roman" w:hAnsi="Times New Roman" w:cs="Times New Roman"/>
          <w:i/>
          <w:iCs/>
          <w:color w:val="000000" w:themeColor="text1"/>
          <w:sz w:val="22"/>
          <w:szCs w:val="22"/>
          <w:lang w:val="en-ID"/>
        </w:rPr>
        <w:t>Mongabay Indonesia</w:t>
      </w:r>
      <w:r w:rsidRPr="004567DB">
        <w:rPr>
          <w:rFonts w:ascii="Times New Roman" w:hAnsi="Times New Roman" w:cs="Times New Roman"/>
          <w:color w:val="000000" w:themeColor="text1"/>
          <w:sz w:val="22"/>
          <w:szCs w:val="22"/>
          <w:lang w:val="en-ID"/>
        </w:rPr>
        <w:t>, 2023.</w:t>
      </w:r>
    </w:p>
    <w:p w14:paraId="16C9734D"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UNEP/GEF South China Sea Project. </w:t>
      </w:r>
      <w:r w:rsidRPr="004567DB">
        <w:rPr>
          <w:rFonts w:ascii="Times New Roman" w:hAnsi="Times New Roman" w:cs="Times New Roman"/>
          <w:i/>
          <w:iCs/>
          <w:color w:val="000000" w:themeColor="text1"/>
          <w:sz w:val="22"/>
          <w:szCs w:val="22"/>
          <w:lang w:val="en-ID"/>
        </w:rPr>
        <w:t>Transboundary Diagnostic Analysis for the South China Sea.</w:t>
      </w:r>
      <w:r w:rsidRPr="004567DB">
        <w:rPr>
          <w:rFonts w:ascii="Times New Roman" w:hAnsi="Times New Roman" w:cs="Times New Roman"/>
          <w:color w:val="000000" w:themeColor="text1"/>
          <w:sz w:val="22"/>
          <w:szCs w:val="22"/>
          <w:lang w:val="en-ID"/>
        </w:rPr>
        <w:t xml:space="preserve"> Bangkok: UNEP, 2007.</w:t>
      </w:r>
    </w:p>
    <w:p w14:paraId="4959111C" w14:textId="77777777" w:rsidR="004D0095" w:rsidRPr="004567DB" w:rsidRDefault="004D0095" w:rsidP="00CD0DB1">
      <w:pPr>
        <w:ind w:left="720" w:hanging="720"/>
        <w:jc w:val="both"/>
        <w:rPr>
          <w:rFonts w:ascii="Times New Roman" w:hAnsi="Times New Roman" w:cs="Times New Roman"/>
          <w:color w:val="000000" w:themeColor="text1"/>
          <w:sz w:val="22"/>
          <w:szCs w:val="22"/>
          <w:lang w:val="en-ID"/>
        </w:rPr>
      </w:pPr>
      <w:r w:rsidRPr="004567DB">
        <w:rPr>
          <w:rFonts w:ascii="Times New Roman" w:hAnsi="Times New Roman" w:cs="Times New Roman"/>
          <w:color w:val="000000" w:themeColor="text1"/>
          <w:sz w:val="22"/>
          <w:szCs w:val="22"/>
          <w:lang w:val="en-ID"/>
        </w:rPr>
        <w:t xml:space="preserve">Ward, R. D., et al. “Peatland Restoration: A Global Challenge.” </w:t>
      </w:r>
      <w:r w:rsidRPr="004567DB">
        <w:rPr>
          <w:rFonts w:ascii="Times New Roman" w:hAnsi="Times New Roman" w:cs="Times New Roman"/>
          <w:i/>
          <w:iCs/>
          <w:color w:val="000000" w:themeColor="text1"/>
          <w:sz w:val="22"/>
          <w:szCs w:val="22"/>
          <w:lang w:val="en-ID"/>
        </w:rPr>
        <w:t>Nature Reviews Earth &amp; Environment</w:t>
      </w:r>
      <w:r w:rsidRPr="004567DB">
        <w:rPr>
          <w:rFonts w:ascii="Times New Roman" w:hAnsi="Times New Roman" w:cs="Times New Roman"/>
          <w:color w:val="000000" w:themeColor="text1"/>
          <w:sz w:val="22"/>
          <w:szCs w:val="22"/>
          <w:lang w:val="en-ID"/>
        </w:rPr>
        <w:t xml:space="preserve"> 3 (2022): 417–433.</w:t>
      </w:r>
    </w:p>
    <w:p w14:paraId="6B37A2BC" w14:textId="4D508718" w:rsidR="006118E1" w:rsidRPr="000118A3" w:rsidRDefault="004D0095" w:rsidP="006118E1">
      <w:pPr>
        <w:jc w:val="both"/>
        <w:rPr>
          <w:rFonts w:ascii="Times New Roman" w:hAnsi="Times New Roman" w:cs="Times New Roman"/>
          <w:b/>
          <w:bCs/>
          <w:color w:val="000000" w:themeColor="text1"/>
          <w:sz w:val="22"/>
          <w:szCs w:val="22"/>
        </w:rPr>
      </w:pPr>
      <w:r w:rsidRPr="004567DB">
        <w:rPr>
          <w:rFonts w:ascii="Times New Roman" w:hAnsi="Times New Roman" w:cs="Times New Roman"/>
          <w:color w:val="000000" w:themeColor="text1"/>
          <w:sz w:val="22"/>
          <w:szCs w:val="22"/>
          <w:lang w:val="en-ID"/>
        </w:rPr>
        <w:t>Wijaya, T., and Rahmad</w:t>
      </w:r>
      <w:r w:rsidRPr="004567DB">
        <w:rPr>
          <w:rFonts w:ascii="Times New Roman" w:hAnsi="Times New Roman" w:cs="Times New Roman"/>
          <w:b/>
          <w:bCs/>
          <w:color w:val="000000" w:themeColor="text1"/>
          <w:sz w:val="22"/>
          <w:szCs w:val="22"/>
        </w:rPr>
        <w:br w:type="page"/>
      </w:r>
    </w:p>
    <w:p w14:paraId="77E043BF" w14:textId="255B747E" w:rsidR="00C22BFB" w:rsidRPr="00FD2540" w:rsidRDefault="00CA3F18" w:rsidP="00FD2540">
      <w:pPr>
        <w:pStyle w:val="BodyText"/>
        <w:numPr>
          <w:ilvl w:val="0"/>
          <w:numId w:val="140"/>
        </w:numPr>
        <w:spacing w:before="188"/>
        <w:ind w:left="426"/>
        <w:outlineLvl w:val="0"/>
        <w:rPr>
          <w:rFonts w:ascii="Times New Roman" w:hAnsi="Times New Roman" w:cs="Times New Roman"/>
          <w:b/>
          <w:bCs/>
          <w:color w:val="0070C0"/>
          <w:sz w:val="32"/>
          <w:szCs w:val="32"/>
        </w:rPr>
      </w:pPr>
      <w:bookmarkStart w:id="72" w:name="_Toc217297551"/>
      <w:r w:rsidRPr="000373FE">
        <w:rPr>
          <w:rFonts w:ascii="Times New Roman" w:hAnsi="Times New Roman" w:cs="Times New Roman"/>
          <w:b/>
          <w:bCs/>
          <w:color w:val="0070C0"/>
          <w:sz w:val="32"/>
          <w:szCs w:val="32"/>
        </w:rPr>
        <w:lastRenderedPageBreak/>
        <w:t>POLLUTION</w:t>
      </w:r>
      <w:r w:rsidR="00FD2540">
        <w:rPr>
          <w:rFonts w:ascii="Times New Roman" w:hAnsi="Times New Roman" w:cs="Times New Roman"/>
          <w:b/>
          <w:bCs/>
          <w:color w:val="0070C0"/>
          <w:sz w:val="32"/>
          <w:szCs w:val="32"/>
        </w:rPr>
        <w:t xml:space="preserve">: </w:t>
      </w:r>
      <w:r w:rsidR="00C22BFB" w:rsidRPr="00FD2540">
        <w:rPr>
          <w:rFonts w:ascii="Times New Roman" w:eastAsia="Times New Roman" w:hAnsi="Times New Roman" w:cs="Times New Roman"/>
          <w:b/>
          <w:bCs/>
          <w:color w:val="0070C0"/>
          <w:sz w:val="28"/>
          <w:szCs w:val="28"/>
          <w:lang w:val="en-ID"/>
        </w:rPr>
        <w:t>The status and recent management of the marine pollution in the waters of the Indonesian part of the South China Sea</w:t>
      </w:r>
      <w:bookmarkEnd w:id="72"/>
    </w:p>
    <w:p w14:paraId="7193FD41" w14:textId="77777777" w:rsidR="00C22BFB" w:rsidRPr="00C22BFB" w:rsidRDefault="00C22BFB" w:rsidP="00C22BFB">
      <w:pPr>
        <w:spacing w:after="160"/>
        <w:jc w:val="center"/>
        <w:rPr>
          <w:rFonts w:ascii="Times New Roman" w:eastAsia="Times New Roman" w:hAnsi="Times New Roman" w:cs="Times New Roman"/>
          <w:sz w:val="22"/>
          <w:szCs w:val="22"/>
          <w:lang w:val="en-ID"/>
        </w:rPr>
      </w:pPr>
      <w:r w:rsidRPr="00C22BFB">
        <w:rPr>
          <w:rFonts w:ascii="Times New Roman" w:eastAsia="Times New Roman" w:hAnsi="Times New Roman" w:cs="Times New Roman"/>
          <w:color w:val="000000"/>
          <w:sz w:val="22"/>
          <w:szCs w:val="22"/>
          <w:lang w:val="en-ID"/>
        </w:rPr>
        <w:t>Ario Damar</w:t>
      </w:r>
      <w:r w:rsidRPr="00C22BFB">
        <w:rPr>
          <w:rFonts w:ascii="Times New Roman" w:eastAsia="Times New Roman" w:hAnsi="Times New Roman" w:cs="Times New Roman"/>
          <w:color w:val="000000"/>
          <w:sz w:val="22"/>
          <w:szCs w:val="22"/>
          <w:vertAlign w:val="superscript"/>
          <w:lang w:val="en-ID"/>
        </w:rPr>
        <w:t>1,2</w:t>
      </w:r>
      <w:r w:rsidRPr="00C22BFB">
        <w:rPr>
          <w:rFonts w:ascii="Times New Roman" w:eastAsia="Times New Roman" w:hAnsi="Times New Roman" w:cs="Times New Roman"/>
          <w:color w:val="000000"/>
          <w:sz w:val="22"/>
          <w:szCs w:val="22"/>
          <w:lang w:val="en-ID"/>
        </w:rPr>
        <w:t>, Irene Aditya</w:t>
      </w:r>
      <w:r w:rsidRPr="00C22BFB">
        <w:rPr>
          <w:rFonts w:ascii="Times New Roman" w:eastAsia="Times New Roman" w:hAnsi="Times New Roman" w:cs="Times New Roman"/>
          <w:color w:val="000000"/>
          <w:sz w:val="22"/>
          <w:szCs w:val="22"/>
          <w:vertAlign w:val="superscript"/>
          <w:lang w:val="en-ID"/>
        </w:rPr>
        <w:t>3</w:t>
      </w:r>
      <w:r w:rsidRPr="00C22BFB">
        <w:rPr>
          <w:rFonts w:ascii="Times New Roman" w:eastAsia="Times New Roman" w:hAnsi="Times New Roman" w:cs="Times New Roman"/>
          <w:color w:val="000000"/>
          <w:sz w:val="22"/>
          <w:szCs w:val="22"/>
          <w:lang w:val="en-ID"/>
        </w:rPr>
        <w:t>, Qonita Sinathrya</w:t>
      </w:r>
      <w:r w:rsidRPr="00C22BFB">
        <w:rPr>
          <w:rFonts w:ascii="Times New Roman" w:eastAsia="Times New Roman" w:hAnsi="Times New Roman" w:cs="Times New Roman"/>
          <w:color w:val="000000"/>
          <w:sz w:val="22"/>
          <w:szCs w:val="22"/>
          <w:vertAlign w:val="superscript"/>
          <w:lang w:val="en-ID"/>
        </w:rPr>
        <w:t>1</w:t>
      </w:r>
      <w:r w:rsidRPr="00C22BFB">
        <w:rPr>
          <w:rFonts w:ascii="Times New Roman" w:eastAsia="Times New Roman" w:hAnsi="Times New Roman" w:cs="Times New Roman"/>
          <w:color w:val="000000"/>
          <w:sz w:val="22"/>
          <w:szCs w:val="22"/>
          <w:lang w:val="en-ID"/>
        </w:rPr>
        <w:t>, Isdahartati</w:t>
      </w:r>
      <w:r w:rsidRPr="00C22BFB">
        <w:rPr>
          <w:rFonts w:ascii="Times New Roman" w:eastAsia="Times New Roman" w:hAnsi="Times New Roman" w:cs="Times New Roman"/>
          <w:color w:val="000000"/>
          <w:sz w:val="22"/>
          <w:szCs w:val="22"/>
          <w:vertAlign w:val="superscript"/>
          <w:lang w:val="en-ID"/>
        </w:rPr>
        <w:t>1</w:t>
      </w:r>
    </w:p>
    <w:p w14:paraId="5567A504" w14:textId="77777777" w:rsidR="00C22BFB" w:rsidRPr="00C22BFB" w:rsidRDefault="00C22BFB" w:rsidP="00C22BFB">
      <w:pPr>
        <w:jc w:val="both"/>
        <w:rPr>
          <w:rFonts w:ascii="Times New Roman" w:eastAsia="Times New Roman" w:hAnsi="Times New Roman" w:cs="Times New Roman"/>
          <w:sz w:val="22"/>
          <w:szCs w:val="22"/>
          <w:lang w:val="en-ID"/>
        </w:rPr>
      </w:pPr>
      <w:r w:rsidRPr="00C22BFB">
        <w:rPr>
          <w:rFonts w:ascii="Times New Roman" w:eastAsia="Times New Roman" w:hAnsi="Times New Roman" w:cs="Times New Roman"/>
          <w:color w:val="000000"/>
          <w:sz w:val="22"/>
          <w:szCs w:val="22"/>
          <w:vertAlign w:val="superscript"/>
          <w:lang w:val="en-ID"/>
        </w:rPr>
        <w:t>1</w:t>
      </w:r>
      <w:r w:rsidRPr="00C22BFB">
        <w:rPr>
          <w:rFonts w:ascii="Times New Roman" w:eastAsia="Times New Roman" w:hAnsi="Times New Roman" w:cs="Times New Roman"/>
          <w:color w:val="000000"/>
          <w:sz w:val="22"/>
          <w:szCs w:val="22"/>
          <w:lang w:val="en-ID"/>
        </w:rPr>
        <w:t>Center for Coastal and Marine Resources Studies, IPB University</w:t>
      </w:r>
    </w:p>
    <w:p w14:paraId="043274C8" w14:textId="77777777" w:rsidR="00C22BFB" w:rsidRPr="00C22BFB" w:rsidRDefault="00C22BFB" w:rsidP="00C22BFB">
      <w:pPr>
        <w:jc w:val="both"/>
        <w:rPr>
          <w:rFonts w:ascii="Times New Roman" w:eastAsia="Times New Roman" w:hAnsi="Times New Roman" w:cs="Times New Roman"/>
          <w:sz w:val="22"/>
          <w:szCs w:val="22"/>
          <w:lang w:val="en-ID"/>
        </w:rPr>
      </w:pPr>
      <w:r w:rsidRPr="00C22BFB">
        <w:rPr>
          <w:rFonts w:ascii="Times New Roman" w:eastAsia="Times New Roman" w:hAnsi="Times New Roman" w:cs="Times New Roman"/>
          <w:color w:val="000000"/>
          <w:sz w:val="22"/>
          <w:szCs w:val="22"/>
          <w:vertAlign w:val="superscript"/>
          <w:lang w:val="en-ID"/>
        </w:rPr>
        <w:t>2</w:t>
      </w:r>
      <w:r w:rsidRPr="00C22BFB">
        <w:rPr>
          <w:rFonts w:ascii="Times New Roman" w:eastAsia="Times New Roman" w:hAnsi="Times New Roman" w:cs="Times New Roman"/>
          <w:color w:val="000000"/>
          <w:sz w:val="22"/>
          <w:szCs w:val="22"/>
          <w:lang w:val="en-ID"/>
        </w:rPr>
        <w:t>Department of Aquatic Resources Management, Faculty of Fisheries and Marine Sciences, IPB University</w:t>
      </w:r>
    </w:p>
    <w:p w14:paraId="1EB6C678" w14:textId="77777777" w:rsidR="00C22BFB" w:rsidRPr="00C22BFB" w:rsidRDefault="00C22BFB" w:rsidP="00C22BFB">
      <w:pPr>
        <w:jc w:val="both"/>
        <w:rPr>
          <w:rFonts w:ascii="Times New Roman" w:eastAsia="Times New Roman" w:hAnsi="Times New Roman" w:cs="Times New Roman"/>
          <w:sz w:val="22"/>
          <w:szCs w:val="22"/>
          <w:lang w:val="en-ID"/>
        </w:rPr>
      </w:pPr>
      <w:r w:rsidRPr="00C22BFB">
        <w:rPr>
          <w:rFonts w:ascii="Times New Roman" w:eastAsia="Times New Roman" w:hAnsi="Times New Roman" w:cs="Times New Roman"/>
          <w:color w:val="000000"/>
          <w:sz w:val="22"/>
          <w:szCs w:val="22"/>
          <w:vertAlign w:val="superscript"/>
          <w:lang w:val="en-ID"/>
        </w:rPr>
        <w:t>3</w:t>
      </w:r>
      <w:r w:rsidRPr="00C22BFB">
        <w:rPr>
          <w:rFonts w:ascii="Times New Roman" w:eastAsia="Times New Roman" w:hAnsi="Times New Roman" w:cs="Times New Roman"/>
          <w:color w:val="000000"/>
          <w:sz w:val="22"/>
          <w:szCs w:val="22"/>
          <w:lang w:val="en-ID"/>
        </w:rPr>
        <w:t>Ministry of Environment of the Republic of Indonesia</w:t>
      </w:r>
    </w:p>
    <w:p w14:paraId="64E8AAB4" w14:textId="77777777" w:rsidR="00C22BFB" w:rsidRPr="00C22BFB" w:rsidRDefault="00C22BFB" w:rsidP="00C22BFB">
      <w:pPr>
        <w:rPr>
          <w:rFonts w:ascii="Times New Roman" w:eastAsia="Times New Roman" w:hAnsi="Times New Roman" w:cs="Times New Roman"/>
          <w:lang w:val="en-ID"/>
        </w:rPr>
      </w:pPr>
    </w:p>
    <w:p w14:paraId="4CE9B5AC" w14:textId="77777777" w:rsidR="00C22BFB" w:rsidRPr="00CD0DB1" w:rsidRDefault="00C22BFB" w:rsidP="00C22BFB">
      <w:pPr>
        <w:spacing w:after="160"/>
        <w:jc w:val="center"/>
        <w:rPr>
          <w:rFonts w:ascii="Times New Roman" w:eastAsia="Times New Roman" w:hAnsi="Times New Roman" w:cs="Times New Roman"/>
          <w:color w:val="0070C0"/>
          <w:lang w:val="en-ID"/>
        </w:rPr>
      </w:pPr>
      <w:r w:rsidRPr="00CD0DB1">
        <w:rPr>
          <w:rFonts w:ascii="Times New Roman" w:eastAsia="Times New Roman" w:hAnsi="Times New Roman" w:cs="Times New Roman"/>
          <w:b/>
          <w:bCs/>
          <w:color w:val="0070C0"/>
          <w:lang w:val="en-ID"/>
        </w:rPr>
        <w:t>Abstract</w:t>
      </w:r>
    </w:p>
    <w:p w14:paraId="3CEB721C" w14:textId="71047732" w:rsidR="00C22BFB" w:rsidRPr="00C22BFB" w:rsidRDefault="00C22BFB" w:rsidP="00C22BFB">
      <w:pPr>
        <w:spacing w:after="160"/>
        <w:jc w:val="both"/>
        <w:rPr>
          <w:rFonts w:ascii="Times New Roman" w:eastAsia="Times New Roman" w:hAnsi="Times New Roman" w:cs="Times New Roman"/>
          <w:sz w:val="22"/>
          <w:szCs w:val="22"/>
          <w:lang w:val="en-ID"/>
        </w:rPr>
      </w:pPr>
      <w:r w:rsidRPr="00C22BFB">
        <w:rPr>
          <w:rFonts w:ascii="Times New Roman" w:eastAsia="Times New Roman" w:hAnsi="Times New Roman" w:cs="Times New Roman"/>
          <w:color w:val="000000"/>
          <w:sz w:val="22"/>
          <w:szCs w:val="22"/>
          <w:lang w:val="en-ID"/>
        </w:rPr>
        <w:t>The South China Sea (SCS) represents a critical ecological and economic region for Indonesia, supporting fisheries, energy, and trade. However, it faces escalating environmental degradation driven by land-based and marine pollution. This paper examines pollution dynamics across Indonesia’s SCS provinces—Riau, Riau Islands, Bangka Belitung, South Sumatra, and West Kalimantan—covering the period 2019–2024. Using national environment statistics and risk assessment analysis, five major pollution sources were evaluated: aquaculture waste, agricultural runoff, hazardous waste, domestic solid and liquid discharges, and oil pollution. Results indicate that land-based pollution dominates, with rivers such as the Kapuas and Batanghari transporting large nutrient and organic loads into coastal waters. The River Water Quality Index (RWQI) remains in poor to moderate categories, while Marine Water Quality Index (IKAL) scores range from moderate to good, with recent declines. Oil sludge strandings along Batam and Bintan beaches pose the highest transboundary risk, disrupting tourism and damaging mangroves and coral reefs. Plastic debris and microplastics also persist across coastal habitats, while domestic wastewater contributes localized E. coli contamination. Risk mapping identifies oil pollution as high-priority issues, followed by moderate risks from marine debris and nutrients. Institutional coordination involves multiple ministries and provincial governments but remains fragmented. The study recommends enhanced regional cooperation, particularly through ASEAN, strengthened waste management infrastructure, stricter maritime enforcement, and public awareness programs. Integrated transboundary governance is essential to safeguard Indonesia’s SCS ecosystems and sustain coastal livelihoods.</w:t>
      </w:r>
    </w:p>
    <w:p w14:paraId="1134B5BA" w14:textId="137DB514" w:rsidR="000373FE" w:rsidRDefault="00C22BFB" w:rsidP="00C22BFB">
      <w:pPr>
        <w:pStyle w:val="BodyText"/>
        <w:spacing w:before="188"/>
        <w:rPr>
          <w:rFonts w:ascii="Times New Roman" w:eastAsia="Times New Roman" w:hAnsi="Times New Roman" w:cs="Times New Roman"/>
          <w:color w:val="000000"/>
          <w:lang w:val="en-ID"/>
        </w:rPr>
      </w:pPr>
      <w:r w:rsidRPr="00C22BFB">
        <w:rPr>
          <w:rFonts w:ascii="Times New Roman" w:eastAsia="Times New Roman" w:hAnsi="Times New Roman" w:cs="Times New Roman"/>
          <w:b/>
          <w:bCs/>
          <w:color w:val="000000"/>
          <w:lang w:val="en-ID"/>
        </w:rPr>
        <w:t xml:space="preserve">Keywords :  </w:t>
      </w:r>
      <w:r w:rsidRPr="00C22BFB">
        <w:rPr>
          <w:rFonts w:ascii="Times New Roman" w:eastAsia="Times New Roman" w:hAnsi="Times New Roman" w:cs="Times New Roman"/>
          <w:color w:val="000000"/>
          <w:lang w:val="en-ID"/>
        </w:rPr>
        <w:t xml:space="preserve">pollution; the South China Sea; oil </w:t>
      </w:r>
      <w:r w:rsidR="004567DB" w:rsidRPr="00C22BFB">
        <w:rPr>
          <w:rFonts w:ascii="Times New Roman" w:eastAsia="Times New Roman" w:hAnsi="Times New Roman" w:cs="Times New Roman"/>
          <w:color w:val="000000"/>
          <w:lang w:val="en-ID"/>
        </w:rPr>
        <w:t>sludge; plastic</w:t>
      </w:r>
      <w:r w:rsidRPr="00C22BFB">
        <w:rPr>
          <w:rFonts w:ascii="Times New Roman" w:eastAsia="Times New Roman" w:hAnsi="Times New Roman" w:cs="Times New Roman"/>
          <w:color w:val="000000"/>
          <w:lang w:val="en-ID"/>
        </w:rPr>
        <w:t xml:space="preserve"> debris; marine debris; domestic waste</w:t>
      </w:r>
    </w:p>
    <w:p w14:paraId="278B3E9B" w14:textId="3C6950A4" w:rsidR="006437D0" w:rsidRDefault="006437D0" w:rsidP="007F0F81">
      <w:pPr>
        <w:pStyle w:val="BodyText"/>
        <w:numPr>
          <w:ilvl w:val="1"/>
          <w:numId w:val="140"/>
        </w:numPr>
        <w:spacing w:before="240" w:after="0" w:line="240" w:lineRule="auto"/>
        <w:ind w:left="425" w:hanging="357"/>
        <w:outlineLvl w:val="1"/>
        <w:rPr>
          <w:rFonts w:ascii="Times New Roman" w:hAnsi="Times New Roman" w:cs="Times New Roman"/>
          <w:b/>
          <w:bCs/>
          <w:color w:val="0070C0"/>
        </w:rPr>
      </w:pPr>
      <w:r>
        <w:rPr>
          <w:rFonts w:ascii="Times New Roman" w:hAnsi="Times New Roman" w:cs="Times New Roman"/>
          <w:b/>
          <w:bCs/>
          <w:color w:val="0070C0"/>
        </w:rPr>
        <w:t xml:space="preserve"> </w:t>
      </w:r>
      <w:bookmarkStart w:id="73" w:name="_Toc217297552"/>
      <w:r>
        <w:rPr>
          <w:rFonts w:ascii="Times New Roman" w:hAnsi="Times New Roman" w:cs="Times New Roman"/>
          <w:b/>
          <w:bCs/>
          <w:color w:val="0070C0"/>
        </w:rPr>
        <w:t>Introduction</w:t>
      </w:r>
      <w:bookmarkEnd w:id="73"/>
    </w:p>
    <w:p w14:paraId="59CDEA8B" w14:textId="77777777" w:rsidR="006437D0" w:rsidRPr="007B22FB" w:rsidRDefault="006437D0" w:rsidP="007B22FB">
      <w:pPr>
        <w:pStyle w:val="NormalWeb"/>
        <w:spacing w:before="120" w:beforeAutospacing="0" w:after="0" w:afterAutospacing="0"/>
        <w:jc w:val="both"/>
        <w:rPr>
          <w:rFonts w:eastAsiaTheme="minorEastAsia"/>
          <w:sz w:val="22"/>
          <w:szCs w:val="22"/>
          <w:lang w:val="en-ID" w:eastAsia="en-ID"/>
        </w:rPr>
      </w:pPr>
      <w:r w:rsidRPr="007B22FB">
        <w:rPr>
          <w:rFonts w:eastAsiaTheme="minorEastAsia"/>
          <w:sz w:val="22"/>
          <w:szCs w:val="22"/>
          <w:lang w:val="en-ID" w:eastAsia="en-ID"/>
        </w:rPr>
        <w:t xml:space="preserve">The South China Sea (SCS) is one of the world’s most strategic and ecologically important seas, rich in biodiversity, fisheries, and energy resources that support millions of livelihoods and global maritime trade (Teh et al., 2017; Meierding, 2017). For Indonesia, the northern waters around the Natuna Islands, within its Exclusive Economic Zone (EEZ), serve as a vital resource base and ecological frontier (Pramono, 2023; Aziz et al., 2020).   However, the region faces increasing environmental stress, primarily from land-based and marine pollution, which threatens marine ecosystems, food security, and coastal welfare. Pollution in the SCS has intensified due to rapid coastal development, urbanization, overfishing, and weak environmental governance (Xiao et al., 2022; McManus (2017). </w:t>
      </w:r>
    </w:p>
    <w:p w14:paraId="4BABCA1C" w14:textId="77777777" w:rsidR="006437D0" w:rsidRPr="007B22FB" w:rsidRDefault="006437D0" w:rsidP="007B22FB">
      <w:pPr>
        <w:pStyle w:val="NormalWeb"/>
        <w:spacing w:before="120" w:beforeAutospacing="0" w:after="0" w:afterAutospacing="0"/>
        <w:jc w:val="both"/>
        <w:rPr>
          <w:rFonts w:eastAsiaTheme="minorEastAsia"/>
          <w:sz w:val="22"/>
          <w:szCs w:val="22"/>
          <w:lang w:val="en-ID" w:eastAsia="en-ID"/>
        </w:rPr>
      </w:pPr>
      <w:r w:rsidRPr="007B22FB">
        <w:rPr>
          <w:rFonts w:eastAsiaTheme="minorEastAsia"/>
          <w:sz w:val="22"/>
          <w:szCs w:val="22"/>
          <w:lang w:val="en-ID" w:eastAsia="en-ID"/>
        </w:rPr>
        <w:t>In Indonesia, land-based pollution dominates, contributing 70–80% of total marine pollutants (Dsikowitzky et al., 2018; Sianipar et al., 2022; Damar et al., 2020). Major sources include untreated sewage, industrial discharges, agricultural runoff, and plastic waste entering the sea from Sumatra, Kalimantan, and Java through rivers and estuaries. These pollutants degrade water quality, coral reefs, mangroves, and seagrass beds, which are critical habitats for fisheries and tourism.</w:t>
      </w:r>
    </w:p>
    <w:p w14:paraId="1875786E" w14:textId="77777777" w:rsidR="006437D0" w:rsidRPr="007B22FB" w:rsidRDefault="006437D0" w:rsidP="007B22FB">
      <w:pPr>
        <w:pStyle w:val="NormalWeb"/>
        <w:spacing w:before="0" w:beforeAutospacing="0" w:after="0" w:afterAutospacing="0"/>
        <w:jc w:val="both"/>
        <w:rPr>
          <w:rFonts w:eastAsiaTheme="minorEastAsia"/>
          <w:sz w:val="22"/>
          <w:szCs w:val="22"/>
          <w:lang w:val="en-ID" w:eastAsia="en-ID"/>
        </w:rPr>
      </w:pPr>
      <w:r w:rsidRPr="007B22FB">
        <w:rPr>
          <w:rFonts w:eastAsiaTheme="minorEastAsia"/>
          <w:sz w:val="22"/>
          <w:szCs w:val="22"/>
          <w:lang w:val="en-ID" w:eastAsia="en-ID"/>
        </w:rPr>
        <w:t>Plastic waste represents the most visible and persistent pollutant. As the world’s second-largest contributor of ocean plastics (Jambeck et al., 2015), Indonesia releases large volumes of debris into semi-enclosed seas like the SCS. This waste breaks down into microplastics, which harm marine life, contaminate seafood, and threaten the livelihoods of small-scale fishers in Natuna. Meanwhile, agricultural and aquaculture runoff triggers eutrophication, resulting in algal blooms and oxygen-depleted zones that damage coral reefs and marine biodiversity (Zheng et al., 2023).</w:t>
      </w:r>
    </w:p>
    <w:p w14:paraId="6D99C8C8" w14:textId="77777777" w:rsidR="006437D0" w:rsidRPr="007B22FB" w:rsidRDefault="006437D0" w:rsidP="007B22FB">
      <w:pPr>
        <w:pStyle w:val="NormalWeb"/>
        <w:spacing w:before="120" w:beforeAutospacing="0" w:after="0" w:afterAutospacing="0"/>
        <w:jc w:val="both"/>
        <w:rPr>
          <w:rFonts w:eastAsiaTheme="minorEastAsia"/>
          <w:sz w:val="22"/>
          <w:szCs w:val="22"/>
          <w:lang w:val="en-ID" w:eastAsia="en-ID"/>
        </w:rPr>
      </w:pPr>
      <w:r w:rsidRPr="007B22FB">
        <w:rPr>
          <w:rFonts w:eastAsiaTheme="minorEastAsia"/>
          <w:sz w:val="22"/>
          <w:szCs w:val="22"/>
          <w:lang w:val="en-ID" w:eastAsia="en-ID"/>
        </w:rPr>
        <w:lastRenderedPageBreak/>
        <w:t>Marine-based pollution also remains significant. Heavy shipping traffic in the SCS leads to frequent oil spills and oil sludge, particularly near Bintan and Batam, where recurring oil contamination, often linked to ship tank-cleaning activities in the Strait of Malacca, has persisted for years (Sahputra, 2024).</w:t>
      </w:r>
    </w:p>
    <w:p w14:paraId="3FB8A308" w14:textId="0E1915AC" w:rsidR="006437D0" w:rsidRPr="000118A3" w:rsidRDefault="006437D0" w:rsidP="007B22FB">
      <w:pPr>
        <w:pStyle w:val="BodyText"/>
        <w:spacing w:after="0" w:line="240" w:lineRule="auto"/>
        <w:jc w:val="both"/>
        <w:rPr>
          <w:rFonts w:ascii="Times New Roman" w:hAnsi="Times New Roman" w:cs="Times New Roman"/>
          <w:lang w:val="en-ID"/>
        </w:rPr>
      </w:pPr>
      <w:r w:rsidRPr="007B22FB">
        <w:rPr>
          <w:rFonts w:ascii="Times New Roman" w:hAnsi="Times New Roman" w:cs="Times New Roman"/>
          <w:lang w:val="en-ID"/>
        </w:rPr>
        <w:t>This paper aims to comprehensively examine the status of the land-based pollution in the Indonesian part of the South China Sea (SCS) region (Figure</w:t>
      </w:r>
      <w:r w:rsidR="003519B5">
        <w:rPr>
          <w:rFonts w:ascii="Times New Roman" w:hAnsi="Times New Roman" w:cs="Times New Roman"/>
          <w:lang w:val="en-ID"/>
        </w:rPr>
        <w:t xml:space="preserve"> 28</w:t>
      </w:r>
      <w:r w:rsidRPr="007B22FB">
        <w:rPr>
          <w:rFonts w:ascii="Times New Roman" w:hAnsi="Times New Roman" w:cs="Times New Roman"/>
          <w:lang w:val="en-ID"/>
        </w:rPr>
        <w:t>), including the major forms of pollution, their impacts on ecosystems and economy. The paper concludes with a set of recommendations in the form of a strategic action plan, which is expected to serve as a reference for pollution management in Indonesia, particularly</w:t>
      </w:r>
      <w:r w:rsidRPr="000118A3">
        <w:rPr>
          <w:rFonts w:ascii="Times New Roman" w:hAnsi="Times New Roman" w:cs="Times New Roman"/>
          <w:lang w:val="en-ID"/>
        </w:rPr>
        <w:t xml:space="preserve"> within the SCS region</w:t>
      </w:r>
    </w:p>
    <w:p w14:paraId="295345D8" w14:textId="77777777" w:rsidR="006437D0" w:rsidRPr="000118A3" w:rsidRDefault="006437D0" w:rsidP="007B22FB">
      <w:pPr>
        <w:pStyle w:val="NormalWeb"/>
        <w:spacing w:before="0" w:beforeAutospacing="0" w:after="0" w:afterAutospacing="0"/>
        <w:jc w:val="both"/>
        <w:rPr>
          <w:sz w:val="22"/>
          <w:szCs w:val="22"/>
          <w:lang w:val="en-US"/>
        </w:rPr>
      </w:pPr>
    </w:p>
    <w:p w14:paraId="7AAB446F" w14:textId="77777777" w:rsidR="006437D0" w:rsidRPr="006437D0" w:rsidRDefault="006437D0" w:rsidP="006437D0">
      <w:pPr>
        <w:keepNext/>
        <w:jc w:val="center"/>
        <w:rPr>
          <w:rFonts w:ascii="Times New Roman" w:hAnsi="Times New Roman" w:cs="Times New Roman"/>
          <w:sz w:val="22"/>
          <w:szCs w:val="22"/>
        </w:rPr>
      </w:pPr>
      <w:r w:rsidRPr="000118A3">
        <w:rPr>
          <w:noProof/>
        </w:rPr>
        <w:drawing>
          <wp:inline distT="0" distB="0" distL="0" distR="0" wp14:anchorId="58808C15" wp14:editId="568AE4D5">
            <wp:extent cx="3007087" cy="3268049"/>
            <wp:effectExtent l="0" t="0" r="3175" b="8890"/>
            <wp:docPr id="1808789504" name="Picture 2" descr="A map of asia with a red squa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789504" name="Picture 2" descr="A map of asia with a red square&#10;&#10;AI-generated content may be incorrect."/>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057948" cy="3323324"/>
                    </a:xfrm>
                    <a:prstGeom prst="rect">
                      <a:avLst/>
                    </a:prstGeom>
                    <a:noFill/>
                  </pic:spPr>
                </pic:pic>
              </a:graphicData>
            </a:graphic>
          </wp:inline>
        </w:drawing>
      </w:r>
    </w:p>
    <w:p w14:paraId="176D55C8" w14:textId="4AE0963D" w:rsidR="006437D0" w:rsidRPr="000118A3" w:rsidRDefault="003519B5" w:rsidP="003519B5">
      <w:pPr>
        <w:pStyle w:val="Caption"/>
        <w:jc w:val="center"/>
        <w:rPr>
          <w:rFonts w:ascii="Times New Roman" w:hAnsi="Times New Roman" w:cs="Times New Roman"/>
          <w:i w:val="0"/>
          <w:iCs w:val="0"/>
          <w:color w:val="auto"/>
          <w:sz w:val="22"/>
          <w:szCs w:val="22"/>
        </w:rPr>
      </w:pPr>
      <w:bookmarkStart w:id="74" w:name="_Toc211871559"/>
      <w:bookmarkStart w:id="75" w:name="_Toc217297615"/>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28</w:t>
      </w:r>
      <w:r w:rsidRPr="003519B5">
        <w:rPr>
          <w:rFonts w:ascii="Times New Roman" w:hAnsi="Times New Roman" w:cs="Times New Roman"/>
          <w:i w:val="0"/>
          <w:iCs w:val="0"/>
          <w:color w:val="000000" w:themeColor="text1"/>
          <w:sz w:val="22"/>
          <w:szCs w:val="22"/>
        </w:rPr>
        <w:fldChar w:fldCharType="end"/>
      </w:r>
      <w:r w:rsidR="006437D0" w:rsidRPr="003519B5">
        <w:rPr>
          <w:rFonts w:ascii="Times New Roman" w:hAnsi="Times New Roman" w:cs="Times New Roman"/>
          <w:i w:val="0"/>
          <w:iCs w:val="0"/>
          <w:color w:val="000000" w:themeColor="text1"/>
          <w:sz w:val="22"/>
          <w:szCs w:val="22"/>
        </w:rPr>
        <w:t xml:space="preserve">  </w:t>
      </w:r>
      <w:r w:rsidR="006437D0" w:rsidRPr="000118A3">
        <w:rPr>
          <w:rFonts w:ascii="Times New Roman" w:hAnsi="Times New Roman" w:cs="Times New Roman"/>
          <w:i w:val="0"/>
          <w:iCs w:val="0"/>
          <w:color w:val="auto"/>
          <w:sz w:val="22"/>
          <w:szCs w:val="22"/>
        </w:rPr>
        <w:t>South China Sea Indonesia’s part</w:t>
      </w:r>
      <w:bookmarkEnd w:id="74"/>
      <w:r w:rsidR="006437D0" w:rsidRPr="000118A3">
        <w:rPr>
          <w:rFonts w:ascii="Times New Roman" w:hAnsi="Times New Roman" w:cs="Times New Roman"/>
          <w:i w:val="0"/>
          <w:iCs w:val="0"/>
          <w:color w:val="auto"/>
          <w:sz w:val="22"/>
          <w:szCs w:val="22"/>
        </w:rPr>
        <w:t xml:space="preserve"> (red box)</w:t>
      </w:r>
      <w:bookmarkEnd w:id="75"/>
    </w:p>
    <w:p w14:paraId="70D2E3EB" w14:textId="6277C346" w:rsidR="003F19BD" w:rsidRPr="000118A3" w:rsidRDefault="003F19BD" w:rsidP="007F0F81">
      <w:pPr>
        <w:pStyle w:val="BodyText"/>
        <w:numPr>
          <w:ilvl w:val="1"/>
          <w:numId w:val="140"/>
        </w:numPr>
        <w:spacing w:after="0" w:line="240" w:lineRule="auto"/>
        <w:ind w:left="426"/>
        <w:outlineLvl w:val="1"/>
        <w:rPr>
          <w:rFonts w:ascii="Times New Roman" w:hAnsi="Times New Roman" w:cs="Times New Roman"/>
          <w:b/>
          <w:bCs/>
          <w:color w:val="0070C0"/>
        </w:rPr>
      </w:pPr>
      <w:bookmarkStart w:id="76" w:name="_Toc217297553"/>
      <w:r w:rsidRPr="000118A3">
        <w:rPr>
          <w:rFonts w:ascii="Times New Roman" w:hAnsi="Times New Roman" w:cs="Times New Roman"/>
          <w:b/>
          <w:bCs/>
          <w:color w:val="0070C0"/>
        </w:rPr>
        <w:t>Key Finding</w:t>
      </w:r>
      <w:bookmarkEnd w:id="76"/>
    </w:p>
    <w:p w14:paraId="1A4BD0A9" w14:textId="77777777" w:rsidR="006D65D0" w:rsidRPr="000118A3" w:rsidRDefault="006D65D0" w:rsidP="007B22FB">
      <w:pPr>
        <w:pStyle w:val="NormalWeb"/>
        <w:spacing w:before="120" w:beforeAutospacing="0" w:after="0" w:afterAutospacing="0"/>
        <w:jc w:val="both"/>
        <w:rPr>
          <w:rFonts w:eastAsiaTheme="minorEastAsia"/>
          <w:sz w:val="22"/>
          <w:szCs w:val="22"/>
          <w:lang w:val="en-ID" w:eastAsia="en-ID"/>
        </w:rPr>
      </w:pPr>
      <w:r w:rsidRPr="000118A3">
        <w:rPr>
          <w:rFonts w:eastAsiaTheme="minorEastAsia"/>
          <w:sz w:val="22"/>
          <w:szCs w:val="22"/>
          <w:lang w:val="en-ID" w:eastAsia="en-ID"/>
        </w:rPr>
        <w:t>The Indonesian part of the South China Sea (SCS) is located in the country’s western maritime region (Figure 1), bordered by eastern Sumatra (Riau and Riau Islands Provinces), the Bangka Belitung Islands to the south, and West Kalimantan to the east. This semi-enclosed sea comprises numerous small islands, straits, and shallow shelves forming part of the Sunda Shelf, including key ecological areas such as the Natuna Sea, Anambas Islands, and Karimata Strait. These waters, relatively less urbanized than other Indonesian coasts, sustain diverse marine ecosystems and play crucial roles in fisheries, hydrodynamics, and maritime transport (Yulianto et al., 2019).</w:t>
      </w:r>
    </w:p>
    <w:p w14:paraId="40A411E9" w14:textId="5A74DEB3" w:rsidR="003F19BD" w:rsidRDefault="006D65D0" w:rsidP="007B22FB">
      <w:pPr>
        <w:pStyle w:val="BodyText"/>
        <w:spacing w:before="120" w:after="0" w:line="240" w:lineRule="auto"/>
        <w:jc w:val="both"/>
        <w:rPr>
          <w:rFonts w:ascii="Times New Roman" w:hAnsi="Times New Roman" w:cs="Times New Roman"/>
          <w:lang w:val="en-ID"/>
        </w:rPr>
      </w:pPr>
      <w:r w:rsidRPr="000118A3">
        <w:rPr>
          <w:rFonts w:ascii="Times New Roman" w:hAnsi="Times New Roman" w:cs="Times New Roman"/>
          <w:lang w:val="en-ID"/>
        </w:rPr>
        <w:t>Coastal provinces show distinct economic patterns influencing marine conditions. Riau Province (6.86 million people) depends on oil, gas, forestry, and plantations, particularly palm oil and rubber, generating both economic benefits and environmental stress. The Riau Islands (2.18 million) center around Batam, a major manufacturing and logistics hub linked to Singapore, while smaller islands rely on fisheries and tourism. Further south, the Bangka Belitung Islands (1.51 million) are shifting from tin mining to tourism and agriculture, while West Kalimantan (5.62 million) is dominated by forestry, mining, and plantations (Indonesian Statistics, 2024).</w:t>
      </w:r>
    </w:p>
    <w:p w14:paraId="6E5682FD" w14:textId="5C7D4F94" w:rsidR="003F19BD" w:rsidRPr="000118A3" w:rsidRDefault="003F19BD" w:rsidP="007F0F81">
      <w:pPr>
        <w:pStyle w:val="BodyText"/>
        <w:numPr>
          <w:ilvl w:val="1"/>
          <w:numId w:val="140"/>
        </w:numPr>
        <w:spacing w:before="120" w:after="0" w:line="240" w:lineRule="auto"/>
        <w:ind w:left="425" w:hanging="357"/>
        <w:outlineLvl w:val="1"/>
        <w:rPr>
          <w:rFonts w:ascii="Times New Roman" w:hAnsi="Times New Roman" w:cs="Times New Roman"/>
          <w:b/>
          <w:bCs/>
          <w:color w:val="0070C0"/>
        </w:rPr>
      </w:pPr>
      <w:bookmarkStart w:id="77" w:name="_Toc217297554"/>
      <w:r w:rsidRPr="000118A3">
        <w:rPr>
          <w:rFonts w:ascii="Times New Roman" w:hAnsi="Times New Roman" w:cs="Times New Roman"/>
          <w:b/>
          <w:bCs/>
          <w:color w:val="0070C0"/>
        </w:rPr>
        <w:t>Current Status by indicator group</w:t>
      </w:r>
      <w:bookmarkEnd w:id="77"/>
    </w:p>
    <w:p w14:paraId="66B8C756" w14:textId="7ECC1980" w:rsidR="009858B7" w:rsidRPr="000118A3" w:rsidRDefault="009858B7" w:rsidP="007B22FB">
      <w:pPr>
        <w:pStyle w:val="BodyText"/>
        <w:numPr>
          <w:ilvl w:val="2"/>
          <w:numId w:val="140"/>
        </w:numPr>
        <w:spacing w:after="0" w:line="240" w:lineRule="auto"/>
        <w:ind w:left="567" w:hanging="567"/>
        <w:rPr>
          <w:rFonts w:ascii="Times New Roman" w:hAnsi="Times New Roman" w:cs="Times New Roman"/>
          <w:b/>
          <w:bCs/>
          <w:color w:val="0070C0"/>
        </w:rPr>
      </w:pPr>
      <w:bookmarkStart w:id="78" w:name="_Toc206147446"/>
      <w:bookmarkStart w:id="79" w:name="_Toc206147531"/>
      <w:bookmarkStart w:id="80" w:name="_Toc206147747"/>
      <w:bookmarkStart w:id="81" w:name="_Toc212449408"/>
      <w:r w:rsidRPr="000118A3">
        <w:rPr>
          <w:rFonts w:ascii="Times New Roman" w:hAnsi="Times New Roman" w:cs="Times New Roman"/>
          <w:b/>
          <w:bCs/>
          <w:color w:val="0070C0"/>
        </w:rPr>
        <w:t>Pollution Sources and Magnitude</w:t>
      </w:r>
      <w:bookmarkEnd w:id="78"/>
      <w:bookmarkEnd w:id="79"/>
      <w:bookmarkEnd w:id="80"/>
      <w:bookmarkEnd w:id="81"/>
    </w:p>
    <w:p w14:paraId="4C866964" w14:textId="4AB6CAF6" w:rsidR="009858B7" w:rsidRPr="000118A3" w:rsidRDefault="009858B7" w:rsidP="007B22FB">
      <w:pPr>
        <w:pStyle w:val="BodyText"/>
        <w:numPr>
          <w:ilvl w:val="3"/>
          <w:numId w:val="140"/>
        </w:numPr>
        <w:spacing w:after="0" w:line="240" w:lineRule="auto"/>
        <w:ind w:left="851" w:hanging="851"/>
        <w:rPr>
          <w:rFonts w:ascii="Times New Roman" w:hAnsi="Times New Roman" w:cs="Times New Roman"/>
          <w:b/>
          <w:bCs/>
          <w:color w:val="0070C0"/>
        </w:rPr>
      </w:pPr>
      <w:r w:rsidRPr="000118A3">
        <w:rPr>
          <w:rFonts w:ascii="Times New Roman" w:hAnsi="Times New Roman" w:cs="Times New Roman"/>
          <w:b/>
          <w:bCs/>
          <w:color w:val="0070C0"/>
        </w:rPr>
        <w:t>Aquaculture-generated Pollution</w:t>
      </w:r>
    </w:p>
    <w:p w14:paraId="10D18439" w14:textId="00E10BFD" w:rsidR="009858B7" w:rsidRPr="000118A3" w:rsidRDefault="009858B7" w:rsidP="007B22FB">
      <w:pPr>
        <w:jc w:val="both"/>
        <w:rPr>
          <w:rFonts w:ascii="Times New Roman" w:hAnsi="Times New Roman" w:cs="Times New Roman"/>
          <w:sz w:val="22"/>
          <w:szCs w:val="22"/>
          <w:lang w:val="en-ID"/>
        </w:rPr>
      </w:pPr>
      <w:r w:rsidRPr="000118A3">
        <w:rPr>
          <w:rFonts w:ascii="Times New Roman" w:hAnsi="Times New Roman" w:cs="Times New Roman"/>
          <w:sz w:val="22"/>
          <w:szCs w:val="22"/>
        </w:rPr>
        <w:t xml:space="preserve">The estimation of the pollution load generated by aquaculture activities is approached trough the total aquaculture production volume multiplied by its Feed Conversion Ratio (FCR). It is generally assumed that approximately 25% of the total feed input is released as organic waste, contributing to nutrient enrichment and potential degradation of the surrounding aquatic environment (detail method is presented at </w:t>
      </w:r>
      <w:r w:rsidRPr="000118A3">
        <w:rPr>
          <w:rFonts w:ascii="Times New Roman" w:hAnsi="Times New Roman" w:cs="Times New Roman"/>
          <w:b/>
          <w:bCs/>
          <w:sz w:val="22"/>
          <w:szCs w:val="22"/>
        </w:rPr>
        <w:t>App.1</w:t>
      </w:r>
      <w:r w:rsidRPr="000118A3">
        <w:rPr>
          <w:rFonts w:ascii="Times New Roman" w:hAnsi="Times New Roman" w:cs="Times New Roman"/>
          <w:sz w:val="22"/>
          <w:szCs w:val="22"/>
        </w:rPr>
        <w:t xml:space="preserve">).    South Kalimantan consistently records the highest aquaculture-derived waste (&gt;30,000 tonnes yr⁻¹ since 2020), </w:t>
      </w:r>
      <w:r w:rsidRPr="000118A3">
        <w:rPr>
          <w:rFonts w:ascii="Times New Roman" w:hAnsi="Times New Roman" w:cs="Times New Roman"/>
          <w:sz w:val="22"/>
          <w:szCs w:val="22"/>
        </w:rPr>
        <w:lastRenderedPageBreak/>
        <w:t xml:space="preserve">reflecting intensive pond and cage culture with limited feed conversion efficiency. West Kalimantan follows with 20,000–22,000 tonnes yr⁻¹, indicating sustained production and feed loss. The Riau Islands exhibit greater variability (6,000–8,000 tonnes yr⁻¹) with a sharp increase in 2023, whereas Bangka Belitung remains below 5,000 tonnes yr⁻¹. These spatial disparities suggest that highly intensive systems disproportionately contribute to nutrient loading, emphasizing the need for improved feed management and ecosystem-based aquaculture governance (Figure </w:t>
      </w:r>
      <w:r w:rsidR="003519B5">
        <w:rPr>
          <w:rFonts w:ascii="Times New Roman" w:hAnsi="Times New Roman" w:cs="Times New Roman"/>
          <w:sz w:val="22"/>
          <w:szCs w:val="22"/>
        </w:rPr>
        <w:t>29</w:t>
      </w:r>
      <w:r w:rsidRPr="000118A3">
        <w:rPr>
          <w:rFonts w:ascii="Times New Roman" w:hAnsi="Times New Roman" w:cs="Times New Roman"/>
          <w:sz w:val="22"/>
          <w:szCs w:val="22"/>
        </w:rPr>
        <w:t>).</w:t>
      </w:r>
    </w:p>
    <w:p w14:paraId="50CA327B" w14:textId="77777777" w:rsidR="009858B7" w:rsidRPr="000118A3" w:rsidRDefault="009858B7" w:rsidP="009858B7">
      <w:pPr>
        <w:pStyle w:val="ListParagraph"/>
        <w:keepNext/>
        <w:ind w:left="900"/>
        <w:rPr>
          <w:rFonts w:ascii="Times New Roman" w:hAnsi="Times New Roman" w:cs="Times New Roman"/>
          <w:sz w:val="22"/>
          <w:szCs w:val="22"/>
        </w:rPr>
      </w:pPr>
    </w:p>
    <w:p w14:paraId="77FF863A" w14:textId="77777777" w:rsidR="009858B7" w:rsidRPr="000118A3" w:rsidRDefault="009858B7" w:rsidP="003519B5">
      <w:pPr>
        <w:pStyle w:val="ListParagraph"/>
        <w:keepNext/>
        <w:ind w:left="900"/>
        <w:jc w:val="center"/>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7F432F67" wp14:editId="4F7E6D6A">
            <wp:extent cx="5731510" cy="2326005"/>
            <wp:effectExtent l="0" t="0" r="2540" b="17145"/>
            <wp:docPr id="1005713350" name="Chart 1">
              <a:extLst xmlns:a="http://schemas.openxmlformats.org/drawingml/2006/main">
                <a:ext uri="{FF2B5EF4-FFF2-40B4-BE49-F238E27FC236}">
                  <a16:creationId xmlns:a16="http://schemas.microsoft.com/office/drawing/2014/main" id="{8F69BB0C-0DC7-A706-0916-623D9E6D9A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2903BF51" w14:textId="554A1EBE" w:rsidR="009858B7" w:rsidRPr="003519B5" w:rsidRDefault="003519B5" w:rsidP="003519B5">
      <w:pPr>
        <w:pStyle w:val="Caption"/>
        <w:rPr>
          <w:rFonts w:ascii="Times New Roman" w:hAnsi="Times New Roman" w:cs="Times New Roman"/>
          <w:b/>
          <w:bCs/>
          <w:i w:val="0"/>
          <w:iCs w:val="0"/>
          <w:color w:val="000000" w:themeColor="text1"/>
          <w:sz w:val="22"/>
          <w:szCs w:val="22"/>
        </w:rPr>
      </w:pPr>
      <w:bookmarkStart w:id="82" w:name="_Toc211871560"/>
      <w:bookmarkStart w:id="83" w:name="_Toc217297616"/>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29</w:t>
      </w:r>
      <w:r w:rsidRPr="003519B5">
        <w:rPr>
          <w:rFonts w:ascii="Times New Roman" w:hAnsi="Times New Roman" w:cs="Times New Roman"/>
          <w:i w:val="0"/>
          <w:iCs w:val="0"/>
          <w:color w:val="000000" w:themeColor="text1"/>
          <w:sz w:val="22"/>
          <w:szCs w:val="22"/>
        </w:rPr>
        <w:fldChar w:fldCharType="end"/>
      </w:r>
      <w:r w:rsidR="009858B7" w:rsidRPr="003519B5">
        <w:rPr>
          <w:rFonts w:ascii="Times New Roman" w:hAnsi="Times New Roman" w:cs="Times New Roman"/>
          <w:i w:val="0"/>
          <w:iCs w:val="0"/>
          <w:color w:val="000000" w:themeColor="text1"/>
          <w:sz w:val="22"/>
          <w:szCs w:val="22"/>
        </w:rPr>
        <w:t xml:space="preserve"> Estimates of total volume (tonnes) of uneaten feed (become waste) Aquaculture (tonnes) in several provinces in the area around the SCS from 2019 to 2024 (source: Indonesia Fisheries Statistics 2020, 2021, 2022, 2023, 2024)</w:t>
      </w:r>
      <w:bookmarkEnd w:id="82"/>
      <w:r w:rsidR="009858B7" w:rsidRPr="003519B5">
        <w:rPr>
          <w:rFonts w:ascii="Times New Roman" w:hAnsi="Times New Roman" w:cs="Times New Roman"/>
          <w:i w:val="0"/>
          <w:iCs w:val="0"/>
          <w:color w:val="000000" w:themeColor="text1"/>
          <w:sz w:val="22"/>
          <w:szCs w:val="22"/>
        </w:rPr>
        <w:t>.</w:t>
      </w:r>
      <w:bookmarkEnd w:id="83"/>
    </w:p>
    <w:p w14:paraId="254075C2" w14:textId="50450516" w:rsidR="009858B7" w:rsidRPr="000118A3" w:rsidRDefault="009858B7" w:rsidP="006D65D0">
      <w:pPr>
        <w:ind w:left="-142"/>
        <w:jc w:val="both"/>
        <w:rPr>
          <w:rFonts w:ascii="Times New Roman" w:hAnsi="Times New Roman" w:cs="Times New Roman"/>
          <w:sz w:val="22"/>
          <w:szCs w:val="22"/>
        </w:rPr>
      </w:pPr>
      <w:r w:rsidRPr="000118A3">
        <w:rPr>
          <w:rFonts w:ascii="Times New Roman" w:hAnsi="Times New Roman" w:cs="Times New Roman"/>
          <w:sz w:val="22"/>
          <w:szCs w:val="22"/>
          <w:lang w:val="en-ID"/>
        </w:rPr>
        <w:t xml:space="preserve">The primary pollutants derived </w:t>
      </w:r>
      <w:r w:rsidR="004D34F1" w:rsidRPr="000118A3">
        <w:rPr>
          <w:rFonts w:ascii="Times New Roman" w:hAnsi="Times New Roman" w:cs="Times New Roman"/>
          <w:sz w:val="22"/>
          <w:szCs w:val="22"/>
          <w:lang w:val="en-ID"/>
        </w:rPr>
        <w:t>from agricultural</w:t>
      </w:r>
      <w:r w:rsidRPr="000118A3">
        <w:rPr>
          <w:rFonts w:ascii="Times New Roman" w:hAnsi="Times New Roman" w:cs="Times New Roman"/>
          <w:sz w:val="22"/>
          <w:szCs w:val="22"/>
          <w:lang w:val="en-ID"/>
        </w:rPr>
        <w:t xml:space="preserve"> activities are associated with fertilization use. Fertilizer application introduces organic matter and nutrient loads into receiving water bodies, which can drive eutrophication processes</w:t>
      </w:r>
      <w:r w:rsidRPr="000118A3">
        <w:rPr>
          <w:rFonts w:ascii="Times New Roman" w:hAnsi="Times New Roman" w:cs="Times New Roman"/>
          <w:sz w:val="22"/>
          <w:szCs w:val="22"/>
        </w:rPr>
        <w:t xml:space="preserve">.   </w:t>
      </w:r>
    </w:p>
    <w:p w14:paraId="34F26D04" w14:textId="6060B9B6" w:rsidR="009858B7" w:rsidRPr="000118A3" w:rsidRDefault="009858B7" w:rsidP="00CD0DB1">
      <w:pPr>
        <w:spacing w:before="120"/>
        <w:ind w:left="-142"/>
        <w:jc w:val="both"/>
        <w:rPr>
          <w:rFonts w:ascii="Times New Roman" w:hAnsi="Times New Roman" w:cs="Times New Roman"/>
          <w:sz w:val="22"/>
          <w:szCs w:val="22"/>
        </w:rPr>
      </w:pPr>
      <w:r w:rsidRPr="000118A3">
        <w:rPr>
          <w:rFonts w:ascii="Times New Roman" w:hAnsi="Times New Roman" w:cs="Times New Roman"/>
          <w:sz w:val="22"/>
          <w:szCs w:val="22"/>
        </w:rPr>
        <w:t>The data (Figure 3</w:t>
      </w:r>
      <w:r w:rsidR="003519B5">
        <w:rPr>
          <w:rFonts w:ascii="Times New Roman" w:hAnsi="Times New Roman" w:cs="Times New Roman"/>
          <w:sz w:val="22"/>
          <w:szCs w:val="22"/>
        </w:rPr>
        <w:t>0</w:t>
      </w:r>
      <w:r w:rsidRPr="000118A3">
        <w:rPr>
          <w:rFonts w:ascii="Times New Roman" w:hAnsi="Times New Roman" w:cs="Times New Roman"/>
          <w:sz w:val="22"/>
          <w:szCs w:val="22"/>
        </w:rPr>
        <w:t>) indicate that South Sumatra consistently contributes the highest volume of urea fertilizer used from 2019 to 2023, peaking in 2020 and gradually declining thereafter. West Kalimantan shows moderate but stable levels, while Riau Islands and Jambi exhibit lower yet increasing trends until 2021–2022 before declining in 2023. Bangka Belitung remains comparatively low and decreases sharply in 2023. Overall, the chart reflects spatial variability among provinces and a general downward trend after 2020, suggesting changes in pollutant inputs, management effectiveness, or reporting accuracy.</w:t>
      </w:r>
    </w:p>
    <w:p w14:paraId="534D0E9D" w14:textId="77777777" w:rsidR="009858B7" w:rsidRPr="000118A3" w:rsidRDefault="009858B7" w:rsidP="009858B7">
      <w:pPr>
        <w:keepNext/>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1CE26560" wp14:editId="3457C75A">
            <wp:extent cx="5731510" cy="1539875"/>
            <wp:effectExtent l="0" t="0" r="2540" b="3175"/>
            <wp:docPr id="1325069434" name="Chart 1">
              <a:extLst xmlns:a="http://schemas.openxmlformats.org/drawingml/2006/main">
                <a:ext uri="{FF2B5EF4-FFF2-40B4-BE49-F238E27FC236}">
                  <a16:creationId xmlns:a16="http://schemas.microsoft.com/office/drawing/2014/main" id="{4C51E391-2468-3342-9204-87C7C6F405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5A4AFA0D" w14:textId="4D201005" w:rsidR="009858B7" w:rsidRPr="003519B5" w:rsidRDefault="003519B5" w:rsidP="003519B5">
      <w:pPr>
        <w:pStyle w:val="Caption"/>
        <w:rPr>
          <w:rFonts w:ascii="Times New Roman" w:hAnsi="Times New Roman" w:cs="Times New Roman"/>
          <w:b/>
          <w:bCs/>
          <w:i w:val="0"/>
          <w:iCs w:val="0"/>
          <w:color w:val="000000" w:themeColor="text1"/>
          <w:sz w:val="22"/>
          <w:szCs w:val="22"/>
        </w:rPr>
      </w:pPr>
      <w:bookmarkStart w:id="84" w:name="_Toc211871562"/>
      <w:bookmarkStart w:id="85" w:name="_Toc217297617"/>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30</w:t>
      </w:r>
      <w:r w:rsidRPr="003519B5">
        <w:rPr>
          <w:rFonts w:ascii="Times New Roman" w:hAnsi="Times New Roman" w:cs="Times New Roman"/>
          <w:i w:val="0"/>
          <w:iCs w:val="0"/>
          <w:color w:val="000000" w:themeColor="text1"/>
          <w:sz w:val="22"/>
          <w:szCs w:val="22"/>
        </w:rPr>
        <w:fldChar w:fldCharType="end"/>
      </w:r>
      <w:r w:rsidR="009858B7" w:rsidRPr="003519B5">
        <w:rPr>
          <w:rFonts w:ascii="Times New Roman" w:hAnsi="Times New Roman" w:cs="Times New Roman"/>
          <w:i w:val="0"/>
          <w:iCs w:val="0"/>
          <w:color w:val="000000" w:themeColor="text1"/>
          <w:sz w:val="22"/>
          <w:szCs w:val="22"/>
        </w:rPr>
        <w:t xml:space="preserve"> Distribution of subsidized urea fertilizer in the agricultural sector (tonnes) in the provinces adjacent to SCS area (source: Environment Statistics of Indonesia 2020, 2021, 2022, 2023, 2024)</w:t>
      </w:r>
      <w:bookmarkEnd w:id="84"/>
      <w:bookmarkEnd w:id="85"/>
    </w:p>
    <w:p w14:paraId="7BA583AC" w14:textId="7DCBF079" w:rsidR="004D34F1" w:rsidRPr="000118A3" w:rsidRDefault="004D34F1" w:rsidP="00223F84">
      <w:pPr>
        <w:pStyle w:val="BodyText"/>
        <w:numPr>
          <w:ilvl w:val="3"/>
          <w:numId w:val="140"/>
        </w:numPr>
        <w:spacing w:before="188"/>
        <w:ind w:left="851" w:hanging="851"/>
        <w:rPr>
          <w:rFonts w:ascii="Times New Roman" w:hAnsi="Times New Roman" w:cs="Times New Roman"/>
          <w:b/>
          <w:bCs/>
          <w:color w:val="0070C0"/>
        </w:rPr>
      </w:pPr>
      <w:r w:rsidRPr="000118A3">
        <w:rPr>
          <w:rFonts w:ascii="Times New Roman" w:hAnsi="Times New Roman" w:cs="Times New Roman"/>
          <w:b/>
          <w:bCs/>
          <w:color w:val="0070C0"/>
        </w:rPr>
        <w:t>Agricultural-generated Pollution</w:t>
      </w:r>
    </w:p>
    <w:p w14:paraId="17B96ACD" w14:textId="5969B730" w:rsidR="004D34F1" w:rsidRPr="000118A3" w:rsidRDefault="004D34F1" w:rsidP="004D34F1">
      <w:pPr>
        <w:jc w:val="both"/>
        <w:rPr>
          <w:rFonts w:ascii="Times New Roman" w:hAnsi="Times New Roman" w:cs="Times New Roman"/>
          <w:sz w:val="22"/>
          <w:szCs w:val="22"/>
        </w:rPr>
      </w:pPr>
      <w:bookmarkStart w:id="86" w:name="_Hlk215268375"/>
      <w:r w:rsidRPr="000118A3">
        <w:rPr>
          <w:rFonts w:ascii="Times New Roman" w:hAnsi="Times New Roman" w:cs="Times New Roman"/>
          <w:sz w:val="22"/>
          <w:szCs w:val="22"/>
          <w:lang w:val="en-ID"/>
        </w:rPr>
        <w:t>The primary pollutants derived from agricultural activities are associated with fertilization use. Fertilizer application introduces organic matter and nutrient loads into receiving water bodies, which can drive eutrophication processes</w:t>
      </w:r>
      <w:r w:rsidRPr="000118A3">
        <w:rPr>
          <w:rFonts w:ascii="Times New Roman" w:hAnsi="Times New Roman" w:cs="Times New Roman"/>
          <w:sz w:val="22"/>
          <w:szCs w:val="22"/>
        </w:rPr>
        <w:t xml:space="preserve">.   </w:t>
      </w:r>
    </w:p>
    <w:p w14:paraId="3F430421" w14:textId="156E71D1" w:rsidR="004D34F1" w:rsidRDefault="004D34F1" w:rsidP="007B22FB">
      <w:pPr>
        <w:spacing w:before="120"/>
        <w:jc w:val="both"/>
        <w:rPr>
          <w:rFonts w:ascii="Times New Roman" w:hAnsi="Times New Roman" w:cs="Times New Roman"/>
          <w:sz w:val="22"/>
          <w:szCs w:val="22"/>
        </w:rPr>
      </w:pPr>
      <w:r w:rsidRPr="000118A3">
        <w:rPr>
          <w:rFonts w:ascii="Times New Roman" w:hAnsi="Times New Roman" w:cs="Times New Roman"/>
          <w:sz w:val="22"/>
          <w:szCs w:val="22"/>
        </w:rPr>
        <w:lastRenderedPageBreak/>
        <w:t>The data (Figure 3</w:t>
      </w:r>
      <w:r w:rsidR="003519B5">
        <w:rPr>
          <w:rFonts w:ascii="Times New Roman" w:hAnsi="Times New Roman" w:cs="Times New Roman"/>
          <w:sz w:val="22"/>
          <w:szCs w:val="22"/>
        </w:rPr>
        <w:t>0</w:t>
      </w:r>
      <w:r w:rsidRPr="000118A3">
        <w:rPr>
          <w:rFonts w:ascii="Times New Roman" w:hAnsi="Times New Roman" w:cs="Times New Roman"/>
          <w:sz w:val="22"/>
          <w:szCs w:val="22"/>
        </w:rPr>
        <w:t>) indicate that South Sumatra consistently contributes the highest volume of urea fertilizer used from 2019 to 2023, peaking in 2020 and gradually declining thereafter. West Kalimantan shows moderate but stable levels, while Riau Islands and Jambi exhibit lower yet increasing trends until 2021–2022 before declining in 2023. Bangka Belitung remains comparatively low and decreases sharply in 2023. Overall, the chart reflects spatial variability among provinces and a general downward trend after 2020, suggesting changes in pollutant inputs, management effectiveness, or reporting accuracy.</w:t>
      </w:r>
    </w:p>
    <w:p w14:paraId="09022EAC" w14:textId="77777777" w:rsidR="004D34F1" w:rsidRPr="000118A3" w:rsidRDefault="004D34F1" w:rsidP="007B22FB">
      <w:pPr>
        <w:keepNext/>
        <w:spacing w:before="120"/>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2FE7755E" wp14:editId="5D8E5C4E">
            <wp:extent cx="5731510" cy="1539875"/>
            <wp:effectExtent l="0" t="0" r="2540" b="3175"/>
            <wp:docPr id="801402420" name="Chart 1">
              <a:extLst xmlns:a="http://schemas.openxmlformats.org/drawingml/2006/main">
                <a:ext uri="{FF2B5EF4-FFF2-40B4-BE49-F238E27FC236}">
                  <a16:creationId xmlns:a16="http://schemas.microsoft.com/office/drawing/2014/main" id="{4C51E391-2468-3342-9204-87C7C6F405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255278A4" w14:textId="06743A64" w:rsidR="009858B7" w:rsidRPr="003519B5" w:rsidRDefault="003519B5" w:rsidP="003519B5">
      <w:pPr>
        <w:pStyle w:val="Caption"/>
        <w:rPr>
          <w:rFonts w:ascii="Times New Roman" w:hAnsi="Times New Roman" w:cs="Times New Roman"/>
          <w:i w:val="0"/>
          <w:iCs w:val="0"/>
          <w:color w:val="000000" w:themeColor="text1"/>
          <w:sz w:val="22"/>
          <w:szCs w:val="22"/>
        </w:rPr>
      </w:pPr>
      <w:bookmarkStart w:id="87" w:name="_Toc217297618"/>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31</w:t>
      </w:r>
      <w:r w:rsidRPr="003519B5">
        <w:rPr>
          <w:rFonts w:ascii="Times New Roman" w:hAnsi="Times New Roman" w:cs="Times New Roman"/>
          <w:i w:val="0"/>
          <w:iCs w:val="0"/>
          <w:color w:val="000000" w:themeColor="text1"/>
          <w:sz w:val="22"/>
          <w:szCs w:val="22"/>
        </w:rPr>
        <w:fldChar w:fldCharType="end"/>
      </w:r>
      <w:r w:rsidR="004D34F1" w:rsidRPr="003519B5">
        <w:rPr>
          <w:rFonts w:ascii="Times New Roman" w:hAnsi="Times New Roman" w:cs="Times New Roman"/>
          <w:i w:val="0"/>
          <w:iCs w:val="0"/>
          <w:color w:val="000000" w:themeColor="text1"/>
          <w:sz w:val="22"/>
          <w:szCs w:val="22"/>
        </w:rPr>
        <w:t xml:space="preserve"> Distribution of subsidized urea fertilizer in the agricultural sector (tonnes) in the provinces adjacent to SCS area (source: Environment Statistics of Indonesia 2020, 2021, 2022, 2023, 2024)</w:t>
      </w:r>
      <w:bookmarkEnd w:id="86"/>
      <w:bookmarkEnd w:id="87"/>
    </w:p>
    <w:p w14:paraId="43F07F7F" w14:textId="287E18CC" w:rsidR="004D34F1" w:rsidRPr="000118A3" w:rsidRDefault="004D34F1" w:rsidP="00CD0DB1">
      <w:pPr>
        <w:pStyle w:val="Heading3"/>
        <w:numPr>
          <w:ilvl w:val="3"/>
          <w:numId w:val="140"/>
        </w:numPr>
        <w:spacing w:before="120" w:after="0"/>
        <w:rPr>
          <w:rFonts w:ascii="Times New Roman" w:eastAsiaTheme="minorEastAsia" w:hAnsi="Times New Roman" w:cs="Times New Roman"/>
          <w:bCs/>
          <w:color w:val="0070C0"/>
          <w:sz w:val="22"/>
          <w:szCs w:val="22"/>
        </w:rPr>
      </w:pPr>
      <w:bookmarkStart w:id="88" w:name="_Toc216438882"/>
      <w:r w:rsidRPr="000118A3">
        <w:rPr>
          <w:rFonts w:ascii="Times New Roman" w:eastAsiaTheme="minorEastAsia" w:hAnsi="Times New Roman" w:cs="Times New Roman"/>
          <w:bCs/>
          <w:color w:val="0070C0"/>
          <w:sz w:val="22"/>
          <w:szCs w:val="22"/>
        </w:rPr>
        <w:t>Hazardous Waste and Heavy Metals Pollution</w:t>
      </w:r>
      <w:bookmarkEnd w:id="88"/>
    </w:p>
    <w:p w14:paraId="7C580532" w14:textId="0F50D3E2" w:rsidR="004D34F1" w:rsidRPr="000118A3" w:rsidRDefault="004D34F1" w:rsidP="00CD0DB1">
      <w:pPr>
        <w:keepNext/>
        <w:spacing w:before="120"/>
        <w:jc w:val="both"/>
        <w:rPr>
          <w:rFonts w:ascii="Times New Roman" w:hAnsi="Times New Roman" w:cs="Times New Roman"/>
          <w:sz w:val="22"/>
          <w:szCs w:val="22"/>
          <w:lang w:val="en-ID"/>
        </w:rPr>
      </w:pPr>
      <w:r w:rsidRPr="000118A3">
        <w:rPr>
          <w:rFonts w:ascii="Times New Roman" w:hAnsi="Times New Roman" w:cs="Times New Roman"/>
          <w:sz w:val="22"/>
          <w:szCs w:val="22"/>
          <w:lang w:val="en-ID"/>
        </w:rPr>
        <w:t xml:space="preserve">The chart (Figure </w:t>
      </w:r>
      <w:r w:rsidR="003519B5">
        <w:rPr>
          <w:rFonts w:ascii="Times New Roman" w:hAnsi="Times New Roman" w:cs="Times New Roman"/>
          <w:sz w:val="22"/>
          <w:szCs w:val="22"/>
          <w:lang w:val="en-ID"/>
        </w:rPr>
        <w:t>32</w:t>
      </w:r>
      <w:r w:rsidRPr="000118A3">
        <w:rPr>
          <w:rFonts w:ascii="Times New Roman" w:hAnsi="Times New Roman" w:cs="Times New Roman"/>
          <w:sz w:val="22"/>
          <w:szCs w:val="22"/>
          <w:lang w:val="en-ID"/>
        </w:rPr>
        <w:t>) illustrates the annual generation of hazardous (B3) waste across five provinces, Riau Islands, West Kalimantan, Bangka Belitung, South Sumatra, and Jambi, from 2019 to 2023. Overall, the data show moderate fluctuations but a generally increasing trend in hazardous waste production across most provinces.</w:t>
      </w:r>
    </w:p>
    <w:p w14:paraId="7BF5DF8A" w14:textId="77777777" w:rsidR="00CD0DB1" w:rsidRPr="000118A3" w:rsidRDefault="004D34F1" w:rsidP="00CD0DB1">
      <w:pPr>
        <w:keepNext/>
        <w:spacing w:before="120"/>
        <w:jc w:val="both"/>
        <w:rPr>
          <w:rFonts w:ascii="Times New Roman" w:hAnsi="Times New Roman" w:cs="Times New Roman"/>
          <w:sz w:val="22"/>
          <w:szCs w:val="22"/>
          <w:lang w:val="en-ID"/>
        </w:rPr>
      </w:pPr>
      <w:r w:rsidRPr="000118A3">
        <w:rPr>
          <w:rFonts w:ascii="Times New Roman" w:hAnsi="Times New Roman" w:cs="Times New Roman"/>
          <w:sz w:val="22"/>
          <w:szCs w:val="22"/>
          <w:lang w:val="en-ID"/>
        </w:rPr>
        <w:t>In the Riau Islands, B3 waste rose from about 82 tonnes in 2019 to a peak of approximately 84 tonnes in 2022, before decreasing slightly in 2023. West Kalimantan exhibited a steady increase from roughly 68 tonnes in 2019</w:t>
      </w:r>
      <w:r w:rsidR="00CD0DB1">
        <w:rPr>
          <w:rFonts w:ascii="Times New Roman" w:hAnsi="Times New Roman" w:cs="Times New Roman"/>
          <w:sz w:val="22"/>
          <w:szCs w:val="22"/>
          <w:lang w:val="en-ID"/>
        </w:rPr>
        <w:t xml:space="preserve"> </w:t>
      </w:r>
      <w:r w:rsidR="00CD0DB1" w:rsidRPr="000118A3">
        <w:rPr>
          <w:rFonts w:ascii="Times New Roman" w:hAnsi="Times New Roman" w:cs="Times New Roman"/>
          <w:sz w:val="22"/>
          <w:szCs w:val="22"/>
          <w:lang w:val="en-ID"/>
        </w:rPr>
        <w:t>to more than 82 tonnes in 2023, indicating a consistent upward trajectory. Bangka Belitung followed a similar pattern, increasing from around 67 tonnes in 2019 to over 84 tonnes by 2022, although values stabilized in 2023.</w:t>
      </w:r>
    </w:p>
    <w:p w14:paraId="55F644E9" w14:textId="089C1FB9" w:rsidR="004D34F1" w:rsidRPr="000118A3" w:rsidRDefault="00CD0DB1" w:rsidP="00CD0DB1">
      <w:pPr>
        <w:keepNext/>
        <w:spacing w:before="120"/>
        <w:jc w:val="both"/>
        <w:rPr>
          <w:rFonts w:ascii="Times New Roman" w:hAnsi="Times New Roman" w:cs="Times New Roman"/>
          <w:sz w:val="22"/>
          <w:szCs w:val="22"/>
          <w:lang w:val="en-ID"/>
        </w:rPr>
      </w:pPr>
      <w:r w:rsidRPr="000118A3">
        <w:rPr>
          <w:rFonts w:ascii="Times New Roman" w:hAnsi="Times New Roman" w:cs="Times New Roman"/>
          <w:sz w:val="22"/>
          <w:szCs w:val="22"/>
          <w:lang w:val="en-ID"/>
        </w:rPr>
        <w:t>South Sumatra showed relatively stable levels, ranging between 63 and 81 tonnes, with a gradual rise through 2022 before a slight decline in 2023. Jambi demonstrated moderate variability, increasing steadily from 71 tonnes in 2019 to approximately 81 tonnes in 2022, followed by a reduction in 2023</w:t>
      </w:r>
      <w:r>
        <w:rPr>
          <w:rFonts w:ascii="Times New Roman" w:hAnsi="Times New Roman" w:cs="Times New Roman"/>
          <w:sz w:val="22"/>
          <w:szCs w:val="22"/>
          <w:lang w:val="en-ID"/>
        </w:rPr>
        <w:t>.</w:t>
      </w:r>
    </w:p>
    <w:p w14:paraId="63BE74F6" w14:textId="77777777" w:rsidR="004D34F1" w:rsidRPr="000118A3" w:rsidRDefault="004D34F1" w:rsidP="00CD0DB1">
      <w:pPr>
        <w:keepNext/>
        <w:spacing w:before="120"/>
        <w:jc w:val="both"/>
        <w:rPr>
          <w:rFonts w:ascii="Times New Roman" w:hAnsi="Times New Roman" w:cs="Times New Roman"/>
          <w:sz w:val="22"/>
          <w:szCs w:val="22"/>
          <w:lang w:val="en-ID"/>
        </w:rPr>
      </w:pPr>
      <w:r w:rsidRPr="000118A3">
        <w:rPr>
          <w:rFonts w:ascii="Times New Roman" w:hAnsi="Times New Roman" w:cs="Times New Roman"/>
          <w:sz w:val="22"/>
          <w:szCs w:val="22"/>
          <w:lang w:val="en-ID"/>
        </w:rPr>
        <w:t>Overall, the provinces exhibit converging waste volumes over time, with West Kalimantan and Bangka Belitung showing the most pronounced growth.</w:t>
      </w:r>
      <w:r w:rsidRPr="000118A3">
        <w:rPr>
          <w:rFonts w:ascii="Times New Roman" w:hAnsi="Times New Roman" w:cs="Times New Roman"/>
          <w:vanish/>
          <w:sz w:val="22"/>
          <w:szCs w:val="22"/>
          <w:lang w:val="en-ID"/>
        </w:rPr>
        <w:t>Top of Form</w:t>
      </w:r>
    </w:p>
    <w:p w14:paraId="1C99E4CD" w14:textId="77777777" w:rsidR="004D34F1" w:rsidRPr="000118A3" w:rsidRDefault="004D34F1" w:rsidP="004D34F1">
      <w:pPr>
        <w:keepNext/>
        <w:rPr>
          <w:rFonts w:ascii="Times New Roman" w:hAnsi="Times New Roman" w:cs="Times New Roman"/>
          <w:sz w:val="22"/>
          <w:szCs w:val="22"/>
          <w:lang w:val="en-ID"/>
        </w:rPr>
      </w:pPr>
    </w:p>
    <w:p w14:paraId="56EB415F" w14:textId="77777777" w:rsidR="004D34F1" w:rsidRPr="000118A3" w:rsidRDefault="004D34F1" w:rsidP="004D34F1">
      <w:pPr>
        <w:keepNext/>
        <w:rPr>
          <w:rFonts w:ascii="Times New Roman" w:hAnsi="Times New Roman" w:cs="Times New Roman"/>
          <w:vanish/>
          <w:sz w:val="22"/>
          <w:szCs w:val="22"/>
          <w:lang w:val="en-ID"/>
        </w:rPr>
      </w:pPr>
      <w:r w:rsidRPr="000118A3">
        <w:rPr>
          <w:rFonts w:ascii="Times New Roman" w:hAnsi="Times New Roman" w:cs="Times New Roman"/>
          <w:vanish/>
          <w:sz w:val="22"/>
          <w:szCs w:val="22"/>
          <w:lang w:val="en-ID"/>
        </w:rPr>
        <w:t>Bottom of Form</w:t>
      </w:r>
    </w:p>
    <w:p w14:paraId="1A37BC7F" w14:textId="77777777" w:rsidR="004D34F1" w:rsidRPr="000118A3" w:rsidRDefault="004D34F1" w:rsidP="004D34F1">
      <w:pPr>
        <w:keepNext/>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2AAE4733" wp14:editId="7AEE4518">
            <wp:extent cx="5731510" cy="2041732"/>
            <wp:effectExtent l="0" t="0" r="2540" b="15875"/>
            <wp:docPr id="190860243" name="Chart 1">
              <a:extLst xmlns:a="http://schemas.openxmlformats.org/drawingml/2006/main">
                <a:ext uri="{FF2B5EF4-FFF2-40B4-BE49-F238E27FC236}">
                  <a16:creationId xmlns:a16="http://schemas.microsoft.com/office/drawing/2014/main" id="{E702F532-29FB-EF42-9AE6-E54A92F9B92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30E1B3D7" w14:textId="03078D35" w:rsidR="004D34F1" w:rsidRPr="003519B5" w:rsidRDefault="003519B5" w:rsidP="003519B5">
      <w:pPr>
        <w:pStyle w:val="Caption"/>
        <w:rPr>
          <w:rFonts w:ascii="Times New Roman" w:hAnsi="Times New Roman" w:cs="Times New Roman"/>
          <w:i w:val="0"/>
          <w:iCs w:val="0"/>
          <w:color w:val="000000" w:themeColor="text1"/>
          <w:sz w:val="22"/>
          <w:szCs w:val="22"/>
        </w:rPr>
      </w:pPr>
      <w:bookmarkStart w:id="89" w:name="_Toc211871567"/>
      <w:bookmarkStart w:id="90" w:name="_Toc217297619"/>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32</w:t>
      </w:r>
      <w:r w:rsidRPr="003519B5">
        <w:rPr>
          <w:rFonts w:ascii="Times New Roman" w:hAnsi="Times New Roman" w:cs="Times New Roman"/>
          <w:i w:val="0"/>
          <w:iCs w:val="0"/>
          <w:color w:val="000000" w:themeColor="text1"/>
          <w:sz w:val="22"/>
          <w:szCs w:val="22"/>
        </w:rPr>
        <w:fldChar w:fldCharType="end"/>
      </w:r>
      <w:r w:rsidR="004D34F1" w:rsidRPr="003519B5">
        <w:rPr>
          <w:rFonts w:ascii="Times New Roman" w:hAnsi="Times New Roman" w:cs="Times New Roman"/>
          <w:i w:val="0"/>
          <w:iCs w:val="0"/>
          <w:color w:val="000000" w:themeColor="text1"/>
          <w:sz w:val="22"/>
          <w:szCs w:val="22"/>
        </w:rPr>
        <w:t xml:space="preserve"> Volume of hazardous waste (B3) Tonnes from each of the provinces in the SCS region (source: Environment Statistics of Indonesia, 2020, 2021, 2022, 2023, 2024)</w:t>
      </w:r>
      <w:bookmarkEnd w:id="89"/>
      <w:r w:rsidR="004D34F1" w:rsidRPr="003519B5">
        <w:rPr>
          <w:rFonts w:ascii="Times New Roman" w:hAnsi="Times New Roman" w:cs="Times New Roman"/>
          <w:i w:val="0"/>
          <w:iCs w:val="0"/>
          <w:color w:val="000000" w:themeColor="text1"/>
          <w:sz w:val="22"/>
          <w:szCs w:val="22"/>
        </w:rPr>
        <w:t>.</w:t>
      </w:r>
      <w:bookmarkEnd w:id="90"/>
    </w:p>
    <w:p w14:paraId="2B84E755" w14:textId="15B6BFFB" w:rsidR="004D34F1" w:rsidRPr="000118A3" w:rsidRDefault="004D34F1" w:rsidP="00223F84">
      <w:pPr>
        <w:pStyle w:val="Heading3"/>
        <w:numPr>
          <w:ilvl w:val="3"/>
          <w:numId w:val="140"/>
        </w:numPr>
        <w:rPr>
          <w:rFonts w:ascii="Times New Roman" w:eastAsiaTheme="minorEastAsia" w:hAnsi="Times New Roman" w:cs="Times New Roman"/>
          <w:bCs/>
          <w:color w:val="0070C0"/>
          <w:sz w:val="22"/>
          <w:szCs w:val="22"/>
        </w:rPr>
      </w:pPr>
      <w:r w:rsidRPr="000118A3">
        <w:rPr>
          <w:rFonts w:ascii="Times New Roman" w:eastAsiaTheme="minorEastAsia" w:hAnsi="Times New Roman" w:cs="Times New Roman"/>
          <w:bCs/>
          <w:color w:val="0070C0"/>
          <w:sz w:val="22"/>
          <w:szCs w:val="22"/>
        </w:rPr>
        <w:lastRenderedPageBreak/>
        <w:t xml:space="preserve"> </w:t>
      </w:r>
      <w:bookmarkStart w:id="91" w:name="_Toc216438883"/>
      <w:r w:rsidRPr="000118A3">
        <w:rPr>
          <w:rFonts w:ascii="Times New Roman" w:eastAsiaTheme="minorEastAsia" w:hAnsi="Times New Roman" w:cs="Times New Roman"/>
          <w:bCs/>
          <w:color w:val="0070C0"/>
          <w:sz w:val="22"/>
          <w:szCs w:val="22"/>
        </w:rPr>
        <w:t>Domestic Liquid Waste and Solid Waste</w:t>
      </w:r>
      <w:bookmarkEnd w:id="91"/>
    </w:p>
    <w:p w14:paraId="24AB6FBD" w14:textId="680E6571" w:rsidR="004D34F1" w:rsidRPr="000118A3" w:rsidRDefault="004D34F1" w:rsidP="004D34F1">
      <w:pPr>
        <w:jc w:val="both"/>
        <w:rPr>
          <w:rFonts w:ascii="Times New Roman" w:hAnsi="Times New Roman" w:cs="Times New Roman"/>
          <w:sz w:val="22"/>
          <w:szCs w:val="22"/>
        </w:rPr>
      </w:pPr>
      <w:r w:rsidRPr="000118A3">
        <w:rPr>
          <w:rFonts w:ascii="Times New Roman" w:hAnsi="Times New Roman" w:cs="Times New Roman"/>
          <w:sz w:val="22"/>
          <w:szCs w:val="22"/>
        </w:rPr>
        <w:t xml:space="preserve">The estimation of liquid waste was derived from calculations of the organic pollution load transported by major rivers discharging into the South China Sea (see </w:t>
      </w:r>
      <w:r w:rsidRPr="000118A3">
        <w:rPr>
          <w:rFonts w:ascii="Times New Roman" w:hAnsi="Times New Roman" w:cs="Times New Roman"/>
          <w:b/>
          <w:bCs/>
          <w:sz w:val="22"/>
          <w:szCs w:val="22"/>
        </w:rPr>
        <w:t>App. 2</w:t>
      </w:r>
      <w:r w:rsidRPr="000118A3">
        <w:rPr>
          <w:rFonts w:ascii="Times New Roman" w:hAnsi="Times New Roman" w:cs="Times New Roman"/>
          <w:sz w:val="22"/>
          <w:szCs w:val="22"/>
        </w:rPr>
        <w:t xml:space="preserve"> for methodological details).  The South China Sea (SCS), particularly the Indonesian sector, also receives discharges originating from land-based activities, specifically from Sumatra, Bangka Belitung, and West Kalimantan. The terrestrial pollution load enters the SCS through several rivers, including the Musi River (South Sumatra), the Siak River (Riau), the Batanghari River (Jambi), rivers in Bintan, and the Kapuas River (West Kalimantan). Figure </w:t>
      </w:r>
      <w:r w:rsidR="00787A8D">
        <w:rPr>
          <w:rFonts w:ascii="Times New Roman" w:hAnsi="Times New Roman" w:cs="Times New Roman"/>
          <w:sz w:val="22"/>
          <w:szCs w:val="22"/>
        </w:rPr>
        <w:t>4.6</w:t>
      </w:r>
      <w:r w:rsidRPr="000118A3">
        <w:rPr>
          <w:rFonts w:ascii="Times New Roman" w:hAnsi="Times New Roman" w:cs="Times New Roman"/>
          <w:sz w:val="22"/>
          <w:szCs w:val="22"/>
        </w:rPr>
        <w:t xml:space="preserve"> presents the discharge volumes of each of these rivers.</w:t>
      </w:r>
    </w:p>
    <w:p w14:paraId="5FEA608D" w14:textId="77777777" w:rsidR="004D34F1" w:rsidRPr="000118A3" w:rsidRDefault="004D34F1" w:rsidP="004D34F1">
      <w:pPr>
        <w:jc w:val="center"/>
        <w:rPr>
          <w:rFonts w:ascii="Times New Roman" w:hAnsi="Times New Roman" w:cs="Times New Roman"/>
          <w:noProof/>
          <w:sz w:val="22"/>
          <w:szCs w:val="22"/>
        </w:rPr>
      </w:pPr>
      <w:r w:rsidRPr="000118A3">
        <w:rPr>
          <w:rFonts w:ascii="Times New Roman" w:hAnsi="Times New Roman" w:cs="Times New Roman"/>
          <w:noProof/>
          <w:sz w:val="22"/>
          <w:szCs w:val="22"/>
        </w:rPr>
        <w:drawing>
          <wp:inline distT="0" distB="0" distL="0" distR="0" wp14:anchorId="489FF8BD" wp14:editId="3C163EF4">
            <wp:extent cx="5197965" cy="1705503"/>
            <wp:effectExtent l="0" t="0" r="3175" b="9525"/>
            <wp:docPr id="1412627336" name="Chart 1">
              <a:extLst xmlns:a="http://schemas.openxmlformats.org/drawingml/2006/main">
                <a:ext uri="{FF2B5EF4-FFF2-40B4-BE49-F238E27FC236}">
                  <a16:creationId xmlns:a16="http://schemas.microsoft.com/office/drawing/2014/main" id="{5F8DE499-E0CB-1D52-EC22-B5E247ED92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3D86F895" w14:textId="77777777" w:rsidR="004D34F1" w:rsidRPr="000118A3" w:rsidRDefault="004D34F1" w:rsidP="004D34F1">
      <w:pPr>
        <w:jc w:val="center"/>
        <w:rPr>
          <w:rFonts w:ascii="Times New Roman" w:hAnsi="Times New Roman" w:cs="Times New Roman"/>
          <w:noProof/>
          <w:sz w:val="22"/>
          <w:szCs w:val="22"/>
        </w:rPr>
      </w:pPr>
      <w:r w:rsidRPr="000118A3">
        <w:rPr>
          <w:rFonts w:ascii="Times New Roman" w:hAnsi="Times New Roman" w:cs="Times New Roman"/>
          <w:noProof/>
          <w:sz w:val="22"/>
          <w:szCs w:val="22"/>
        </w:rPr>
        <w:drawing>
          <wp:inline distT="0" distB="0" distL="0" distR="0" wp14:anchorId="3C79FDBE" wp14:editId="2F083977">
            <wp:extent cx="5216376" cy="1791420"/>
            <wp:effectExtent l="0" t="0" r="3810" b="18415"/>
            <wp:docPr id="1874786625" name="Chart 1">
              <a:extLst xmlns:a="http://schemas.openxmlformats.org/drawingml/2006/main">
                <a:ext uri="{FF2B5EF4-FFF2-40B4-BE49-F238E27FC236}">
                  <a16:creationId xmlns:a16="http://schemas.microsoft.com/office/drawing/2014/main" id="{283758E1-B14B-4DCE-86EA-C912D3305E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7DFB5387" w14:textId="77777777" w:rsidR="004D34F1" w:rsidRPr="000118A3" w:rsidRDefault="004D34F1" w:rsidP="004D34F1">
      <w:pPr>
        <w:keepNext/>
        <w:jc w:val="center"/>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69916318" wp14:editId="099379E5">
            <wp:extent cx="5228650" cy="1834379"/>
            <wp:effectExtent l="0" t="0" r="10160" b="13970"/>
            <wp:docPr id="1399158395" name="Chart 1">
              <a:extLst xmlns:a="http://schemas.openxmlformats.org/drawingml/2006/main">
                <a:ext uri="{FF2B5EF4-FFF2-40B4-BE49-F238E27FC236}">
                  <a16:creationId xmlns:a16="http://schemas.microsoft.com/office/drawing/2014/main" id="{622C4D3C-E9A2-4DE0-8FDE-D800204AE1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2DC0555C" w14:textId="2DB1CAD2" w:rsidR="004D34F1" w:rsidRPr="000118A3" w:rsidRDefault="003519B5" w:rsidP="003519B5">
      <w:pPr>
        <w:pStyle w:val="Caption"/>
        <w:rPr>
          <w:rFonts w:ascii="Times New Roman" w:hAnsi="Times New Roman" w:cs="Times New Roman"/>
          <w:i w:val="0"/>
          <w:iCs w:val="0"/>
          <w:noProof/>
          <w:color w:val="auto"/>
          <w:sz w:val="22"/>
          <w:szCs w:val="22"/>
        </w:rPr>
      </w:pPr>
      <w:bookmarkStart w:id="92" w:name="_Toc211871584"/>
      <w:bookmarkStart w:id="93" w:name="_Toc217297620"/>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33</w:t>
      </w:r>
      <w:r w:rsidRPr="003519B5">
        <w:rPr>
          <w:rFonts w:ascii="Times New Roman" w:hAnsi="Times New Roman" w:cs="Times New Roman"/>
          <w:i w:val="0"/>
          <w:iCs w:val="0"/>
          <w:color w:val="000000" w:themeColor="text1"/>
          <w:sz w:val="22"/>
          <w:szCs w:val="22"/>
        </w:rPr>
        <w:fldChar w:fldCharType="end"/>
      </w:r>
      <w:r w:rsidR="004D34F1" w:rsidRPr="003519B5">
        <w:rPr>
          <w:rFonts w:ascii="Times New Roman" w:hAnsi="Times New Roman" w:cs="Times New Roman"/>
          <w:i w:val="0"/>
          <w:iCs w:val="0"/>
          <w:color w:val="000000" w:themeColor="text1"/>
          <w:sz w:val="22"/>
          <w:szCs w:val="22"/>
        </w:rPr>
        <w:t xml:space="preserve">  </w:t>
      </w:r>
      <w:r w:rsidR="004D34F1" w:rsidRPr="000118A3">
        <w:rPr>
          <w:rFonts w:ascii="Times New Roman" w:hAnsi="Times New Roman" w:cs="Times New Roman"/>
          <w:i w:val="0"/>
          <w:iCs w:val="0"/>
          <w:color w:val="auto"/>
          <w:sz w:val="22"/>
          <w:szCs w:val="22"/>
        </w:rPr>
        <w:t>Annual riverine pollutant loads of NH</w:t>
      </w:r>
      <w:r w:rsidR="004D34F1" w:rsidRPr="000118A3">
        <w:rPr>
          <w:rFonts w:ascii="Times New Roman" w:hAnsi="Times New Roman" w:cs="Times New Roman"/>
          <w:i w:val="0"/>
          <w:iCs w:val="0"/>
          <w:color w:val="auto"/>
          <w:sz w:val="22"/>
          <w:szCs w:val="22"/>
          <w:vertAlign w:val="subscript"/>
        </w:rPr>
        <w:t>3</w:t>
      </w:r>
      <w:r w:rsidR="004D34F1" w:rsidRPr="000118A3">
        <w:rPr>
          <w:rFonts w:ascii="Times New Roman" w:hAnsi="Times New Roman" w:cs="Times New Roman"/>
          <w:i w:val="0"/>
          <w:iCs w:val="0"/>
          <w:color w:val="auto"/>
          <w:sz w:val="22"/>
          <w:szCs w:val="22"/>
        </w:rPr>
        <w:t>-N (upper chart), TSS (middle chart) and Total Coliform (lower chart) of each river into South China Sea waters (source: data analysis 2025)</w:t>
      </w:r>
      <w:bookmarkEnd w:id="92"/>
      <w:bookmarkEnd w:id="93"/>
    </w:p>
    <w:p w14:paraId="469772E1" w14:textId="77777777" w:rsidR="004D34F1" w:rsidRPr="000118A3" w:rsidRDefault="004D34F1" w:rsidP="004D34F1">
      <w:pPr>
        <w:jc w:val="both"/>
        <w:rPr>
          <w:rFonts w:ascii="Times New Roman" w:hAnsi="Times New Roman" w:cs="Times New Roman"/>
          <w:sz w:val="22"/>
          <w:szCs w:val="22"/>
          <w:lang w:val="en-ID"/>
        </w:rPr>
      </w:pPr>
      <w:r w:rsidRPr="000118A3">
        <w:rPr>
          <w:rFonts w:ascii="Times New Roman" w:hAnsi="Times New Roman" w:cs="Times New Roman"/>
          <w:sz w:val="22"/>
          <w:szCs w:val="22"/>
        </w:rPr>
        <w:t>Riverine organic pollution load analysis in the South China Sea (SCS) indicates that the Kapuas River (West Kalimantan) contributes the highest NH₃-N load (~700,000 tonnes yr⁻¹), followed by the Batanghari River (Jambi, ~300,000 tonnes yr⁻¹) and South Sumatra (&lt;200,000 tonnes yr⁻¹). The Siak and Bangka Belitung rivers show lower loads (&lt;50,000 tonnes yr⁻¹), while Bintan records negligible levels. Similar patterns occur for TSS and coliforms, reflecting spatial variation driven by watershed scale, land-use intensity, and anthropogenic inputs across SCS river systems.</w:t>
      </w:r>
    </w:p>
    <w:p w14:paraId="3B1EEE04" w14:textId="15CA3E00" w:rsidR="004D34F1" w:rsidRPr="000118A3" w:rsidRDefault="004D34F1" w:rsidP="00787A8D">
      <w:pPr>
        <w:spacing w:before="120"/>
        <w:jc w:val="both"/>
        <w:rPr>
          <w:rFonts w:ascii="Times New Roman" w:hAnsi="Times New Roman" w:cs="Times New Roman"/>
          <w:sz w:val="22"/>
          <w:szCs w:val="22"/>
          <w:lang w:val="en-ID"/>
        </w:rPr>
      </w:pPr>
      <w:r w:rsidRPr="000118A3">
        <w:rPr>
          <w:rFonts w:ascii="Times New Roman" w:hAnsi="Times New Roman" w:cs="Times New Roman"/>
          <w:sz w:val="22"/>
          <w:szCs w:val="22"/>
        </w:rPr>
        <w:t xml:space="preserve">Solid waste generation across South China Sea–bordering provinces in 2022–2023 showed pronounced spatial variation. Kota Batam (Riau Islands Province) recorded the highest waste load (&gt;400,000 tonnes yr⁻¹), followed by Kota Pontianak (West Kalimantan Province) and Musi Banyuasin (South Sumatera Province), while smaller </w:t>
      </w:r>
      <w:r w:rsidRPr="000118A3">
        <w:rPr>
          <w:rFonts w:ascii="Times New Roman" w:hAnsi="Times New Roman" w:cs="Times New Roman"/>
          <w:sz w:val="22"/>
          <w:szCs w:val="22"/>
        </w:rPr>
        <w:lastRenderedPageBreak/>
        <w:t xml:space="preserve">municipalities such as Lingga, Karimun (Riau Islands Province), and Bangka Tengah produced &lt;50,000 tonnes yr⁻¹. Provincial totals were greatest in Riau Islands and West Kalimantan (Figure </w:t>
      </w:r>
      <w:r w:rsidR="003519B5">
        <w:rPr>
          <w:rFonts w:ascii="Times New Roman" w:hAnsi="Times New Roman" w:cs="Times New Roman"/>
          <w:sz w:val="22"/>
          <w:szCs w:val="22"/>
        </w:rPr>
        <w:t>34</w:t>
      </w:r>
      <w:r w:rsidRPr="000118A3">
        <w:rPr>
          <w:rFonts w:ascii="Times New Roman" w:hAnsi="Times New Roman" w:cs="Times New Roman"/>
          <w:sz w:val="22"/>
          <w:szCs w:val="22"/>
        </w:rPr>
        <w:t>). Between 2022 and 2023, Batam, Pontianak, and Bangka Selatan experienced waste increases linked to urban and industrial growth, whereas Musi Banyuasin and Ogan Komering Ulu Timur showed slight declines, indicating improved collection efficiency or waste reduction efforts.</w:t>
      </w:r>
    </w:p>
    <w:p w14:paraId="2C9DE5D9" w14:textId="77777777" w:rsidR="004D34F1" w:rsidRPr="000118A3" w:rsidRDefault="004D34F1" w:rsidP="004D34F1">
      <w:pPr>
        <w:rPr>
          <w:rFonts w:ascii="Times New Roman" w:hAnsi="Times New Roman" w:cs="Times New Roman"/>
          <w:sz w:val="22"/>
          <w:szCs w:val="22"/>
        </w:rPr>
      </w:pPr>
    </w:p>
    <w:p w14:paraId="408779DE" w14:textId="77777777" w:rsidR="004D34F1" w:rsidRPr="000118A3" w:rsidRDefault="004D34F1" w:rsidP="004D34F1">
      <w:pPr>
        <w:keepNext/>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79B8086D" wp14:editId="24282D51">
            <wp:extent cx="5731510" cy="2650902"/>
            <wp:effectExtent l="0" t="0" r="2540" b="16510"/>
            <wp:docPr id="35577233" name="Chart 1">
              <a:extLst xmlns:a="http://schemas.openxmlformats.org/drawingml/2006/main">
                <a:ext uri="{FF2B5EF4-FFF2-40B4-BE49-F238E27FC236}">
                  <a16:creationId xmlns:a16="http://schemas.microsoft.com/office/drawing/2014/main" id="{2AFC6664-D712-B36E-EEB8-7B95DA896C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5263AA6F" w14:textId="7E1F5B4F" w:rsidR="004D34F1" w:rsidRPr="000118A3" w:rsidRDefault="003519B5" w:rsidP="003519B5">
      <w:pPr>
        <w:pStyle w:val="Caption"/>
        <w:rPr>
          <w:rFonts w:ascii="Times New Roman" w:hAnsi="Times New Roman" w:cs="Times New Roman"/>
        </w:rPr>
      </w:pPr>
      <w:bookmarkStart w:id="94" w:name="_Toc211871568"/>
      <w:bookmarkStart w:id="95" w:name="_Toc217297621"/>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34</w:t>
      </w:r>
      <w:r w:rsidRPr="003519B5">
        <w:rPr>
          <w:rFonts w:ascii="Times New Roman" w:hAnsi="Times New Roman" w:cs="Times New Roman"/>
          <w:i w:val="0"/>
          <w:iCs w:val="0"/>
          <w:color w:val="000000" w:themeColor="text1"/>
          <w:sz w:val="22"/>
          <w:szCs w:val="22"/>
        </w:rPr>
        <w:fldChar w:fldCharType="end"/>
      </w:r>
      <w:r w:rsidR="004D34F1" w:rsidRPr="003519B5">
        <w:rPr>
          <w:rFonts w:ascii="Times New Roman" w:hAnsi="Times New Roman" w:cs="Times New Roman"/>
          <w:i w:val="0"/>
          <w:iCs w:val="0"/>
          <w:color w:val="000000" w:themeColor="text1"/>
          <w:sz w:val="22"/>
          <w:szCs w:val="22"/>
        </w:rPr>
        <w:t xml:space="preserve"> Annual solid waste generation based on municipality, regencies and provinces 2022-2023 (source: Environment Statistics of Indonesia, 2020, 2021, 2022, 2023, 2024</w:t>
      </w:r>
      <w:r w:rsidR="004D34F1" w:rsidRPr="000118A3">
        <w:rPr>
          <w:rFonts w:ascii="Times New Roman" w:hAnsi="Times New Roman" w:cs="Times New Roman"/>
        </w:rPr>
        <w:t>)</w:t>
      </w:r>
      <w:bookmarkEnd w:id="94"/>
      <w:r w:rsidR="004D34F1" w:rsidRPr="000118A3">
        <w:rPr>
          <w:rFonts w:ascii="Times New Roman" w:hAnsi="Times New Roman" w:cs="Times New Roman"/>
        </w:rPr>
        <w:t>.</w:t>
      </w:r>
      <w:bookmarkEnd w:id="95"/>
    </w:p>
    <w:p w14:paraId="18D03562" w14:textId="0741F2D4" w:rsidR="0034440A" w:rsidRPr="000118A3" w:rsidRDefault="0034440A" w:rsidP="00223F84">
      <w:pPr>
        <w:pStyle w:val="Heading3"/>
        <w:numPr>
          <w:ilvl w:val="3"/>
          <w:numId w:val="140"/>
        </w:numPr>
        <w:ind w:left="709" w:hanging="709"/>
        <w:rPr>
          <w:rFonts w:ascii="Times New Roman" w:eastAsiaTheme="minorEastAsia" w:hAnsi="Times New Roman" w:cs="Times New Roman"/>
          <w:bCs/>
          <w:color w:val="0070C0"/>
          <w:sz w:val="22"/>
          <w:szCs w:val="22"/>
        </w:rPr>
      </w:pPr>
      <w:bookmarkStart w:id="96" w:name="_Toc216438884"/>
      <w:r w:rsidRPr="000118A3">
        <w:rPr>
          <w:rFonts w:ascii="Times New Roman" w:eastAsiaTheme="minorEastAsia" w:hAnsi="Times New Roman" w:cs="Times New Roman"/>
          <w:bCs/>
          <w:color w:val="0070C0"/>
          <w:sz w:val="22"/>
          <w:szCs w:val="22"/>
        </w:rPr>
        <w:t>Oil Pollution</w:t>
      </w:r>
      <w:bookmarkEnd w:id="96"/>
    </w:p>
    <w:p w14:paraId="2A5E78FB" w14:textId="03005B7F" w:rsidR="0034440A" w:rsidRDefault="0034440A" w:rsidP="00787A8D">
      <w:pPr>
        <w:jc w:val="both"/>
        <w:rPr>
          <w:rFonts w:ascii="Times New Roman" w:hAnsi="Times New Roman" w:cs="Times New Roman"/>
          <w:sz w:val="22"/>
          <w:szCs w:val="22"/>
        </w:rPr>
      </w:pPr>
      <w:r w:rsidRPr="000118A3">
        <w:rPr>
          <w:rFonts w:ascii="Times New Roman" w:hAnsi="Times New Roman" w:cs="Times New Roman"/>
          <w:sz w:val="22"/>
          <w:szCs w:val="22"/>
        </w:rPr>
        <w:t>A recurrent major oil pollution event identified in the study area is the stranding of oil sludge along the northern coast of Bintan Island, likely originating from ship tank-cleaning operations in adjacent international waters. These incidents consistently occur during the northeast monsoon, when prevailing currents transport pollutants southward, resulting in the accumulation of residues along Bintan’s shoreline. The seasonal regularity of these events suggests strong hydrodynamic influence and highlights the need for enhanced regional monitoring and stricter enforcement of maritime waste discharge regulations.  The stranding of oil sludge along the northern coast of Bintan Island has caused significant losses, particularly to marine tourism activities in the area. The recurring contamination has disrupted beach operations, reduced visitor numbers, and negatively affected the overall attractiveness and economic value of the coastal tourism sector (</w:t>
      </w:r>
      <w:r w:rsidRPr="000118A3">
        <w:rPr>
          <w:rFonts w:ascii="Times New Roman" w:hAnsi="Times New Roman" w:cs="Times New Roman"/>
          <w:b/>
          <w:bCs/>
          <w:sz w:val="22"/>
          <w:szCs w:val="22"/>
        </w:rPr>
        <w:t>Purnaweni et al., 2022</w:t>
      </w:r>
      <w:r w:rsidRPr="000118A3">
        <w:rPr>
          <w:rFonts w:ascii="Times New Roman" w:hAnsi="Times New Roman" w:cs="Times New Roman"/>
          <w:sz w:val="22"/>
          <w:szCs w:val="22"/>
        </w:rPr>
        <w:t>).</w:t>
      </w:r>
    </w:p>
    <w:p w14:paraId="05A193F9" w14:textId="77777777" w:rsidR="00787A8D" w:rsidRPr="000118A3" w:rsidRDefault="00787A8D" w:rsidP="00787A8D">
      <w:pPr>
        <w:jc w:val="both"/>
        <w:rPr>
          <w:rFonts w:ascii="Times New Roman" w:hAnsi="Times New Roman" w:cs="Times New Roman"/>
          <w:sz w:val="22"/>
          <w:szCs w:val="22"/>
        </w:rPr>
      </w:pPr>
    </w:p>
    <w:p w14:paraId="2699F39E" w14:textId="493F348F" w:rsidR="004D34F1" w:rsidRPr="000118A3" w:rsidRDefault="004D34F1" w:rsidP="00787A8D">
      <w:pPr>
        <w:pStyle w:val="Heading3"/>
        <w:numPr>
          <w:ilvl w:val="3"/>
          <w:numId w:val="140"/>
        </w:numPr>
        <w:spacing w:before="0" w:after="0"/>
        <w:ind w:left="709" w:hanging="709"/>
        <w:rPr>
          <w:rFonts w:ascii="Times New Roman" w:eastAsiaTheme="minorEastAsia" w:hAnsi="Times New Roman" w:cs="Times New Roman"/>
          <w:bCs/>
          <w:color w:val="0070C0"/>
          <w:sz w:val="22"/>
          <w:szCs w:val="22"/>
        </w:rPr>
      </w:pPr>
      <w:bookmarkStart w:id="97" w:name="_Toc216438885"/>
      <w:r w:rsidRPr="000118A3">
        <w:rPr>
          <w:rFonts w:ascii="Times New Roman" w:eastAsiaTheme="minorEastAsia" w:hAnsi="Times New Roman" w:cs="Times New Roman"/>
          <w:bCs/>
          <w:color w:val="0070C0"/>
          <w:sz w:val="22"/>
          <w:szCs w:val="22"/>
        </w:rPr>
        <w:t>Atmospheric Pollution</w:t>
      </w:r>
      <w:bookmarkEnd w:id="97"/>
      <w:r w:rsidRPr="000118A3">
        <w:rPr>
          <w:rFonts w:ascii="Times New Roman" w:eastAsiaTheme="minorEastAsia" w:hAnsi="Times New Roman" w:cs="Times New Roman"/>
          <w:bCs/>
          <w:color w:val="0070C0"/>
          <w:sz w:val="22"/>
          <w:szCs w:val="22"/>
        </w:rPr>
        <w:t xml:space="preserve"> </w:t>
      </w:r>
    </w:p>
    <w:p w14:paraId="21ACE5C2" w14:textId="12DF9669" w:rsidR="004D34F1" w:rsidRDefault="004D34F1" w:rsidP="00787A8D">
      <w:pPr>
        <w:pStyle w:val="BodyText"/>
        <w:spacing w:before="120" w:after="0" w:line="240" w:lineRule="auto"/>
        <w:jc w:val="both"/>
        <w:rPr>
          <w:rFonts w:ascii="Times New Roman" w:hAnsi="Times New Roman" w:cs="Times New Roman"/>
        </w:rPr>
      </w:pPr>
      <w:r w:rsidRPr="000118A3">
        <w:rPr>
          <w:rFonts w:ascii="Times New Roman" w:hAnsi="Times New Roman" w:cs="Times New Roman"/>
        </w:rPr>
        <w:t>Atmospheric and deposition studies across the South China Sea (SCS) region reveal distinct pollution dynamics modulated by climatic variability. Observations at Taiping Island and SCS cruises reported GEM concentrations of ~1.3–1.5 ng m⁻³, with RGM and particulate Hg in the pg m⁻³ range (Yeh et al., 2021; Wang et al., 2019). Acid deposition and particulate matter levels increase notably during ENSO and biomass-burning periods, especially in Sumatra and West Kalimantan (Budiwati et al., 2016; Kusumaningtyas, 2013). Elevated Pb, Cd, and As levels in Natuna’s coastal sediments (Rahayu et al., 2016) and persistent high PM₂.₅ concentrations over the Indonesian Maritime Continent (Napitupulu et al., 2024) highlight the combined influence of regional emissions, monsoon-driven transport, and interannual climate variability on atmospheric and coastal pollution.</w:t>
      </w:r>
    </w:p>
    <w:p w14:paraId="315B012A" w14:textId="12DD52FC" w:rsidR="003F19BD" w:rsidRPr="000118A3" w:rsidRDefault="003F19BD" w:rsidP="007F0F81">
      <w:pPr>
        <w:pStyle w:val="BodyText"/>
        <w:numPr>
          <w:ilvl w:val="1"/>
          <w:numId w:val="140"/>
        </w:numPr>
        <w:spacing w:before="240" w:after="0" w:line="240" w:lineRule="auto"/>
        <w:ind w:left="425" w:hanging="357"/>
        <w:outlineLvl w:val="1"/>
        <w:rPr>
          <w:rFonts w:ascii="Times New Roman" w:hAnsi="Times New Roman" w:cs="Times New Roman"/>
          <w:b/>
          <w:bCs/>
          <w:color w:val="0070C0"/>
        </w:rPr>
      </w:pPr>
      <w:bookmarkStart w:id="98" w:name="_Toc212449415"/>
      <w:bookmarkStart w:id="99" w:name="_Toc217297555"/>
      <w:r w:rsidRPr="000118A3">
        <w:rPr>
          <w:rFonts w:ascii="Times New Roman" w:hAnsi="Times New Roman" w:cs="Times New Roman"/>
          <w:b/>
          <w:bCs/>
          <w:color w:val="0070C0"/>
        </w:rPr>
        <w:t>Pollution Hotspots and Sensitive Areas</w:t>
      </w:r>
      <w:bookmarkEnd w:id="98"/>
      <w:bookmarkEnd w:id="99"/>
    </w:p>
    <w:p w14:paraId="7597E336" w14:textId="39B5BD9B" w:rsidR="004D34F1" w:rsidRPr="007F0F81" w:rsidRDefault="007F0F81" w:rsidP="007F0F81">
      <w:pPr>
        <w:rPr>
          <w:rFonts w:ascii="Times New Roman" w:eastAsiaTheme="minorEastAsia" w:hAnsi="Times New Roman" w:cs="Times New Roman"/>
          <w:b/>
          <w:color w:val="0070C0"/>
          <w:sz w:val="22"/>
          <w:szCs w:val="22"/>
        </w:rPr>
      </w:pPr>
      <w:bookmarkStart w:id="100" w:name="_Toc216438886"/>
      <w:r w:rsidRPr="007F0F81">
        <w:rPr>
          <w:rFonts w:ascii="Times New Roman" w:eastAsiaTheme="minorEastAsia" w:hAnsi="Times New Roman" w:cs="Times New Roman"/>
          <w:b/>
          <w:color w:val="0070C0"/>
          <w:sz w:val="22"/>
          <w:szCs w:val="22"/>
        </w:rPr>
        <w:t xml:space="preserve">4.4.1 </w:t>
      </w:r>
      <w:r w:rsidR="004D34F1" w:rsidRPr="007F0F81">
        <w:rPr>
          <w:rFonts w:ascii="Times New Roman" w:eastAsiaTheme="minorEastAsia" w:hAnsi="Times New Roman" w:cs="Times New Roman"/>
          <w:b/>
          <w:color w:val="0070C0"/>
          <w:sz w:val="22"/>
          <w:szCs w:val="22"/>
        </w:rPr>
        <w:t>River Pollution Level</w:t>
      </w:r>
      <w:bookmarkEnd w:id="100"/>
    </w:p>
    <w:p w14:paraId="37192713" w14:textId="77777777" w:rsidR="004D34F1" w:rsidRPr="000118A3" w:rsidRDefault="004D34F1" w:rsidP="00787A8D">
      <w:pPr>
        <w:spacing w:before="120"/>
        <w:jc w:val="both"/>
        <w:rPr>
          <w:rFonts w:ascii="Times New Roman" w:hAnsi="Times New Roman" w:cs="Times New Roman"/>
          <w:sz w:val="22"/>
          <w:szCs w:val="22"/>
          <w:lang w:val="en-ID"/>
        </w:rPr>
      </w:pPr>
      <w:r w:rsidRPr="000118A3">
        <w:rPr>
          <w:rFonts w:ascii="Times New Roman" w:hAnsi="Times New Roman" w:cs="Times New Roman"/>
          <w:sz w:val="22"/>
          <w:szCs w:val="22"/>
          <w:lang w:val="en-ID"/>
        </w:rPr>
        <w:t xml:space="preserve">From the compilation of secondary data derived from monitoring activities conducted by the environmental agencies of each province, the following detailed data have been obtained (Environmental statistics of Indonesia, 2020-2024).  The methods of the River Water Quality Index analysis is described in the </w:t>
      </w:r>
      <w:r w:rsidRPr="000118A3">
        <w:rPr>
          <w:rFonts w:ascii="Times New Roman" w:hAnsi="Times New Roman" w:cs="Times New Roman"/>
          <w:b/>
          <w:bCs/>
          <w:sz w:val="22"/>
          <w:szCs w:val="22"/>
          <w:lang w:val="en-ID"/>
        </w:rPr>
        <w:t>App. 3</w:t>
      </w:r>
      <w:r w:rsidRPr="000118A3">
        <w:rPr>
          <w:rFonts w:ascii="Times New Roman" w:hAnsi="Times New Roman" w:cs="Times New Roman"/>
          <w:sz w:val="22"/>
          <w:szCs w:val="22"/>
          <w:lang w:val="en-ID"/>
        </w:rPr>
        <w:t xml:space="preserve"> </w:t>
      </w:r>
      <w:r w:rsidRPr="000118A3">
        <w:rPr>
          <w:rFonts w:ascii="Times New Roman" w:hAnsi="Times New Roman" w:cs="Times New Roman"/>
          <w:sz w:val="22"/>
          <w:szCs w:val="22"/>
        </w:rPr>
        <w:lastRenderedPageBreak/>
        <w:t>involving water quality parameters such as pH, BOD, COD, TSS, DO, NO₃-N, total phosphate, and fecal coliform.</w:t>
      </w:r>
    </w:p>
    <w:p w14:paraId="194D7DAE" w14:textId="3A83114F" w:rsidR="00A62B0F" w:rsidRPr="000118A3" w:rsidRDefault="004D34F1" w:rsidP="00787A8D">
      <w:pPr>
        <w:pStyle w:val="Caption"/>
        <w:spacing w:before="120" w:after="0"/>
        <w:jc w:val="both"/>
        <w:rPr>
          <w:rFonts w:ascii="Times New Roman" w:hAnsi="Times New Roman" w:cs="Times New Roman"/>
          <w:i w:val="0"/>
          <w:iCs w:val="0"/>
          <w:color w:val="auto"/>
          <w:sz w:val="22"/>
          <w:szCs w:val="22"/>
        </w:rPr>
      </w:pPr>
      <w:bookmarkStart w:id="101" w:name="_Toc211871397"/>
      <w:r w:rsidRPr="000118A3">
        <w:rPr>
          <w:rFonts w:ascii="Times New Roman" w:hAnsi="Times New Roman" w:cs="Times New Roman"/>
          <w:i w:val="0"/>
          <w:iCs w:val="0"/>
          <w:color w:val="auto"/>
          <w:sz w:val="22"/>
          <w:szCs w:val="22"/>
        </w:rPr>
        <w:t xml:space="preserve">Figure </w:t>
      </w:r>
      <w:r w:rsidR="00787A8D">
        <w:rPr>
          <w:rFonts w:ascii="Times New Roman" w:hAnsi="Times New Roman" w:cs="Times New Roman"/>
          <w:i w:val="0"/>
          <w:iCs w:val="0"/>
          <w:color w:val="auto"/>
          <w:sz w:val="22"/>
          <w:szCs w:val="22"/>
        </w:rPr>
        <w:t>4.8.</w:t>
      </w:r>
      <w:r w:rsidRPr="000118A3">
        <w:rPr>
          <w:rFonts w:ascii="Times New Roman" w:hAnsi="Times New Roman" w:cs="Times New Roman"/>
          <w:i w:val="0"/>
          <w:iCs w:val="0"/>
          <w:color w:val="auto"/>
          <w:sz w:val="22"/>
          <w:szCs w:val="22"/>
        </w:rPr>
        <w:t xml:space="preserve"> shows that the River Water Quality Index (RWQI) for six South China Sea–bordering provinces (2019–2023) ranged from poor to moderate, reflecting persistent pollution pressures. Bangka Belitung recorded the highest scores (65–70, moderate), while South Sumatra showed moderate but slightly declining quality. Jambi exhibited the poorest conditions (&lt;50), likely due to domestic and agricultural discharges, </w:t>
      </w:r>
      <w:r w:rsidRPr="000118A3">
        <w:rPr>
          <w:rFonts w:ascii="Times New Roman" w:hAnsi="Times New Roman" w:cs="Times New Roman"/>
          <w:i w:val="0"/>
          <w:iCs w:val="0"/>
          <w:color w:val="auto"/>
          <w:sz w:val="22"/>
          <w:szCs w:val="22"/>
          <w:lang w:val="en-ID"/>
        </w:rPr>
        <w:t xml:space="preserve">as reflected by the high values of the total fecal coliform microbial parameter.  </w:t>
      </w:r>
      <w:r w:rsidRPr="000118A3">
        <w:rPr>
          <w:rFonts w:ascii="Times New Roman" w:hAnsi="Times New Roman" w:cs="Times New Roman"/>
          <w:i w:val="0"/>
          <w:iCs w:val="0"/>
          <w:color w:val="auto"/>
          <w:sz w:val="22"/>
          <w:szCs w:val="22"/>
        </w:rPr>
        <w:t>Riau, Riau Islands, and West Kalimantan remained borderline poor–moderate (50–60), indicating continued urban and wastewater stress. A slight overall decline from 2022–2023 suggests worsening river conditions. No province achieved good status, underscoring the need for strengthened wastewater management and pollution control measures</w:t>
      </w:r>
      <w:r w:rsidR="00787A8D">
        <w:rPr>
          <w:rFonts w:ascii="Times New Roman" w:hAnsi="Times New Roman" w:cs="Times New Roman"/>
          <w:i w:val="0"/>
          <w:iCs w:val="0"/>
          <w:color w:val="auto"/>
          <w:sz w:val="22"/>
          <w:szCs w:val="22"/>
        </w:rPr>
        <w:t>.</w:t>
      </w:r>
    </w:p>
    <w:p w14:paraId="2E4CFC4E" w14:textId="27E50DC1" w:rsidR="004D34F1" w:rsidRPr="000118A3" w:rsidRDefault="004D34F1" w:rsidP="00787A8D">
      <w:pPr>
        <w:pStyle w:val="Caption"/>
        <w:spacing w:before="120" w:after="0"/>
        <w:jc w:val="center"/>
        <w:rPr>
          <w:rFonts w:ascii="Times New Roman" w:hAnsi="Times New Roman" w:cs="Times New Roman"/>
          <w:sz w:val="22"/>
          <w:szCs w:val="22"/>
        </w:rPr>
      </w:pPr>
      <w:r w:rsidRPr="000118A3">
        <w:rPr>
          <w:rFonts w:ascii="Times New Roman" w:hAnsi="Times New Roman" w:cs="Times New Roman"/>
          <w:i w:val="0"/>
          <w:iCs w:val="0"/>
          <w:color w:val="auto"/>
          <w:sz w:val="22"/>
          <w:szCs w:val="22"/>
        </w:rPr>
        <w:t>.</w:t>
      </w:r>
      <w:bookmarkEnd w:id="101"/>
      <w:r w:rsidRPr="000118A3">
        <w:rPr>
          <w:rFonts w:ascii="Times New Roman" w:hAnsi="Times New Roman" w:cs="Times New Roman"/>
          <w:noProof/>
          <w:sz w:val="22"/>
          <w:szCs w:val="22"/>
        </w:rPr>
        <w:drawing>
          <wp:inline distT="0" distB="0" distL="0" distR="0" wp14:anchorId="6B749EF3" wp14:editId="7402B547">
            <wp:extent cx="5731510" cy="3388360"/>
            <wp:effectExtent l="0" t="0" r="2540" b="2540"/>
            <wp:docPr id="13511557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731510" cy="3388360"/>
                    </a:xfrm>
                    <a:prstGeom prst="rect">
                      <a:avLst/>
                    </a:prstGeom>
                    <a:noFill/>
                    <a:ln>
                      <a:noFill/>
                    </a:ln>
                  </pic:spPr>
                </pic:pic>
              </a:graphicData>
            </a:graphic>
          </wp:inline>
        </w:drawing>
      </w:r>
    </w:p>
    <w:p w14:paraId="5A780B62" w14:textId="5AB1DAA0" w:rsidR="004D34F1" w:rsidRPr="000118A3" w:rsidRDefault="003519B5" w:rsidP="003519B5">
      <w:pPr>
        <w:pStyle w:val="Caption"/>
        <w:rPr>
          <w:rFonts w:ascii="Times New Roman" w:hAnsi="Times New Roman" w:cs="Times New Roman"/>
          <w:i w:val="0"/>
          <w:iCs w:val="0"/>
          <w:color w:val="auto"/>
          <w:sz w:val="22"/>
          <w:szCs w:val="22"/>
        </w:rPr>
      </w:pPr>
      <w:bookmarkStart w:id="102" w:name="_Toc211871572"/>
      <w:bookmarkStart w:id="103" w:name="_Toc217297622"/>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35</w:t>
      </w:r>
      <w:r w:rsidRPr="003519B5">
        <w:rPr>
          <w:rFonts w:ascii="Times New Roman" w:hAnsi="Times New Roman" w:cs="Times New Roman"/>
          <w:i w:val="0"/>
          <w:iCs w:val="0"/>
          <w:color w:val="000000" w:themeColor="text1"/>
          <w:sz w:val="22"/>
          <w:szCs w:val="22"/>
        </w:rPr>
        <w:fldChar w:fldCharType="end"/>
      </w:r>
      <w:r w:rsidR="004D34F1" w:rsidRPr="003519B5">
        <w:rPr>
          <w:rFonts w:ascii="Times New Roman" w:hAnsi="Times New Roman" w:cs="Times New Roman"/>
          <w:i w:val="0"/>
          <w:iCs w:val="0"/>
          <w:color w:val="000000" w:themeColor="text1"/>
          <w:sz w:val="22"/>
          <w:szCs w:val="22"/>
        </w:rPr>
        <w:t xml:space="preserve">   </w:t>
      </w:r>
      <w:r w:rsidR="004D34F1" w:rsidRPr="000118A3">
        <w:rPr>
          <w:rFonts w:ascii="Times New Roman" w:hAnsi="Times New Roman" w:cs="Times New Roman"/>
          <w:i w:val="0"/>
          <w:iCs w:val="0"/>
          <w:color w:val="auto"/>
          <w:sz w:val="22"/>
          <w:szCs w:val="22"/>
        </w:rPr>
        <w:t>RWQI calculated at each province for the period between 2019-2023 (source: Environment Statistics of Indonesia, 2020, 2021, 2022, 2023, 2024)</w:t>
      </w:r>
      <w:bookmarkEnd w:id="102"/>
      <w:bookmarkEnd w:id="103"/>
    </w:p>
    <w:p w14:paraId="7A443515" w14:textId="4A59A0A4" w:rsidR="004D34F1" w:rsidRPr="000118A3" w:rsidRDefault="004D34F1" w:rsidP="00787A8D">
      <w:pPr>
        <w:pStyle w:val="BodyText"/>
        <w:spacing w:after="0" w:line="240" w:lineRule="auto"/>
        <w:jc w:val="both"/>
        <w:rPr>
          <w:rFonts w:ascii="Times New Roman" w:hAnsi="Times New Roman" w:cs="Times New Roman"/>
          <w:b/>
          <w:bCs/>
          <w:color w:val="0070C0"/>
        </w:rPr>
      </w:pPr>
      <w:r w:rsidRPr="000118A3">
        <w:rPr>
          <w:rFonts w:ascii="Times New Roman" w:hAnsi="Times New Roman" w:cs="Times New Roman"/>
        </w:rPr>
        <w:t>From the assessment of other parameters, it was observed that E. coli concentrations were relatively high in several rivers within the study area, such as the Batanghari River (Jambi Province) and the Kapuas River (West Kalimantan Province) (App. 3). This finding indicates that the rivers in the study area have been influenced by domestic sewage discharges from local communities</w:t>
      </w:r>
    </w:p>
    <w:p w14:paraId="7AAF7B9C" w14:textId="6E8436F0" w:rsidR="004D34F1" w:rsidRPr="000118A3" w:rsidRDefault="004D34F1" w:rsidP="007F0F81">
      <w:pPr>
        <w:pStyle w:val="BodyText"/>
        <w:numPr>
          <w:ilvl w:val="2"/>
          <w:numId w:val="149"/>
        </w:numPr>
        <w:spacing w:before="188"/>
        <w:rPr>
          <w:rFonts w:ascii="Times New Roman" w:hAnsi="Times New Roman" w:cs="Times New Roman"/>
          <w:b/>
          <w:bCs/>
          <w:color w:val="0070C0"/>
        </w:rPr>
      </w:pPr>
      <w:r w:rsidRPr="000118A3">
        <w:rPr>
          <w:rFonts w:ascii="Times New Roman" w:hAnsi="Times New Roman" w:cs="Times New Roman"/>
          <w:b/>
          <w:bCs/>
          <w:color w:val="0070C0"/>
        </w:rPr>
        <w:t>Coastal and Sea Waters</w:t>
      </w:r>
    </w:p>
    <w:p w14:paraId="4A8531D3" w14:textId="05A5A547" w:rsidR="00A62B0F" w:rsidRPr="000118A3" w:rsidRDefault="00A62B0F" w:rsidP="006D65D0">
      <w:pPr>
        <w:jc w:val="both"/>
        <w:rPr>
          <w:rFonts w:ascii="Times New Roman" w:hAnsi="Times New Roman" w:cs="Times New Roman"/>
          <w:sz w:val="22"/>
          <w:szCs w:val="22"/>
        </w:rPr>
      </w:pPr>
      <w:r w:rsidRPr="000118A3">
        <w:rPr>
          <w:rFonts w:ascii="Times New Roman" w:hAnsi="Times New Roman" w:cs="Times New Roman"/>
          <w:sz w:val="22"/>
          <w:szCs w:val="22"/>
        </w:rPr>
        <w:t>Marine Water Quality Index (IKAL) assessments (</w:t>
      </w:r>
      <w:r w:rsidRPr="000118A3">
        <w:rPr>
          <w:rFonts w:ascii="Times New Roman" w:hAnsi="Times New Roman" w:cs="Times New Roman"/>
          <w:sz w:val="22"/>
          <w:szCs w:val="22"/>
          <w:lang w:val="en-ID"/>
        </w:rPr>
        <w:t xml:space="preserve">the methods of the River Water Quality Index analysis is described in the App. 4.) </w:t>
      </w:r>
      <w:r w:rsidRPr="000118A3">
        <w:rPr>
          <w:rFonts w:ascii="Times New Roman" w:hAnsi="Times New Roman" w:cs="Times New Roman"/>
          <w:sz w:val="22"/>
          <w:szCs w:val="22"/>
        </w:rPr>
        <w:t xml:space="preserve">across South China Sea (SCS)–bordering provinces indicate overall Moderate to Good conditions during 2019–2023 (Figure </w:t>
      </w:r>
      <w:r w:rsidR="003519B5">
        <w:rPr>
          <w:rFonts w:ascii="Times New Roman" w:hAnsi="Times New Roman" w:cs="Times New Roman"/>
          <w:sz w:val="22"/>
          <w:szCs w:val="22"/>
        </w:rPr>
        <w:t>36</w:t>
      </w:r>
      <w:r w:rsidRPr="000118A3">
        <w:rPr>
          <w:rFonts w:ascii="Times New Roman" w:hAnsi="Times New Roman" w:cs="Times New Roman"/>
          <w:sz w:val="22"/>
          <w:szCs w:val="22"/>
        </w:rPr>
        <w:t xml:space="preserve">), with limited fluctuation. Monitoring currently emphasizes organic pollution, excluding heavy metals or hazardous substances. Kepulauan Riau consistently achieved Good status, while Jambi and South Sumatra remained Moderate. Water quality peaked in 2022, when five provinces recorded IKAL &gt;80, before declining in 2023, particularly in Jambi and Riau. West Kalimantan the Very Good threshold (&gt;90). The 2023 decline suggests renewed environmental stress or reduced management effectiveness, underscoring the need for enhanced wastewater control, inclusion of toxic parameters, and sustained monitoring to support long-term SCS water quality protection.  In general, the seawater quality index in the provinces within the study area does not yet indicate marine pollution. This condition is presumably due to the high flushing effect in the area, which prevents the accumulation of dissolved contaminant parameters. At least, several key water quality parameters—such as Total Suspended Solids (TSS), Dissolved Oxygen (DO), Oil and Grease, </w:t>
      </w:r>
      <w:r w:rsidRPr="000118A3">
        <w:rPr>
          <w:rFonts w:ascii="Times New Roman" w:hAnsi="Times New Roman" w:cs="Times New Roman"/>
          <w:sz w:val="22"/>
          <w:szCs w:val="22"/>
        </w:rPr>
        <w:lastRenderedPageBreak/>
        <w:t>Total Ammonia (NH₃-N), and Ortho-Phosphate (PO₄-P)—remain below the Indonesian marine water quality standard thresholds.</w:t>
      </w:r>
    </w:p>
    <w:p w14:paraId="72D550A7" w14:textId="77777777" w:rsidR="00A62B0F" w:rsidRPr="00787A8D" w:rsidRDefault="00A62B0F" w:rsidP="00787A8D">
      <w:pPr>
        <w:keepNext/>
        <w:jc w:val="center"/>
        <w:rPr>
          <w:rFonts w:ascii="Times New Roman" w:hAnsi="Times New Roman" w:cs="Times New Roman"/>
          <w:sz w:val="22"/>
          <w:szCs w:val="22"/>
        </w:rPr>
      </w:pPr>
      <w:r w:rsidRPr="000118A3">
        <w:rPr>
          <w:noProof/>
        </w:rPr>
        <w:drawing>
          <wp:inline distT="0" distB="0" distL="0" distR="0" wp14:anchorId="7193C496" wp14:editId="4323BCC3">
            <wp:extent cx="5301977" cy="3271433"/>
            <wp:effectExtent l="0" t="0" r="0" b="5715"/>
            <wp:docPr id="15433824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307294" cy="3274714"/>
                    </a:xfrm>
                    <a:prstGeom prst="rect">
                      <a:avLst/>
                    </a:prstGeom>
                    <a:noFill/>
                    <a:ln>
                      <a:noFill/>
                    </a:ln>
                  </pic:spPr>
                </pic:pic>
              </a:graphicData>
            </a:graphic>
          </wp:inline>
        </w:drawing>
      </w:r>
    </w:p>
    <w:p w14:paraId="028490FC" w14:textId="2157C928" w:rsidR="00A62B0F" w:rsidRPr="000118A3" w:rsidRDefault="00A62B0F" w:rsidP="00787A8D">
      <w:pPr>
        <w:pStyle w:val="BodyText"/>
        <w:spacing w:after="0" w:line="240" w:lineRule="auto"/>
        <w:ind w:left="720"/>
        <w:rPr>
          <w:rFonts w:ascii="Times New Roman" w:hAnsi="Times New Roman" w:cs="Times New Roman"/>
          <w:b/>
          <w:bCs/>
          <w:color w:val="0070C0"/>
        </w:rPr>
      </w:pPr>
      <w:bookmarkStart w:id="104" w:name="_Ref206145176"/>
      <w:bookmarkStart w:id="105" w:name="_Toc211871585"/>
      <w:bookmarkStart w:id="106" w:name="_Toc217297623"/>
      <w:r w:rsidRPr="000118A3">
        <w:rPr>
          <w:rFonts w:ascii="Times New Roman" w:hAnsi="Times New Roman" w:cs="Times New Roman"/>
        </w:rPr>
        <w:t xml:space="preserve">Figure </w:t>
      </w:r>
      <w:r w:rsidR="005D262E">
        <w:rPr>
          <w:rFonts w:ascii="Times New Roman" w:hAnsi="Times New Roman" w:cs="Times New Roman"/>
        </w:rPr>
        <w:fldChar w:fldCharType="begin"/>
      </w:r>
      <w:r w:rsidR="005D262E">
        <w:rPr>
          <w:rFonts w:ascii="Times New Roman" w:hAnsi="Times New Roman" w:cs="Times New Roman"/>
        </w:rPr>
        <w:instrText xml:space="preserve"> SEQ Figure \* ARABIC </w:instrText>
      </w:r>
      <w:r w:rsidR="005D262E">
        <w:rPr>
          <w:rFonts w:ascii="Times New Roman" w:hAnsi="Times New Roman" w:cs="Times New Roman"/>
        </w:rPr>
        <w:fldChar w:fldCharType="separate"/>
      </w:r>
      <w:r w:rsidR="00F33716">
        <w:rPr>
          <w:rFonts w:ascii="Times New Roman" w:hAnsi="Times New Roman" w:cs="Times New Roman"/>
          <w:noProof/>
        </w:rPr>
        <w:t>36</w:t>
      </w:r>
      <w:r w:rsidR="005D262E">
        <w:rPr>
          <w:rFonts w:ascii="Times New Roman" w:hAnsi="Times New Roman" w:cs="Times New Roman"/>
        </w:rPr>
        <w:fldChar w:fldCharType="end"/>
      </w:r>
      <w:bookmarkEnd w:id="104"/>
      <w:r w:rsidR="003519B5">
        <w:rPr>
          <w:rFonts w:ascii="Times New Roman" w:hAnsi="Times New Roman" w:cs="Times New Roman"/>
          <w:i/>
          <w:iCs/>
        </w:rPr>
        <w:t xml:space="preserve"> </w:t>
      </w:r>
      <w:r w:rsidRPr="000118A3">
        <w:rPr>
          <w:rFonts w:ascii="Times New Roman" w:hAnsi="Times New Roman" w:cs="Times New Roman"/>
        </w:rPr>
        <w:t>Distribution of marine water quality index (IKAL) values across the provinces associated with Indonesia’s South China Sea (SCS) region (source: Environment Statistics of Indonesia, 2020, 2021, 2022, 2023, 2024)</w:t>
      </w:r>
      <w:bookmarkEnd w:id="105"/>
      <w:r w:rsidRPr="000118A3">
        <w:rPr>
          <w:rFonts w:ascii="Times New Roman" w:hAnsi="Times New Roman" w:cs="Times New Roman"/>
        </w:rPr>
        <w:t>.</w:t>
      </w:r>
      <w:bookmarkEnd w:id="106"/>
    </w:p>
    <w:p w14:paraId="4BE2A81A" w14:textId="555BD12C" w:rsidR="003F19BD" w:rsidRPr="000118A3" w:rsidRDefault="003F19BD" w:rsidP="007F0F81">
      <w:pPr>
        <w:pStyle w:val="BodyText"/>
        <w:numPr>
          <w:ilvl w:val="1"/>
          <w:numId w:val="140"/>
        </w:numPr>
        <w:spacing w:before="240" w:after="0" w:line="240" w:lineRule="auto"/>
        <w:ind w:left="426"/>
        <w:outlineLvl w:val="1"/>
        <w:rPr>
          <w:rFonts w:ascii="Times New Roman" w:hAnsi="Times New Roman" w:cs="Times New Roman"/>
          <w:b/>
          <w:bCs/>
          <w:color w:val="0070C0"/>
        </w:rPr>
      </w:pPr>
      <w:bookmarkStart w:id="107" w:name="_Toc206147448"/>
      <w:bookmarkStart w:id="108" w:name="_Toc206147533"/>
      <w:bookmarkStart w:id="109" w:name="_Toc206147749"/>
      <w:bookmarkStart w:id="110" w:name="_Toc212449426"/>
      <w:bookmarkStart w:id="111" w:name="_Toc217297556"/>
      <w:r w:rsidRPr="000118A3">
        <w:rPr>
          <w:rFonts w:ascii="Times New Roman" w:hAnsi="Times New Roman" w:cs="Times New Roman"/>
          <w:b/>
          <w:bCs/>
          <w:color w:val="0070C0"/>
        </w:rPr>
        <w:t>Discussion</w:t>
      </w:r>
      <w:bookmarkEnd w:id="107"/>
      <w:bookmarkEnd w:id="108"/>
      <w:bookmarkEnd w:id="109"/>
      <w:bookmarkEnd w:id="110"/>
      <w:bookmarkEnd w:id="111"/>
    </w:p>
    <w:p w14:paraId="4FDDBDFF" w14:textId="5FA5FBCC" w:rsidR="00A62B0F" w:rsidRPr="000118A3" w:rsidRDefault="00A62B0F" w:rsidP="00787A8D">
      <w:pPr>
        <w:pStyle w:val="BodyText"/>
        <w:numPr>
          <w:ilvl w:val="2"/>
          <w:numId w:val="140"/>
        </w:numPr>
        <w:spacing w:after="0" w:line="240" w:lineRule="auto"/>
        <w:rPr>
          <w:rFonts w:ascii="Times New Roman" w:hAnsi="Times New Roman" w:cs="Times New Roman"/>
          <w:b/>
          <w:bCs/>
          <w:color w:val="0070C0"/>
        </w:rPr>
      </w:pPr>
      <w:r w:rsidRPr="000118A3">
        <w:rPr>
          <w:rFonts w:ascii="Times New Roman" w:hAnsi="Times New Roman" w:cs="Times New Roman"/>
          <w:b/>
          <w:bCs/>
          <w:color w:val="0070C0"/>
        </w:rPr>
        <w:t>Priority Transboundary Pollution Issues</w:t>
      </w:r>
    </w:p>
    <w:p w14:paraId="3F89FF87" w14:textId="77777777" w:rsidR="00A62B0F" w:rsidRPr="000118A3" w:rsidRDefault="00A62B0F" w:rsidP="00787A8D">
      <w:pPr>
        <w:spacing w:before="120"/>
        <w:jc w:val="both"/>
        <w:rPr>
          <w:rFonts w:ascii="Times New Roman" w:hAnsi="Times New Roman" w:cs="Times New Roman"/>
          <w:sz w:val="22"/>
          <w:szCs w:val="22"/>
        </w:rPr>
      </w:pPr>
      <w:r w:rsidRPr="000118A3">
        <w:rPr>
          <w:rFonts w:ascii="Times New Roman" w:hAnsi="Times New Roman" w:cs="Times New Roman"/>
          <w:sz w:val="22"/>
          <w:szCs w:val="22"/>
        </w:rPr>
        <w:t xml:space="preserve">Transboundary pollution issue in the Indonesian part of the South China Sea primarily involves oil-related pollution, marine litter and plastic waste, and organic pollution.  The distribution pattern of pollutants in the study area is related to water mass transport, strongly influenced by the hydrodynamic patterns of the region, which are governed by the monsoonal system.  </w:t>
      </w:r>
      <w:r w:rsidRPr="000118A3">
        <w:rPr>
          <w:rFonts w:ascii="Times New Roman" w:hAnsi="Times New Roman" w:cs="Times New Roman"/>
          <w:b/>
          <w:bCs/>
          <w:sz w:val="22"/>
          <w:szCs w:val="22"/>
        </w:rPr>
        <w:t xml:space="preserve"> </w:t>
      </w:r>
      <w:r w:rsidRPr="000118A3">
        <w:rPr>
          <w:rFonts w:ascii="Times New Roman" w:hAnsi="Times New Roman" w:cs="Times New Roman"/>
          <w:sz w:val="22"/>
          <w:szCs w:val="22"/>
        </w:rPr>
        <w:t>Water mass transport in the South China Sea (SCS) and adjacent Indonesian waters is primarily governed by monsoon variability. Figure 9 shows that during the southeast monsoon (May–September), winds drive currents from the Java Sea northward through the Karimata and Gaspar Straits, forming part of the South China Sea Throughflow (SCSTF) and transporting water, nutrients, and pollutants toward the SCS. Conversely, the northwest monsoon (November–March) reverses the flow, contributing to the Indonesian Throughflow (ITF) and enhancing freshwater input, stratification, and vertical mixing. These seasonal reversals strongly influence the spatial transport of pollutants and nutrient fluxes, southward during the southeast monsoon and northward during the northwest monsoon (</w:t>
      </w:r>
      <w:r w:rsidRPr="000118A3">
        <w:rPr>
          <w:rFonts w:ascii="Times New Roman" w:hAnsi="Times New Roman" w:cs="Times New Roman"/>
          <w:b/>
          <w:bCs/>
          <w:sz w:val="22"/>
          <w:szCs w:val="22"/>
        </w:rPr>
        <w:t>Zeng et al., 2021</w:t>
      </w:r>
      <w:r w:rsidRPr="000118A3">
        <w:rPr>
          <w:rFonts w:ascii="Times New Roman" w:hAnsi="Times New Roman" w:cs="Times New Roman"/>
          <w:sz w:val="22"/>
          <w:szCs w:val="22"/>
        </w:rPr>
        <w:t>). Interactions between riverine plumes, particularly from the Mekong, and monsoon-driven currents further modulate pollutant dispersion, nutrient cycling, and marine ecosystem productivity across the SCS–Indonesian region.</w:t>
      </w:r>
    </w:p>
    <w:p w14:paraId="2C1CB2DD" w14:textId="77777777" w:rsidR="00A62B0F" w:rsidRPr="000118A3" w:rsidRDefault="00A62B0F" w:rsidP="0034440A">
      <w:pPr>
        <w:pStyle w:val="ListParagraph"/>
        <w:keepNext/>
        <w:ind w:left="440"/>
        <w:rPr>
          <w:rFonts w:ascii="Times New Roman" w:hAnsi="Times New Roman" w:cs="Times New Roman"/>
          <w:sz w:val="22"/>
          <w:szCs w:val="22"/>
        </w:rPr>
      </w:pPr>
      <w:r w:rsidRPr="000118A3">
        <w:rPr>
          <w:rFonts w:ascii="Times New Roman" w:hAnsi="Times New Roman" w:cs="Times New Roman"/>
          <w:sz w:val="22"/>
          <w:szCs w:val="22"/>
        </w:rPr>
        <w:lastRenderedPageBreak/>
        <w:t xml:space="preserve"> </w:t>
      </w:r>
      <w:r w:rsidRPr="000118A3">
        <w:rPr>
          <w:rFonts w:ascii="Times New Roman" w:hAnsi="Times New Roman" w:cs="Times New Roman"/>
          <w:noProof/>
          <w:sz w:val="22"/>
          <w:szCs w:val="22"/>
        </w:rPr>
        <w:drawing>
          <wp:inline distT="0" distB="0" distL="0" distR="0" wp14:anchorId="6CB2656D" wp14:editId="12E9FE90">
            <wp:extent cx="5731510" cy="3815715"/>
            <wp:effectExtent l="0" t="0" r="2540" b="0"/>
            <wp:docPr id="129496133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31510" cy="3815715"/>
                    </a:xfrm>
                    <a:prstGeom prst="rect">
                      <a:avLst/>
                    </a:prstGeom>
                    <a:noFill/>
                    <a:ln>
                      <a:noFill/>
                    </a:ln>
                  </pic:spPr>
                </pic:pic>
              </a:graphicData>
            </a:graphic>
          </wp:inline>
        </w:drawing>
      </w:r>
    </w:p>
    <w:p w14:paraId="64069370" w14:textId="320AC5DE" w:rsidR="00A62B0F" w:rsidRPr="000118A3" w:rsidRDefault="003519B5" w:rsidP="003519B5">
      <w:pPr>
        <w:pStyle w:val="Caption"/>
        <w:rPr>
          <w:rFonts w:ascii="Times New Roman" w:hAnsi="Times New Roman" w:cs="Times New Roman"/>
          <w:i w:val="0"/>
          <w:iCs w:val="0"/>
          <w:color w:val="auto"/>
          <w:sz w:val="22"/>
          <w:szCs w:val="22"/>
        </w:rPr>
      </w:pPr>
      <w:bookmarkStart w:id="112" w:name="_Toc211871593"/>
      <w:bookmarkStart w:id="113" w:name="_Toc217297624"/>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37</w:t>
      </w:r>
      <w:r w:rsidRPr="003519B5">
        <w:rPr>
          <w:rFonts w:ascii="Times New Roman" w:hAnsi="Times New Roman" w:cs="Times New Roman"/>
          <w:i w:val="0"/>
          <w:iCs w:val="0"/>
          <w:color w:val="000000" w:themeColor="text1"/>
          <w:sz w:val="22"/>
          <w:szCs w:val="22"/>
        </w:rPr>
        <w:fldChar w:fldCharType="end"/>
      </w:r>
      <w:r w:rsidR="00A62B0F" w:rsidRPr="003519B5">
        <w:rPr>
          <w:rFonts w:ascii="Times New Roman" w:hAnsi="Times New Roman" w:cs="Times New Roman"/>
          <w:i w:val="0"/>
          <w:iCs w:val="0"/>
          <w:color w:val="000000" w:themeColor="text1"/>
          <w:sz w:val="22"/>
          <w:szCs w:val="22"/>
        </w:rPr>
        <w:t xml:space="preserve">  </w:t>
      </w:r>
      <w:r w:rsidR="00A62B0F" w:rsidRPr="000118A3">
        <w:rPr>
          <w:rFonts w:ascii="Times New Roman" w:hAnsi="Times New Roman" w:cs="Times New Roman"/>
          <w:i w:val="0"/>
          <w:iCs w:val="0"/>
          <w:color w:val="auto"/>
          <w:sz w:val="22"/>
          <w:szCs w:val="22"/>
        </w:rPr>
        <w:t xml:space="preserve">Hydrodynamics process in the South China Sea (above) and around Bintan Island where oil frequently stranded (source: </w:t>
      </w:r>
      <w:r w:rsidR="00A62B0F" w:rsidRPr="000118A3">
        <w:rPr>
          <w:rFonts w:ascii="Times New Roman" w:hAnsi="Times New Roman" w:cs="Times New Roman"/>
          <w:b/>
          <w:bCs/>
          <w:i w:val="0"/>
          <w:iCs w:val="0"/>
          <w:color w:val="auto"/>
          <w:sz w:val="22"/>
          <w:szCs w:val="22"/>
        </w:rPr>
        <w:t>Wang et al., 2019; Kok et al., 2021; Nie et al., 2023</w:t>
      </w:r>
      <w:r w:rsidR="00A62B0F" w:rsidRPr="000118A3">
        <w:rPr>
          <w:rFonts w:ascii="Times New Roman" w:hAnsi="Times New Roman" w:cs="Times New Roman"/>
          <w:i w:val="0"/>
          <w:iCs w:val="0"/>
          <w:color w:val="auto"/>
          <w:sz w:val="22"/>
          <w:szCs w:val="22"/>
        </w:rPr>
        <w:t>)</w:t>
      </w:r>
      <w:bookmarkEnd w:id="112"/>
      <w:bookmarkEnd w:id="113"/>
    </w:p>
    <w:p w14:paraId="4C46B9DB" w14:textId="4112FD2D" w:rsidR="00A62B0F" w:rsidRPr="000118A3" w:rsidRDefault="00A62B0F" w:rsidP="00787A8D">
      <w:pPr>
        <w:pStyle w:val="BodyText"/>
        <w:spacing w:after="0" w:line="240" w:lineRule="auto"/>
        <w:jc w:val="both"/>
        <w:rPr>
          <w:rFonts w:ascii="Times New Roman" w:hAnsi="Times New Roman" w:cs="Times New Roman"/>
          <w:b/>
          <w:bCs/>
          <w:color w:val="0070C0"/>
        </w:rPr>
      </w:pPr>
      <w:r w:rsidRPr="000118A3">
        <w:rPr>
          <w:rFonts w:ascii="Times New Roman" w:hAnsi="Times New Roman" w:cs="Times New Roman"/>
        </w:rPr>
        <w:t xml:space="preserve">As shown in Figure </w:t>
      </w:r>
      <w:r w:rsidR="003519B5">
        <w:rPr>
          <w:rFonts w:ascii="Times New Roman" w:hAnsi="Times New Roman" w:cs="Times New Roman"/>
        </w:rPr>
        <w:t>37</w:t>
      </w:r>
      <w:r w:rsidRPr="000118A3">
        <w:rPr>
          <w:rFonts w:ascii="Times New Roman" w:hAnsi="Times New Roman" w:cs="Times New Roman"/>
        </w:rPr>
        <w:t>, during the northeast monsoon season, which occurs between December and March, water masses flow from the Strait of Malacca and the South China Sea (SCS), reaching the northern coasts of Batam and Bintan. During this period, oil sludge stranding events occur along the northern shores of Batam and Bintan.</w:t>
      </w:r>
    </w:p>
    <w:p w14:paraId="13DB6D2A" w14:textId="3D249DE9" w:rsidR="00A62B0F" w:rsidRPr="000118A3" w:rsidRDefault="00A62B0F" w:rsidP="00787A8D">
      <w:pPr>
        <w:pStyle w:val="BodyText"/>
        <w:numPr>
          <w:ilvl w:val="3"/>
          <w:numId w:val="140"/>
        </w:numPr>
        <w:spacing w:before="188"/>
        <w:rPr>
          <w:rFonts w:ascii="Times New Roman" w:hAnsi="Times New Roman" w:cs="Times New Roman"/>
          <w:b/>
          <w:bCs/>
          <w:color w:val="0070C0"/>
        </w:rPr>
      </w:pPr>
      <w:r w:rsidRPr="000118A3">
        <w:rPr>
          <w:rFonts w:ascii="Times New Roman" w:hAnsi="Times New Roman" w:cs="Times New Roman"/>
          <w:b/>
          <w:bCs/>
          <w:color w:val="0070C0"/>
        </w:rPr>
        <w:t>Oil-related pollution from marine transportation</w:t>
      </w:r>
    </w:p>
    <w:p w14:paraId="28A9709F" w14:textId="28A2FDD3" w:rsidR="00A62B0F" w:rsidRPr="000118A3" w:rsidRDefault="00A62B0F" w:rsidP="00A62B0F">
      <w:pPr>
        <w:jc w:val="both"/>
        <w:rPr>
          <w:rFonts w:ascii="Times New Roman" w:hAnsi="Times New Roman" w:cs="Times New Roman"/>
          <w:sz w:val="22"/>
          <w:szCs w:val="22"/>
        </w:rPr>
      </w:pPr>
      <w:r w:rsidRPr="000118A3">
        <w:rPr>
          <w:rFonts w:ascii="Times New Roman" w:hAnsi="Times New Roman" w:cs="Times New Roman"/>
          <w:sz w:val="22"/>
          <w:szCs w:val="22"/>
        </w:rPr>
        <w:t xml:space="preserve">Foreign </w:t>
      </w:r>
      <w:r w:rsidR="0034440A" w:rsidRPr="000118A3">
        <w:rPr>
          <w:rFonts w:ascii="Times New Roman" w:hAnsi="Times New Roman" w:cs="Times New Roman"/>
          <w:sz w:val="22"/>
          <w:szCs w:val="22"/>
        </w:rPr>
        <w:t>vessels, frequently</w:t>
      </w:r>
      <w:r w:rsidRPr="000118A3">
        <w:rPr>
          <w:rFonts w:ascii="Times New Roman" w:hAnsi="Times New Roman" w:cs="Times New Roman"/>
          <w:sz w:val="22"/>
          <w:szCs w:val="22"/>
        </w:rPr>
        <w:t xml:space="preserve"> operate in the SCS both in the international and in the Indonesian waters around Natuna and the Riau Islands, often discharging oil, fuel, and waste.   A persistent issue in the Riau Islands, particularly on the northern coasts of  Bintan, is stranded oil sludge that appears during the northeast monsoon when currents move pollutants from the northern South China Sea southward. Investigations by the Ministry of Environment strongly suggest that the oil sludge originates from international vessels cleaning their tanks in the areas.</w:t>
      </w:r>
    </w:p>
    <w:p w14:paraId="07525DE7" w14:textId="40A7A91B" w:rsidR="00A62B0F" w:rsidRPr="000118A3" w:rsidRDefault="00A62B0F" w:rsidP="00787A8D">
      <w:pPr>
        <w:spacing w:before="120"/>
        <w:jc w:val="both"/>
        <w:rPr>
          <w:rFonts w:ascii="Times New Roman" w:hAnsi="Times New Roman" w:cs="Times New Roman"/>
          <w:sz w:val="22"/>
          <w:szCs w:val="22"/>
        </w:rPr>
      </w:pPr>
      <w:r w:rsidRPr="000118A3">
        <w:rPr>
          <w:rFonts w:ascii="Times New Roman" w:hAnsi="Times New Roman" w:cs="Times New Roman"/>
          <w:sz w:val="22"/>
          <w:szCs w:val="22"/>
        </w:rPr>
        <w:t>Incidents of oil spills associated with shipping activities continue to occur. For example, oil layers have been found washed ashore along the northern coasts of Batam and Bintan Islands. On Bintan Island, reported locations include Sungai Kecil Beach, Bintang Sayang Beach, Sakera Beach, and the coastal area of Lobam Island.  Additional reports from local communities have identified oil pollution in Sebong Lagoi, Sebong Pereh, North Bintan, Malang Rapat, Berakit, Sri Bintan and Pengudang (</w:t>
      </w:r>
      <w:r w:rsidRPr="000118A3">
        <w:rPr>
          <w:rFonts w:ascii="Times New Roman" w:hAnsi="Times New Roman" w:cs="Times New Roman"/>
          <w:b/>
          <w:bCs/>
          <w:sz w:val="22"/>
          <w:szCs w:val="22"/>
        </w:rPr>
        <w:t>Purnaweni et al., 2022</w:t>
      </w:r>
      <w:r w:rsidRPr="000118A3">
        <w:rPr>
          <w:rFonts w:ascii="Times New Roman" w:hAnsi="Times New Roman" w:cs="Times New Roman"/>
          <w:sz w:val="22"/>
          <w:szCs w:val="22"/>
        </w:rPr>
        <w:t>).</w:t>
      </w:r>
    </w:p>
    <w:p w14:paraId="7DE92E19" w14:textId="77777777" w:rsidR="00A62B0F" w:rsidRPr="000118A3" w:rsidRDefault="00A62B0F" w:rsidP="0034440A">
      <w:pPr>
        <w:pStyle w:val="ListParagraph"/>
        <w:keepNext/>
        <w:rPr>
          <w:rFonts w:ascii="Times New Roman" w:hAnsi="Times New Roman" w:cs="Times New Roman"/>
          <w:sz w:val="22"/>
          <w:szCs w:val="22"/>
        </w:rPr>
      </w:pPr>
      <w:r w:rsidRPr="000118A3">
        <w:rPr>
          <w:rFonts w:ascii="Times New Roman" w:hAnsi="Times New Roman" w:cs="Times New Roman"/>
          <w:noProof/>
          <w:sz w:val="22"/>
          <w:szCs w:val="22"/>
        </w:rPr>
        <w:lastRenderedPageBreak/>
        <w:drawing>
          <wp:inline distT="0" distB="0" distL="0" distR="0" wp14:anchorId="4901ECD9" wp14:editId="69E809F6">
            <wp:extent cx="5731510" cy="3815715"/>
            <wp:effectExtent l="0" t="0" r="2540" b="0"/>
            <wp:docPr id="16584361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731510" cy="3815715"/>
                    </a:xfrm>
                    <a:prstGeom prst="rect">
                      <a:avLst/>
                    </a:prstGeom>
                    <a:noFill/>
                    <a:ln>
                      <a:noFill/>
                    </a:ln>
                  </pic:spPr>
                </pic:pic>
              </a:graphicData>
            </a:graphic>
          </wp:inline>
        </w:drawing>
      </w:r>
    </w:p>
    <w:p w14:paraId="759A6459" w14:textId="2A6CE16F" w:rsidR="00A62B0F" w:rsidRPr="000118A3" w:rsidRDefault="003519B5" w:rsidP="003519B5">
      <w:pPr>
        <w:pStyle w:val="Caption"/>
        <w:rPr>
          <w:rFonts w:ascii="Times New Roman" w:hAnsi="Times New Roman" w:cs="Times New Roman"/>
          <w:i w:val="0"/>
          <w:iCs w:val="0"/>
          <w:color w:val="auto"/>
          <w:sz w:val="22"/>
          <w:szCs w:val="22"/>
        </w:rPr>
      </w:pPr>
      <w:bookmarkStart w:id="114" w:name="_Toc211871592"/>
      <w:bookmarkStart w:id="115" w:name="_Toc217297625"/>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38</w:t>
      </w:r>
      <w:r w:rsidRPr="003519B5">
        <w:rPr>
          <w:rFonts w:ascii="Times New Roman" w:hAnsi="Times New Roman" w:cs="Times New Roman"/>
          <w:i w:val="0"/>
          <w:iCs w:val="0"/>
          <w:color w:val="000000" w:themeColor="text1"/>
          <w:sz w:val="22"/>
          <w:szCs w:val="22"/>
        </w:rPr>
        <w:fldChar w:fldCharType="end"/>
      </w:r>
      <w:r w:rsidRPr="003519B5">
        <w:rPr>
          <w:rFonts w:ascii="Times New Roman" w:hAnsi="Times New Roman" w:cs="Times New Roman"/>
          <w:i w:val="0"/>
          <w:iCs w:val="0"/>
          <w:color w:val="000000" w:themeColor="text1"/>
          <w:sz w:val="22"/>
          <w:szCs w:val="22"/>
        </w:rPr>
        <w:t xml:space="preserve"> </w:t>
      </w:r>
      <w:r w:rsidR="00A62B0F" w:rsidRPr="000118A3">
        <w:rPr>
          <w:rFonts w:ascii="Times New Roman" w:hAnsi="Times New Roman" w:cs="Times New Roman"/>
          <w:i w:val="0"/>
          <w:iCs w:val="0"/>
          <w:color w:val="auto"/>
          <w:sz w:val="22"/>
          <w:szCs w:val="22"/>
        </w:rPr>
        <w:t xml:space="preserve">The South China Sea’s shipping lanes connecting the Mallaca Strait and the South China Sea passing through the Indonesia’s province of Riau Kepulauan (source: </w:t>
      </w:r>
      <w:r w:rsidR="00A62B0F" w:rsidRPr="000118A3">
        <w:rPr>
          <w:rFonts w:ascii="Times New Roman" w:hAnsi="Times New Roman" w:cs="Times New Roman"/>
          <w:b/>
          <w:bCs/>
          <w:i w:val="0"/>
          <w:iCs w:val="0"/>
          <w:color w:val="auto"/>
          <w:sz w:val="22"/>
          <w:szCs w:val="22"/>
        </w:rPr>
        <w:t>ERIA, 2016</w:t>
      </w:r>
      <w:r w:rsidR="00A62B0F" w:rsidRPr="000118A3">
        <w:rPr>
          <w:rFonts w:ascii="Times New Roman" w:hAnsi="Times New Roman" w:cs="Times New Roman"/>
          <w:i w:val="0"/>
          <w:iCs w:val="0"/>
          <w:color w:val="auto"/>
          <w:sz w:val="22"/>
          <w:szCs w:val="22"/>
        </w:rPr>
        <w:t>)</w:t>
      </w:r>
      <w:bookmarkEnd w:id="114"/>
      <w:bookmarkEnd w:id="115"/>
    </w:p>
    <w:p w14:paraId="6A4751C7" w14:textId="52DEEEFB" w:rsidR="00A62B0F" w:rsidRPr="000118A3" w:rsidRDefault="00A62B0F" w:rsidP="00787A8D">
      <w:pPr>
        <w:pStyle w:val="BodyText"/>
        <w:spacing w:after="0" w:line="240" w:lineRule="auto"/>
        <w:jc w:val="both"/>
        <w:rPr>
          <w:rFonts w:ascii="Times New Roman" w:hAnsi="Times New Roman" w:cs="Times New Roman"/>
          <w:b/>
          <w:bCs/>
          <w:color w:val="0070C0"/>
        </w:rPr>
      </w:pPr>
      <w:r w:rsidRPr="000118A3">
        <w:rPr>
          <w:rFonts w:ascii="Times New Roman" w:hAnsi="Times New Roman" w:cs="Times New Roman"/>
        </w:rPr>
        <w:t xml:space="preserve">The western maritime transport route of Indonesia is a busy corridor connecting the Indian Ocean and the Pacific Ocean. International shipping routes pass through the Strait of Malacca, then through the narrow Singapore Strait between Batam Island and Singapore, before entering the waters of the South China Sea (SCS) (Figure </w:t>
      </w:r>
      <w:r w:rsidR="003519B5">
        <w:rPr>
          <w:rFonts w:ascii="Times New Roman" w:hAnsi="Times New Roman" w:cs="Times New Roman"/>
        </w:rPr>
        <w:t>38</w:t>
      </w:r>
      <w:r w:rsidRPr="000118A3">
        <w:rPr>
          <w:rFonts w:ascii="Times New Roman" w:hAnsi="Times New Roman" w:cs="Times New Roman"/>
        </w:rPr>
        <w:t>).  In relation to this study, the Indonesian islands closest to areas affected by oil spill impacts are Batam and Bintan. These two islands are located directly along the maritime transport entrance route from the Strait of Malacca into the SCS waters.</w:t>
      </w:r>
    </w:p>
    <w:p w14:paraId="25F4BC84" w14:textId="2A26071F" w:rsidR="00A62B0F" w:rsidRPr="000118A3" w:rsidRDefault="00A62B0F" w:rsidP="00787A8D">
      <w:pPr>
        <w:pStyle w:val="BodyText"/>
        <w:numPr>
          <w:ilvl w:val="3"/>
          <w:numId w:val="140"/>
        </w:numPr>
        <w:spacing w:before="188"/>
        <w:rPr>
          <w:rFonts w:ascii="Times New Roman" w:hAnsi="Times New Roman" w:cs="Times New Roman"/>
          <w:b/>
          <w:bCs/>
          <w:color w:val="0070C0"/>
        </w:rPr>
      </w:pPr>
      <w:r w:rsidRPr="000118A3">
        <w:rPr>
          <w:rFonts w:ascii="Times New Roman" w:hAnsi="Times New Roman" w:cs="Times New Roman"/>
          <w:b/>
          <w:bCs/>
          <w:color w:val="0070C0"/>
        </w:rPr>
        <w:t>Marine Litter and Plastic Pollution from Neighboring Countries and from Indonesia</w:t>
      </w:r>
    </w:p>
    <w:p w14:paraId="199E13B5" w14:textId="496E2220" w:rsidR="00A62B0F" w:rsidRPr="000118A3" w:rsidRDefault="00A62B0F" w:rsidP="00787A8D">
      <w:pPr>
        <w:pStyle w:val="BodyText"/>
        <w:spacing w:after="0" w:line="240" w:lineRule="auto"/>
        <w:jc w:val="both"/>
        <w:rPr>
          <w:rFonts w:ascii="Times New Roman" w:hAnsi="Times New Roman" w:cs="Times New Roman"/>
          <w:b/>
          <w:bCs/>
          <w:color w:val="0070C0"/>
        </w:rPr>
      </w:pPr>
      <w:r w:rsidRPr="000118A3">
        <w:rPr>
          <w:rFonts w:ascii="Times New Roman" w:hAnsi="Times New Roman" w:cs="Times New Roman"/>
        </w:rPr>
        <w:t>Plastic waste entering the ocean varies greatly worldwide, from 1.15 to 12.7 million tonnes annually, with Indonesia contributing an estimated 0.20–1.29 million tonnes (Jambeck et al., 2015). Marine debris and plastic pollution are serious environmental issues in Indonesian waters, including the South China Sea (SCS), primarily originating from domestic solid waste dominated by plastics. Studies in Bintan Island show average microplastic concentrations of about 0.45 particles/m³ (≈122 particles per station), indicating low to moderate pollution levels. Polymer analyses revealed that polypropylene (PP) (54%), polyethylene (PE/LDPE), and polystyrene (PS) are the most common types, appearing as fragments, fibers, granules, and films. Surveys of Bintan’s coastal areas found varying amounts of stranded plastic debris, particularly LDPE, PP, and PS, reflecting ongoing land-based and marine waste inputs that continue to impact local mangrove and coastal ecosystems (Hidayati et al., 2023; Syakti et al., 2018).</w:t>
      </w:r>
    </w:p>
    <w:p w14:paraId="292F42B7" w14:textId="794DF9D4" w:rsidR="00A62B0F" w:rsidRPr="000118A3" w:rsidRDefault="00A62B0F" w:rsidP="00787A8D">
      <w:pPr>
        <w:pStyle w:val="BodyText"/>
        <w:numPr>
          <w:ilvl w:val="3"/>
          <w:numId w:val="140"/>
        </w:numPr>
        <w:spacing w:before="188"/>
        <w:rPr>
          <w:rFonts w:ascii="Times New Roman" w:hAnsi="Times New Roman" w:cs="Times New Roman"/>
          <w:b/>
          <w:bCs/>
          <w:color w:val="0070C0"/>
        </w:rPr>
      </w:pPr>
      <w:r w:rsidRPr="000118A3">
        <w:rPr>
          <w:rFonts w:ascii="Times New Roman" w:hAnsi="Times New Roman" w:cs="Times New Roman"/>
          <w:b/>
          <w:bCs/>
          <w:color w:val="0070C0"/>
        </w:rPr>
        <w:t>Organic Pollution from Domestic Activities</w:t>
      </w:r>
    </w:p>
    <w:p w14:paraId="077BDE84" w14:textId="1429014A" w:rsidR="00A62B0F" w:rsidRDefault="00A62B0F" w:rsidP="00787A8D">
      <w:pPr>
        <w:pStyle w:val="BodyText"/>
        <w:spacing w:after="0" w:line="240" w:lineRule="auto"/>
        <w:ind w:left="142"/>
        <w:jc w:val="both"/>
        <w:rPr>
          <w:rFonts w:ascii="Times New Roman" w:hAnsi="Times New Roman" w:cs="Times New Roman"/>
        </w:rPr>
      </w:pPr>
      <w:r w:rsidRPr="000118A3">
        <w:rPr>
          <w:rFonts w:ascii="Times New Roman" w:hAnsi="Times New Roman" w:cs="Times New Roman"/>
        </w:rPr>
        <w:t>Organic pollution mainly results from domestic wastewater discharges due to the lack of adequate communal wastewater treatment systems (IPAL). Many residential areas release untreated wastewater into rivers and coastal zones, which eventually reaches the sea. Although this pollution is currently localized and not yet transboundary in scale, it highlights weaknesses in urban wastewater management.</w:t>
      </w:r>
    </w:p>
    <w:p w14:paraId="553A4F6A" w14:textId="77777777" w:rsidR="00787A8D" w:rsidRDefault="00787A8D" w:rsidP="00787A8D">
      <w:pPr>
        <w:pStyle w:val="BodyText"/>
        <w:spacing w:after="0" w:line="240" w:lineRule="auto"/>
        <w:ind w:left="142"/>
        <w:jc w:val="both"/>
        <w:rPr>
          <w:rFonts w:ascii="Times New Roman" w:hAnsi="Times New Roman" w:cs="Times New Roman"/>
        </w:rPr>
      </w:pPr>
    </w:p>
    <w:p w14:paraId="43D12189" w14:textId="77777777" w:rsidR="00787A8D" w:rsidRPr="000118A3" w:rsidRDefault="00787A8D" w:rsidP="00787A8D">
      <w:pPr>
        <w:pStyle w:val="BodyText"/>
        <w:spacing w:after="0" w:line="240" w:lineRule="auto"/>
        <w:ind w:left="142"/>
        <w:jc w:val="both"/>
        <w:rPr>
          <w:rFonts w:ascii="Times New Roman" w:hAnsi="Times New Roman" w:cs="Times New Roman"/>
          <w:b/>
          <w:bCs/>
          <w:color w:val="0070C0"/>
        </w:rPr>
      </w:pPr>
    </w:p>
    <w:p w14:paraId="3549B223" w14:textId="456C07CF" w:rsidR="00A62B0F" w:rsidRPr="000118A3" w:rsidRDefault="00A62B0F" w:rsidP="00787A8D">
      <w:pPr>
        <w:pStyle w:val="BodyText"/>
        <w:numPr>
          <w:ilvl w:val="2"/>
          <w:numId w:val="140"/>
        </w:numPr>
        <w:spacing w:after="0" w:line="240" w:lineRule="auto"/>
        <w:rPr>
          <w:rFonts w:ascii="Times New Roman" w:hAnsi="Times New Roman" w:cs="Times New Roman"/>
          <w:b/>
          <w:bCs/>
          <w:color w:val="0070C0"/>
        </w:rPr>
      </w:pPr>
      <w:r w:rsidRPr="000118A3">
        <w:rPr>
          <w:rFonts w:ascii="Times New Roman" w:hAnsi="Times New Roman" w:cs="Times New Roman"/>
          <w:b/>
          <w:bCs/>
          <w:color w:val="0070C0"/>
        </w:rPr>
        <w:t>Interactions : Impacts on Environment and Society</w:t>
      </w:r>
    </w:p>
    <w:p w14:paraId="1843F9C6" w14:textId="5EA32E92" w:rsidR="00A62B0F" w:rsidRPr="000118A3" w:rsidRDefault="00A62B0F" w:rsidP="00787A8D">
      <w:pPr>
        <w:pStyle w:val="BodyText"/>
        <w:numPr>
          <w:ilvl w:val="3"/>
          <w:numId w:val="140"/>
        </w:numPr>
        <w:spacing w:after="0" w:line="240" w:lineRule="auto"/>
        <w:rPr>
          <w:rFonts w:ascii="Times New Roman" w:hAnsi="Times New Roman" w:cs="Times New Roman"/>
          <w:b/>
          <w:bCs/>
          <w:color w:val="0070C0"/>
        </w:rPr>
      </w:pPr>
      <w:r w:rsidRPr="000118A3">
        <w:rPr>
          <w:rFonts w:ascii="Times New Roman" w:hAnsi="Times New Roman" w:cs="Times New Roman"/>
          <w:b/>
          <w:bCs/>
          <w:color w:val="0070C0"/>
        </w:rPr>
        <w:lastRenderedPageBreak/>
        <w:t>Impact of oil pollution on mangroves,  coral reef and tourism</w:t>
      </w:r>
    </w:p>
    <w:p w14:paraId="1405640F" w14:textId="77777777" w:rsidR="00A62B0F" w:rsidRPr="000118A3" w:rsidRDefault="00A62B0F" w:rsidP="00F73BE1">
      <w:pPr>
        <w:spacing w:before="120"/>
        <w:jc w:val="both"/>
        <w:rPr>
          <w:rFonts w:ascii="Times New Roman" w:hAnsi="Times New Roman" w:cs="Times New Roman"/>
          <w:sz w:val="22"/>
          <w:szCs w:val="22"/>
        </w:rPr>
      </w:pPr>
      <w:r w:rsidRPr="000118A3">
        <w:rPr>
          <w:rFonts w:ascii="Times New Roman" w:hAnsi="Times New Roman" w:cs="Times New Roman"/>
          <w:sz w:val="22"/>
          <w:szCs w:val="22"/>
        </w:rPr>
        <w:t>Oil strandings harm coastal tourism and damage mangrove, coral reef, and seagrass ecosystems by coating mangrove roots and smothering marine organisms.  Oil sludge regularly washes ashore on the sandy beaches of northern Bintan, an area recognized as a premium tourist destination attracting both domestic and international visitors.</w:t>
      </w:r>
    </w:p>
    <w:p w14:paraId="2DDC60ED" w14:textId="12A608E3" w:rsidR="00A62B0F" w:rsidRPr="000118A3" w:rsidRDefault="00A62B0F" w:rsidP="00F73BE1">
      <w:pPr>
        <w:spacing w:before="120"/>
        <w:jc w:val="both"/>
        <w:rPr>
          <w:rFonts w:ascii="Times New Roman" w:hAnsi="Times New Roman" w:cs="Times New Roman"/>
          <w:sz w:val="22"/>
          <w:szCs w:val="22"/>
        </w:rPr>
      </w:pPr>
      <w:r w:rsidRPr="000118A3">
        <w:rPr>
          <w:rFonts w:ascii="Times New Roman" w:hAnsi="Times New Roman" w:cs="Times New Roman"/>
          <w:sz w:val="22"/>
          <w:szCs w:val="22"/>
        </w:rPr>
        <w:t>Reports from local communities have identified oil pollution in Sebong Lagoi, Sebong Pereh, North Bintan, Malang Rapat, Berakit, Sri Bintan and Pengudang (</w:t>
      </w:r>
      <w:r w:rsidRPr="000118A3">
        <w:rPr>
          <w:rFonts w:ascii="Times New Roman" w:hAnsi="Times New Roman" w:cs="Times New Roman"/>
          <w:b/>
          <w:bCs/>
          <w:sz w:val="22"/>
          <w:szCs w:val="22"/>
        </w:rPr>
        <w:t>Purnaweni et al., 2022</w:t>
      </w:r>
      <w:r w:rsidRPr="000118A3">
        <w:rPr>
          <w:rFonts w:ascii="Times New Roman" w:hAnsi="Times New Roman" w:cs="Times New Roman"/>
          <w:sz w:val="22"/>
          <w:szCs w:val="22"/>
        </w:rPr>
        <w:t xml:space="preserve">) (Figure </w:t>
      </w:r>
      <w:r w:rsidR="003519B5">
        <w:rPr>
          <w:rFonts w:ascii="Times New Roman" w:hAnsi="Times New Roman" w:cs="Times New Roman"/>
          <w:sz w:val="22"/>
          <w:szCs w:val="22"/>
        </w:rPr>
        <w:t>39</w:t>
      </w:r>
      <w:r w:rsidRPr="000118A3">
        <w:rPr>
          <w:rFonts w:ascii="Times New Roman" w:hAnsi="Times New Roman" w:cs="Times New Roman"/>
          <w:sz w:val="22"/>
          <w:szCs w:val="22"/>
        </w:rPr>
        <w:t>).</w:t>
      </w:r>
    </w:p>
    <w:p w14:paraId="7A7F36E4" w14:textId="77777777" w:rsidR="00A62B0F" w:rsidRPr="000118A3" w:rsidRDefault="00A62B0F" w:rsidP="00A62B0F">
      <w:pPr>
        <w:pStyle w:val="ListParagraph"/>
        <w:ind w:left="660"/>
        <w:jc w:val="both"/>
        <w:rPr>
          <w:rFonts w:ascii="Times New Roman" w:hAnsi="Times New Roman" w:cs="Times New Roman"/>
          <w:sz w:val="22"/>
          <w:szCs w:val="22"/>
        </w:rPr>
      </w:pPr>
    </w:p>
    <w:p w14:paraId="5CAB7C96" w14:textId="77777777" w:rsidR="00A62B0F" w:rsidRPr="000118A3" w:rsidRDefault="00A62B0F" w:rsidP="00A62B0F">
      <w:pPr>
        <w:pStyle w:val="ListParagraph"/>
        <w:ind w:left="660"/>
        <w:jc w:val="both"/>
        <w:rPr>
          <w:rFonts w:ascii="Times New Roman" w:hAnsi="Times New Roman" w:cs="Times New Roman"/>
          <w:sz w:val="22"/>
          <w:szCs w:val="22"/>
        </w:rPr>
      </w:pPr>
    </w:p>
    <w:p w14:paraId="39D77E4E" w14:textId="77777777" w:rsidR="00A62B0F" w:rsidRPr="000118A3" w:rsidRDefault="00A62B0F" w:rsidP="00A62B0F">
      <w:pPr>
        <w:pStyle w:val="ListParagraph"/>
        <w:ind w:left="660"/>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187E64E1" wp14:editId="43F0D65E">
            <wp:extent cx="1907540" cy="1430655"/>
            <wp:effectExtent l="0" t="0" r="0" b="4445"/>
            <wp:docPr id="3161888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502477" name=""/>
                    <pic:cNvPicPr/>
                  </pic:nvPicPr>
                  <pic:blipFill rotWithShape="1">
                    <a:blip r:embed="rId73"/>
                    <a:srcRect l="3292" t="5057" r="54594" b="54927"/>
                    <a:stretch>
                      <a:fillRect/>
                    </a:stretch>
                  </pic:blipFill>
                  <pic:spPr bwMode="auto">
                    <a:xfrm>
                      <a:off x="0" y="0"/>
                      <a:ext cx="1908000" cy="1431000"/>
                    </a:xfrm>
                    <a:prstGeom prst="rect">
                      <a:avLst/>
                    </a:prstGeom>
                    <a:ln>
                      <a:noFill/>
                    </a:ln>
                    <a:extLst>
                      <a:ext uri="{53640926-AAD7-44D8-BBD7-CCE9431645EC}">
                        <a14:shadowObscured xmlns:a14="http://schemas.microsoft.com/office/drawing/2010/main"/>
                      </a:ext>
                    </a:extLst>
                  </pic:spPr>
                </pic:pic>
              </a:graphicData>
            </a:graphic>
          </wp:inline>
        </w:drawing>
      </w:r>
      <w:r w:rsidRPr="000118A3">
        <w:rPr>
          <w:rFonts w:ascii="Times New Roman" w:hAnsi="Times New Roman" w:cs="Times New Roman"/>
          <w:noProof/>
          <w:sz w:val="22"/>
          <w:szCs w:val="22"/>
        </w:rPr>
        <w:drawing>
          <wp:inline distT="0" distB="0" distL="0" distR="0" wp14:anchorId="095CAAB2" wp14:editId="430D1A46">
            <wp:extent cx="1908000" cy="1431000"/>
            <wp:effectExtent l="0" t="0" r="0" b="4445"/>
            <wp:docPr id="1290127095" name="Picture 1" descr="A collage of images of a beac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087373" name="Picture 1" descr="A collage of images of a beach&#10;&#10;AI-generated content may be incorrect."/>
                    <pic:cNvPicPr/>
                  </pic:nvPicPr>
                  <pic:blipFill rotWithShape="1">
                    <a:blip r:embed="rId73"/>
                    <a:srcRect l="59323" t="6221" r="2507" b="57512"/>
                    <a:stretch>
                      <a:fillRect/>
                    </a:stretch>
                  </pic:blipFill>
                  <pic:spPr bwMode="auto">
                    <a:xfrm>
                      <a:off x="0" y="0"/>
                      <a:ext cx="1908000" cy="1431000"/>
                    </a:xfrm>
                    <a:prstGeom prst="rect">
                      <a:avLst/>
                    </a:prstGeom>
                    <a:ln>
                      <a:noFill/>
                    </a:ln>
                    <a:extLst>
                      <a:ext uri="{53640926-AAD7-44D8-BBD7-CCE9431645EC}">
                        <a14:shadowObscured xmlns:a14="http://schemas.microsoft.com/office/drawing/2010/main"/>
                      </a:ext>
                    </a:extLst>
                  </pic:spPr>
                </pic:pic>
              </a:graphicData>
            </a:graphic>
          </wp:inline>
        </w:drawing>
      </w:r>
      <w:r w:rsidRPr="000118A3">
        <w:rPr>
          <w:rFonts w:ascii="Times New Roman" w:hAnsi="Times New Roman" w:cs="Times New Roman"/>
          <w:noProof/>
          <w:sz w:val="22"/>
          <w:szCs w:val="22"/>
        </w:rPr>
        <w:drawing>
          <wp:inline distT="0" distB="0" distL="0" distR="0" wp14:anchorId="68B5BE54" wp14:editId="1F53809F">
            <wp:extent cx="1908000" cy="1431000"/>
            <wp:effectExtent l="0" t="0" r="0" b="4445"/>
            <wp:docPr id="1709160972" name="Picture 1" descr="A collage of images of a beac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087373" name="Picture 1" descr="A collage of images of a beach&#10;&#10;AI-generated content may be incorrect."/>
                    <pic:cNvPicPr/>
                  </pic:nvPicPr>
                  <pic:blipFill rotWithShape="1">
                    <a:blip r:embed="rId73"/>
                    <a:srcRect l="35417" t="58074" r="31764" b="10744"/>
                    <a:stretch>
                      <a:fillRect/>
                    </a:stretch>
                  </pic:blipFill>
                  <pic:spPr bwMode="auto">
                    <a:xfrm>
                      <a:off x="0" y="0"/>
                      <a:ext cx="1908000" cy="1431000"/>
                    </a:xfrm>
                    <a:prstGeom prst="rect">
                      <a:avLst/>
                    </a:prstGeom>
                    <a:ln>
                      <a:noFill/>
                    </a:ln>
                    <a:extLst>
                      <a:ext uri="{53640926-AAD7-44D8-BBD7-CCE9431645EC}">
                        <a14:shadowObscured xmlns:a14="http://schemas.microsoft.com/office/drawing/2010/main"/>
                      </a:ext>
                    </a:extLst>
                  </pic:spPr>
                </pic:pic>
              </a:graphicData>
            </a:graphic>
          </wp:inline>
        </w:drawing>
      </w:r>
      <w:r w:rsidRPr="000118A3">
        <w:rPr>
          <w:rFonts w:ascii="Times New Roman" w:hAnsi="Times New Roman" w:cs="Times New Roman"/>
          <w:noProof/>
          <w:sz w:val="22"/>
          <w:szCs w:val="22"/>
        </w:rPr>
        <w:drawing>
          <wp:inline distT="0" distB="0" distL="0" distR="0" wp14:anchorId="617A2103" wp14:editId="25515459">
            <wp:extent cx="5652000" cy="2384409"/>
            <wp:effectExtent l="0" t="0" r="0" b="3810"/>
            <wp:docPr id="1342347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29843" name=""/>
                    <pic:cNvPicPr/>
                  </pic:nvPicPr>
                  <pic:blipFill rotWithShape="1">
                    <a:blip r:embed="rId74"/>
                    <a:srcRect b="18424"/>
                    <a:stretch>
                      <a:fillRect/>
                    </a:stretch>
                  </pic:blipFill>
                  <pic:spPr bwMode="auto">
                    <a:xfrm>
                      <a:off x="0" y="0"/>
                      <a:ext cx="5652000" cy="2384409"/>
                    </a:xfrm>
                    <a:prstGeom prst="rect">
                      <a:avLst/>
                    </a:prstGeom>
                    <a:ln>
                      <a:noFill/>
                    </a:ln>
                    <a:extLst>
                      <a:ext uri="{53640926-AAD7-44D8-BBD7-CCE9431645EC}">
                        <a14:shadowObscured xmlns:a14="http://schemas.microsoft.com/office/drawing/2010/main"/>
                      </a:ext>
                    </a:extLst>
                  </pic:spPr>
                </pic:pic>
              </a:graphicData>
            </a:graphic>
          </wp:inline>
        </w:drawing>
      </w:r>
    </w:p>
    <w:p w14:paraId="6AAC30E4" w14:textId="65EDB59D" w:rsidR="00A62B0F" w:rsidRPr="003519B5" w:rsidRDefault="003519B5" w:rsidP="003519B5">
      <w:pPr>
        <w:pStyle w:val="Caption"/>
        <w:rPr>
          <w:rFonts w:ascii="Times New Roman" w:hAnsi="Times New Roman" w:cs="Times New Roman"/>
          <w:b/>
          <w:bCs/>
          <w:i w:val="0"/>
          <w:iCs w:val="0"/>
          <w:color w:val="000000" w:themeColor="text1"/>
          <w:sz w:val="22"/>
          <w:szCs w:val="22"/>
        </w:rPr>
      </w:pPr>
      <w:bookmarkStart w:id="116" w:name="_Toc217297626"/>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39</w:t>
      </w:r>
      <w:r w:rsidRPr="003519B5">
        <w:rPr>
          <w:rFonts w:ascii="Times New Roman" w:hAnsi="Times New Roman" w:cs="Times New Roman"/>
          <w:i w:val="0"/>
          <w:iCs w:val="0"/>
          <w:color w:val="000000" w:themeColor="text1"/>
          <w:sz w:val="22"/>
          <w:szCs w:val="22"/>
        </w:rPr>
        <w:fldChar w:fldCharType="end"/>
      </w:r>
      <w:r w:rsidRPr="003519B5">
        <w:rPr>
          <w:rFonts w:ascii="Times New Roman" w:hAnsi="Times New Roman" w:cs="Times New Roman"/>
          <w:i w:val="0"/>
          <w:iCs w:val="0"/>
          <w:color w:val="000000" w:themeColor="text1"/>
          <w:sz w:val="22"/>
          <w:szCs w:val="22"/>
        </w:rPr>
        <w:t xml:space="preserve"> </w:t>
      </w:r>
      <w:r w:rsidR="00A62B0F" w:rsidRPr="003519B5">
        <w:rPr>
          <w:rFonts w:ascii="Times New Roman" w:hAnsi="Times New Roman" w:cs="Times New Roman"/>
          <w:i w:val="0"/>
          <w:iCs w:val="0"/>
          <w:color w:val="000000" w:themeColor="text1"/>
          <w:sz w:val="22"/>
          <w:szCs w:val="22"/>
        </w:rPr>
        <w:t>Marine pollution caused by oil sludge on the Bintan Coastal, Indonesia, in 2023 (</w:t>
      </w:r>
      <w:r w:rsidR="00A62B0F" w:rsidRPr="003519B5">
        <w:rPr>
          <w:rFonts w:ascii="Times New Roman" w:hAnsi="Times New Roman" w:cs="Times New Roman"/>
          <w:b/>
          <w:bCs/>
          <w:i w:val="0"/>
          <w:iCs w:val="0"/>
          <w:color w:val="000000" w:themeColor="text1"/>
          <w:sz w:val="22"/>
          <w:szCs w:val="22"/>
        </w:rPr>
        <w:t>Purnaweni et al., 2022; Thahira et al., 2023</w:t>
      </w:r>
      <w:r w:rsidR="00A62B0F" w:rsidRPr="003519B5">
        <w:rPr>
          <w:rFonts w:ascii="Times New Roman" w:hAnsi="Times New Roman" w:cs="Times New Roman"/>
          <w:i w:val="0"/>
          <w:iCs w:val="0"/>
          <w:color w:val="000000" w:themeColor="text1"/>
          <w:sz w:val="22"/>
          <w:szCs w:val="22"/>
        </w:rPr>
        <w:t>)</w:t>
      </w:r>
      <w:bookmarkEnd w:id="116"/>
    </w:p>
    <w:p w14:paraId="0BCB94F8" w14:textId="3B51AB9B" w:rsidR="00A62B0F" w:rsidRPr="000118A3" w:rsidRDefault="00CA1BC3" w:rsidP="00787A8D">
      <w:pPr>
        <w:pStyle w:val="BodyText"/>
        <w:numPr>
          <w:ilvl w:val="3"/>
          <w:numId w:val="140"/>
        </w:numPr>
        <w:spacing w:before="188"/>
        <w:rPr>
          <w:rFonts w:ascii="Times New Roman" w:hAnsi="Times New Roman" w:cs="Times New Roman"/>
          <w:b/>
          <w:bCs/>
          <w:color w:val="0070C0"/>
        </w:rPr>
      </w:pPr>
      <w:r w:rsidRPr="000118A3">
        <w:rPr>
          <w:rFonts w:ascii="Times New Roman" w:hAnsi="Times New Roman" w:cs="Times New Roman"/>
          <w:b/>
          <w:bCs/>
          <w:color w:val="0070C0"/>
        </w:rPr>
        <w:t>Impact of marine debris stranded on mangroves</w:t>
      </w:r>
    </w:p>
    <w:p w14:paraId="56E45A2E" w14:textId="1242372C" w:rsidR="00CA1BC3" w:rsidRPr="00F73BE1" w:rsidRDefault="00711F36" w:rsidP="00F73BE1">
      <w:pPr>
        <w:pStyle w:val="BodyText"/>
        <w:spacing w:after="0" w:line="240" w:lineRule="auto"/>
        <w:jc w:val="both"/>
        <w:rPr>
          <w:rFonts w:ascii="Times New Roman" w:hAnsi="Times New Roman" w:cs="Times New Roman"/>
          <w:color w:val="0070C0"/>
        </w:rPr>
      </w:pPr>
      <w:r w:rsidRPr="00F73BE1">
        <w:rPr>
          <w:rFonts w:ascii="Times New Roman" w:hAnsi="Times New Roman" w:cs="Times New Roman"/>
        </w:rPr>
        <w:t xml:space="preserve">Hidayati et al. (2022) reported significant macro-debris and microplastic accumulation in Bintan’s mangroves, affecting associated organisms such as gastropods. Microplastics (&lt;5 mm) occur as pellets, fibers, fragments, and films, threatening fragile habitats that support biodiversity and coastal protection. Syakti et al. (2018) and Ma et al. (2020) found that microplastics enter food webs through ingestion, while Covernton et al. (2021) detected high concentrations in clupeid fish. Utami et al. (2021) noted that corals ingest microplastics, causing tissue damage and bleaching.  Mendrik et al. (2025) observed that fibrous microplastics reduce photosynthetic activity in </w:t>
      </w:r>
      <w:r w:rsidRPr="00F73BE1">
        <w:rPr>
          <w:rFonts w:ascii="Times New Roman" w:hAnsi="Times New Roman" w:cs="Times New Roman"/>
          <w:i/>
          <w:iCs/>
        </w:rPr>
        <w:t>Acropora</w:t>
      </w:r>
      <w:r w:rsidRPr="00F73BE1">
        <w:rPr>
          <w:rFonts w:ascii="Times New Roman" w:hAnsi="Times New Roman" w:cs="Times New Roman"/>
        </w:rPr>
        <w:t xml:space="preserve"> corals, highlighting serious ecological risks.</w:t>
      </w:r>
    </w:p>
    <w:p w14:paraId="4C75A5E9" w14:textId="6B7ED2C1" w:rsidR="00CA1BC3" w:rsidRPr="000118A3" w:rsidRDefault="00711F36" w:rsidP="00787A8D">
      <w:pPr>
        <w:pStyle w:val="BodyText"/>
        <w:numPr>
          <w:ilvl w:val="2"/>
          <w:numId w:val="140"/>
        </w:numPr>
        <w:spacing w:before="188"/>
        <w:rPr>
          <w:rFonts w:ascii="Times New Roman" w:hAnsi="Times New Roman" w:cs="Times New Roman"/>
          <w:b/>
          <w:bCs/>
          <w:color w:val="0070C0"/>
        </w:rPr>
      </w:pPr>
      <w:r w:rsidRPr="000118A3">
        <w:rPr>
          <w:rFonts w:ascii="Times New Roman" w:hAnsi="Times New Roman" w:cs="Times New Roman"/>
          <w:b/>
          <w:bCs/>
          <w:color w:val="0070C0"/>
        </w:rPr>
        <w:t>Risk Assessment of Marine Pollution</w:t>
      </w:r>
    </w:p>
    <w:p w14:paraId="4ACE041E" w14:textId="65B5954E" w:rsidR="00F73BE1" w:rsidRDefault="00711F36" w:rsidP="00F73BE1">
      <w:pPr>
        <w:spacing w:before="120"/>
        <w:jc w:val="both"/>
        <w:rPr>
          <w:rFonts w:ascii="Times New Roman" w:hAnsi="Times New Roman" w:cs="Times New Roman"/>
          <w:sz w:val="22"/>
          <w:szCs w:val="22"/>
        </w:rPr>
      </w:pPr>
      <w:r w:rsidRPr="000118A3">
        <w:rPr>
          <w:rFonts w:ascii="Times New Roman" w:hAnsi="Times New Roman" w:cs="Times New Roman"/>
          <w:sz w:val="22"/>
          <w:szCs w:val="22"/>
        </w:rPr>
        <w:t>Risk assessment applies a risk analysis approach using three main variables</w:t>
      </w:r>
      <w:r w:rsidR="004567DB">
        <w:rPr>
          <w:rFonts w:ascii="Times New Roman" w:hAnsi="Times New Roman" w:cs="Times New Roman"/>
          <w:sz w:val="22"/>
          <w:szCs w:val="22"/>
        </w:rPr>
        <w:t xml:space="preserve"> </w:t>
      </w:r>
      <w:r w:rsidRPr="000118A3">
        <w:rPr>
          <w:rFonts w:ascii="Times New Roman" w:hAnsi="Times New Roman" w:cs="Times New Roman"/>
          <w:sz w:val="22"/>
          <w:szCs w:val="22"/>
        </w:rPr>
        <w:t>probability, impacts, and adaptive capacity within specific pollution scenarios (</w:t>
      </w:r>
      <w:r w:rsidRPr="000118A3">
        <w:rPr>
          <w:rFonts w:ascii="Times New Roman" w:hAnsi="Times New Roman" w:cs="Times New Roman"/>
          <w:b/>
          <w:bCs/>
          <w:sz w:val="22"/>
          <w:szCs w:val="22"/>
        </w:rPr>
        <w:t>Cornelly et al., 2018; Ortega et al., 2014</w:t>
      </w:r>
      <w:r w:rsidRPr="000118A3">
        <w:rPr>
          <w:rFonts w:ascii="Times New Roman" w:hAnsi="Times New Roman" w:cs="Times New Roman"/>
          <w:sz w:val="22"/>
          <w:szCs w:val="22"/>
        </w:rPr>
        <w:t xml:space="preserve">).  Probability reflects the likelihood of pollution events based on pollution source intensity and is rated from 1 to 5. Impacts include water quality conditions, deviations from standards, and socio-ecological effects, also scored from 1 to 5; both are positively correlated with risk. Adaptive capacity, rated similarly, measures the ability of management units to address pollution and is negatively correlated with risk. A higher adaptive capacity reduces overall risk. </w:t>
      </w:r>
    </w:p>
    <w:p w14:paraId="52A35B31" w14:textId="141A2774" w:rsidR="00711F36" w:rsidRPr="000118A3" w:rsidRDefault="00711F36" w:rsidP="00F73BE1">
      <w:pPr>
        <w:spacing w:before="120"/>
        <w:jc w:val="both"/>
        <w:rPr>
          <w:rFonts w:ascii="Times New Roman" w:hAnsi="Times New Roman" w:cs="Times New Roman"/>
          <w:sz w:val="22"/>
          <w:szCs w:val="22"/>
        </w:rPr>
      </w:pPr>
      <w:r w:rsidRPr="000118A3">
        <w:rPr>
          <w:rFonts w:ascii="Times New Roman" w:hAnsi="Times New Roman" w:cs="Times New Roman"/>
          <w:sz w:val="22"/>
          <w:szCs w:val="22"/>
        </w:rPr>
        <w:lastRenderedPageBreak/>
        <w:t xml:space="preserve">Detailed methods are provided in the </w:t>
      </w:r>
      <w:r w:rsidRPr="000118A3">
        <w:rPr>
          <w:rFonts w:ascii="Times New Roman" w:hAnsi="Times New Roman" w:cs="Times New Roman"/>
          <w:b/>
          <w:bCs/>
          <w:sz w:val="22"/>
          <w:szCs w:val="22"/>
        </w:rPr>
        <w:t xml:space="preserve">App. 5 </w:t>
      </w:r>
      <w:r w:rsidRPr="000118A3">
        <w:rPr>
          <w:rFonts w:ascii="Times New Roman" w:hAnsi="Times New Roman" w:cs="Times New Roman"/>
          <w:sz w:val="22"/>
          <w:szCs w:val="22"/>
        </w:rPr>
        <w:t>while</w:t>
      </w:r>
      <w:r w:rsidRPr="000118A3">
        <w:rPr>
          <w:rFonts w:ascii="Times New Roman" w:hAnsi="Times New Roman" w:cs="Times New Roman"/>
          <w:b/>
          <w:bCs/>
          <w:sz w:val="22"/>
          <w:szCs w:val="22"/>
        </w:rPr>
        <w:t xml:space="preserve"> d</w:t>
      </w:r>
      <w:r w:rsidRPr="000118A3">
        <w:rPr>
          <w:rFonts w:ascii="Times New Roman" w:hAnsi="Times New Roman" w:cs="Times New Roman"/>
          <w:sz w:val="22"/>
          <w:szCs w:val="22"/>
        </w:rPr>
        <w:t xml:space="preserve">etail risk analysis results are shown at </w:t>
      </w:r>
      <w:r w:rsidRPr="000118A3">
        <w:rPr>
          <w:rFonts w:ascii="Times New Roman" w:hAnsi="Times New Roman" w:cs="Times New Roman"/>
          <w:b/>
          <w:bCs/>
          <w:sz w:val="22"/>
          <w:szCs w:val="22"/>
        </w:rPr>
        <w:t>App. 6</w:t>
      </w:r>
      <w:r w:rsidRPr="000118A3">
        <w:rPr>
          <w:rFonts w:ascii="Times New Roman" w:hAnsi="Times New Roman" w:cs="Times New Roman"/>
          <w:sz w:val="22"/>
          <w:szCs w:val="22"/>
        </w:rPr>
        <w:t xml:space="preserve">.  Risk analysis results indicate high-risk levels for oil pollution (oil sludge) </w:t>
      </w:r>
      <w:r w:rsidR="002C707D" w:rsidRPr="000118A3">
        <w:rPr>
          <w:rFonts w:ascii="Times New Roman" w:hAnsi="Times New Roman" w:cs="Times New Roman"/>
          <w:sz w:val="22"/>
          <w:szCs w:val="22"/>
        </w:rPr>
        <w:t>in Bintan</w:t>
      </w:r>
      <w:r w:rsidRPr="000118A3">
        <w:rPr>
          <w:rFonts w:ascii="Times New Roman" w:hAnsi="Times New Roman" w:cs="Times New Roman"/>
          <w:sz w:val="22"/>
          <w:szCs w:val="22"/>
        </w:rPr>
        <w:t xml:space="preserve"> while other pollution types showed low to moderate risks.  Maximum risk for oil sludge pollution in Bintan coastal area is due to mostly its high probability and impacts and low in adaptive capacity.   The high probability is evident from the relatively intense frequency of maritime transportation activities in the international waters of the region, occurring almost daily, which represents a major potential source of oily waste discharges from ship tank-cleaning operations (</w:t>
      </w:r>
      <w:r w:rsidRPr="000118A3">
        <w:rPr>
          <w:rFonts w:ascii="Times New Roman" w:hAnsi="Times New Roman" w:cs="Times New Roman"/>
          <w:b/>
          <w:bCs/>
          <w:sz w:val="22"/>
          <w:szCs w:val="22"/>
        </w:rPr>
        <w:t>Thahira et al., 2023</w:t>
      </w:r>
      <w:r w:rsidRPr="000118A3">
        <w:rPr>
          <w:rFonts w:ascii="Times New Roman" w:hAnsi="Times New Roman" w:cs="Times New Roman"/>
          <w:sz w:val="22"/>
          <w:szCs w:val="22"/>
        </w:rPr>
        <w:t>). In addition, the mechanism of this impact is transboundary in nature, involving cross-border pollution pathways. From an impact perspective, the recurrent stranding of oil sludge along the Bintan coastline has produced tangible environmental consequences, affecting beach cleanliness, disrupting coastal tourism, and degrading mangrove ecosystems (</w:t>
      </w:r>
      <w:r w:rsidRPr="000118A3">
        <w:rPr>
          <w:rFonts w:ascii="Times New Roman" w:hAnsi="Times New Roman" w:cs="Times New Roman"/>
          <w:b/>
          <w:bCs/>
          <w:sz w:val="22"/>
          <w:szCs w:val="22"/>
        </w:rPr>
        <w:t>Hairo et al., 2024;</w:t>
      </w:r>
      <w:r w:rsidRPr="000118A3">
        <w:rPr>
          <w:rFonts w:ascii="Times New Roman" w:hAnsi="Times New Roman" w:cs="Times New Roman"/>
          <w:sz w:val="22"/>
          <w:szCs w:val="22"/>
        </w:rPr>
        <w:t xml:space="preserve"> </w:t>
      </w:r>
      <w:r w:rsidRPr="000118A3">
        <w:rPr>
          <w:rFonts w:ascii="Times New Roman" w:hAnsi="Times New Roman" w:cs="Times New Roman"/>
          <w:b/>
          <w:bCs/>
          <w:sz w:val="22"/>
          <w:szCs w:val="22"/>
        </w:rPr>
        <w:t>Purwaneni et al., 2022</w:t>
      </w:r>
      <w:r w:rsidRPr="000118A3">
        <w:rPr>
          <w:rFonts w:ascii="Times New Roman" w:hAnsi="Times New Roman" w:cs="Times New Roman"/>
          <w:sz w:val="22"/>
          <w:szCs w:val="22"/>
        </w:rPr>
        <w:t xml:space="preserve">).  </w:t>
      </w:r>
    </w:p>
    <w:p w14:paraId="6F918FFD" w14:textId="5FEE58FD" w:rsidR="00711F36" w:rsidRPr="000118A3" w:rsidRDefault="00711F36" w:rsidP="00F73BE1">
      <w:pPr>
        <w:pStyle w:val="BodyText"/>
        <w:spacing w:before="120" w:after="0" w:line="240" w:lineRule="auto"/>
        <w:jc w:val="both"/>
        <w:rPr>
          <w:rFonts w:ascii="Times New Roman" w:hAnsi="Times New Roman" w:cs="Times New Roman"/>
          <w:b/>
          <w:bCs/>
          <w:color w:val="0070C0"/>
        </w:rPr>
      </w:pPr>
      <w:r w:rsidRPr="000118A3">
        <w:rPr>
          <w:rFonts w:ascii="Times New Roman" w:hAnsi="Times New Roman" w:cs="Times New Roman"/>
        </w:rPr>
        <w:t>Compared with Jakarta Bay, pollution levels in Batam, Bintan, and the wider South China Sea are relatively lower due to less intense pollution sources and impacts. In Jakarta Bay, severe contamination has led to heavy metal pollution (Hg, Pb, Cd) and toxic compounds (</w:t>
      </w:r>
      <w:r w:rsidRPr="000118A3">
        <w:rPr>
          <w:rFonts w:ascii="Times New Roman" w:hAnsi="Times New Roman" w:cs="Times New Roman"/>
          <w:b/>
          <w:bCs/>
        </w:rPr>
        <w:t>Dsikowitzky et al., 2018</w:t>
      </w:r>
      <w:r w:rsidRPr="000118A3">
        <w:rPr>
          <w:rFonts w:ascii="Times New Roman" w:hAnsi="Times New Roman" w:cs="Times New Roman"/>
        </w:rPr>
        <w:t>), eutrophication (</w:t>
      </w:r>
      <w:r w:rsidRPr="000118A3">
        <w:rPr>
          <w:rFonts w:ascii="Times New Roman" w:hAnsi="Times New Roman" w:cs="Times New Roman"/>
          <w:b/>
          <w:bCs/>
        </w:rPr>
        <w:t>Damar et al., 2020</w:t>
      </w:r>
      <w:r w:rsidRPr="000118A3">
        <w:rPr>
          <w:rFonts w:ascii="Times New Roman" w:hAnsi="Times New Roman" w:cs="Times New Roman"/>
        </w:rPr>
        <w:t>), and hypoxia (</w:t>
      </w:r>
      <w:r w:rsidRPr="000118A3">
        <w:rPr>
          <w:rFonts w:ascii="Times New Roman" w:hAnsi="Times New Roman" w:cs="Times New Roman"/>
          <w:b/>
          <w:bCs/>
        </w:rPr>
        <w:t>Ladwig et al., 2016; Hayami et al., 2020</w:t>
      </w:r>
      <w:r w:rsidRPr="000118A3">
        <w:rPr>
          <w:rFonts w:ascii="Times New Roman" w:hAnsi="Times New Roman" w:cs="Times New Roman"/>
        </w:rPr>
        <w:t>). Contaminants have also entered the food chain (</w:t>
      </w:r>
      <w:r w:rsidRPr="000118A3">
        <w:rPr>
          <w:rFonts w:ascii="Times New Roman" w:hAnsi="Times New Roman" w:cs="Times New Roman"/>
          <w:b/>
          <w:bCs/>
        </w:rPr>
        <w:t>Baum et al., 2016; Kunzmann et al., 2018; Oetama et al., 2016</w:t>
      </w:r>
      <w:r w:rsidRPr="000118A3">
        <w:rPr>
          <w:rFonts w:ascii="Times New Roman" w:hAnsi="Times New Roman" w:cs="Times New Roman"/>
        </w:rPr>
        <w:t>). Priority actions should target oil and TSS pollution, while moderate risks include marine debris, plastic waste, and E. coli contamination</w:t>
      </w:r>
    </w:p>
    <w:p w14:paraId="22B436F0" w14:textId="6226CBAD" w:rsidR="00711F36" w:rsidRPr="000118A3" w:rsidRDefault="00711F36" w:rsidP="00787A8D">
      <w:pPr>
        <w:pStyle w:val="BodyText"/>
        <w:numPr>
          <w:ilvl w:val="2"/>
          <w:numId w:val="140"/>
        </w:numPr>
        <w:spacing w:before="188"/>
        <w:rPr>
          <w:rFonts w:ascii="Times New Roman" w:hAnsi="Times New Roman" w:cs="Times New Roman"/>
          <w:b/>
          <w:bCs/>
          <w:color w:val="0070C0"/>
        </w:rPr>
      </w:pPr>
      <w:r w:rsidRPr="000118A3">
        <w:rPr>
          <w:rFonts w:ascii="Times New Roman" w:hAnsi="Times New Roman" w:cs="Times New Roman"/>
          <w:b/>
          <w:bCs/>
          <w:color w:val="0070C0"/>
        </w:rPr>
        <w:t>Interactions: Current Management and Institutions</w:t>
      </w:r>
    </w:p>
    <w:p w14:paraId="47DBD2B3" w14:textId="2EC19B5D" w:rsidR="00711F36" w:rsidRPr="000118A3" w:rsidRDefault="00711F36" w:rsidP="00F73BE1">
      <w:pPr>
        <w:pStyle w:val="BodyText"/>
        <w:spacing w:after="0" w:line="240" w:lineRule="auto"/>
        <w:jc w:val="both"/>
        <w:rPr>
          <w:rFonts w:ascii="Times New Roman" w:hAnsi="Times New Roman" w:cs="Times New Roman"/>
          <w:b/>
          <w:bCs/>
          <w:color w:val="0070C0"/>
        </w:rPr>
      </w:pPr>
      <w:r w:rsidRPr="000118A3">
        <w:rPr>
          <w:rFonts w:ascii="Times New Roman" w:hAnsi="Times New Roman" w:cs="Times New Roman"/>
        </w:rPr>
        <w:t xml:space="preserve">Pollution management in the South China Sea (SCS) region involves coordination among multiple Indonesian institutions. At the national level, key agencies include the Ministry of </w:t>
      </w:r>
      <w:r w:rsidR="004567DB" w:rsidRPr="000118A3">
        <w:rPr>
          <w:rFonts w:ascii="Times New Roman" w:hAnsi="Times New Roman" w:cs="Times New Roman"/>
        </w:rPr>
        <w:t>Environment, Ministry</w:t>
      </w:r>
      <w:r w:rsidRPr="000118A3">
        <w:rPr>
          <w:rFonts w:ascii="Times New Roman" w:hAnsi="Times New Roman" w:cs="Times New Roman"/>
        </w:rPr>
        <w:t xml:space="preserve"> of Transportation, Ministry of Home Affairs, Ministry of Foreign Affairs, and Ministry of Marine Affairs and Fisheries. At the regional level, the main authorities are the provincial governments of Riau Islands, Bangka Belitung, and West Kalimantan, supported by their respective Environmental Agencies, Marine and Fisheries Agencies, Tourism Agencies, and Regional Development Planning Agencies (Bappeda). These institutions collaborate to monitor, manage, and mitigate marine pollution across Indonesia’s SCS territories.  Specifically for the management of oil-sludge spills stranded along the northern coast of Bintan, coordination has been carried out under the coordination of the Ministry of Environment.  Several institutions have been involved, including the Ministry of Transportation (as the national coordinator for oil-spill response), the Ministry of Foreign Affairs (due to the diplomatic engagement required with neighboring countries and ASEAN), the Provincial Government of the Riau Islands, and the Bintan Regency Government.</w:t>
      </w:r>
    </w:p>
    <w:p w14:paraId="44D25A56" w14:textId="717AB60C" w:rsidR="00A62B0F" w:rsidRPr="000118A3" w:rsidRDefault="00711F36" w:rsidP="007F0F81">
      <w:pPr>
        <w:pStyle w:val="BodyText"/>
        <w:numPr>
          <w:ilvl w:val="1"/>
          <w:numId w:val="140"/>
        </w:numPr>
        <w:spacing w:before="188"/>
        <w:ind w:left="426"/>
        <w:outlineLvl w:val="1"/>
        <w:rPr>
          <w:rFonts w:ascii="Times New Roman" w:hAnsi="Times New Roman" w:cs="Times New Roman"/>
          <w:b/>
          <w:bCs/>
          <w:color w:val="0070C0"/>
        </w:rPr>
      </w:pPr>
      <w:bookmarkStart w:id="117" w:name="_Toc217297557"/>
      <w:r w:rsidRPr="000118A3">
        <w:rPr>
          <w:rFonts w:ascii="Times New Roman" w:hAnsi="Times New Roman" w:cs="Times New Roman"/>
          <w:b/>
          <w:bCs/>
          <w:color w:val="0070C0"/>
        </w:rPr>
        <w:t>Gaps and Priority Challenges</w:t>
      </w:r>
      <w:bookmarkEnd w:id="117"/>
    </w:p>
    <w:p w14:paraId="3F46D75D" w14:textId="468CCEAC" w:rsidR="00711F36" w:rsidRPr="000118A3" w:rsidRDefault="00AA7187" w:rsidP="00F73BE1">
      <w:pPr>
        <w:pStyle w:val="BodyText"/>
        <w:spacing w:after="0" w:line="240" w:lineRule="auto"/>
        <w:jc w:val="both"/>
        <w:rPr>
          <w:rFonts w:ascii="Times New Roman" w:hAnsi="Times New Roman" w:cs="Times New Roman"/>
          <w:b/>
          <w:bCs/>
          <w:color w:val="0070C0"/>
        </w:rPr>
      </w:pPr>
      <w:r w:rsidRPr="000118A3">
        <w:rPr>
          <w:rFonts w:ascii="Times New Roman" w:hAnsi="Times New Roman" w:cs="Times New Roman"/>
          <w:lang w:val="en-ID"/>
        </w:rPr>
        <w:t xml:space="preserve">The main types of pollution in the Indonesian South China Sea (SCS) region include oil sludge, plastic and marine debris, and organic and microbial contamination (e.g., </w:t>
      </w:r>
      <w:r w:rsidRPr="000118A3">
        <w:rPr>
          <w:rFonts w:ascii="Times New Roman" w:hAnsi="Times New Roman" w:cs="Times New Roman"/>
          <w:i/>
          <w:iCs/>
          <w:lang w:val="en-ID"/>
        </w:rPr>
        <w:t>E. coli</w:t>
      </w:r>
      <w:r w:rsidRPr="000118A3">
        <w:rPr>
          <w:rFonts w:ascii="Times New Roman" w:hAnsi="Times New Roman" w:cs="Times New Roman"/>
          <w:lang w:val="en-ID"/>
        </w:rPr>
        <w:t>, Total coliforms).</w:t>
      </w:r>
    </w:p>
    <w:p w14:paraId="67663F82" w14:textId="02F716E2" w:rsidR="00711F36" w:rsidRPr="000118A3" w:rsidRDefault="00AA7187" w:rsidP="00787A8D">
      <w:pPr>
        <w:pStyle w:val="BodyText"/>
        <w:numPr>
          <w:ilvl w:val="2"/>
          <w:numId w:val="140"/>
        </w:numPr>
        <w:spacing w:before="188"/>
        <w:rPr>
          <w:rFonts w:ascii="Times New Roman" w:hAnsi="Times New Roman" w:cs="Times New Roman"/>
          <w:b/>
          <w:bCs/>
          <w:color w:val="0070C0"/>
        </w:rPr>
      </w:pPr>
      <w:r w:rsidRPr="000118A3">
        <w:rPr>
          <w:rFonts w:ascii="Times New Roman" w:hAnsi="Times New Roman" w:cs="Times New Roman"/>
          <w:b/>
          <w:bCs/>
          <w:color w:val="0070C0"/>
        </w:rPr>
        <w:t>Oil Sludge Pollution</w:t>
      </w:r>
    </w:p>
    <w:p w14:paraId="24E9D775" w14:textId="77777777" w:rsidR="00F73BE1" w:rsidRDefault="00AA7187" w:rsidP="00F73BE1">
      <w:pPr>
        <w:pStyle w:val="BodyText"/>
        <w:spacing w:before="120" w:after="0" w:line="240" w:lineRule="auto"/>
        <w:jc w:val="both"/>
        <w:rPr>
          <w:rFonts w:ascii="Times New Roman" w:hAnsi="Times New Roman" w:cs="Times New Roman"/>
        </w:rPr>
      </w:pPr>
      <w:r w:rsidRPr="00F73BE1">
        <w:rPr>
          <w:rFonts w:ascii="Times New Roman" w:hAnsi="Times New Roman" w:cs="Times New Roman"/>
          <w:lang w:val="en-ID"/>
        </w:rPr>
        <w:t xml:space="preserve">This transboundary issue mainly affects the northern and eastern coasts of Batam and Bintan Islands, where oil sacks and tar balls regularly wash ashore during the Northeast Monsoon (October–February). Satellite and hydrodynamic analyses trace the source to international waters between Indonesia and Singapore, likely from vessel tank-cleaning operations. The pollution damages coral reefs and coastal ecosystems, including Bintan’s marine protected areas and tourist beaches </w:t>
      </w:r>
      <w:r w:rsidRPr="00F73BE1">
        <w:rPr>
          <w:rFonts w:ascii="Times New Roman" w:hAnsi="Times New Roman" w:cs="Times New Roman"/>
        </w:rPr>
        <w:t>(Purnaweni et al., 2022; Thahira et al., 2023)</w:t>
      </w:r>
      <w:r w:rsidRPr="00F73BE1">
        <w:rPr>
          <w:rFonts w:ascii="Times New Roman" w:hAnsi="Times New Roman" w:cs="Times New Roman"/>
          <w:lang w:val="en-ID"/>
        </w:rPr>
        <w:t xml:space="preserve">. To address it, stronger inter-ministerial coordination (Foreign Affairs, Environment and Transportation) and regional cooperation through ASEAN are needed, supported by a special task force and tourism stakeholder association for monitoring and response.  </w:t>
      </w:r>
      <w:r w:rsidRPr="00F73BE1">
        <w:rPr>
          <w:rFonts w:ascii="Times New Roman" w:hAnsi="Times New Roman" w:cs="Times New Roman"/>
        </w:rPr>
        <w:t xml:space="preserve">Until today, oil sludge strandings along the northern coasts of Batam and Bintan continue to occur, causing major disruptions to coastal tourism. An essential effort to address this issue is cross-border coordination involving regional and international maritime transport committees.   To date, efforts have been undertaken by the Indonesian government, particularly through the Ministry of Environment, including initiatives within the regional framework of the ASEAN Working Group on Biodiversity. Direct field actions include routine clean-up operations of oil sludge stranded along the northern coasts of Batam and Bintan. </w:t>
      </w:r>
    </w:p>
    <w:p w14:paraId="5B4D85AA" w14:textId="2E022FA0" w:rsidR="00AA7187" w:rsidRPr="00F73BE1" w:rsidRDefault="00AA7187" w:rsidP="00F73BE1">
      <w:pPr>
        <w:pStyle w:val="BodyText"/>
        <w:spacing w:before="120" w:after="0" w:line="240" w:lineRule="auto"/>
        <w:jc w:val="both"/>
        <w:rPr>
          <w:rFonts w:ascii="Times New Roman" w:hAnsi="Times New Roman" w:cs="Times New Roman"/>
          <w:color w:val="0070C0"/>
        </w:rPr>
      </w:pPr>
      <w:r w:rsidRPr="00F73BE1">
        <w:rPr>
          <w:rFonts w:ascii="Times New Roman" w:hAnsi="Times New Roman" w:cs="Times New Roman"/>
        </w:rPr>
        <w:t>Despite these efforts, oil sludge strandings on the Batam and Bintan coasts continue to occur, indicating that effective mitigation measures have yet to be achieved.  Addressing this issue requires sustained efforts to prevent similar incidents from occurring in the future.</w:t>
      </w:r>
    </w:p>
    <w:p w14:paraId="4C7FC54E" w14:textId="43884D72" w:rsidR="00AA7187" w:rsidRPr="000118A3" w:rsidRDefault="00AA7187" w:rsidP="00787A8D">
      <w:pPr>
        <w:pStyle w:val="BodyText"/>
        <w:numPr>
          <w:ilvl w:val="2"/>
          <w:numId w:val="140"/>
        </w:numPr>
        <w:spacing w:before="188"/>
        <w:rPr>
          <w:rFonts w:ascii="Times New Roman" w:hAnsi="Times New Roman" w:cs="Times New Roman"/>
          <w:b/>
          <w:bCs/>
          <w:color w:val="0070C0"/>
        </w:rPr>
      </w:pPr>
      <w:r w:rsidRPr="000118A3">
        <w:rPr>
          <w:rFonts w:ascii="Times New Roman" w:hAnsi="Times New Roman" w:cs="Times New Roman"/>
          <w:b/>
          <w:bCs/>
          <w:color w:val="0070C0"/>
        </w:rPr>
        <w:lastRenderedPageBreak/>
        <w:t>Plastic and Marine Debris Pollution</w:t>
      </w:r>
    </w:p>
    <w:p w14:paraId="0ECF95E7" w14:textId="315B7ADF" w:rsidR="00AA7187" w:rsidRPr="000118A3" w:rsidRDefault="00AA7187" w:rsidP="00F73BE1">
      <w:pPr>
        <w:spacing w:before="120"/>
        <w:jc w:val="both"/>
        <w:rPr>
          <w:rFonts w:ascii="Times New Roman" w:hAnsi="Times New Roman" w:cs="Times New Roman"/>
          <w:sz w:val="22"/>
          <w:szCs w:val="22"/>
        </w:rPr>
      </w:pPr>
      <w:r w:rsidRPr="000118A3">
        <w:rPr>
          <w:rFonts w:ascii="Times New Roman" w:hAnsi="Times New Roman" w:cs="Times New Roman"/>
          <w:sz w:val="22"/>
          <w:szCs w:val="22"/>
          <w:lang w:val="en-ID"/>
        </w:rPr>
        <w:t xml:space="preserve">This type of pollution affects nearly all provinces in the SCS region, including Riau Islands, Bangka Belitung, West Kalimantan, South Sumatera and Riau.  Driven by monsoonal currents, debris moves from the South China Sea toward Indonesia during the Northeast Monsoon, and in reverse during the Southeast Monsoon </w:t>
      </w:r>
      <w:r w:rsidRPr="00F73BE1">
        <w:rPr>
          <w:rFonts w:ascii="Times New Roman" w:hAnsi="Times New Roman" w:cs="Times New Roman"/>
          <w:sz w:val="22"/>
          <w:szCs w:val="22"/>
          <w:lang w:val="en-ID"/>
        </w:rPr>
        <w:t>(Hidayati et al., 2022; Syakti et al, 2018).</w:t>
      </w:r>
      <w:r w:rsidRPr="000118A3">
        <w:rPr>
          <w:rFonts w:ascii="Times New Roman" w:hAnsi="Times New Roman" w:cs="Times New Roman"/>
          <w:sz w:val="22"/>
          <w:szCs w:val="22"/>
          <w:lang w:val="en-ID"/>
        </w:rPr>
        <w:t xml:space="preserve"> The main strategy should target waste reduction at the source, particularly from densely populated areas such as Batam, Bintan, and surrounding provinces.  A notable gap remains in the efforts of the government, particularly local governments, to reduce plastic waste generation in their</w:t>
      </w:r>
      <w:r w:rsidR="00F73BE1">
        <w:rPr>
          <w:rFonts w:ascii="Times New Roman" w:hAnsi="Times New Roman" w:cs="Times New Roman"/>
          <w:sz w:val="22"/>
          <w:szCs w:val="22"/>
          <w:lang w:val="en-ID"/>
        </w:rPr>
        <w:t xml:space="preserve"> respec</w:t>
      </w:r>
      <w:r w:rsidR="00F73BE1" w:rsidRPr="000118A3">
        <w:rPr>
          <w:rFonts w:ascii="Times New Roman" w:hAnsi="Times New Roman" w:cs="Times New Roman"/>
          <w:sz w:val="22"/>
          <w:szCs w:val="22"/>
          <w:lang w:val="en-ID"/>
        </w:rPr>
        <w:t>tive</w:t>
      </w:r>
      <w:r w:rsidRPr="000118A3">
        <w:rPr>
          <w:rFonts w:ascii="Times New Roman" w:hAnsi="Times New Roman" w:cs="Times New Roman"/>
          <w:sz w:val="22"/>
          <w:szCs w:val="22"/>
          <w:lang w:val="en-ID"/>
        </w:rPr>
        <w:t xml:space="preserve"> regions. Although relevant regulations are already in place, including a National Action Plan (NAP) for reducing plastic waste generation and marine plastic pollution, the main challenge lies in the effective implementation of this NAP.</w:t>
      </w:r>
      <w:r w:rsidR="002C707D">
        <w:rPr>
          <w:rFonts w:ascii="Times New Roman" w:hAnsi="Times New Roman" w:cs="Times New Roman"/>
          <w:sz w:val="22"/>
          <w:szCs w:val="22"/>
          <w:lang w:val="en-ID"/>
        </w:rPr>
        <w:t xml:space="preserve"> </w:t>
      </w:r>
      <w:r w:rsidRPr="000118A3">
        <w:rPr>
          <w:rFonts w:ascii="Times New Roman" w:hAnsi="Times New Roman" w:cs="Times New Roman"/>
          <w:sz w:val="22"/>
          <w:szCs w:val="22"/>
        </w:rPr>
        <w:t>The NAP is outlined in the Presidential Regulation of the Republic of Indonesia Number 97 of 2017 concerning the National Policy and Strategy on Household Waste and Household-like Waste Management, and Presidential Regulation Number 83 of 2018 concerning the Handling of Marine Debris.</w:t>
      </w:r>
    </w:p>
    <w:p w14:paraId="1025A249" w14:textId="1D8591FC" w:rsidR="00AA7187" w:rsidRPr="000118A3" w:rsidRDefault="00AA7187" w:rsidP="00F73BE1">
      <w:pPr>
        <w:pStyle w:val="BodyText"/>
        <w:spacing w:before="120" w:after="0" w:line="240" w:lineRule="auto"/>
        <w:jc w:val="both"/>
        <w:rPr>
          <w:rFonts w:ascii="Times New Roman" w:hAnsi="Times New Roman" w:cs="Times New Roman"/>
          <w:b/>
          <w:bCs/>
          <w:color w:val="0070C0"/>
        </w:rPr>
      </w:pPr>
      <w:r w:rsidRPr="000118A3">
        <w:rPr>
          <w:rFonts w:ascii="Times New Roman" w:hAnsi="Times New Roman" w:cs="Times New Roman"/>
        </w:rPr>
        <w:t>Although it has been mandated in national regulations, plastic pollution and marine debris continue to persist. Efforts to reduce plastic waste generation need to involve multiple relevant stakeholders, including producers of plastic packaging for food, beverages, detergents, shampoos, and other products, as well as waste management authorities responsible for handling and preventing waste from entering public waters</w:t>
      </w:r>
      <w:r w:rsidR="002C707D">
        <w:rPr>
          <w:rFonts w:ascii="Times New Roman" w:hAnsi="Times New Roman" w:cs="Times New Roman"/>
        </w:rPr>
        <w:t>.</w:t>
      </w:r>
    </w:p>
    <w:p w14:paraId="144F3EB4" w14:textId="1B8A34A5" w:rsidR="00AA7187" w:rsidRPr="000118A3" w:rsidRDefault="00AA7187" w:rsidP="00787A8D">
      <w:pPr>
        <w:pStyle w:val="BodyText"/>
        <w:numPr>
          <w:ilvl w:val="2"/>
          <w:numId w:val="140"/>
        </w:numPr>
        <w:spacing w:before="188"/>
        <w:rPr>
          <w:rFonts w:ascii="Times New Roman" w:hAnsi="Times New Roman" w:cs="Times New Roman"/>
          <w:b/>
          <w:bCs/>
          <w:color w:val="0070C0"/>
        </w:rPr>
      </w:pPr>
      <w:r w:rsidRPr="000118A3">
        <w:rPr>
          <w:rFonts w:ascii="Times New Roman" w:hAnsi="Times New Roman" w:cs="Times New Roman"/>
          <w:b/>
          <w:bCs/>
          <w:color w:val="0070C0"/>
        </w:rPr>
        <w:t>Domestic Pollution</w:t>
      </w:r>
    </w:p>
    <w:p w14:paraId="453AEBC2" w14:textId="72DC0D24" w:rsidR="00AA7187" w:rsidRPr="000118A3" w:rsidRDefault="00AA7187" w:rsidP="00F73BE1">
      <w:pPr>
        <w:jc w:val="both"/>
        <w:rPr>
          <w:rFonts w:ascii="Times New Roman" w:hAnsi="Times New Roman" w:cs="Times New Roman"/>
          <w:sz w:val="22"/>
          <w:szCs w:val="22"/>
        </w:rPr>
      </w:pPr>
      <w:r w:rsidRPr="000118A3">
        <w:rPr>
          <w:rFonts w:ascii="Times New Roman" w:hAnsi="Times New Roman" w:cs="Times New Roman"/>
          <w:sz w:val="22"/>
          <w:szCs w:val="22"/>
        </w:rPr>
        <w:t xml:space="preserve">This type of organic and microbial pollution occurs not only in the Riau Islands but also across most provinces within the Indonesian South China Sea (SCS) region. Although currently domestic in nature and not transboundary, inadequate mitigation could increase its scale and pose public health risks. The main sources are household sanitation activities (bathing, washing, toilet use), which release wastewater containing coliform bacteria, including </w:t>
      </w:r>
      <w:r w:rsidRPr="000118A3">
        <w:rPr>
          <w:rFonts w:ascii="Times New Roman" w:hAnsi="Times New Roman" w:cs="Times New Roman"/>
          <w:i/>
          <w:iCs/>
          <w:sz w:val="22"/>
          <w:szCs w:val="22"/>
        </w:rPr>
        <w:t>E. coli</w:t>
      </w:r>
      <w:r w:rsidRPr="000118A3">
        <w:rPr>
          <w:rFonts w:ascii="Times New Roman" w:hAnsi="Times New Roman" w:cs="Times New Roman"/>
          <w:sz w:val="22"/>
          <w:szCs w:val="22"/>
        </w:rPr>
        <w:t>, known to cause digestive disorders such as diarrhea. Priority actions include reducing domestic wastewater contamination in rivers and coastal areas, especially in Batam, Bintan, Riau, Jambi, and Bangka Belitung. While regulations exist, stronger implementation and coordination between national and local governments are urgently needed to control pollution at its source. The main challenges include not only the provision of communal domestic wastewater treatment facilities in densely populated residential areas but also raising public awareness to encourage responsible behavior in managing household waste.</w:t>
      </w:r>
    </w:p>
    <w:p w14:paraId="2F2C56E0" w14:textId="0073439A" w:rsidR="00AA7187" w:rsidRDefault="00AA7187" w:rsidP="00F73BE1">
      <w:pPr>
        <w:pStyle w:val="BodyText"/>
        <w:spacing w:before="120" w:after="0" w:line="240" w:lineRule="auto"/>
        <w:jc w:val="both"/>
        <w:rPr>
          <w:rFonts w:ascii="Times New Roman" w:hAnsi="Times New Roman" w:cs="Times New Roman"/>
        </w:rPr>
      </w:pPr>
      <w:r w:rsidRPr="000118A3">
        <w:rPr>
          <w:rFonts w:ascii="Times New Roman" w:hAnsi="Times New Roman" w:cs="Times New Roman"/>
        </w:rPr>
        <w:t>The main improvements required include not only raising public awareness to promote clean behavior but also providing infrastructure such as integrated wastewater treatment facilities in every city and settlement, establishing domestic waste collection facilities, and developing a coordinated system for managing domestic solid waste and wastewater at the community level.</w:t>
      </w:r>
    </w:p>
    <w:p w14:paraId="7637A576" w14:textId="5D399AA3" w:rsidR="00AA7187" w:rsidRPr="000118A3" w:rsidRDefault="00AA7187" w:rsidP="007F0F81">
      <w:pPr>
        <w:pStyle w:val="BodyText"/>
        <w:numPr>
          <w:ilvl w:val="1"/>
          <w:numId w:val="140"/>
        </w:numPr>
        <w:spacing w:before="188" w:after="0" w:line="240" w:lineRule="auto"/>
        <w:ind w:left="425" w:hanging="357"/>
        <w:outlineLvl w:val="1"/>
        <w:rPr>
          <w:rFonts w:ascii="Times New Roman" w:hAnsi="Times New Roman" w:cs="Times New Roman"/>
          <w:b/>
          <w:bCs/>
          <w:color w:val="0070C0"/>
        </w:rPr>
      </w:pPr>
      <w:bookmarkStart w:id="118" w:name="_Toc217297558"/>
      <w:r w:rsidRPr="000118A3">
        <w:rPr>
          <w:rFonts w:ascii="Times New Roman" w:hAnsi="Times New Roman" w:cs="Times New Roman"/>
          <w:b/>
          <w:bCs/>
          <w:color w:val="0070C0"/>
        </w:rPr>
        <w:t>Recommended Priority Actions, Emphasizing Regional Cooperation</w:t>
      </w:r>
      <w:bookmarkEnd w:id="118"/>
    </w:p>
    <w:p w14:paraId="70027277" w14:textId="77777777" w:rsidR="00AA7187" w:rsidRPr="000118A3" w:rsidRDefault="00AA7187" w:rsidP="003B5048">
      <w:pPr>
        <w:spacing w:before="120"/>
        <w:jc w:val="both"/>
        <w:rPr>
          <w:rFonts w:ascii="Times New Roman" w:hAnsi="Times New Roman" w:cs="Times New Roman"/>
          <w:sz w:val="22"/>
          <w:szCs w:val="22"/>
        </w:rPr>
      </w:pPr>
      <w:r w:rsidRPr="000118A3">
        <w:rPr>
          <w:rFonts w:ascii="Times New Roman" w:hAnsi="Times New Roman" w:cs="Times New Roman"/>
          <w:sz w:val="22"/>
          <w:szCs w:val="22"/>
        </w:rPr>
        <w:t>To date, the Government of Indonesia, both at the national and sub-national levels (provincial and district/municipal), has implemented a range of actions to reduce the level of marine pollution. In principle, these efforts encompass: (1) mitigation measures aimed at reducing pollutant loads entering aquatic systems; (2) comprehensive and routine pollution monitoring; and (3) rehabilitation of contaminated ecosystems.</w:t>
      </w:r>
    </w:p>
    <w:p w14:paraId="28EE21C3" w14:textId="77777777" w:rsidR="00AA7187" w:rsidRPr="000118A3" w:rsidRDefault="00AA7187" w:rsidP="003B5048">
      <w:pPr>
        <w:spacing w:before="120"/>
        <w:jc w:val="both"/>
        <w:rPr>
          <w:rFonts w:ascii="Times New Roman" w:hAnsi="Times New Roman" w:cs="Times New Roman"/>
          <w:sz w:val="22"/>
          <w:szCs w:val="22"/>
        </w:rPr>
      </w:pPr>
      <w:r w:rsidRPr="000118A3">
        <w:rPr>
          <w:rFonts w:ascii="Times New Roman" w:hAnsi="Times New Roman" w:cs="Times New Roman"/>
          <w:sz w:val="22"/>
          <w:szCs w:val="22"/>
        </w:rPr>
        <w:t>Mitigation efforts to reduce pollution loads have been undertaken through various approaches, including the enactment of environmental regulations concerning pollution prevention, routine budget allocations for pollution control infrastructure at both central and regional levels, and community awareness programs promoting pollution-minimizing behaviors.</w:t>
      </w:r>
    </w:p>
    <w:p w14:paraId="52920A49" w14:textId="77777777" w:rsidR="00AA7187" w:rsidRPr="000118A3" w:rsidRDefault="00AA7187" w:rsidP="003B5048">
      <w:pPr>
        <w:spacing w:before="120"/>
        <w:jc w:val="both"/>
        <w:rPr>
          <w:rFonts w:ascii="Times New Roman" w:hAnsi="Times New Roman" w:cs="Times New Roman"/>
          <w:sz w:val="22"/>
          <w:szCs w:val="22"/>
        </w:rPr>
      </w:pPr>
      <w:r w:rsidRPr="000118A3">
        <w:rPr>
          <w:rFonts w:ascii="Times New Roman" w:hAnsi="Times New Roman" w:cs="Times New Roman"/>
          <w:sz w:val="22"/>
          <w:szCs w:val="22"/>
        </w:rPr>
        <w:t>Pollution monitoring activities are conducted both as an early-warning mechanism and as a means to support law enforcement in cases of suspected water pollution by specific parties. Routine monitoring of water pollution status is carried out in all provinces using evaluation instruments such as the River Water Quality Index (IKA) and the Marine Water Quality Index (IKAL). These efforts have been consistently implemented over at least the past eight years as part of an evaluation mechanism to assess the effectiveness of ongoing pollution prevention measures.</w:t>
      </w:r>
    </w:p>
    <w:p w14:paraId="47A16132" w14:textId="77777777" w:rsidR="00AA7187" w:rsidRPr="000118A3" w:rsidRDefault="00AA7187" w:rsidP="003B5048">
      <w:pPr>
        <w:spacing w:before="120"/>
        <w:jc w:val="both"/>
        <w:rPr>
          <w:rFonts w:ascii="Times New Roman" w:hAnsi="Times New Roman" w:cs="Times New Roman"/>
          <w:sz w:val="22"/>
          <w:szCs w:val="22"/>
        </w:rPr>
      </w:pPr>
      <w:r w:rsidRPr="000118A3">
        <w:rPr>
          <w:rFonts w:ascii="Times New Roman" w:hAnsi="Times New Roman" w:cs="Times New Roman"/>
          <w:sz w:val="22"/>
          <w:szCs w:val="22"/>
        </w:rPr>
        <w:t xml:space="preserve">Rehabilitation efforts are directed particularly toward areas affected by acute pollution events, such as oil spills. In relation to the present study, regular cleanup operations have been conducted along the northern coast of </w:t>
      </w:r>
      <w:r w:rsidRPr="000118A3">
        <w:rPr>
          <w:rFonts w:ascii="Times New Roman" w:hAnsi="Times New Roman" w:cs="Times New Roman"/>
          <w:sz w:val="22"/>
          <w:szCs w:val="22"/>
        </w:rPr>
        <w:lastRenderedPageBreak/>
        <w:t xml:space="preserve">Bintan Island and its surrounding areas to remove oil sludge. Coastal cleanup campaigns are also routinely organized by both local and central government agencies as part of broader marine environmental management initiatives.  In detail, the efforts undertaken by the Government of Indonesia to address various pollution issues, both mitigation and rehabilitation measures, are presented in </w:t>
      </w:r>
      <w:r w:rsidRPr="000118A3">
        <w:rPr>
          <w:rFonts w:ascii="Times New Roman" w:hAnsi="Times New Roman" w:cs="Times New Roman"/>
          <w:b/>
          <w:bCs/>
          <w:sz w:val="22"/>
          <w:szCs w:val="22"/>
        </w:rPr>
        <w:t>App. 7</w:t>
      </w:r>
      <w:r w:rsidRPr="000118A3">
        <w:rPr>
          <w:rFonts w:ascii="Times New Roman" w:hAnsi="Times New Roman" w:cs="Times New Roman"/>
          <w:sz w:val="22"/>
          <w:szCs w:val="22"/>
        </w:rPr>
        <w:t>.</w:t>
      </w:r>
    </w:p>
    <w:p w14:paraId="151A8A5E" w14:textId="42B6D118" w:rsidR="00AA7187" w:rsidRDefault="00AA7187" w:rsidP="003B5048">
      <w:pPr>
        <w:spacing w:before="120"/>
        <w:jc w:val="both"/>
        <w:rPr>
          <w:rFonts w:ascii="Times New Roman" w:hAnsi="Times New Roman" w:cs="Times New Roman"/>
          <w:sz w:val="22"/>
          <w:szCs w:val="22"/>
        </w:rPr>
      </w:pPr>
      <w:r w:rsidRPr="000118A3">
        <w:rPr>
          <w:rFonts w:ascii="Times New Roman" w:hAnsi="Times New Roman" w:cs="Times New Roman"/>
          <w:sz w:val="22"/>
          <w:szCs w:val="22"/>
        </w:rPr>
        <w:t>However, with regard specifically to transboundary pollution issues in the South China Sea (SCS) region, further efforts are required that extend beyond the actions of the Indonesian government alone. Regional coordination within the ASEAN framework needs to be continuously strengthened, given the inherently transnational nature of the pollution occurring in this area.</w:t>
      </w:r>
      <w:r w:rsidR="00C30785">
        <w:rPr>
          <w:rFonts w:ascii="Times New Roman" w:hAnsi="Times New Roman" w:cs="Times New Roman"/>
          <w:sz w:val="22"/>
          <w:szCs w:val="22"/>
        </w:rPr>
        <w:t xml:space="preserve"> </w:t>
      </w:r>
      <w:r w:rsidRPr="000118A3">
        <w:rPr>
          <w:rFonts w:ascii="Times New Roman" w:hAnsi="Times New Roman" w:cs="Times New Roman"/>
          <w:sz w:val="22"/>
          <w:szCs w:val="22"/>
        </w:rPr>
        <w:t xml:space="preserve">With regard to recommended actions for addressing the major types of pollution, several of recommend actions </w:t>
      </w:r>
      <w:r w:rsidR="00C30785" w:rsidRPr="000118A3">
        <w:rPr>
          <w:rFonts w:ascii="Times New Roman" w:hAnsi="Times New Roman" w:cs="Times New Roman"/>
          <w:sz w:val="22"/>
          <w:szCs w:val="22"/>
        </w:rPr>
        <w:t>are presented</w:t>
      </w:r>
      <w:r w:rsidRPr="000118A3">
        <w:rPr>
          <w:rFonts w:ascii="Times New Roman" w:hAnsi="Times New Roman" w:cs="Times New Roman"/>
          <w:sz w:val="22"/>
          <w:szCs w:val="22"/>
        </w:rPr>
        <w:t xml:space="preserve"> in Table </w:t>
      </w:r>
      <w:r w:rsidR="003519B5">
        <w:rPr>
          <w:rFonts w:ascii="Times New Roman" w:hAnsi="Times New Roman" w:cs="Times New Roman"/>
          <w:sz w:val="22"/>
          <w:szCs w:val="22"/>
        </w:rPr>
        <w:t>13</w:t>
      </w:r>
      <w:r w:rsidRPr="000118A3">
        <w:rPr>
          <w:rFonts w:ascii="Times New Roman" w:hAnsi="Times New Roman" w:cs="Times New Roman"/>
          <w:sz w:val="22"/>
          <w:szCs w:val="22"/>
        </w:rPr>
        <w:t>.</w:t>
      </w:r>
      <w:r w:rsidR="0092522E">
        <w:rPr>
          <w:rFonts w:ascii="Times New Roman" w:hAnsi="Times New Roman" w:cs="Times New Roman"/>
          <w:sz w:val="22"/>
          <w:szCs w:val="22"/>
        </w:rPr>
        <w:t xml:space="preserve"> </w:t>
      </w:r>
      <w:r w:rsidRPr="000118A3">
        <w:rPr>
          <w:rFonts w:ascii="Times New Roman" w:hAnsi="Times New Roman" w:cs="Times New Roman"/>
          <w:sz w:val="22"/>
          <w:szCs w:val="22"/>
        </w:rPr>
        <w:t>In principle, transboundary pollution in the Indonesian part of the South China Sea can be managed through coordination at the regional level, namely within ASEAN, as well as at the national and local levels. The primary and urgent issue requiring immediate attention is the problem of oil sludge stranded along the Bintan coastline, which necessitates intensive coordination at the ASEAN level.</w:t>
      </w:r>
    </w:p>
    <w:p w14:paraId="543E47B4" w14:textId="77777777" w:rsidR="000E7449" w:rsidRPr="000118A3" w:rsidRDefault="000E7449" w:rsidP="003B5048">
      <w:pPr>
        <w:spacing w:before="120"/>
        <w:jc w:val="both"/>
        <w:rPr>
          <w:rFonts w:ascii="Times New Roman" w:hAnsi="Times New Roman" w:cs="Times New Roman"/>
          <w:sz w:val="22"/>
          <w:szCs w:val="22"/>
        </w:rPr>
      </w:pPr>
    </w:p>
    <w:p w14:paraId="363AEB66" w14:textId="22409C5B" w:rsidR="00AA7187" w:rsidRPr="000118A3" w:rsidRDefault="003519B5" w:rsidP="003519B5">
      <w:pPr>
        <w:pStyle w:val="Caption"/>
        <w:rPr>
          <w:rFonts w:ascii="Times New Roman" w:hAnsi="Times New Roman" w:cs="Times New Roman"/>
          <w:i w:val="0"/>
          <w:iCs w:val="0"/>
          <w:color w:val="auto"/>
          <w:sz w:val="22"/>
          <w:szCs w:val="22"/>
        </w:rPr>
      </w:pPr>
      <w:bookmarkStart w:id="119" w:name="_Toc211871437"/>
      <w:bookmarkStart w:id="120" w:name="_Toc217297658"/>
      <w:r w:rsidRPr="003519B5">
        <w:rPr>
          <w:rFonts w:ascii="Times New Roman" w:hAnsi="Times New Roman" w:cs="Times New Roman"/>
          <w:i w:val="0"/>
          <w:iCs w:val="0"/>
          <w:color w:val="000000" w:themeColor="text1"/>
          <w:sz w:val="22"/>
          <w:szCs w:val="22"/>
        </w:rPr>
        <w:t xml:space="preserve">Table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Table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13</w:t>
      </w:r>
      <w:r w:rsidRPr="003519B5">
        <w:rPr>
          <w:rFonts w:ascii="Times New Roman" w:hAnsi="Times New Roman" w:cs="Times New Roman"/>
          <w:i w:val="0"/>
          <w:iCs w:val="0"/>
          <w:color w:val="000000" w:themeColor="text1"/>
          <w:sz w:val="22"/>
          <w:szCs w:val="22"/>
        </w:rPr>
        <w:fldChar w:fldCharType="end"/>
      </w:r>
      <w:r w:rsidR="00AA7187" w:rsidRPr="003519B5">
        <w:rPr>
          <w:rFonts w:ascii="Times New Roman" w:hAnsi="Times New Roman" w:cs="Times New Roman"/>
          <w:i w:val="0"/>
          <w:iCs w:val="0"/>
          <w:color w:val="000000" w:themeColor="text1"/>
          <w:sz w:val="22"/>
          <w:szCs w:val="22"/>
        </w:rPr>
        <w:t xml:space="preserve">  </w:t>
      </w:r>
      <w:r w:rsidR="00AA7187" w:rsidRPr="000118A3">
        <w:rPr>
          <w:rFonts w:ascii="Times New Roman" w:hAnsi="Times New Roman" w:cs="Times New Roman"/>
          <w:i w:val="0"/>
          <w:iCs w:val="0"/>
          <w:color w:val="auto"/>
          <w:sz w:val="22"/>
          <w:szCs w:val="22"/>
        </w:rPr>
        <w:t>Recommendations for reducing pollution in the Indonesian South China Sea (SCS) Region</w:t>
      </w:r>
      <w:bookmarkEnd w:id="119"/>
      <w:bookmarkEnd w:id="120"/>
    </w:p>
    <w:tbl>
      <w:tblPr>
        <w:tblStyle w:val="TableGrid"/>
        <w:tblW w:w="0" w:type="auto"/>
        <w:tblLook w:val="04A0" w:firstRow="1" w:lastRow="0" w:firstColumn="1" w:lastColumn="0" w:noHBand="0" w:noVBand="1"/>
      </w:tblPr>
      <w:tblGrid>
        <w:gridCol w:w="1803"/>
        <w:gridCol w:w="4004"/>
        <w:gridCol w:w="3209"/>
      </w:tblGrid>
      <w:tr w:rsidR="00AA7187" w:rsidRPr="000118A3" w14:paraId="4B598637" w14:textId="77777777" w:rsidTr="000E7449">
        <w:trPr>
          <w:tblHeader/>
        </w:trPr>
        <w:tc>
          <w:tcPr>
            <w:tcW w:w="1803" w:type="dxa"/>
            <w:shd w:val="clear" w:color="auto" w:fill="BDD6EE" w:themeFill="accent5" w:themeFillTint="66"/>
            <w:vAlign w:val="center"/>
          </w:tcPr>
          <w:p w14:paraId="0D658B30" w14:textId="77777777" w:rsidR="00AA7187" w:rsidRPr="000118A3" w:rsidRDefault="00AA7187" w:rsidP="00671D7D">
            <w:pPr>
              <w:jc w:val="center"/>
              <w:rPr>
                <w:rFonts w:ascii="Times New Roman" w:hAnsi="Times New Roman" w:cs="Times New Roman"/>
                <w:sz w:val="22"/>
                <w:szCs w:val="22"/>
              </w:rPr>
            </w:pPr>
            <w:r w:rsidRPr="000118A3">
              <w:rPr>
                <w:rFonts w:ascii="Times New Roman" w:hAnsi="Times New Roman" w:cs="Times New Roman"/>
                <w:sz w:val="22"/>
                <w:szCs w:val="22"/>
              </w:rPr>
              <w:t>Type of pollution</w:t>
            </w:r>
          </w:p>
        </w:tc>
        <w:tc>
          <w:tcPr>
            <w:tcW w:w="4004" w:type="dxa"/>
            <w:shd w:val="clear" w:color="auto" w:fill="BDD6EE" w:themeFill="accent5" w:themeFillTint="66"/>
            <w:vAlign w:val="center"/>
          </w:tcPr>
          <w:p w14:paraId="0B996FD5" w14:textId="77777777" w:rsidR="00AA7187" w:rsidRPr="000118A3" w:rsidRDefault="00AA7187" w:rsidP="00671D7D">
            <w:pPr>
              <w:jc w:val="center"/>
              <w:rPr>
                <w:rFonts w:ascii="Times New Roman" w:hAnsi="Times New Roman" w:cs="Times New Roman"/>
                <w:sz w:val="22"/>
                <w:szCs w:val="22"/>
              </w:rPr>
            </w:pPr>
            <w:r w:rsidRPr="000118A3">
              <w:rPr>
                <w:rFonts w:ascii="Times New Roman" w:hAnsi="Times New Roman" w:cs="Times New Roman"/>
                <w:sz w:val="22"/>
                <w:szCs w:val="22"/>
              </w:rPr>
              <w:t>Priority Actions</w:t>
            </w:r>
          </w:p>
        </w:tc>
        <w:tc>
          <w:tcPr>
            <w:tcW w:w="3209" w:type="dxa"/>
            <w:shd w:val="clear" w:color="auto" w:fill="BDD6EE" w:themeFill="accent5" w:themeFillTint="66"/>
            <w:vAlign w:val="center"/>
          </w:tcPr>
          <w:p w14:paraId="1863E51F" w14:textId="77777777" w:rsidR="00AA7187" w:rsidRPr="000118A3" w:rsidRDefault="00AA7187" w:rsidP="00671D7D">
            <w:pPr>
              <w:jc w:val="center"/>
              <w:rPr>
                <w:rFonts w:ascii="Times New Roman" w:hAnsi="Times New Roman" w:cs="Times New Roman"/>
                <w:sz w:val="22"/>
                <w:szCs w:val="22"/>
              </w:rPr>
            </w:pPr>
            <w:r w:rsidRPr="000118A3">
              <w:rPr>
                <w:rFonts w:ascii="Times New Roman" w:hAnsi="Times New Roman" w:cs="Times New Roman"/>
                <w:sz w:val="22"/>
                <w:szCs w:val="22"/>
              </w:rPr>
              <w:t>Level of coordination</w:t>
            </w:r>
          </w:p>
        </w:tc>
      </w:tr>
      <w:tr w:rsidR="00AA7187" w:rsidRPr="000118A3" w14:paraId="417142A8" w14:textId="77777777" w:rsidTr="00671D7D">
        <w:tc>
          <w:tcPr>
            <w:tcW w:w="1803" w:type="dxa"/>
            <w:vMerge w:val="restart"/>
          </w:tcPr>
          <w:p w14:paraId="447ECF69"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Oil pollution</w:t>
            </w:r>
          </w:p>
        </w:tc>
        <w:tc>
          <w:tcPr>
            <w:tcW w:w="4004" w:type="dxa"/>
          </w:tcPr>
          <w:p w14:paraId="4FE7CA68"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Regional coordination on oil pollution combats due to vessel activities in international waters</w:t>
            </w:r>
          </w:p>
        </w:tc>
        <w:tc>
          <w:tcPr>
            <w:tcW w:w="3209" w:type="dxa"/>
          </w:tcPr>
          <w:p w14:paraId="0A4CDAC4"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ASEAN</w:t>
            </w:r>
          </w:p>
        </w:tc>
      </w:tr>
      <w:tr w:rsidR="00AA7187" w:rsidRPr="000118A3" w14:paraId="76C544C1" w14:textId="77777777" w:rsidTr="00671D7D">
        <w:tc>
          <w:tcPr>
            <w:tcW w:w="1803" w:type="dxa"/>
            <w:vMerge/>
          </w:tcPr>
          <w:p w14:paraId="3116FC60" w14:textId="77777777" w:rsidR="00AA7187" w:rsidRPr="000118A3" w:rsidRDefault="00AA7187" w:rsidP="00671D7D">
            <w:pPr>
              <w:rPr>
                <w:rFonts w:ascii="Times New Roman" w:hAnsi="Times New Roman" w:cs="Times New Roman"/>
                <w:sz w:val="22"/>
                <w:szCs w:val="22"/>
              </w:rPr>
            </w:pPr>
          </w:p>
        </w:tc>
        <w:tc>
          <w:tcPr>
            <w:tcW w:w="4004" w:type="dxa"/>
          </w:tcPr>
          <w:p w14:paraId="59DCC471"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 xml:space="preserve">National coordination on the combat of oil sludge pollution </w:t>
            </w:r>
          </w:p>
        </w:tc>
        <w:tc>
          <w:tcPr>
            <w:tcW w:w="3209" w:type="dxa"/>
          </w:tcPr>
          <w:p w14:paraId="05690D87"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National Indonesian Government:</w:t>
            </w:r>
          </w:p>
          <w:p w14:paraId="2A38ABCB" w14:textId="77777777" w:rsidR="00AA7187" w:rsidRPr="000118A3" w:rsidRDefault="00AA7187" w:rsidP="00AA7187">
            <w:pPr>
              <w:pStyle w:val="ListParagraph"/>
              <w:numPr>
                <w:ilvl w:val="0"/>
                <w:numId w:val="104"/>
              </w:numPr>
              <w:tabs>
                <w:tab w:val="left" w:pos="302"/>
              </w:tabs>
              <w:ind w:hanging="689"/>
              <w:rPr>
                <w:rFonts w:ascii="Times New Roman" w:hAnsi="Times New Roman" w:cs="Times New Roman"/>
                <w:sz w:val="22"/>
                <w:szCs w:val="22"/>
              </w:rPr>
            </w:pPr>
            <w:r w:rsidRPr="000118A3">
              <w:rPr>
                <w:rFonts w:ascii="Times New Roman" w:hAnsi="Times New Roman" w:cs="Times New Roman"/>
                <w:sz w:val="22"/>
                <w:szCs w:val="22"/>
              </w:rPr>
              <w:t>Ministry of Transportation</w:t>
            </w:r>
          </w:p>
          <w:p w14:paraId="5B23439E" w14:textId="77777777" w:rsidR="00AA7187" w:rsidRPr="000118A3" w:rsidRDefault="00AA7187" w:rsidP="00AA7187">
            <w:pPr>
              <w:pStyle w:val="ListParagraph"/>
              <w:numPr>
                <w:ilvl w:val="0"/>
                <w:numId w:val="104"/>
              </w:numPr>
              <w:tabs>
                <w:tab w:val="left" w:pos="302"/>
              </w:tabs>
              <w:ind w:hanging="689"/>
              <w:rPr>
                <w:rFonts w:ascii="Times New Roman" w:hAnsi="Times New Roman" w:cs="Times New Roman"/>
                <w:sz w:val="22"/>
                <w:szCs w:val="22"/>
              </w:rPr>
            </w:pPr>
            <w:r w:rsidRPr="000118A3">
              <w:rPr>
                <w:rFonts w:ascii="Times New Roman" w:hAnsi="Times New Roman" w:cs="Times New Roman"/>
                <w:sz w:val="22"/>
                <w:szCs w:val="22"/>
              </w:rPr>
              <w:t>Ministry of Environment</w:t>
            </w:r>
          </w:p>
          <w:p w14:paraId="72E5D911" w14:textId="77777777" w:rsidR="00AA7187" w:rsidRPr="000118A3" w:rsidRDefault="00AA7187" w:rsidP="00AA7187">
            <w:pPr>
              <w:pStyle w:val="ListParagraph"/>
              <w:numPr>
                <w:ilvl w:val="0"/>
                <w:numId w:val="104"/>
              </w:numPr>
              <w:tabs>
                <w:tab w:val="left" w:pos="302"/>
              </w:tabs>
              <w:ind w:hanging="689"/>
              <w:rPr>
                <w:rFonts w:ascii="Times New Roman" w:hAnsi="Times New Roman" w:cs="Times New Roman"/>
                <w:sz w:val="22"/>
                <w:szCs w:val="22"/>
              </w:rPr>
            </w:pPr>
            <w:r w:rsidRPr="000118A3">
              <w:rPr>
                <w:rFonts w:ascii="Times New Roman" w:hAnsi="Times New Roman" w:cs="Times New Roman"/>
                <w:sz w:val="22"/>
                <w:szCs w:val="22"/>
              </w:rPr>
              <w:t>Local Government</w:t>
            </w:r>
          </w:p>
        </w:tc>
      </w:tr>
      <w:tr w:rsidR="00AA7187" w:rsidRPr="000118A3" w14:paraId="17DDA91F" w14:textId="77777777" w:rsidTr="00671D7D">
        <w:tc>
          <w:tcPr>
            <w:tcW w:w="1803" w:type="dxa"/>
            <w:vMerge/>
          </w:tcPr>
          <w:p w14:paraId="08EB8964" w14:textId="77777777" w:rsidR="00AA7187" w:rsidRPr="000118A3" w:rsidRDefault="00AA7187" w:rsidP="00671D7D">
            <w:pPr>
              <w:rPr>
                <w:rFonts w:ascii="Times New Roman" w:hAnsi="Times New Roman" w:cs="Times New Roman"/>
                <w:sz w:val="22"/>
                <w:szCs w:val="22"/>
              </w:rPr>
            </w:pPr>
          </w:p>
        </w:tc>
        <w:tc>
          <w:tcPr>
            <w:tcW w:w="4004" w:type="dxa"/>
          </w:tcPr>
          <w:p w14:paraId="4F027CBF"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Local coordination on stranded oil sludge management</w:t>
            </w:r>
          </w:p>
        </w:tc>
        <w:tc>
          <w:tcPr>
            <w:tcW w:w="3209" w:type="dxa"/>
          </w:tcPr>
          <w:p w14:paraId="2D7886CD" w14:textId="77777777" w:rsidR="00AA7187" w:rsidRPr="000118A3" w:rsidRDefault="00AA7187" w:rsidP="00AA7187">
            <w:pPr>
              <w:pStyle w:val="ListParagraph"/>
              <w:numPr>
                <w:ilvl w:val="0"/>
                <w:numId w:val="105"/>
              </w:numPr>
              <w:tabs>
                <w:tab w:val="left" w:pos="293"/>
              </w:tabs>
              <w:ind w:left="314" w:hanging="283"/>
              <w:rPr>
                <w:rFonts w:ascii="Times New Roman" w:hAnsi="Times New Roman" w:cs="Times New Roman"/>
                <w:sz w:val="22"/>
                <w:szCs w:val="22"/>
              </w:rPr>
            </w:pPr>
            <w:r w:rsidRPr="000118A3">
              <w:rPr>
                <w:rFonts w:ascii="Times New Roman" w:hAnsi="Times New Roman" w:cs="Times New Roman"/>
                <w:sz w:val="22"/>
                <w:szCs w:val="22"/>
              </w:rPr>
              <w:t>Local Government of Kepulauan Riau Province</w:t>
            </w:r>
          </w:p>
          <w:p w14:paraId="03D83108" w14:textId="77777777" w:rsidR="00AA7187" w:rsidRPr="000118A3" w:rsidRDefault="00AA7187" w:rsidP="00AA7187">
            <w:pPr>
              <w:pStyle w:val="ListParagraph"/>
              <w:numPr>
                <w:ilvl w:val="0"/>
                <w:numId w:val="105"/>
              </w:numPr>
              <w:tabs>
                <w:tab w:val="left" w:pos="293"/>
              </w:tabs>
              <w:ind w:left="314" w:hanging="283"/>
              <w:rPr>
                <w:rFonts w:ascii="Times New Roman" w:hAnsi="Times New Roman" w:cs="Times New Roman"/>
                <w:sz w:val="22"/>
                <w:szCs w:val="22"/>
              </w:rPr>
            </w:pPr>
            <w:r w:rsidRPr="000118A3">
              <w:rPr>
                <w:rFonts w:ascii="Times New Roman" w:hAnsi="Times New Roman" w:cs="Times New Roman"/>
                <w:sz w:val="22"/>
                <w:szCs w:val="22"/>
              </w:rPr>
              <w:t>Local Government of Bintan Regency and Batam Municipality</w:t>
            </w:r>
          </w:p>
        </w:tc>
      </w:tr>
      <w:tr w:rsidR="00AA7187" w:rsidRPr="000118A3" w14:paraId="7C4EC18B" w14:textId="77777777" w:rsidTr="00671D7D">
        <w:tc>
          <w:tcPr>
            <w:tcW w:w="1803" w:type="dxa"/>
            <w:vMerge/>
          </w:tcPr>
          <w:p w14:paraId="2DADB9FE" w14:textId="77777777" w:rsidR="00AA7187" w:rsidRPr="000118A3" w:rsidRDefault="00AA7187" w:rsidP="00671D7D">
            <w:pPr>
              <w:rPr>
                <w:rFonts w:ascii="Times New Roman" w:hAnsi="Times New Roman" w:cs="Times New Roman"/>
                <w:sz w:val="22"/>
                <w:szCs w:val="22"/>
              </w:rPr>
            </w:pPr>
          </w:p>
        </w:tc>
        <w:tc>
          <w:tcPr>
            <w:tcW w:w="4004" w:type="dxa"/>
          </w:tcPr>
          <w:p w14:paraId="7CC513CB"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 xml:space="preserve">Bintan Batam Tourism Association coordination on mitigating stranded oil sludge oil  </w:t>
            </w:r>
          </w:p>
        </w:tc>
        <w:tc>
          <w:tcPr>
            <w:tcW w:w="3209" w:type="dxa"/>
          </w:tcPr>
          <w:p w14:paraId="2F9560BD" w14:textId="77777777" w:rsidR="00AA7187" w:rsidRPr="000118A3" w:rsidRDefault="00AA7187" w:rsidP="00AA7187">
            <w:pPr>
              <w:pStyle w:val="ListParagraph"/>
              <w:numPr>
                <w:ilvl w:val="0"/>
                <w:numId w:val="106"/>
              </w:numPr>
              <w:tabs>
                <w:tab w:val="left" w:pos="274"/>
              </w:tabs>
              <w:ind w:left="314" w:hanging="283"/>
              <w:rPr>
                <w:rFonts w:ascii="Times New Roman" w:hAnsi="Times New Roman" w:cs="Times New Roman"/>
                <w:sz w:val="22"/>
                <w:szCs w:val="22"/>
              </w:rPr>
            </w:pPr>
            <w:r w:rsidRPr="000118A3">
              <w:rPr>
                <w:rFonts w:ascii="Times New Roman" w:hAnsi="Times New Roman" w:cs="Times New Roman"/>
                <w:sz w:val="22"/>
                <w:szCs w:val="22"/>
              </w:rPr>
              <w:t>Local Government of Bintan Regency and Batam Municipality</w:t>
            </w:r>
          </w:p>
          <w:p w14:paraId="10ACEE3B" w14:textId="77777777" w:rsidR="00AA7187" w:rsidRPr="000118A3" w:rsidRDefault="00AA7187" w:rsidP="00671D7D">
            <w:pPr>
              <w:tabs>
                <w:tab w:val="left" w:pos="274"/>
              </w:tabs>
              <w:ind w:left="314" w:hanging="283"/>
              <w:rPr>
                <w:rFonts w:ascii="Times New Roman" w:hAnsi="Times New Roman" w:cs="Times New Roman"/>
                <w:sz w:val="22"/>
                <w:szCs w:val="22"/>
              </w:rPr>
            </w:pPr>
          </w:p>
          <w:p w14:paraId="553C106B" w14:textId="77777777" w:rsidR="00AA7187" w:rsidRPr="000118A3" w:rsidRDefault="00AA7187" w:rsidP="00AA7187">
            <w:pPr>
              <w:pStyle w:val="ListParagraph"/>
              <w:numPr>
                <w:ilvl w:val="0"/>
                <w:numId w:val="106"/>
              </w:numPr>
              <w:tabs>
                <w:tab w:val="left" w:pos="274"/>
              </w:tabs>
              <w:ind w:left="314" w:hanging="283"/>
              <w:rPr>
                <w:rFonts w:ascii="Times New Roman" w:hAnsi="Times New Roman" w:cs="Times New Roman"/>
                <w:sz w:val="22"/>
                <w:szCs w:val="22"/>
              </w:rPr>
            </w:pPr>
            <w:r w:rsidRPr="000118A3">
              <w:rPr>
                <w:rFonts w:ascii="Times New Roman" w:hAnsi="Times New Roman" w:cs="Times New Roman"/>
                <w:sz w:val="22"/>
                <w:szCs w:val="22"/>
              </w:rPr>
              <w:t>Local tourism companies</w:t>
            </w:r>
          </w:p>
        </w:tc>
      </w:tr>
      <w:tr w:rsidR="00AA7187" w:rsidRPr="000118A3" w14:paraId="28A4E238" w14:textId="77777777" w:rsidTr="00671D7D">
        <w:tc>
          <w:tcPr>
            <w:tcW w:w="1803" w:type="dxa"/>
            <w:vMerge w:val="restart"/>
          </w:tcPr>
          <w:p w14:paraId="7463E82E"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Marine Debris and Plastic pollution</w:t>
            </w:r>
          </w:p>
        </w:tc>
        <w:tc>
          <w:tcPr>
            <w:tcW w:w="4004" w:type="dxa"/>
          </w:tcPr>
          <w:p w14:paraId="37CF2220"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 xml:space="preserve">Regional cooperation and coordination on marine debris and plastic pollution combat </w:t>
            </w:r>
          </w:p>
        </w:tc>
        <w:tc>
          <w:tcPr>
            <w:tcW w:w="3209" w:type="dxa"/>
          </w:tcPr>
          <w:p w14:paraId="205CF161"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ASEAN</w:t>
            </w:r>
          </w:p>
        </w:tc>
      </w:tr>
      <w:tr w:rsidR="00AA7187" w:rsidRPr="000118A3" w14:paraId="5F699D5D" w14:textId="77777777" w:rsidTr="00671D7D">
        <w:tc>
          <w:tcPr>
            <w:tcW w:w="1803" w:type="dxa"/>
            <w:vMerge/>
          </w:tcPr>
          <w:p w14:paraId="588738DD" w14:textId="77777777" w:rsidR="00AA7187" w:rsidRPr="000118A3" w:rsidRDefault="00AA7187" w:rsidP="00671D7D">
            <w:pPr>
              <w:rPr>
                <w:rFonts w:ascii="Times New Roman" w:hAnsi="Times New Roman" w:cs="Times New Roman"/>
                <w:sz w:val="22"/>
                <w:szCs w:val="22"/>
              </w:rPr>
            </w:pPr>
          </w:p>
        </w:tc>
        <w:tc>
          <w:tcPr>
            <w:tcW w:w="4004" w:type="dxa"/>
          </w:tcPr>
          <w:p w14:paraId="569D4ACE"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National coordination on marine debris and plastic pollution combat</w:t>
            </w:r>
          </w:p>
        </w:tc>
        <w:tc>
          <w:tcPr>
            <w:tcW w:w="3209" w:type="dxa"/>
          </w:tcPr>
          <w:p w14:paraId="6B4B967A"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National Indonesian Government:</w:t>
            </w:r>
          </w:p>
          <w:p w14:paraId="4DD8B7C3" w14:textId="77777777" w:rsidR="00AA7187" w:rsidRPr="000118A3" w:rsidRDefault="00AA7187" w:rsidP="00AA7187">
            <w:pPr>
              <w:pStyle w:val="ListParagraph"/>
              <w:numPr>
                <w:ilvl w:val="0"/>
                <w:numId w:val="104"/>
              </w:numPr>
              <w:tabs>
                <w:tab w:val="left" w:pos="284"/>
              </w:tabs>
              <w:ind w:hanging="720"/>
              <w:rPr>
                <w:rFonts w:ascii="Times New Roman" w:hAnsi="Times New Roman" w:cs="Times New Roman"/>
                <w:sz w:val="22"/>
                <w:szCs w:val="22"/>
              </w:rPr>
            </w:pPr>
            <w:r w:rsidRPr="000118A3">
              <w:rPr>
                <w:rFonts w:ascii="Times New Roman" w:hAnsi="Times New Roman" w:cs="Times New Roman"/>
                <w:sz w:val="22"/>
                <w:szCs w:val="22"/>
              </w:rPr>
              <w:t>Ministry of Environment</w:t>
            </w:r>
          </w:p>
          <w:p w14:paraId="0E0E8DFB" w14:textId="77777777" w:rsidR="00AA7187" w:rsidRPr="000118A3" w:rsidRDefault="00AA7187" w:rsidP="00AA7187">
            <w:pPr>
              <w:pStyle w:val="ListParagraph"/>
              <w:numPr>
                <w:ilvl w:val="0"/>
                <w:numId w:val="104"/>
              </w:numPr>
              <w:tabs>
                <w:tab w:val="left" w:pos="284"/>
              </w:tabs>
              <w:ind w:hanging="720"/>
              <w:rPr>
                <w:rFonts w:ascii="Times New Roman" w:hAnsi="Times New Roman" w:cs="Times New Roman"/>
                <w:sz w:val="22"/>
                <w:szCs w:val="22"/>
              </w:rPr>
            </w:pPr>
            <w:r w:rsidRPr="000118A3">
              <w:rPr>
                <w:rFonts w:ascii="Times New Roman" w:hAnsi="Times New Roman" w:cs="Times New Roman"/>
                <w:sz w:val="22"/>
                <w:szCs w:val="22"/>
              </w:rPr>
              <w:t>Local Government</w:t>
            </w:r>
          </w:p>
        </w:tc>
      </w:tr>
      <w:tr w:rsidR="00AA7187" w:rsidRPr="000118A3" w14:paraId="2CBDF2CB" w14:textId="77777777" w:rsidTr="00671D7D">
        <w:tc>
          <w:tcPr>
            <w:tcW w:w="1803" w:type="dxa"/>
            <w:vMerge/>
          </w:tcPr>
          <w:p w14:paraId="71C6E80D" w14:textId="77777777" w:rsidR="00AA7187" w:rsidRPr="000118A3" w:rsidRDefault="00AA7187" w:rsidP="00671D7D">
            <w:pPr>
              <w:rPr>
                <w:rFonts w:ascii="Times New Roman" w:hAnsi="Times New Roman" w:cs="Times New Roman"/>
                <w:sz w:val="22"/>
                <w:szCs w:val="22"/>
              </w:rPr>
            </w:pPr>
          </w:p>
        </w:tc>
        <w:tc>
          <w:tcPr>
            <w:tcW w:w="4004" w:type="dxa"/>
          </w:tcPr>
          <w:p w14:paraId="76C130CE"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Solid waste infrastructures</w:t>
            </w:r>
          </w:p>
        </w:tc>
        <w:tc>
          <w:tcPr>
            <w:tcW w:w="3209" w:type="dxa"/>
          </w:tcPr>
          <w:p w14:paraId="6C7A593A"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Local Government</w:t>
            </w:r>
          </w:p>
        </w:tc>
      </w:tr>
      <w:tr w:rsidR="00AA7187" w:rsidRPr="000118A3" w14:paraId="5FAF2C1C" w14:textId="77777777" w:rsidTr="00671D7D">
        <w:tc>
          <w:tcPr>
            <w:tcW w:w="1803" w:type="dxa"/>
            <w:vMerge/>
          </w:tcPr>
          <w:p w14:paraId="0E181ECE" w14:textId="77777777" w:rsidR="00AA7187" w:rsidRPr="000118A3" w:rsidRDefault="00AA7187" w:rsidP="00671D7D">
            <w:pPr>
              <w:rPr>
                <w:rFonts w:ascii="Times New Roman" w:hAnsi="Times New Roman" w:cs="Times New Roman"/>
                <w:sz w:val="22"/>
                <w:szCs w:val="22"/>
              </w:rPr>
            </w:pPr>
          </w:p>
        </w:tc>
        <w:tc>
          <w:tcPr>
            <w:tcW w:w="4004" w:type="dxa"/>
          </w:tcPr>
          <w:p w14:paraId="4E627C22"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Community awareness on solid waste reduction programs</w:t>
            </w:r>
          </w:p>
        </w:tc>
        <w:tc>
          <w:tcPr>
            <w:tcW w:w="3209" w:type="dxa"/>
          </w:tcPr>
          <w:p w14:paraId="33410024"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Local Government</w:t>
            </w:r>
          </w:p>
        </w:tc>
      </w:tr>
      <w:tr w:rsidR="00AA7187" w:rsidRPr="000118A3" w14:paraId="1BE40FF0" w14:textId="77777777" w:rsidTr="00671D7D">
        <w:tc>
          <w:tcPr>
            <w:tcW w:w="1803" w:type="dxa"/>
            <w:vMerge/>
          </w:tcPr>
          <w:p w14:paraId="5E3C0F81" w14:textId="77777777" w:rsidR="00AA7187" w:rsidRPr="000118A3" w:rsidRDefault="00AA7187" w:rsidP="00671D7D">
            <w:pPr>
              <w:rPr>
                <w:rFonts w:ascii="Times New Roman" w:hAnsi="Times New Roman" w:cs="Times New Roman"/>
                <w:sz w:val="22"/>
                <w:szCs w:val="22"/>
              </w:rPr>
            </w:pPr>
          </w:p>
        </w:tc>
        <w:tc>
          <w:tcPr>
            <w:tcW w:w="4004" w:type="dxa"/>
          </w:tcPr>
          <w:p w14:paraId="412B9FD4"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Fishers’ awareness on abandoned fishing gears waste reduction programs</w:t>
            </w:r>
          </w:p>
        </w:tc>
        <w:tc>
          <w:tcPr>
            <w:tcW w:w="3209" w:type="dxa"/>
          </w:tcPr>
          <w:p w14:paraId="419F6B4C"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Local Government</w:t>
            </w:r>
          </w:p>
        </w:tc>
      </w:tr>
      <w:tr w:rsidR="00AA7187" w:rsidRPr="000118A3" w14:paraId="02E31A19" w14:textId="77777777" w:rsidTr="00671D7D">
        <w:tc>
          <w:tcPr>
            <w:tcW w:w="1803" w:type="dxa"/>
            <w:vMerge w:val="restart"/>
          </w:tcPr>
          <w:p w14:paraId="17442F0D"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Domestic pollution</w:t>
            </w:r>
          </w:p>
          <w:p w14:paraId="2DCDB66D" w14:textId="77777777" w:rsidR="00AA7187" w:rsidRPr="000118A3" w:rsidRDefault="00AA7187" w:rsidP="00671D7D">
            <w:pPr>
              <w:rPr>
                <w:rFonts w:ascii="Times New Roman" w:hAnsi="Times New Roman" w:cs="Times New Roman"/>
                <w:sz w:val="22"/>
                <w:szCs w:val="22"/>
              </w:rPr>
            </w:pPr>
          </w:p>
        </w:tc>
        <w:tc>
          <w:tcPr>
            <w:tcW w:w="4004" w:type="dxa"/>
          </w:tcPr>
          <w:p w14:paraId="47DC4FFC"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Sanitary infrastructures</w:t>
            </w:r>
          </w:p>
        </w:tc>
        <w:tc>
          <w:tcPr>
            <w:tcW w:w="3209" w:type="dxa"/>
          </w:tcPr>
          <w:p w14:paraId="69F54EF6"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Local Government</w:t>
            </w:r>
          </w:p>
        </w:tc>
      </w:tr>
      <w:tr w:rsidR="00AA7187" w:rsidRPr="000118A3" w14:paraId="06A595BC" w14:textId="77777777" w:rsidTr="00671D7D">
        <w:tc>
          <w:tcPr>
            <w:tcW w:w="1803" w:type="dxa"/>
            <w:vMerge/>
          </w:tcPr>
          <w:p w14:paraId="5D6CE5AE" w14:textId="77777777" w:rsidR="00AA7187" w:rsidRPr="000118A3" w:rsidRDefault="00AA7187" w:rsidP="00671D7D">
            <w:pPr>
              <w:rPr>
                <w:rFonts w:ascii="Times New Roman" w:hAnsi="Times New Roman" w:cs="Times New Roman"/>
                <w:sz w:val="22"/>
                <w:szCs w:val="22"/>
              </w:rPr>
            </w:pPr>
          </w:p>
        </w:tc>
        <w:tc>
          <w:tcPr>
            <w:tcW w:w="4004" w:type="dxa"/>
          </w:tcPr>
          <w:p w14:paraId="35B431AF"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 xml:space="preserve">Community awareness on hygienic living </w:t>
            </w:r>
          </w:p>
        </w:tc>
        <w:tc>
          <w:tcPr>
            <w:tcW w:w="3209" w:type="dxa"/>
          </w:tcPr>
          <w:p w14:paraId="5CE2DF83" w14:textId="77777777" w:rsidR="00AA7187" w:rsidRPr="000118A3" w:rsidRDefault="00AA7187" w:rsidP="00671D7D">
            <w:pPr>
              <w:rPr>
                <w:rFonts w:ascii="Times New Roman" w:hAnsi="Times New Roman" w:cs="Times New Roman"/>
                <w:sz w:val="22"/>
                <w:szCs w:val="22"/>
              </w:rPr>
            </w:pPr>
            <w:r w:rsidRPr="000118A3">
              <w:rPr>
                <w:rFonts w:ascii="Times New Roman" w:hAnsi="Times New Roman" w:cs="Times New Roman"/>
                <w:sz w:val="22"/>
                <w:szCs w:val="22"/>
              </w:rPr>
              <w:t>Local Government</w:t>
            </w:r>
          </w:p>
        </w:tc>
      </w:tr>
    </w:tbl>
    <w:p w14:paraId="196E0B6A" w14:textId="77777777" w:rsidR="00AA7187" w:rsidRDefault="00AA7187" w:rsidP="00AA7187">
      <w:pPr>
        <w:rPr>
          <w:rFonts w:ascii="Times New Roman" w:hAnsi="Times New Roman" w:cs="Times New Roman"/>
          <w:sz w:val="22"/>
          <w:szCs w:val="22"/>
        </w:rPr>
      </w:pPr>
    </w:p>
    <w:p w14:paraId="7C551667" w14:textId="77777777" w:rsidR="000E7449" w:rsidRDefault="000E7449" w:rsidP="00AA7187">
      <w:pPr>
        <w:rPr>
          <w:rFonts w:ascii="Times New Roman" w:hAnsi="Times New Roman" w:cs="Times New Roman"/>
          <w:sz w:val="22"/>
          <w:szCs w:val="22"/>
        </w:rPr>
      </w:pPr>
    </w:p>
    <w:p w14:paraId="12D97B50" w14:textId="77777777" w:rsidR="000E7449" w:rsidRPr="000118A3" w:rsidRDefault="000E7449" w:rsidP="00AA7187">
      <w:pPr>
        <w:rPr>
          <w:rFonts w:ascii="Times New Roman" w:hAnsi="Times New Roman" w:cs="Times New Roman"/>
          <w:sz w:val="22"/>
          <w:szCs w:val="22"/>
        </w:rPr>
      </w:pPr>
    </w:p>
    <w:p w14:paraId="0D0065BC" w14:textId="07B1BABF" w:rsidR="00AA7187" w:rsidRPr="000118A3" w:rsidRDefault="00AA7187" w:rsidP="007F0F81">
      <w:pPr>
        <w:pStyle w:val="BodyText"/>
        <w:numPr>
          <w:ilvl w:val="1"/>
          <w:numId w:val="140"/>
        </w:numPr>
        <w:spacing w:before="188"/>
        <w:ind w:left="426"/>
        <w:outlineLvl w:val="1"/>
        <w:rPr>
          <w:rFonts w:ascii="Times New Roman" w:hAnsi="Times New Roman" w:cs="Times New Roman"/>
          <w:b/>
          <w:bCs/>
          <w:color w:val="0070C0"/>
        </w:rPr>
      </w:pPr>
      <w:bookmarkStart w:id="121" w:name="_Toc217297559"/>
      <w:r w:rsidRPr="000118A3">
        <w:rPr>
          <w:rFonts w:ascii="Times New Roman" w:hAnsi="Times New Roman" w:cs="Times New Roman"/>
          <w:b/>
          <w:bCs/>
          <w:color w:val="0070C0"/>
        </w:rPr>
        <w:lastRenderedPageBreak/>
        <w:t>Conclusion</w:t>
      </w:r>
      <w:bookmarkEnd w:id="121"/>
    </w:p>
    <w:p w14:paraId="4E416EF9" w14:textId="0683C389" w:rsidR="00AA7187" w:rsidRPr="000118A3" w:rsidRDefault="00AA7187" w:rsidP="003B5048">
      <w:pPr>
        <w:pStyle w:val="ListParagraph"/>
        <w:ind w:left="0"/>
        <w:jc w:val="both"/>
        <w:rPr>
          <w:rFonts w:ascii="Times New Roman" w:hAnsi="Times New Roman" w:cs="Times New Roman"/>
          <w:sz w:val="22"/>
          <w:szCs w:val="22"/>
          <w:lang w:val="en-ID"/>
        </w:rPr>
      </w:pPr>
      <w:r w:rsidRPr="000118A3">
        <w:rPr>
          <w:rFonts w:ascii="Times New Roman" w:hAnsi="Times New Roman" w:cs="Times New Roman"/>
          <w:sz w:val="22"/>
          <w:szCs w:val="22"/>
          <w:lang w:val="en-ID"/>
        </w:rPr>
        <w:t xml:space="preserve">This study shows that pollution in the Indonesian part of the South China Sea (SCS) is combination of land and marine-based sources, with major rivers such as the Kapuas and Batanghari transporting substantial nutrient and organic loads into coastal waters. Across the provinces of Riau, Riau Islands, Bangka Belitung, South Sumatra, and West Kalimantan, five key pollution categories, agricultural runoff, aquaculture waste, hazardous waste, domestic discharges, and oil contamination, continue to influence ecosystem health.  </w:t>
      </w:r>
      <w:r w:rsidRPr="000118A3">
        <w:rPr>
          <w:rFonts w:ascii="Times New Roman" w:hAnsi="Times New Roman" w:cs="Times New Roman"/>
          <w:sz w:val="22"/>
          <w:szCs w:val="22"/>
        </w:rPr>
        <w:t xml:space="preserve">The RWQI (IKA) remains categorized as poor to moderate, in contrast to IKAL scores, which lie between moderate and good, although recent measurements indicate a decline.  </w:t>
      </w:r>
      <w:r w:rsidRPr="000118A3">
        <w:rPr>
          <w:rFonts w:ascii="Times New Roman" w:hAnsi="Times New Roman" w:cs="Times New Roman"/>
          <w:sz w:val="22"/>
          <w:szCs w:val="22"/>
          <w:lang w:val="en-ID"/>
        </w:rPr>
        <w:t xml:space="preserve">Oil sludge strandings along Batam and Bintan beaches pose the highest transboundary risk, disrupting tourism and damaging mangroves and coral reefs.  </w:t>
      </w:r>
    </w:p>
    <w:p w14:paraId="3F4B368D" w14:textId="47FE8934" w:rsidR="00AA7187" w:rsidRPr="000118A3" w:rsidRDefault="00AA7187" w:rsidP="003B5048">
      <w:pPr>
        <w:spacing w:before="120"/>
        <w:jc w:val="both"/>
        <w:rPr>
          <w:rFonts w:ascii="Times New Roman" w:hAnsi="Times New Roman" w:cs="Times New Roman"/>
          <w:sz w:val="22"/>
          <w:szCs w:val="22"/>
          <w:lang w:val="en-ID"/>
        </w:rPr>
      </w:pPr>
      <w:r w:rsidRPr="000118A3">
        <w:rPr>
          <w:rFonts w:ascii="Times New Roman" w:hAnsi="Times New Roman" w:cs="Times New Roman"/>
          <w:sz w:val="22"/>
          <w:szCs w:val="22"/>
          <w:lang w:val="en-ID"/>
        </w:rPr>
        <w:t>Oil pollution represents the most critical threat, as recurrent oil sludge strandings in Batam and Bintan create significant transboundary risks, damaging mangroves, coral reefs, and seagrass meadows while disrupting tourism and coastal livelihoods. Marine debris, including plastics and microplastics, persists across beaches and shallow habitats, highlighting chronic waste management deficiencies. Localized E. coli contamination also reflects inadequate domestic wastewater treatment in some rivers in the study area.</w:t>
      </w:r>
    </w:p>
    <w:p w14:paraId="43788EDF" w14:textId="6A1AECEE" w:rsidR="00AA7187" w:rsidRPr="000118A3" w:rsidRDefault="00AA7187" w:rsidP="003B5048">
      <w:pPr>
        <w:spacing w:before="120"/>
        <w:jc w:val="both"/>
        <w:rPr>
          <w:rFonts w:ascii="Times New Roman" w:hAnsi="Times New Roman" w:cs="Times New Roman"/>
          <w:sz w:val="22"/>
          <w:szCs w:val="22"/>
          <w:lang w:val="en-ID"/>
        </w:rPr>
      </w:pPr>
      <w:r w:rsidRPr="000118A3">
        <w:rPr>
          <w:rFonts w:ascii="Times New Roman" w:hAnsi="Times New Roman" w:cs="Times New Roman"/>
          <w:sz w:val="22"/>
          <w:szCs w:val="22"/>
          <w:lang w:val="en-ID"/>
        </w:rPr>
        <w:t>Risk assessment identifies oil pollution (oil sludge) as the top priority for transboundary pollution issue, followed by moderate risks from nutrient enrichment and marine debris. Fragmented institutional coordination remains a major challenge. Strengthening regional cooperation, especially through ASEAN, along with improved waste and wastewater infrastructure, stricter maritime enforcement, and enhanced public awareness is essential. An integrated transboundary governance approach is crucial to protect ecological resilience and sustain the socio-economic benefits of Indonesia’s SCS waters.</w:t>
      </w:r>
    </w:p>
    <w:p w14:paraId="4D9C5F32" w14:textId="77777777" w:rsidR="00AA7187" w:rsidRDefault="00AA7187" w:rsidP="00AA7187">
      <w:pPr>
        <w:pStyle w:val="BodyText"/>
        <w:spacing w:before="188"/>
        <w:rPr>
          <w:rFonts w:ascii="Times New Roman" w:hAnsi="Times New Roman" w:cs="Times New Roman"/>
          <w:b/>
          <w:bCs/>
          <w:color w:val="0070C0"/>
        </w:rPr>
      </w:pPr>
    </w:p>
    <w:p w14:paraId="579AE48B" w14:textId="29FB8154" w:rsidR="00377420" w:rsidRPr="00377420" w:rsidRDefault="00377420" w:rsidP="00377420">
      <w:pPr>
        <w:pStyle w:val="BodyText"/>
        <w:spacing w:after="0" w:line="240" w:lineRule="auto"/>
        <w:jc w:val="both"/>
        <w:rPr>
          <w:rFonts w:ascii="Times New Roman" w:eastAsia="Calibri" w:hAnsi="Times New Roman" w:cs="Times New Roman"/>
          <w:lang w:val="en-ID"/>
        </w:rPr>
      </w:pPr>
      <w:r w:rsidRPr="00377420">
        <w:rPr>
          <w:rFonts w:ascii="Times New Roman" w:eastAsia="Calibri" w:hAnsi="Times New Roman" w:cs="Times New Roman"/>
          <w:b/>
          <w:bCs/>
          <w:lang w:val="en-ID"/>
        </w:rPr>
        <w:t>Acknowledgements</w:t>
      </w:r>
      <w:r w:rsidRPr="00377420">
        <w:rPr>
          <w:rFonts w:ascii="Times New Roman" w:eastAsia="Calibri" w:hAnsi="Times New Roman" w:cs="Times New Roman"/>
          <w:lang w:val="en-ID"/>
        </w:rPr>
        <w:t xml:space="preserve"> : The authors are grateful to the </w:t>
      </w:r>
      <w:r w:rsidR="0092522E" w:rsidRPr="00377420">
        <w:rPr>
          <w:rFonts w:ascii="Times New Roman" w:eastAsia="Calibri" w:hAnsi="Times New Roman" w:cs="Times New Roman"/>
          <w:lang w:val="en-ID"/>
        </w:rPr>
        <w:t>Mistry</w:t>
      </w:r>
      <w:r w:rsidRPr="00377420">
        <w:rPr>
          <w:rFonts w:ascii="Times New Roman" w:eastAsia="Calibri" w:hAnsi="Times New Roman" w:cs="Times New Roman"/>
          <w:lang w:val="en-ID"/>
        </w:rPr>
        <w:t xml:space="preserve"> of Environment of Indonesia, UNOPS and  the Center for Coastal and Marine Resources Studies, IPB University (PKSPL IPB), Indonesia,   that provided the research facilities and  funding, especially during data collection processes including Focus Group Discussion in Bintan and Pontianak.   </w:t>
      </w:r>
    </w:p>
    <w:p w14:paraId="56618536" w14:textId="6C3E7F8F" w:rsidR="00377420" w:rsidRDefault="00377420" w:rsidP="00377420">
      <w:pPr>
        <w:pStyle w:val="BodyText"/>
        <w:spacing w:after="0" w:line="240" w:lineRule="auto"/>
        <w:jc w:val="both"/>
        <w:rPr>
          <w:rFonts w:ascii="Times New Roman" w:eastAsia="Calibri" w:hAnsi="Times New Roman" w:cs="Times New Roman"/>
          <w:lang w:val="en-ID"/>
        </w:rPr>
      </w:pPr>
      <w:r w:rsidRPr="00377420">
        <w:rPr>
          <w:rFonts w:ascii="Times New Roman" w:eastAsia="Calibri" w:hAnsi="Times New Roman" w:cs="Times New Roman"/>
          <w:lang w:val="en-ID"/>
        </w:rPr>
        <w:br/>
      </w:r>
      <w:r w:rsidRPr="00377420">
        <w:rPr>
          <w:rFonts w:ascii="Times New Roman" w:eastAsia="Calibri" w:hAnsi="Times New Roman" w:cs="Times New Roman"/>
          <w:b/>
          <w:bCs/>
          <w:lang w:val="en-ID"/>
        </w:rPr>
        <w:t>Author Contributions: conceptualization</w:t>
      </w:r>
      <w:r w:rsidRPr="00377420">
        <w:rPr>
          <w:rFonts w:ascii="Times New Roman" w:eastAsia="Calibri" w:hAnsi="Times New Roman" w:cs="Times New Roman"/>
          <w:lang w:val="en-ID"/>
        </w:rPr>
        <w:t>, A.D. ; data curation, A.D., Q.S.; formal analysis, A.D., Q.S;  funding acquisition, I.A., I., A.D.; investigation, A.D., Q.S.; methodology, A.D., Q.S.; project administration, I.H.; resources, I.H.;  supervision, A.D., I.A.; visualisation, A.D., Q.S.;  writing-original draft, A.D., Q.S.; writing-review and editing, A.D.,Q.S.</w:t>
      </w:r>
    </w:p>
    <w:p w14:paraId="67EB2B3F" w14:textId="77777777" w:rsidR="00377420" w:rsidRDefault="00377420" w:rsidP="00377420">
      <w:pPr>
        <w:pStyle w:val="BodyText"/>
        <w:spacing w:after="0" w:line="240" w:lineRule="auto"/>
        <w:jc w:val="both"/>
        <w:rPr>
          <w:rFonts w:ascii="Times New Roman" w:eastAsia="Calibri" w:hAnsi="Times New Roman" w:cs="Times New Roman"/>
          <w:lang w:val="en-ID"/>
        </w:rPr>
      </w:pPr>
    </w:p>
    <w:p w14:paraId="106CEA89" w14:textId="77777777" w:rsidR="00377420" w:rsidRDefault="00377420" w:rsidP="00377420">
      <w:pPr>
        <w:pStyle w:val="BodyText"/>
        <w:spacing w:after="0" w:line="240" w:lineRule="auto"/>
        <w:jc w:val="both"/>
        <w:rPr>
          <w:rFonts w:ascii="Times New Roman" w:eastAsia="Calibri" w:hAnsi="Times New Roman" w:cs="Times New Roman"/>
          <w:lang w:val="en-ID"/>
        </w:rPr>
      </w:pPr>
    </w:p>
    <w:p w14:paraId="7AC7FA5E" w14:textId="77777777" w:rsidR="00377420" w:rsidRPr="004567DB" w:rsidRDefault="00377420" w:rsidP="0092522E">
      <w:pPr>
        <w:pStyle w:val="BodyText"/>
        <w:spacing w:after="0"/>
        <w:outlineLvl w:val="1"/>
        <w:rPr>
          <w:rFonts w:ascii="Times New Roman" w:hAnsi="Times New Roman" w:cs="Times New Roman"/>
          <w:b/>
          <w:bCs/>
          <w:color w:val="0070C0"/>
          <w:sz w:val="28"/>
          <w:szCs w:val="28"/>
          <w:lang w:val="en-ID"/>
        </w:rPr>
      </w:pPr>
      <w:bookmarkStart w:id="122" w:name="_Toc217297560"/>
      <w:r w:rsidRPr="004567DB">
        <w:rPr>
          <w:rFonts w:ascii="Times New Roman" w:hAnsi="Times New Roman" w:cs="Times New Roman"/>
          <w:b/>
          <w:bCs/>
          <w:color w:val="0070C0"/>
          <w:sz w:val="28"/>
          <w:szCs w:val="28"/>
          <w:lang w:val="en-ID"/>
        </w:rPr>
        <w:t>References</w:t>
      </w:r>
      <w:bookmarkEnd w:id="122"/>
    </w:p>
    <w:p w14:paraId="10794C96" w14:textId="77777777" w:rsidR="00377420" w:rsidRPr="00377420" w:rsidRDefault="00377420" w:rsidP="00377420">
      <w:pPr>
        <w:pStyle w:val="BodyText"/>
        <w:spacing w:after="0"/>
        <w:jc w:val="center"/>
        <w:rPr>
          <w:rFonts w:ascii="Times New Roman" w:hAnsi="Times New Roman" w:cs="Times New Roman"/>
          <w:b/>
          <w:bCs/>
          <w:sz w:val="24"/>
          <w:szCs w:val="24"/>
          <w:lang w:val="en-ID"/>
        </w:rPr>
      </w:pPr>
    </w:p>
    <w:p w14:paraId="1736B8A5"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377420">
        <w:rPr>
          <w:rFonts w:ascii="Times New Roman" w:hAnsi="Times New Roman" w:cs="Times New Roman"/>
          <w:lang w:val="en-ID"/>
        </w:rPr>
        <w:t xml:space="preserve">Aziz, M.F., K. Istakhori,  A. A. A. Agung, Y. Prastia. 2020.  Possibility To Utilize Joint Arrangement On Fisheries Between Indonesia And Vietnam On Disputed Exclusive Economic Zone (Eez) In The North Natuna Sea.  Indonesian Law Journal Volume 13 No. 1, 2020, Vol. 13 No. 1 (2020). DOI: </w:t>
      </w:r>
      <w:hyperlink r:id="rId75" w:history="1">
        <w:r w:rsidRPr="00377420">
          <w:rPr>
            <w:rStyle w:val="Hyperlink"/>
            <w:rFonts w:ascii="Times New Roman" w:hAnsi="Times New Roman" w:cs="Times New Roman"/>
            <w:lang w:val="en-ID"/>
          </w:rPr>
          <w:t>https://doi.org/10.33331/ilj.v13i1.15</w:t>
        </w:r>
      </w:hyperlink>
      <w:r w:rsidRPr="00377420">
        <w:rPr>
          <w:rFonts w:ascii="Times New Roman" w:hAnsi="Times New Roman" w:cs="Times New Roman"/>
          <w:lang w:val="en-ID"/>
        </w:rPr>
        <w:t> </w:t>
      </w:r>
    </w:p>
    <w:p w14:paraId="4F7C04B1"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377420">
        <w:rPr>
          <w:rFonts w:ascii="Times New Roman" w:hAnsi="Times New Roman" w:cs="Times New Roman"/>
          <w:lang w:val="en-ID"/>
        </w:rPr>
        <w:t>Baum, G.; Kegler, P.; Scholz-Böttcher, B.M.; Alfiansah, Y.R.; Abrar, M.; Kunzmann, A.  2016. Metabolic performance of the coral reef fish Siganus guttatus exposed to combinations of water borne diesel, an anionic surfactant and elevated temperature in Indonesia. Mar. Pollut. Bull. 2016, 110, 735–746.</w:t>
      </w:r>
    </w:p>
    <w:p w14:paraId="00A59BC9"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BPS-Statistics Indonesia. 2020. Environment Statistics Indonesia. Directorate of Social Resilience Statistics, editor. BPS-Statistics Indonesia.</w:t>
      </w:r>
    </w:p>
    <w:p w14:paraId="659A6A6F"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BPS-Statistics Indonesia. 2021. Environment Statistics Indonesia. Directorate of Social Resilience Statistics, editor. BPS-Statistics Indonesia.</w:t>
      </w:r>
    </w:p>
    <w:p w14:paraId="548BE28A"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BPS-Statistics Indonesia. 2021. Kepulauan Bangka Belitung Province in Figures. BPS-Statistics of Kepulauan Bangka Belitung Province, editor. BPS-Statistics Indonesia.</w:t>
      </w:r>
    </w:p>
    <w:p w14:paraId="1C66F837"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lastRenderedPageBreak/>
        <w:t>BPS-Statistics Indonesia. 2022. Environment Statistics Indonesia. Directorate of Social Resilience Statistics, editor. BPS-Statistics Indonesia.</w:t>
      </w:r>
    </w:p>
    <w:p w14:paraId="131086DA"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BPS-Statistics Indonesia. 2023. Environment Statistics Indonesia. Vol. 42. Directorate of Social Resilience Statistics, editor. BPS-Statistics Indonesia.</w:t>
      </w:r>
    </w:p>
    <w:p w14:paraId="3862853C"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BPS-Statistics Indonesia. 2023. Kepulauan Bangka Belitung Province in Figures. BPS-Statistics of Kepulauan Bangka Belitung Province, editor. BPS-Statistics Indonesia.</w:t>
      </w:r>
    </w:p>
    <w:p w14:paraId="5F7CDD5C"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BPS-Statistics Indonesia. 2024. Environment Statistics Indonesia. Vol. 43. Directorate of Social Resilience Statistics, editor. BPS-Statistics Indonesia.</w:t>
      </w:r>
    </w:p>
    <w:p w14:paraId="47871706"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BPS-Statistics Indonesia. 2024. Kepulauan Bangka Belitung Province in Figures. Vol. 23. BPS-Statistics of Kepulauan Bangka Belitung Province, editor. BPS-Statistics Indonesia.</w:t>
      </w:r>
    </w:p>
    <w:p w14:paraId="0FB8464C"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BPS-Statistics Indonesia. 2025. Kepulauan Bangka Belitung Province in Figures. Vol. 24. BPS-Statistics of Kepulauan Bangka Belitung Province, editor. BPS-Statistics Indonesia.</w:t>
      </w:r>
    </w:p>
    <w:p w14:paraId="3C77D39B" w14:textId="413D2883"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Budiwati, T., Setyawati, W. &amp; Tanti, D.A. 2016. Chemical characteristics of rainwater in Sumatera, Indonesia, during 2001–2010. International Journal of Atmospheric Sciences. </w:t>
      </w:r>
      <w:hyperlink r:id="rId76" w:history="1">
        <w:r w:rsidR="00AC76A4" w:rsidRPr="00E07899">
          <w:rPr>
            <w:rStyle w:val="Hyperlink"/>
            <w:rFonts w:ascii="Times New Roman" w:hAnsi="Times New Roman" w:cs="Times New Roman"/>
            <w:lang w:val="en-ID"/>
          </w:rPr>
          <w:t>https://doi.org/10.1155/2016/1876046</w:t>
        </w:r>
      </w:hyperlink>
    </w:p>
    <w:p w14:paraId="4E6AFDC3"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Connelly, A., J. Carter, J. Handley, S. Hincks.  2018.  Enhancing the Practical Utility of Risk Assessments in Climate Change Adaptation.  Sustainability 2018, 10, 1399; doi: https://10.3390/su10051399    </w:t>
      </w:r>
    </w:p>
    <w:p w14:paraId="1A09AC61"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Covernton, G. A., Davies, H. L., Cox, K. D., et al. 2021. A Bayesian analysis of the factors determining microplastics ingestion in fishes. J Hazard Mater. https:// doi. org/ 10. 1016/j. jhazm at. 2021. 125405</w:t>
      </w:r>
    </w:p>
    <w:p w14:paraId="0CEF47E8"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Damar A., F.  Colijn, K-J.  Hesse, L.  Adrianto, Yonvitner, A. Fahrudin, F. Kurniawan, A. D. Prismayanti, S. M. Rahayu, B. Y. Rudianto, A. Ramli.  2020. Phytoplankton Biomass Dynamics in Tropical Coastal Waters of Jakarta Bay, Indonesia in the Period between 2001 and 2019.  J. Mar. Sci. Eng. 2020, 8, 674; doi:10.3390/jmse8090674 </w:t>
      </w:r>
    </w:p>
    <w:p w14:paraId="693E58C8"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Dsikowitzky, L., S.A. Van der Wulp, Dwiyitno, F. Ariyani, K-J. Hesse, A. Damar, J. Schwarzbauer.  2018. Transport of pollution from the megacity Jakarta into the ocean: Insights from organic pollutant mass fluxes along the Ciliwung River. Estuarine, Coastal and Shelf Science 215 (2018), 219–228.</w:t>
      </w:r>
    </w:p>
    <w:p w14:paraId="21D28687"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Environment Statistics of Indonesia 2025.  Indonesian Statistics Bureau 2020-2024.  </w:t>
      </w:r>
    </w:p>
    <w:p w14:paraId="4DE949DD"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ERIA (2016), ‘Sea lane security in the selected EAS countries’, in Kimura, S., T. Morikawa and S. Singh (eds.), Sea Lane Security of Oil and Liquefied Natural Gas in the EAS Region. ERIA Research Project Report 2015-14, Jakarta: ERIA, pp.41-55.</w:t>
      </w:r>
    </w:p>
    <w:p w14:paraId="277093C3"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Gompi, W. H. Sambali, O. J. Kalesaran, E. L.A. Ngangi, J. D. Mudeng, W. M. Mingkid. 2023.   Case study of feed convertion ratio (FCR) in intensive ponds of vanname shrimp (Litopenaeus vannamei) CV. Sinar Limunga. e-Journal Budidaya Perairan 2023, Vol. 11No. 2: 309-320</w:t>
      </w:r>
    </w:p>
    <w:p w14:paraId="750D0342"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Hairo, A.F., Mubarak, D. Yoswaty, B. Amin, I. Ilahi. 2024. </w:t>
      </w:r>
      <w:r w:rsidRPr="004567DB">
        <w:rPr>
          <w:rFonts w:ascii="Times New Roman" w:hAnsi="Times New Roman" w:cs="Times New Roman"/>
          <w:i/>
          <w:iCs/>
          <w:lang w:val="en-ID"/>
        </w:rPr>
        <w:t>Analysis of Oil Spill Distribution in Bintan Utara Waters Using Sentinel-1A Satellite Imagery.</w:t>
      </w:r>
      <w:r w:rsidRPr="004567DB">
        <w:rPr>
          <w:rFonts w:ascii="Times New Roman" w:hAnsi="Times New Roman" w:cs="Times New Roman"/>
          <w:lang w:val="en-ID"/>
        </w:rPr>
        <w:t xml:space="preserve"> </w:t>
      </w:r>
      <w:r w:rsidRPr="004567DB">
        <w:rPr>
          <w:rFonts w:ascii="Times New Roman" w:hAnsi="Times New Roman" w:cs="Times New Roman"/>
          <w:i/>
          <w:iCs/>
          <w:lang w:val="en-ID"/>
        </w:rPr>
        <w:t>Jurnal Natur Indonesia</w:t>
      </w:r>
      <w:r w:rsidRPr="004567DB">
        <w:rPr>
          <w:rFonts w:ascii="Times New Roman" w:hAnsi="Times New Roman" w:cs="Times New Roman"/>
          <w:lang w:val="en-ID"/>
        </w:rPr>
        <w:t xml:space="preserve">, </w:t>
      </w:r>
      <w:r w:rsidRPr="004567DB">
        <w:rPr>
          <w:rFonts w:ascii="Times New Roman" w:hAnsi="Times New Roman" w:cs="Times New Roman"/>
          <w:b/>
          <w:bCs/>
          <w:lang w:val="en-ID"/>
        </w:rPr>
        <w:t>22</w:t>
      </w:r>
      <w:r w:rsidRPr="004567DB">
        <w:rPr>
          <w:rFonts w:ascii="Times New Roman" w:hAnsi="Times New Roman" w:cs="Times New Roman"/>
          <w:lang w:val="en-ID"/>
        </w:rPr>
        <w:t>(1): 48–56.</w:t>
      </w:r>
    </w:p>
    <w:p w14:paraId="78FB909A"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Hayami, Y., A. Morimoto, A. Sudaryanto, S. I. Sachoemar, E. Soeyanto, A. Rusdiansyah, M. Saleh.  2020.  A quasi-persistent hypoxic water mass in an equatorial coastal sea, Jakarta Bay, Indonesia. Estuarine, Coastal and Shelf Science, Volume 246, 5 November 2020, 107030. </w:t>
      </w:r>
    </w:p>
    <w:p w14:paraId="49A5A14A"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Hidayati, J. R., Apdillah D, Idris, B. F., Anugrah, S., Hamza, S., Sihite, D., Syafitri, M., Febrianto, T., and Syakti, A. D. Size and Types Distribution of Marine Debris in the Mangrove Ecosystem of Bintan Island – Indonesia. In book: Proceedings of the 2022 Brawijaya International Conference (BIC 2022) (pp.144-155). DOI:10.2991/978-94-6463-140-1_15.</w:t>
      </w:r>
    </w:p>
    <w:p w14:paraId="764D5AB2"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Indonesian Fisheries Statistics.  2025.  Indonesian Statistics Bureau 2020-2024.</w:t>
      </w:r>
    </w:p>
    <w:p w14:paraId="75539EEF"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Jambeck, J.R.,  R. Geyer, C. Wilcox, T. R. Siegler, M. Perryman, A. Andrady, R. Narayan, K. L. Law. 2015.  Plastic waste inputs from land into the ocean.Science 347(6223):768–771 (2015); doi:10.1126/science.1260352</w:t>
      </w:r>
    </w:p>
    <w:p w14:paraId="6220AE04"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lastRenderedPageBreak/>
        <w:t>Kok, P. H., Wang, D. W., Wang, Y., &amp; Dwi, S. P. (2021). Interconnection between the Southern South China Sea and Java Sea through the Karimata Strait. Journal of Marine Science and Engineering, 9(10), 1040.</w:t>
      </w:r>
    </w:p>
    <w:p w14:paraId="1CA6F3A5"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Kunzmann, A.; Arifin, Z.; Baum, G. 2018.  Pollution of Coastal Areas of Jakarta Bay: Water Quality And Biological Responses. Mar. Res. Indones. 2018, 43, 37–51.</w:t>
      </w:r>
    </w:p>
    <w:p w14:paraId="31CC441D"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Kusumaningtyas, S.D.A., 2013.  Chemical characteristics on rain water during forest fire in West Kalimantan and South Sumatera.  Jurnal Meteorologi dan Geofisika Vo. 14, 2013: 1-8.</w:t>
      </w:r>
    </w:p>
    <w:p w14:paraId="0B4AF24D"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Ladwig, N.; Hesse, K.-J.; van derWulp, S.A.; Damar, A.; Koch, D. 2016.  Pressure on oxygen levels of Jakarta Bay. Mar. Pollut. Bull. 2016, 110, 665–674.</w:t>
      </w:r>
    </w:p>
    <w:p w14:paraId="0F12845E"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Ma, H., Pu, S., Liu, S. et al. 2020. Microplastics in aquatic environments: toxicity to trigger ecological consequences. Environ Pollut. https:// doi. org/ 10. 1016/j. envpol. 2020. 114089</w:t>
      </w:r>
    </w:p>
    <w:p w14:paraId="47DF5667"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McManus, J. W. (2017). Offshore Coral Reef Damage, Overfishing, and Paths to Peace in the South China Sea. The International Journal of Marine and Coastal Law, 32(2), 199-237. </w:t>
      </w:r>
      <w:hyperlink r:id="rId77" w:history="1">
        <w:r w:rsidRPr="004567DB">
          <w:rPr>
            <w:rStyle w:val="Hyperlink"/>
            <w:rFonts w:ascii="Times New Roman" w:hAnsi="Times New Roman" w:cs="Times New Roman"/>
            <w:lang w:val="en-ID"/>
          </w:rPr>
          <w:t>https://doi.org/10.1163/15718085-12341433</w:t>
        </w:r>
      </w:hyperlink>
    </w:p>
    <w:p w14:paraId="2C42E719"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Meierding, E. 2017. Joint development in the South China Sea: Exploring the prospects of oil and gas cooperation between rivals.  Energy Research &amp; Social Science, Vol. 24, February 2017:  65-70. Energy Research &amp; Social Science. </w:t>
      </w:r>
    </w:p>
    <w:p w14:paraId="1F892B28"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Mendrik F., C. R. Hackney, V. M. Cumming, C. Waller, D. Hak, R. Dorrell, N. N. Hung, D. R. Parsons. 2025. The transport and vertical distribution of microplastics in the Mekong River, SE Asia. Journal of Hazardous Materials, Volume 484, 2025, 136762,ISSN 0304-3894, </w:t>
      </w:r>
      <w:hyperlink r:id="rId78" w:history="1">
        <w:r w:rsidRPr="004567DB">
          <w:rPr>
            <w:rStyle w:val="Hyperlink"/>
            <w:rFonts w:ascii="Times New Roman" w:hAnsi="Times New Roman" w:cs="Times New Roman"/>
            <w:lang w:val="en-ID"/>
          </w:rPr>
          <w:t>https://doi.org/10.1016/j.jhazmat.2024.136762</w:t>
        </w:r>
      </w:hyperlink>
      <w:r w:rsidRPr="004567DB">
        <w:rPr>
          <w:rFonts w:ascii="Times New Roman" w:hAnsi="Times New Roman" w:cs="Times New Roman"/>
          <w:lang w:val="en-ID"/>
        </w:rPr>
        <w:t>.</w:t>
      </w:r>
    </w:p>
    <w:p w14:paraId="047E5253"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Napitupulu, G., Rafid, Yulianti, K.K., Sinuraya, D.E., Waryatno, N.F.P. &amp; Fekranie, N.A. 2024. Spatiotemporal variation of particulate matter (PM₂.₅) concentration in the Indonesian Maritime Continent. Malaysian Journal of Tropical Geography. 50(1): pp. 1–17.</w:t>
      </w:r>
    </w:p>
    <w:p w14:paraId="42E354AE"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Nie, Y., Xu, T., Wang, Y., &amp; Chu, P. C. (2023). Amplitude modulations of seasonal variability in the Karimata Strait throughflow. Frontiers in Marine Science, 10, 1085032.</w:t>
      </w:r>
    </w:p>
    <w:p w14:paraId="0C978881"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Oetama, V.S.P.; Hennersdorf, P.; Abdul-Aziz, M.A.; Mrotzek, G.; Haryanti, H.; Saluz, H.P. 2016.  Microbiome analysis and detection of pathogenic bacteria of Penaeus monodon from Jakarta Bay and Bali. Mar. Pollut. Bull. 2016, 110, 718–725.</w:t>
      </w:r>
    </w:p>
    <w:p w14:paraId="3592C442" w14:textId="63818A89"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Ortega, S.T, N. Hanley and P. D. Simal.  2014.  A Proposed Methodology for Prioritizing Project Effects to Include in Cost-Benefit Analysis Using Resilience, Vulnerability and Risk Perception.  Sustainability 2014, 6, 7945-7966; doi: </w:t>
      </w:r>
      <w:hyperlink r:id="rId79" w:history="1">
        <w:r w:rsidR="00AC76A4" w:rsidRPr="00E07899">
          <w:rPr>
            <w:rStyle w:val="Hyperlink"/>
            <w:rFonts w:ascii="Times New Roman" w:hAnsi="Times New Roman" w:cs="Times New Roman"/>
            <w:lang w:val="en-ID"/>
          </w:rPr>
          <w:t>https://10.3390/su6117945</w:t>
        </w:r>
      </w:hyperlink>
    </w:p>
    <w:p w14:paraId="337A355C"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Pramono, B. 2023. The Indonesia's Strategies For Exclusive Economic Zone (EEZ) Sovereignty With 1982 UNCLOS Provisions: North Natuna Sea.  Jurnal Defendonesia,Vol. 7 No. 1 (2023): April.  DOI: </w:t>
      </w:r>
      <w:hyperlink r:id="rId80" w:history="1">
        <w:r w:rsidRPr="004567DB">
          <w:rPr>
            <w:rStyle w:val="Hyperlink"/>
            <w:rFonts w:ascii="Times New Roman" w:hAnsi="Times New Roman" w:cs="Times New Roman"/>
            <w:lang w:val="en-ID"/>
          </w:rPr>
          <w:t>https://doi.org/10.54755/defendonesia.v7i1.128</w:t>
        </w:r>
      </w:hyperlink>
    </w:p>
    <w:p w14:paraId="43935508"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Purnaweni, H.; Saputra, J.; Roziqin, A.; Kismartini, K.; Djumiarti, T.; Seitz, T. 2022. Oil Spill Governance: Evidence from Bintan Island, Indonesia. Sustainability 2022, 14, 3, 1603. DOI: https://doi.org/10.3390/su14031603 </w:t>
      </w:r>
    </w:p>
    <w:p w14:paraId="123DA00D"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Rahayu, Y.P., Adi, R.A., Priyambodo, D.G., Puspita, C.D. &amp; Triwibowo, H. 2016. Kualitas air permukaan dan sebaran sedimen dasar perairan Sedanau, Natuna, Kepulauan Riau. Jurnal Segara. 12(1).</w:t>
      </w:r>
    </w:p>
    <w:p w14:paraId="71BBE6E1"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Republic of Indonesia. (2021). Regulation of the Minister of Environment and Forestry of the Republic of Indonesia Number 27 of 2021 concerning the Marine Water Quality Index</w:t>
      </w:r>
    </w:p>
    <w:p w14:paraId="5EE677E4"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Sahputra, Y. E. 2024 Mar 27. Mongabay. Minyak Hitam Kembali Cemari Laut Bintan, Bagaimana Solusinya?. [diakses 2025 Agt 15]. </w:t>
      </w:r>
      <w:hyperlink r:id="rId81" w:history="1">
        <w:r w:rsidRPr="004567DB">
          <w:rPr>
            <w:rStyle w:val="Hyperlink"/>
            <w:rFonts w:ascii="Times New Roman" w:hAnsi="Times New Roman" w:cs="Times New Roman"/>
            <w:lang w:val="en-ID"/>
          </w:rPr>
          <w:t>https://mongabay.co.id/2024/03/27/minyak-hitam-kembali-cemari-laut-bintan-bagaimana-solusinya/</w:t>
        </w:r>
      </w:hyperlink>
    </w:p>
    <w:p w14:paraId="548CD713"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Sianipar, I.M.J., I. W. Koko Suryawan, S. R. Tarigan.  2022. The Challenges and Future of Marine Debris Policy in Indonesia and Taiwan Case Studies.  Journal of Sutainable Infrastructure Volume 1 No. 2: 56-62</w:t>
      </w:r>
    </w:p>
    <w:p w14:paraId="037C85B6" w14:textId="4828785D"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lastRenderedPageBreak/>
        <w:t xml:space="preserve">Syakti, A. D., Hidayati, V. N., Jaya, Y. V., Siregar, S. H., Yude, R., Suhendy, Asia, L., Wong-Wah-Chung, P., Doumenq, P. 2018. Simultaneous grading of microplastic size sampling in the Small Islands of Bintan water, Indonesia. Marine Pollution Bulletin, Volume 137, p. 593-600. DOI: </w:t>
      </w:r>
      <w:hyperlink r:id="rId82" w:history="1">
        <w:r w:rsidR="00AC76A4" w:rsidRPr="00E07899">
          <w:rPr>
            <w:rStyle w:val="Hyperlink"/>
            <w:rFonts w:ascii="Times New Roman" w:hAnsi="Times New Roman" w:cs="Times New Roman"/>
            <w:lang w:val="en-ID"/>
          </w:rPr>
          <w:t>https://doi.org/10.1016/j.marpolbul.2018.11.005</w:t>
        </w:r>
      </w:hyperlink>
    </w:p>
    <w:p w14:paraId="7063A2F8"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Teh LS, Witter A, Cheung WW, Sumaila UR, Yin X. 2017.  What is at stake? Status and threats to South China Sea marine fisheries. Ambio. 2017 Feb;46(1):57-72. doi: 10.1007/s13280-016-0819-0. Epub 2016 Sep 23. PMID: 27663231; PMCID: PMC5226903.</w:t>
      </w:r>
    </w:p>
    <w:p w14:paraId="591A4340"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Thahira, A., S. Syofyan S, Z. Daulay, and Ferdi.  2023.  The Outside of Port Limit (OPL) as a new maritime zone to overcome marine pollution due to oil sludge impacting the coast of Bintan, Indonesia to actualise sustainable development.  2023. BIO Web of Conferences 70, 02001. DOI: https://doi.org/10.1051/bioconf/20237002001 </w:t>
      </w:r>
    </w:p>
    <w:p w14:paraId="4ADAE31E"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Utami, D.A., Reuning, L., Konechnaya, O., Schwarzbauer, J. 2021. Microplastics as a sedimentary component in reef systems: a case study from the Java Sea. Sedimentology. https:// doi. org/ 10. 1111/ sed. 12879</w:t>
      </w:r>
    </w:p>
    <w:p w14:paraId="38442228"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Wang, Y., Wang, D. W., Sprintall, J., &amp; Susanto, R. D. (2019). Seasonal variation of water transport through the Karimata Strait. Journal of Oceanology and Limnology, 37(3), 956–968.</w:t>
      </w:r>
    </w:p>
    <w:p w14:paraId="3CB19BDF"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Xiao, J., W. Wang, X. Wang, P. Tian, W. Niu. 2022. Recent deterioration of coral reefs in the South China Sea due to multiple disturbances. PeerJ. 2022 Jul 25;10:e13634. doi: </w:t>
      </w:r>
      <w:hyperlink r:id="rId83" w:history="1">
        <w:r w:rsidRPr="004567DB">
          <w:rPr>
            <w:rStyle w:val="Hyperlink"/>
            <w:rFonts w:ascii="Times New Roman" w:hAnsi="Times New Roman" w:cs="Times New Roman"/>
            <w:lang w:val="en-ID"/>
          </w:rPr>
          <w:t>https://10.7717/peerj.13634</w:t>
        </w:r>
      </w:hyperlink>
      <w:r w:rsidRPr="004567DB">
        <w:rPr>
          <w:rFonts w:ascii="Times New Roman" w:hAnsi="Times New Roman" w:cs="Times New Roman"/>
          <w:lang w:val="en-ID"/>
        </w:rPr>
        <w:t> </w:t>
      </w:r>
    </w:p>
    <w:p w14:paraId="59545506" w14:textId="661CC52A"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Yeh, M.J., Yuan, C.S., Hung, K.N., Ie, I.R., Lee, C.E., Chiang, K.C. &amp; Soong, K.Y. 2021. Temporal variation and potential origins of atmospheric speciated mercury at a remote island in South China Sea based on two-year field measurement data. Scientific Reports. 11(1). p. 5678. </w:t>
      </w:r>
      <w:hyperlink r:id="rId84" w:history="1">
        <w:r w:rsidR="00AC76A4" w:rsidRPr="00E07899">
          <w:rPr>
            <w:rStyle w:val="Hyperlink"/>
            <w:rFonts w:ascii="Times New Roman" w:hAnsi="Times New Roman" w:cs="Times New Roman"/>
            <w:lang w:val="en-ID"/>
          </w:rPr>
          <w:t>https://doi.org/10.1038/s41598-021-84434-z</w:t>
        </w:r>
      </w:hyperlink>
    </w:p>
    <w:p w14:paraId="6B6C4704"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Yulianto, E., Sukapti, W.S., Dewi, K.T., 2019. Late Holocene Pollen Record of Environmental Changes in Karimata Strait, Sunda Shelf Region. Indonesian Journal on Geoscience, 6 (1), p.41-55. DOI: 10.17014/ijog.6.1.41-55</w:t>
      </w:r>
    </w:p>
    <w:p w14:paraId="108A83A0" w14:textId="77777777" w:rsid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hAnsi="Times New Roman" w:cs="Times New Roman"/>
          <w:lang w:val="en-ID"/>
        </w:rPr>
        <w:t xml:space="preserve">Zeng, X., et al. (2021). Monsoonal Effects on Nutrient and Pollutant Transport in the South China Sea. Arxiv. </w:t>
      </w:r>
      <w:hyperlink r:id="rId85" w:history="1">
        <w:r w:rsidRPr="004567DB">
          <w:rPr>
            <w:rStyle w:val="Hyperlink"/>
            <w:rFonts w:ascii="Times New Roman" w:hAnsi="Times New Roman" w:cs="Times New Roman"/>
            <w:lang w:val="en-ID"/>
          </w:rPr>
          <w:t>https://arxiv.org/abs/2112.11252</w:t>
        </w:r>
      </w:hyperlink>
    </w:p>
    <w:p w14:paraId="475900C5" w14:textId="35BF8CD4" w:rsidR="00377420" w:rsidRPr="00AC76A4" w:rsidRDefault="00377420" w:rsidP="00AC76A4">
      <w:pPr>
        <w:pStyle w:val="BodyText"/>
        <w:spacing w:before="120" w:after="0" w:line="240" w:lineRule="auto"/>
        <w:ind w:left="567" w:hanging="567"/>
        <w:jc w:val="both"/>
        <w:rPr>
          <w:rFonts w:ascii="Times New Roman" w:hAnsi="Times New Roman" w:cs="Times New Roman"/>
          <w:lang w:val="en-ID"/>
        </w:rPr>
      </w:pPr>
      <w:r w:rsidRPr="004567DB">
        <w:rPr>
          <w:rFonts w:ascii="Times New Roman" w:eastAsia="Calibri" w:hAnsi="Times New Roman" w:cs="Times New Roman"/>
          <w:lang w:val="en-ID"/>
        </w:rPr>
        <w:t xml:space="preserve">Zheng, X., S. Ruikun, D. Zhenqing, H. Lei, L.Chengyong. (2023). Distribution and risk assessment of microplastics in typical ecosystems in the South China Sea. Science of The Total Environment. 883. 163678. </w:t>
      </w:r>
      <w:hyperlink r:id="rId86" w:history="1">
        <w:r w:rsidRPr="004567DB">
          <w:rPr>
            <w:rStyle w:val="Hyperlink"/>
            <w:rFonts w:ascii="Times New Roman" w:eastAsia="Calibri" w:hAnsi="Times New Roman" w:cs="Times New Roman"/>
            <w:lang w:val="en-ID"/>
          </w:rPr>
          <w:t>https://10.1016/j.scitotenv.2023.163678</w:t>
        </w:r>
      </w:hyperlink>
      <w:r w:rsidRPr="004567DB">
        <w:rPr>
          <w:rFonts w:ascii="Times New Roman" w:eastAsia="Calibri" w:hAnsi="Times New Roman" w:cs="Times New Roman"/>
          <w:lang w:val="en-ID"/>
        </w:rPr>
        <w:t xml:space="preserve"> .</w:t>
      </w:r>
    </w:p>
    <w:p w14:paraId="625C1753" w14:textId="04B462D5" w:rsidR="00377420" w:rsidRPr="00FD2540" w:rsidRDefault="00CD0DB1" w:rsidP="00FD2540">
      <w:pPr>
        <w:rPr>
          <w:rFonts w:ascii="Times New Roman" w:hAnsi="Times New Roman" w:cs="Times New Roman"/>
          <w:sz w:val="22"/>
          <w:szCs w:val="22"/>
          <w:lang w:val="en-ID"/>
        </w:rPr>
      </w:pPr>
      <w:r>
        <w:rPr>
          <w:rFonts w:ascii="Times New Roman" w:hAnsi="Times New Roman" w:cs="Times New Roman"/>
          <w:lang w:val="en-ID"/>
        </w:rPr>
        <w:br w:type="page"/>
      </w:r>
    </w:p>
    <w:p w14:paraId="640590CE" w14:textId="642F469A" w:rsidR="00377420" w:rsidRPr="00FD2540" w:rsidRDefault="003F19BD" w:rsidP="00FD2540">
      <w:pPr>
        <w:pStyle w:val="BodyText"/>
        <w:numPr>
          <w:ilvl w:val="0"/>
          <w:numId w:val="140"/>
        </w:numPr>
        <w:spacing w:before="188"/>
        <w:jc w:val="both"/>
        <w:outlineLvl w:val="0"/>
        <w:rPr>
          <w:rFonts w:ascii="Times New Roman" w:hAnsi="Times New Roman" w:cs="Times New Roman"/>
          <w:b/>
          <w:bCs/>
          <w:color w:val="0070C0"/>
          <w:sz w:val="32"/>
          <w:szCs w:val="32"/>
        </w:rPr>
      </w:pPr>
      <w:bookmarkStart w:id="123" w:name="_Toc217297561"/>
      <w:r w:rsidRPr="003B5048">
        <w:rPr>
          <w:rFonts w:ascii="Times New Roman" w:hAnsi="Times New Roman" w:cs="Times New Roman"/>
          <w:b/>
          <w:bCs/>
          <w:color w:val="0070C0"/>
          <w:sz w:val="32"/>
          <w:szCs w:val="32"/>
        </w:rPr>
        <w:lastRenderedPageBreak/>
        <w:t>FISHERIES</w:t>
      </w:r>
      <w:r w:rsidR="00FD2540">
        <w:rPr>
          <w:rFonts w:ascii="Times New Roman" w:hAnsi="Times New Roman" w:cs="Times New Roman"/>
          <w:b/>
          <w:bCs/>
          <w:color w:val="0070C0"/>
          <w:sz w:val="32"/>
          <w:szCs w:val="32"/>
        </w:rPr>
        <w:t xml:space="preserve">: </w:t>
      </w:r>
      <w:r w:rsidR="00377420" w:rsidRPr="00FD2540">
        <w:rPr>
          <w:rFonts w:ascii="Times New Roman" w:eastAsia="Times New Roman" w:hAnsi="Times New Roman" w:cs="Times New Roman"/>
          <w:b/>
          <w:bCs/>
          <w:color w:val="0070C0"/>
          <w:sz w:val="28"/>
          <w:szCs w:val="28"/>
          <w:lang w:val="en-ID"/>
        </w:rPr>
        <w:t>The Status and Recent Management of the Fisheries and Aquaculture Sector in the Fisheries Management Area of 711, part of the South China Sea</w:t>
      </w:r>
      <w:bookmarkEnd w:id="123"/>
    </w:p>
    <w:p w14:paraId="449117E3" w14:textId="77777777" w:rsidR="00377420" w:rsidRDefault="00377420" w:rsidP="00377420">
      <w:pPr>
        <w:jc w:val="center"/>
        <w:rPr>
          <w:rFonts w:ascii="Times New Roman" w:eastAsia="Times New Roman" w:hAnsi="Times New Roman" w:cs="Times New Roman"/>
          <w:color w:val="000000"/>
          <w:sz w:val="22"/>
          <w:szCs w:val="22"/>
          <w:vertAlign w:val="superscript"/>
          <w:lang w:val="en-ID"/>
        </w:rPr>
      </w:pPr>
      <w:r w:rsidRPr="00377420">
        <w:rPr>
          <w:rFonts w:ascii="Times New Roman" w:eastAsia="Times New Roman" w:hAnsi="Times New Roman" w:cs="Times New Roman"/>
          <w:color w:val="000000"/>
          <w:sz w:val="22"/>
          <w:szCs w:val="22"/>
          <w:lang w:val="en-ID"/>
        </w:rPr>
        <w:t>Mochammad Riyanto</w:t>
      </w:r>
      <w:r w:rsidRPr="00377420">
        <w:rPr>
          <w:rFonts w:ascii="Times New Roman" w:eastAsia="Times New Roman" w:hAnsi="Times New Roman" w:cs="Times New Roman"/>
          <w:color w:val="000000"/>
          <w:sz w:val="22"/>
          <w:szCs w:val="22"/>
          <w:vertAlign w:val="superscript"/>
          <w:lang w:val="en-ID"/>
        </w:rPr>
        <w:t>2</w:t>
      </w:r>
      <w:r w:rsidRPr="00377420">
        <w:rPr>
          <w:rFonts w:ascii="Times New Roman" w:eastAsia="Times New Roman" w:hAnsi="Times New Roman" w:cs="Times New Roman"/>
          <w:color w:val="000000"/>
          <w:sz w:val="22"/>
          <w:szCs w:val="22"/>
          <w:lang w:val="en-ID"/>
        </w:rPr>
        <w:t>, Irene Aditya</w:t>
      </w:r>
      <w:r w:rsidRPr="00377420">
        <w:rPr>
          <w:rFonts w:ascii="Times New Roman" w:eastAsia="Times New Roman" w:hAnsi="Times New Roman" w:cs="Times New Roman"/>
          <w:color w:val="000000"/>
          <w:sz w:val="22"/>
          <w:szCs w:val="22"/>
          <w:vertAlign w:val="superscript"/>
          <w:lang w:val="en-ID"/>
        </w:rPr>
        <w:t>3</w:t>
      </w:r>
      <w:r w:rsidRPr="00377420">
        <w:rPr>
          <w:rFonts w:ascii="Times New Roman" w:eastAsia="Times New Roman" w:hAnsi="Times New Roman" w:cs="Times New Roman"/>
          <w:color w:val="000000"/>
          <w:sz w:val="22"/>
          <w:szCs w:val="22"/>
          <w:lang w:val="en-ID"/>
        </w:rPr>
        <w:t>, Aisyah Qurota A’yun</w:t>
      </w:r>
      <w:r w:rsidRPr="00377420">
        <w:rPr>
          <w:rFonts w:ascii="Times New Roman" w:eastAsia="Times New Roman" w:hAnsi="Times New Roman" w:cs="Times New Roman"/>
          <w:color w:val="000000"/>
          <w:sz w:val="22"/>
          <w:szCs w:val="22"/>
          <w:vertAlign w:val="superscript"/>
          <w:lang w:val="en-ID"/>
        </w:rPr>
        <w:t>1</w:t>
      </w:r>
      <w:r w:rsidRPr="00377420">
        <w:rPr>
          <w:rFonts w:ascii="Times New Roman" w:eastAsia="Times New Roman" w:hAnsi="Times New Roman" w:cs="Times New Roman"/>
          <w:color w:val="000000"/>
          <w:sz w:val="22"/>
          <w:szCs w:val="22"/>
          <w:lang w:val="en-ID"/>
        </w:rPr>
        <w:t>, Isdahartati</w:t>
      </w:r>
      <w:r w:rsidRPr="00377420">
        <w:rPr>
          <w:rFonts w:ascii="Times New Roman" w:eastAsia="Times New Roman" w:hAnsi="Times New Roman" w:cs="Times New Roman"/>
          <w:color w:val="000000"/>
          <w:sz w:val="22"/>
          <w:szCs w:val="22"/>
          <w:vertAlign w:val="superscript"/>
          <w:lang w:val="en-ID"/>
        </w:rPr>
        <w:t>1</w:t>
      </w:r>
    </w:p>
    <w:p w14:paraId="23412D4C" w14:textId="77777777" w:rsidR="00377420" w:rsidRPr="00377420" w:rsidRDefault="00377420" w:rsidP="00377420">
      <w:pPr>
        <w:jc w:val="center"/>
        <w:rPr>
          <w:rFonts w:ascii="Times New Roman" w:eastAsia="Times New Roman" w:hAnsi="Times New Roman" w:cs="Times New Roman"/>
          <w:sz w:val="22"/>
          <w:szCs w:val="22"/>
          <w:lang w:val="en-ID"/>
        </w:rPr>
      </w:pPr>
    </w:p>
    <w:p w14:paraId="0D4E2C45" w14:textId="77777777" w:rsidR="00377420" w:rsidRPr="00377420" w:rsidRDefault="00377420" w:rsidP="00377420">
      <w:pPr>
        <w:jc w:val="both"/>
        <w:rPr>
          <w:rFonts w:ascii="Times New Roman" w:eastAsia="Times New Roman" w:hAnsi="Times New Roman" w:cs="Times New Roman"/>
          <w:sz w:val="22"/>
          <w:szCs w:val="22"/>
          <w:lang w:val="en-ID"/>
        </w:rPr>
      </w:pPr>
      <w:r w:rsidRPr="00377420">
        <w:rPr>
          <w:rFonts w:ascii="Times New Roman" w:eastAsia="Times New Roman" w:hAnsi="Times New Roman" w:cs="Times New Roman"/>
          <w:color w:val="000000"/>
          <w:sz w:val="22"/>
          <w:szCs w:val="22"/>
          <w:vertAlign w:val="superscript"/>
          <w:lang w:val="en-ID"/>
        </w:rPr>
        <w:t>1</w:t>
      </w:r>
      <w:r w:rsidRPr="00377420">
        <w:rPr>
          <w:rFonts w:ascii="Times New Roman" w:eastAsia="Times New Roman" w:hAnsi="Times New Roman" w:cs="Times New Roman"/>
          <w:color w:val="000000"/>
          <w:sz w:val="22"/>
          <w:szCs w:val="22"/>
          <w:lang w:val="en-ID"/>
        </w:rPr>
        <w:t>Center for Coastal and Marine Resources Studies, IPB University</w:t>
      </w:r>
    </w:p>
    <w:p w14:paraId="0B050D84" w14:textId="77777777" w:rsidR="00377420" w:rsidRPr="00377420" w:rsidRDefault="00377420" w:rsidP="00377420">
      <w:pPr>
        <w:jc w:val="both"/>
        <w:rPr>
          <w:rFonts w:ascii="Times New Roman" w:eastAsia="Times New Roman" w:hAnsi="Times New Roman" w:cs="Times New Roman"/>
          <w:sz w:val="22"/>
          <w:szCs w:val="22"/>
          <w:lang w:val="en-ID"/>
        </w:rPr>
      </w:pPr>
      <w:r w:rsidRPr="00377420">
        <w:rPr>
          <w:rFonts w:ascii="Times New Roman" w:eastAsia="Times New Roman" w:hAnsi="Times New Roman" w:cs="Times New Roman"/>
          <w:color w:val="000000"/>
          <w:sz w:val="22"/>
          <w:szCs w:val="22"/>
          <w:vertAlign w:val="superscript"/>
          <w:lang w:val="en-ID"/>
        </w:rPr>
        <w:t>2</w:t>
      </w:r>
      <w:r w:rsidRPr="00377420">
        <w:rPr>
          <w:rFonts w:ascii="Times New Roman" w:eastAsia="Times New Roman" w:hAnsi="Times New Roman" w:cs="Times New Roman"/>
          <w:color w:val="000000"/>
          <w:sz w:val="22"/>
          <w:szCs w:val="22"/>
          <w:lang w:val="en-ID"/>
        </w:rPr>
        <w:t>Department of Fisheries Resource Utilization, Faculty of Fisheries and Marine Sciences, IPB University</w:t>
      </w:r>
    </w:p>
    <w:p w14:paraId="5BE42824" w14:textId="77777777" w:rsidR="00377420" w:rsidRPr="00377420" w:rsidRDefault="00377420" w:rsidP="00377420">
      <w:pPr>
        <w:jc w:val="both"/>
        <w:rPr>
          <w:rFonts w:ascii="Times New Roman" w:eastAsia="Times New Roman" w:hAnsi="Times New Roman" w:cs="Times New Roman"/>
          <w:sz w:val="22"/>
          <w:szCs w:val="22"/>
          <w:lang w:val="en-ID"/>
        </w:rPr>
      </w:pPr>
      <w:r w:rsidRPr="00377420">
        <w:rPr>
          <w:rFonts w:ascii="Times New Roman" w:eastAsia="Times New Roman" w:hAnsi="Times New Roman" w:cs="Times New Roman"/>
          <w:color w:val="000000"/>
          <w:sz w:val="22"/>
          <w:szCs w:val="22"/>
          <w:vertAlign w:val="superscript"/>
          <w:lang w:val="en-ID"/>
        </w:rPr>
        <w:t>3</w:t>
      </w:r>
      <w:r w:rsidRPr="00377420">
        <w:rPr>
          <w:rFonts w:ascii="Times New Roman" w:eastAsia="Times New Roman" w:hAnsi="Times New Roman" w:cs="Times New Roman"/>
          <w:color w:val="000000"/>
          <w:sz w:val="22"/>
          <w:szCs w:val="22"/>
          <w:lang w:val="en-ID"/>
        </w:rPr>
        <w:t>Ministry of Environment of the Republic of Indonesia</w:t>
      </w:r>
    </w:p>
    <w:p w14:paraId="5AE4C6D7" w14:textId="77777777" w:rsidR="00377420" w:rsidRPr="00377420" w:rsidRDefault="00377420" w:rsidP="00377420">
      <w:pPr>
        <w:rPr>
          <w:rFonts w:ascii="Times New Roman" w:eastAsia="Times New Roman" w:hAnsi="Times New Roman" w:cs="Times New Roman"/>
          <w:lang w:val="en-ID"/>
        </w:rPr>
      </w:pPr>
    </w:p>
    <w:p w14:paraId="64E6D276" w14:textId="77777777" w:rsidR="00377420" w:rsidRDefault="00377420" w:rsidP="00377420">
      <w:pPr>
        <w:spacing w:after="160"/>
        <w:jc w:val="center"/>
        <w:rPr>
          <w:rFonts w:ascii="Times New Roman" w:eastAsia="Times New Roman" w:hAnsi="Times New Roman" w:cs="Times New Roman"/>
          <w:b/>
          <w:bCs/>
          <w:color w:val="000000"/>
          <w:lang w:val="en-ID"/>
        </w:rPr>
      </w:pPr>
    </w:p>
    <w:p w14:paraId="15AD172D" w14:textId="7BC8E42F" w:rsidR="00377420" w:rsidRPr="00CD0DB1" w:rsidRDefault="00377420" w:rsidP="00377420">
      <w:pPr>
        <w:spacing w:after="160"/>
        <w:jc w:val="center"/>
        <w:rPr>
          <w:rFonts w:ascii="Times New Roman" w:eastAsia="Times New Roman" w:hAnsi="Times New Roman" w:cs="Times New Roman"/>
          <w:color w:val="0070C0"/>
          <w:lang w:val="en-ID"/>
        </w:rPr>
      </w:pPr>
      <w:r w:rsidRPr="00CD0DB1">
        <w:rPr>
          <w:rFonts w:ascii="Times New Roman" w:eastAsia="Times New Roman" w:hAnsi="Times New Roman" w:cs="Times New Roman"/>
          <w:b/>
          <w:bCs/>
          <w:color w:val="0070C0"/>
          <w:lang w:val="en-ID"/>
        </w:rPr>
        <w:t>Abstract</w:t>
      </w:r>
    </w:p>
    <w:p w14:paraId="2C5ED07F" w14:textId="77777777" w:rsidR="00377420" w:rsidRPr="00377420" w:rsidRDefault="00377420" w:rsidP="00E90287">
      <w:pPr>
        <w:spacing w:after="240"/>
        <w:jc w:val="both"/>
        <w:rPr>
          <w:rFonts w:ascii="Times New Roman" w:eastAsia="Times New Roman" w:hAnsi="Times New Roman" w:cs="Times New Roman"/>
          <w:sz w:val="22"/>
          <w:szCs w:val="22"/>
          <w:lang w:val="en-ID"/>
        </w:rPr>
      </w:pPr>
      <w:r w:rsidRPr="00377420">
        <w:rPr>
          <w:rFonts w:ascii="Times New Roman" w:eastAsia="Times New Roman" w:hAnsi="Times New Roman" w:cs="Times New Roman"/>
          <w:color w:val="000000"/>
          <w:sz w:val="22"/>
          <w:szCs w:val="22"/>
          <w:lang w:val="en-ID"/>
        </w:rPr>
        <w:t>The South China Sea sub-region of Indonesia (FMA 711) represents a major contributor to national fisheries production, supporting both industrial and small-scale sectors and sustaining significant marine biodiversity. This report provides a comprehensive assessment of capture fisheries, aquaculture, stock status, fishing effort, and emerging environmental pressures across the region. Findings reveal long-term increases in reported capture production since the 1950s, driven by fleet modernization and expanded fishing capacity. At the same time, unreported catches remain comparatively low but still pose uncertainties for stock assessment. Several key species groups, including large pelagic, demersal, cephalopods, shrimp, and crab, show signs of overexploitation, exacerbated by destructive gear use, habitat degradation, and IUU fishing. Environmental variability and climate change further influence species distribution, productivity, and catch potential, with models indicating an approximate 12% decline in maximum catch potential from 1990 to 2025. Aquaculture production displays substantial regional disparity, dominated by East Java, Jakarta, and West Java, while smaller provinces exhibit limited growth due to regulatory and infrastructural constraints. Collectively, these findings highlight the urgent need for science-based fisheries management, strengthened monitoring and enforcement, and adaptive strategies to enhance the resilience of both capture fisheries and aquaculture under increasing anthropogenic and climatic pressures.</w:t>
      </w:r>
    </w:p>
    <w:p w14:paraId="2D4B2E18" w14:textId="4844C441" w:rsidR="003B5048" w:rsidRPr="00377420" w:rsidRDefault="00377420" w:rsidP="00E90287">
      <w:pPr>
        <w:pStyle w:val="BodyText"/>
        <w:spacing w:before="188" w:after="240"/>
        <w:rPr>
          <w:rFonts w:ascii="Times New Roman" w:eastAsia="Times New Roman" w:hAnsi="Times New Roman" w:cs="Times New Roman"/>
          <w:color w:val="000000"/>
          <w:sz w:val="24"/>
          <w:szCs w:val="24"/>
          <w:lang w:val="en-ID"/>
        </w:rPr>
      </w:pPr>
      <w:r w:rsidRPr="00377420">
        <w:rPr>
          <w:rFonts w:ascii="Times New Roman" w:eastAsia="Times New Roman" w:hAnsi="Times New Roman" w:cs="Times New Roman"/>
          <w:b/>
          <w:bCs/>
          <w:color w:val="000000"/>
          <w:lang w:val="en-ID"/>
        </w:rPr>
        <w:t>Keywords</w:t>
      </w:r>
      <w:r w:rsidRPr="00377420">
        <w:rPr>
          <w:rFonts w:ascii="Times New Roman" w:eastAsia="Times New Roman" w:hAnsi="Times New Roman" w:cs="Times New Roman"/>
          <w:color w:val="000000"/>
          <w:lang w:val="en-ID"/>
        </w:rPr>
        <w:t>:  aquaculture, fisheries, South China Sea</w:t>
      </w:r>
    </w:p>
    <w:p w14:paraId="51E18B51" w14:textId="3BA101DE" w:rsidR="00377420" w:rsidRDefault="00377420" w:rsidP="00E90287">
      <w:pPr>
        <w:pStyle w:val="BodyText"/>
        <w:numPr>
          <w:ilvl w:val="1"/>
          <w:numId w:val="140"/>
        </w:numPr>
        <w:tabs>
          <w:tab w:val="left" w:pos="426"/>
        </w:tabs>
        <w:spacing w:before="188" w:after="240"/>
        <w:ind w:left="284" w:hanging="218"/>
        <w:outlineLvl w:val="1"/>
        <w:rPr>
          <w:rFonts w:ascii="Times New Roman" w:hAnsi="Times New Roman" w:cs="Times New Roman"/>
          <w:b/>
          <w:bCs/>
          <w:color w:val="0070C0"/>
        </w:rPr>
      </w:pPr>
      <w:bookmarkStart w:id="124" w:name="_Toc217297562"/>
      <w:r>
        <w:rPr>
          <w:rFonts w:ascii="Times New Roman" w:hAnsi="Times New Roman" w:cs="Times New Roman"/>
          <w:b/>
          <w:bCs/>
          <w:color w:val="0070C0"/>
        </w:rPr>
        <w:t>Introduction</w:t>
      </w:r>
      <w:bookmarkEnd w:id="124"/>
    </w:p>
    <w:p w14:paraId="307A2C20" w14:textId="77777777" w:rsidR="00377420" w:rsidRPr="00377420" w:rsidRDefault="00377420" w:rsidP="00E90287">
      <w:pPr>
        <w:spacing w:after="240"/>
        <w:jc w:val="both"/>
        <w:rPr>
          <w:rFonts w:ascii="Times New Roman" w:eastAsia="Times New Roman" w:hAnsi="Times New Roman" w:cs="Times New Roman"/>
          <w:color w:val="000000" w:themeColor="text1"/>
          <w:sz w:val="22"/>
          <w:szCs w:val="22"/>
        </w:rPr>
      </w:pPr>
      <w:r w:rsidRPr="00377420">
        <w:rPr>
          <w:rFonts w:ascii="Times New Roman" w:eastAsia="Times New Roman" w:hAnsi="Times New Roman" w:cs="Times New Roman"/>
          <w:color w:val="000000" w:themeColor="text1"/>
          <w:sz w:val="22"/>
          <w:szCs w:val="22"/>
        </w:rPr>
        <w:t>The fisheries sector in Indonesia plays a vital role both economically and socially, serving as one of the main pillars of national food security and a source of livelihood for millions of coastal communities. The contribution of the capture fisheries sub-sector to the national Gross Domestic Product (GDP) reached around 2.7% in 2023, with an average growth of 5–6% per year (MMAF, 2024). The high national consumption of fish, which has increased to around 57 kg per capita per year, reflects the importance of this sector in supporting the nutrition of the Indonesian people. One of the strategic fisheries areas that supports this contribution is the South China Sea (SCS) sub-region, also known as the Indonesian Fisheries Management Area (FMA) 711, which covers the northern waters of the Natuna Islands, Anambas, and surrounding areas in the Riau Islands Province.</w:t>
      </w:r>
    </w:p>
    <w:p w14:paraId="59FB90FB" w14:textId="77777777" w:rsidR="00377420" w:rsidRPr="00377420" w:rsidRDefault="00377420" w:rsidP="00377420">
      <w:pPr>
        <w:jc w:val="both"/>
        <w:rPr>
          <w:rFonts w:ascii="Times New Roman" w:eastAsia="Times New Roman" w:hAnsi="Times New Roman" w:cs="Times New Roman"/>
          <w:color w:val="000000" w:themeColor="text1"/>
          <w:sz w:val="22"/>
          <w:szCs w:val="22"/>
        </w:rPr>
      </w:pPr>
    </w:p>
    <w:p w14:paraId="22F5C05B" w14:textId="77777777" w:rsidR="00377420" w:rsidRPr="00377420" w:rsidRDefault="00377420" w:rsidP="00377420">
      <w:pPr>
        <w:jc w:val="center"/>
        <w:rPr>
          <w:rFonts w:ascii="Times New Roman" w:eastAsia="Times New Roman" w:hAnsi="Times New Roman" w:cs="Times New Roman"/>
          <w:color w:val="000000" w:themeColor="text1"/>
          <w:sz w:val="22"/>
          <w:szCs w:val="22"/>
        </w:rPr>
      </w:pPr>
      <w:r w:rsidRPr="000118A3">
        <w:rPr>
          <w:noProof/>
        </w:rPr>
        <w:lastRenderedPageBreak/>
        <w:drawing>
          <wp:inline distT="0" distB="0" distL="0" distR="0" wp14:anchorId="599471E3" wp14:editId="7CBDBB1D">
            <wp:extent cx="4778734" cy="3381010"/>
            <wp:effectExtent l="0" t="0" r="3175" b="0"/>
            <wp:docPr id="2993865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386542" name="Picture 299386542"/>
                    <pic:cNvPicPr/>
                  </pic:nvPicPr>
                  <pic:blipFill>
                    <a:blip r:embed="rId87" cstate="print">
                      <a:extLst>
                        <a:ext uri="{28A0092B-C50C-407E-A947-70E740481C1C}">
                          <a14:useLocalDpi xmlns:a14="http://schemas.microsoft.com/office/drawing/2010/main" val="0"/>
                        </a:ext>
                      </a:extLst>
                    </a:blip>
                    <a:stretch>
                      <a:fillRect/>
                    </a:stretch>
                  </pic:blipFill>
                  <pic:spPr>
                    <a:xfrm>
                      <a:off x="0" y="0"/>
                      <a:ext cx="4788111" cy="3387645"/>
                    </a:xfrm>
                    <a:prstGeom prst="rect">
                      <a:avLst/>
                    </a:prstGeom>
                  </pic:spPr>
                </pic:pic>
              </a:graphicData>
            </a:graphic>
          </wp:inline>
        </w:drawing>
      </w:r>
    </w:p>
    <w:p w14:paraId="48E12E5C" w14:textId="55267520" w:rsidR="00377420" w:rsidRPr="000118A3" w:rsidRDefault="003519B5" w:rsidP="003519B5">
      <w:pPr>
        <w:pStyle w:val="Caption"/>
        <w:jc w:val="center"/>
        <w:rPr>
          <w:rFonts w:ascii="Times New Roman" w:eastAsia="Times New Roman" w:hAnsi="Times New Roman" w:cs="Times New Roman"/>
          <w:i w:val="0"/>
          <w:iCs w:val="0"/>
          <w:color w:val="000000" w:themeColor="text1"/>
          <w:kern w:val="0"/>
          <w:sz w:val="22"/>
          <w:szCs w:val="22"/>
          <w14:ligatures w14:val="none"/>
        </w:rPr>
      </w:pPr>
      <w:bookmarkStart w:id="125" w:name="_Toc211860811"/>
      <w:bookmarkStart w:id="126" w:name="_Toc217297627"/>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40</w:t>
      </w:r>
      <w:r w:rsidRPr="003519B5">
        <w:rPr>
          <w:rFonts w:ascii="Times New Roman" w:hAnsi="Times New Roman" w:cs="Times New Roman"/>
          <w:i w:val="0"/>
          <w:iCs w:val="0"/>
          <w:color w:val="000000" w:themeColor="text1"/>
          <w:sz w:val="22"/>
          <w:szCs w:val="22"/>
        </w:rPr>
        <w:fldChar w:fldCharType="end"/>
      </w:r>
      <w:r w:rsidR="00377420" w:rsidRPr="003519B5">
        <w:rPr>
          <w:rFonts w:ascii="Times New Roman" w:hAnsi="Times New Roman" w:cs="Times New Roman"/>
          <w:i w:val="0"/>
          <w:iCs w:val="0"/>
          <w:color w:val="000000" w:themeColor="text1"/>
          <w:sz w:val="22"/>
          <w:szCs w:val="22"/>
        </w:rPr>
        <w:t xml:space="preserve"> </w:t>
      </w:r>
      <w:r w:rsidR="00377420" w:rsidRPr="000118A3">
        <w:rPr>
          <w:rFonts w:ascii="Times New Roman" w:hAnsi="Times New Roman" w:cs="Times New Roman"/>
          <w:i w:val="0"/>
          <w:iCs w:val="0"/>
          <w:color w:val="000000" w:themeColor="text1"/>
          <w:sz w:val="22"/>
          <w:szCs w:val="22"/>
        </w:rPr>
        <w:t>Coverage of the SCS sub-area that is part of WPPNRI 711</w:t>
      </w:r>
      <w:bookmarkEnd w:id="125"/>
      <w:bookmarkEnd w:id="126"/>
    </w:p>
    <w:p w14:paraId="01BC6E52" w14:textId="77777777" w:rsidR="00377420" w:rsidRPr="00377420" w:rsidRDefault="00377420" w:rsidP="00377420">
      <w:pPr>
        <w:jc w:val="center"/>
        <w:rPr>
          <w:rFonts w:ascii="Times New Roman" w:eastAsia="Times New Roman" w:hAnsi="Times New Roman" w:cs="Times New Roman"/>
          <w:color w:val="000000" w:themeColor="text1"/>
          <w:sz w:val="22"/>
          <w:szCs w:val="22"/>
        </w:rPr>
      </w:pPr>
    </w:p>
    <w:p w14:paraId="34E0ECAC" w14:textId="77777777" w:rsidR="00377420" w:rsidRPr="00377420" w:rsidRDefault="00377420" w:rsidP="00377420">
      <w:pPr>
        <w:jc w:val="both"/>
        <w:rPr>
          <w:rFonts w:ascii="Times New Roman" w:eastAsia="Times New Roman" w:hAnsi="Times New Roman" w:cs="Times New Roman"/>
          <w:color w:val="000000" w:themeColor="text1"/>
          <w:sz w:val="22"/>
          <w:szCs w:val="22"/>
        </w:rPr>
      </w:pPr>
      <w:r w:rsidRPr="00377420">
        <w:rPr>
          <w:rFonts w:ascii="Times New Roman" w:eastAsia="Times New Roman" w:hAnsi="Times New Roman" w:cs="Times New Roman"/>
          <w:color w:val="000000" w:themeColor="text1"/>
          <w:sz w:val="22"/>
          <w:szCs w:val="22"/>
        </w:rPr>
        <w:t>The Indonesian sub-region of the South China Sea (WPPNRI 711) is a biodiverse tropical ecosystem and key migration route for large pelagic fish, contributing 11–13% of national capture fisheries production with high MSY potential for pelagic and demersal resources. Despite this significance, the area faces significant challenges, including overexploitation, IUU fishing, habitat degradation, and climate-driven shifts in temperature and currents that affect species distribution and productivity. These pressures highlight the need for adaptive, science-based, and collaborative management approaches, as NTDA findings indicate notable overexploitation of high-value pelagic and demersal stocks. This paper, therefore, assesses the fisheries and aquaculture status of WPPNRI 711 and provides strategic recommendations intended to guide sustainable resource and pollution management in the region.</w:t>
      </w:r>
    </w:p>
    <w:p w14:paraId="435586BE" w14:textId="37B386A1" w:rsidR="00377420" w:rsidRDefault="00377420" w:rsidP="00377420">
      <w:pPr>
        <w:pStyle w:val="BodyText"/>
        <w:tabs>
          <w:tab w:val="left" w:pos="426"/>
        </w:tabs>
        <w:spacing w:before="188"/>
        <w:rPr>
          <w:rFonts w:ascii="Times New Roman" w:hAnsi="Times New Roman" w:cs="Times New Roman"/>
          <w:b/>
          <w:bCs/>
          <w:color w:val="0070C0"/>
        </w:rPr>
      </w:pPr>
      <w:r w:rsidRPr="000118A3">
        <w:rPr>
          <w:rFonts w:ascii="Times New Roman" w:hAnsi="Times New Roman" w:cs="Times New Roman"/>
          <w:color w:val="000000" w:themeColor="text1"/>
        </w:rPr>
        <w:t xml:space="preserve">This paper aims to comprehensively examine the status of fisheries and aquaculture in the WPPNRI 711 of the South China Sea (SCS) region (Figure </w:t>
      </w:r>
      <w:r w:rsidR="003519B5">
        <w:rPr>
          <w:rFonts w:ascii="Times New Roman" w:hAnsi="Times New Roman" w:cs="Times New Roman"/>
          <w:color w:val="000000" w:themeColor="text1"/>
        </w:rPr>
        <w:t>40</w:t>
      </w:r>
      <w:r w:rsidRPr="000118A3">
        <w:rPr>
          <w:rFonts w:ascii="Times New Roman" w:hAnsi="Times New Roman" w:cs="Times New Roman"/>
          <w:color w:val="000000" w:themeColor="text1"/>
        </w:rPr>
        <w:t>). The paper concludes with a set of recommendations in the form of a strategic action plan, which is expected to serve as a reference for pollution management in Indonesia, particularly within the SCS region</w:t>
      </w:r>
    </w:p>
    <w:p w14:paraId="3985576E" w14:textId="1FD87EDA" w:rsidR="00B06A8A" w:rsidRPr="000118A3" w:rsidRDefault="00B06A8A" w:rsidP="007F0F81">
      <w:pPr>
        <w:pStyle w:val="BodyText"/>
        <w:numPr>
          <w:ilvl w:val="1"/>
          <w:numId w:val="140"/>
        </w:numPr>
        <w:tabs>
          <w:tab w:val="left" w:pos="426"/>
        </w:tabs>
        <w:spacing w:before="120" w:after="0" w:line="240" w:lineRule="auto"/>
        <w:ind w:left="284" w:hanging="218"/>
        <w:outlineLvl w:val="1"/>
        <w:rPr>
          <w:rFonts w:ascii="Times New Roman" w:hAnsi="Times New Roman" w:cs="Times New Roman"/>
          <w:b/>
          <w:bCs/>
          <w:color w:val="0070C0"/>
        </w:rPr>
      </w:pPr>
      <w:bookmarkStart w:id="127" w:name="_Toc217297563"/>
      <w:r w:rsidRPr="000118A3">
        <w:rPr>
          <w:rFonts w:ascii="Times New Roman" w:hAnsi="Times New Roman" w:cs="Times New Roman"/>
          <w:b/>
          <w:bCs/>
          <w:color w:val="0070C0"/>
        </w:rPr>
        <w:t>Key Finding</w:t>
      </w:r>
      <w:r w:rsidR="00CD0DB1">
        <w:rPr>
          <w:rFonts w:ascii="Times New Roman" w:hAnsi="Times New Roman" w:cs="Times New Roman"/>
          <w:b/>
          <w:bCs/>
          <w:color w:val="0070C0"/>
        </w:rPr>
        <w:t xml:space="preserve"> C</w:t>
      </w:r>
      <w:r w:rsidR="00D84F7F">
        <w:rPr>
          <w:rFonts w:ascii="Times New Roman" w:hAnsi="Times New Roman" w:cs="Times New Roman"/>
          <w:b/>
          <w:bCs/>
          <w:color w:val="0070C0"/>
        </w:rPr>
        <w:t>o</w:t>
      </w:r>
      <w:r w:rsidR="00CD0DB1">
        <w:rPr>
          <w:rFonts w:ascii="Times New Roman" w:hAnsi="Times New Roman" w:cs="Times New Roman"/>
          <w:b/>
          <w:bCs/>
          <w:color w:val="0070C0"/>
        </w:rPr>
        <w:t>ncern</w:t>
      </w:r>
      <w:bookmarkEnd w:id="127"/>
      <w:r w:rsidR="00D84F7F">
        <w:rPr>
          <w:rFonts w:ascii="Times New Roman" w:hAnsi="Times New Roman" w:cs="Times New Roman"/>
          <w:b/>
          <w:bCs/>
          <w:color w:val="0070C0"/>
        </w:rPr>
        <w:t xml:space="preserve"> </w:t>
      </w:r>
    </w:p>
    <w:p w14:paraId="5B41387C" w14:textId="60919F4F" w:rsidR="00D400A4" w:rsidRDefault="00D400A4" w:rsidP="00D84F7F">
      <w:pPr>
        <w:pStyle w:val="NormalWeb"/>
        <w:numPr>
          <w:ilvl w:val="0"/>
          <w:numId w:val="142"/>
        </w:numPr>
        <w:spacing w:before="120" w:beforeAutospacing="0" w:after="0" w:afterAutospacing="0"/>
      </w:pPr>
      <w:r>
        <w:t>WPPNRI 711 is a major fisheries producer with high marine biodiversity.</w:t>
      </w:r>
    </w:p>
    <w:p w14:paraId="7020C682" w14:textId="4D99715D" w:rsidR="00D400A4" w:rsidRDefault="00D400A4" w:rsidP="00D400A4">
      <w:pPr>
        <w:pStyle w:val="NormalWeb"/>
        <w:numPr>
          <w:ilvl w:val="0"/>
          <w:numId w:val="142"/>
        </w:numPr>
      </w:pPr>
      <w:r>
        <w:t>Capture production has increased, but key species show overexploitation from high fishing pressure and IUU fishing.</w:t>
      </w:r>
    </w:p>
    <w:p w14:paraId="346C64C9" w14:textId="129EEA8F" w:rsidR="00D400A4" w:rsidRDefault="00D400A4" w:rsidP="00D400A4">
      <w:pPr>
        <w:pStyle w:val="NormalWeb"/>
        <w:numPr>
          <w:ilvl w:val="0"/>
          <w:numId w:val="142"/>
        </w:numPr>
      </w:pPr>
      <w:r>
        <w:t>Climate change reduces productivity, with an estimated 12% decline in catch potential.</w:t>
      </w:r>
    </w:p>
    <w:p w14:paraId="3D633ABA" w14:textId="75992765" w:rsidR="00D400A4" w:rsidRDefault="00D400A4" w:rsidP="00D400A4">
      <w:pPr>
        <w:pStyle w:val="NormalWeb"/>
        <w:numPr>
          <w:ilvl w:val="0"/>
          <w:numId w:val="142"/>
        </w:numPr>
      </w:pPr>
      <w:r>
        <w:t>Aquaculture growth is uneven and concentrated in a few provinces.</w:t>
      </w:r>
    </w:p>
    <w:p w14:paraId="22D0C4E5" w14:textId="0F89376B" w:rsidR="00D400A4" w:rsidRDefault="00D400A4" w:rsidP="00D400A4">
      <w:pPr>
        <w:pStyle w:val="NormalWeb"/>
        <w:numPr>
          <w:ilvl w:val="0"/>
          <w:numId w:val="142"/>
        </w:numPr>
      </w:pPr>
      <w:r>
        <w:t>Stronger science-based management and enforcement are urgently needed.</w:t>
      </w:r>
    </w:p>
    <w:p w14:paraId="1914CE86" w14:textId="2B68CAB4" w:rsidR="00B06A8A" w:rsidRPr="000118A3" w:rsidRDefault="00D400A4" w:rsidP="007F0F81">
      <w:pPr>
        <w:pStyle w:val="BodyText"/>
        <w:spacing w:after="0" w:line="240" w:lineRule="auto"/>
        <w:outlineLvl w:val="1"/>
        <w:rPr>
          <w:rFonts w:ascii="Times New Roman" w:hAnsi="Times New Roman" w:cs="Times New Roman"/>
          <w:color w:val="000000" w:themeColor="text1"/>
        </w:rPr>
      </w:pPr>
      <w:bookmarkStart w:id="128" w:name="_Toc217297564"/>
      <w:r>
        <w:rPr>
          <w:rFonts w:ascii="Times New Roman" w:hAnsi="Times New Roman" w:cs="Times New Roman"/>
          <w:b/>
          <w:bCs/>
          <w:color w:val="0070C0"/>
        </w:rPr>
        <w:t xml:space="preserve">5.3. </w:t>
      </w:r>
      <w:r w:rsidR="00AE7A71">
        <w:rPr>
          <w:rFonts w:ascii="Times New Roman" w:hAnsi="Times New Roman" w:cs="Times New Roman"/>
          <w:b/>
          <w:bCs/>
          <w:color w:val="0070C0"/>
        </w:rPr>
        <w:tab/>
      </w:r>
      <w:r w:rsidR="00B06A8A" w:rsidRPr="000118A3">
        <w:rPr>
          <w:rFonts w:ascii="Times New Roman" w:hAnsi="Times New Roman" w:cs="Times New Roman"/>
          <w:b/>
          <w:bCs/>
          <w:color w:val="0070C0"/>
        </w:rPr>
        <w:t>Overexploitation of Living Aquatic Resources</w:t>
      </w:r>
      <w:bookmarkEnd w:id="128"/>
    </w:p>
    <w:p w14:paraId="21FEE65B" w14:textId="6E351622" w:rsidR="00B06A8A" w:rsidRPr="000118A3" w:rsidRDefault="00D400A4" w:rsidP="00D400A4">
      <w:pPr>
        <w:pStyle w:val="BodyText"/>
        <w:spacing w:after="0" w:line="240" w:lineRule="auto"/>
        <w:rPr>
          <w:rFonts w:ascii="Times New Roman" w:hAnsi="Times New Roman" w:cs="Times New Roman"/>
          <w:b/>
          <w:bCs/>
          <w:color w:val="0070C0"/>
        </w:rPr>
      </w:pPr>
      <w:r>
        <w:rPr>
          <w:rFonts w:ascii="Times New Roman" w:hAnsi="Times New Roman" w:cs="Times New Roman"/>
          <w:b/>
          <w:bCs/>
          <w:color w:val="0070C0"/>
        </w:rPr>
        <w:t xml:space="preserve">5.3.1. </w:t>
      </w:r>
      <w:r w:rsidR="00AE7A71">
        <w:rPr>
          <w:rFonts w:ascii="Times New Roman" w:hAnsi="Times New Roman" w:cs="Times New Roman"/>
          <w:b/>
          <w:bCs/>
          <w:color w:val="0070C0"/>
        </w:rPr>
        <w:tab/>
      </w:r>
      <w:r w:rsidR="00B06A8A" w:rsidRPr="000118A3">
        <w:rPr>
          <w:rFonts w:ascii="Times New Roman" w:hAnsi="Times New Roman" w:cs="Times New Roman"/>
          <w:b/>
          <w:bCs/>
          <w:color w:val="0070C0"/>
        </w:rPr>
        <w:t>Production Required by Reporting Status</w:t>
      </w:r>
    </w:p>
    <w:p w14:paraId="3CD8AE23" w14:textId="77777777" w:rsidR="00B06A8A" w:rsidRPr="000118A3" w:rsidRDefault="00B06A8A" w:rsidP="00D400A4">
      <w:pPr>
        <w:pStyle w:val="NormalWeb"/>
        <w:spacing w:before="160" w:beforeAutospacing="0" w:after="0" w:afterAutospacing="0"/>
        <w:jc w:val="both"/>
        <w:rPr>
          <w:color w:val="000000" w:themeColor="text1"/>
          <w:sz w:val="22"/>
          <w:szCs w:val="22"/>
        </w:rPr>
      </w:pPr>
      <w:r w:rsidRPr="000118A3">
        <w:rPr>
          <w:color w:val="000000" w:themeColor="text1"/>
          <w:sz w:val="22"/>
          <w:szCs w:val="22"/>
        </w:rPr>
        <w:t xml:space="preserve">Fisheries in the South China Sea under WPPNRI 711 form a key component of regional marine productivity, requiring an indicator-based framework to assess resource potential amid rising anthropogenic and climatic pressures. Five core indicators, biomass, reproductive dynamics, mortality, habitat condition, and environmental </w:t>
      </w:r>
      <w:r w:rsidRPr="000118A3">
        <w:rPr>
          <w:color w:val="000000" w:themeColor="text1"/>
          <w:sz w:val="22"/>
          <w:szCs w:val="22"/>
        </w:rPr>
        <w:lastRenderedPageBreak/>
        <w:t>parameters, collectively support comprehensive stock evaluation. Biomass estimation, derived from trawl surveys, CPUE, and stock assessment models, provides the primary metric for determining MSY and assessing exploitation levels, a critical function in this transboundary and migratory species–dominated region. Studies show that declines in biomass can amplify the effects of climate variability and fishing intensity on population trajectories.</w:t>
      </w:r>
    </w:p>
    <w:p w14:paraId="5F9D51B3" w14:textId="77777777" w:rsidR="00B06A8A" w:rsidRPr="000118A3" w:rsidRDefault="00B06A8A" w:rsidP="00D400A4">
      <w:pPr>
        <w:pStyle w:val="NormalWeb"/>
        <w:spacing w:before="120" w:beforeAutospacing="0" w:after="0" w:afterAutospacing="0"/>
        <w:jc w:val="both"/>
        <w:rPr>
          <w:color w:val="000000" w:themeColor="text1"/>
          <w:sz w:val="22"/>
          <w:szCs w:val="22"/>
        </w:rPr>
      </w:pPr>
      <w:r w:rsidRPr="000118A3">
        <w:rPr>
          <w:color w:val="000000" w:themeColor="text1"/>
          <w:sz w:val="22"/>
          <w:szCs w:val="22"/>
        </w:rPr>
        <w:t>Habitat quality, particularly within coral reefs, mangroves, and seagrass systems, underpins recruitment and trophic stability. Degradation from sedimentation, pollution, and destructive fishing has reduced habitat complexity and carrying capacity, diminishing biodiversity and coastal fishery productivity. Environmental conditions, including SST, salinity, dissolved oxygen, and nutrient dynamics, further shape species physiology, distribution, and recruitment. Climate-driven anomalies and changing monsoon patterns in WPPNRI 711 have been linked to shifts in species composition and poleward migration, underscoring the need for continuous monitoring to inform ecosystem-based fisheries management.</w:t>
      </w:r>
    </w:p>
    <w:p w14:paraId="315429D4" w14:textId="069CBF8A" w:rsidR="00B06A8A" w:rsidRPr="000118A3" w:rsidRDefault="00B06A8A" w:rsidP="00D400A4">
      <w:pPr>
        <w:pStyle w:val="NormalWeb"/>
        <w:spacing w:before="120" w:beforeAutospacing="0" w:after="0" w:afterAutospacing="0"/>
        <w:jc w:val="both"/>
        <w:rPr>
          <w:color w:val="000000" w:themeColor="text1"/>
          <w:sz w:val="22"/>
          <w:szCs w:val="22"/>
        </w:rPr>
      </w:pPr>
      <w:r w:rsidRPr="000118A3">
        <w:rPr>
          <w:color w:val="000000" w:themeColor="text1"/>
          <w:sz w:val="22"/>
          <w:szCs w:val="22"/>
        </w:rPr>
        <w:t xml:space="preserve">Analysis of capture fisheries production from 1950 to 2019 shows a persistent dominance of reported over unreported catches. Reported production increased steadily, peaking near 900,000 tonnes in the late 2010s, reflecting fleet modernization, improved reporting systems, and stronger governance. Unreported catches remained comparatively low and stable, though this may indicate both effective monitoring and ongoing challenges in detecting IUU fishing, particularly in remote or disputed areas (Figure </w:t>
      </w:r>
      <w:r w:rsidR="003519B5">
        <w:rPr>
          <w:color w:val="000000" w:themeColor="text1"/>
          <w:sz w:val="22"/>
          <w:szCs w:val="22"/>
        </w:rPr>
        <w:t>41</w:t>
      </w:r>
      <w:r w:rsidRPr="000118A3">
        <w:rPr>
          <w:color w:val="000000" w:themeColor="text1"/>
          <w:sz w:val="22"/>
          <w:szCs w:val="22"/>
        </w:rPr>
        <w:t>).</w:t>
      </w:r>
    </w:p>
    <w:p w14:paraId="04D56FC7" w14:textId="77777777" w:rsidR="00B06A8A" w:rsidRPr="000118A3" w:rsidRDefault="00B06A8A" w:rsidP="00D400A4">
      <w:pPr>
        <w:pBdr>
          <w:top w:val="nil"/>
          <w:left w:val="nil"/>
          <w:bottom w:val="nil"/>
          <w:right w:val="nil"/>
          <w:between w:val="nil"/>
        </w:pBdr>
        <w:ind w:left="360"/>
        <w:jc w:val="both"/>
        <w:rPr>
          <w:rFonts w:ascii="Times New Roman" w:hAnsi="Times New Roman" w:cs="Times New Roman"/>
          <w:color w:val="000000" w:themeColor="text1"/>
          <w:sz w:val="22"/>
          <w:szCs w:val="22"/>
        </w:rPr>
      </w:pPr>
      <w:r w:rsidRPr="000118A3">
        <w:rPr>
          <w:rFonts w:ascii="Times New Roman" w:hAnsi="Times New Roman" w:cs="Times New Roman"/>
          <w:noProof/>
          <w:color w:val="000000" w:themeColor="text1"/>
          <w:sz w:val="22"/>
          <w:szCs w:val="22"/>
        </w:rPr>
        <w:drawing>
          <wp:inline distT="0" distB="0" distL="0" distR="0" wp14:anchorId="18573CB7" wp14:editId="65C10A00">
            <wp:extent cx="5686425" cy="2966720"/>
            <wp:effectExtent l="0" t="0" r="0" b="5080"/>
            <wp:docPr id="2135146298" name="Chart 1">
              <a:extLst xmlns:a="http://schemas.openxmlformats.org/drawingml/2006/main">
                <a:ext uri="{FF2B5EF4-FFF2-40B4-BE49-F238E27FC236}">
                  <a16:creationId xmlns:a16="http://schemas.microsoft.com/office/drawing/2014/main" id="{B3BA0106-29BD-4CBC-BF2A-46E91A346C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0B2DDCE5" w14:textId="631B653A" w:rsidR="00B06A8A" w:rsidRPr="000118A3" w:rsidRDefault="003519B5" w:rsidP="003519B5">
      <w:pPr>
        <w:pStyle w:val="Caption"/>
        <w:jc w:val="center"/>
        <w:rPr>
          <w:rFonts w:ascii="Times New Roman" w:hAnsi="Times New Roman" w:cs="Times New Roman"/>
          <w:i w:val="0"/>
          <w:iCs w:val="0"/>
          <w:color w:val="000000" w:themeColor="text1"/>
          <w:sz w:val="22"/>
          <w:szCs w:val="22"/>
        </w:rPr>
      </w:pPr>
      <w:bookmarkStart w:id="129" w:name="_Toc211860812"/>
      <w:bookmarkStart w:id="130" w:name="_Toc217297628"/>
      <w:r w:rsidRPr="003519B5">
        <w:rPr>
          <w:rFonts w:ascii="Times New Roman" w:hAnsi="Times New Roman" w:cs="Times New Roman"/>
          <w:i w:val="0"/>
          <w:iCs w:val="0"/>
          <w:color w:val="000000" w:themeColor="text1"/>
          <w:sz w:val="22"/>
          <w:szCs w:val="22"/>
        </w:rPr>
        <w:t xml:space="preserve">Figure </w:t>
      </w:r>
      <w:r w:rsidRPr="003519B5">
        <w:rPr>
          <w:rFonts w:ascii="Times New Roman" w:hAnsi="Times New Roman" w:cs="Times New Roman"/>
          <w:i w:val="0"/>
          <w:iCs w:val="0"/>
          <w:color w:val="000000" w:themeColor="text1"/>
          <w:sz w:val="22"/>
          <w:szCs w:val="22"/>
        </w:rPr>
        <w:fldChar w:fldCharType="begin"/>
      </w:r>
      <w:r w:rsidRPr="003519B5">
        <w:rPr>
          <w:rFonts w:ascii="Times New Roman" w:hAnsi="Times New Roman" w:cs="Times New Roman"/>
          <w:i w:val="0"/>
          <w:iCs w:val="0"/>
          <w:color w:val="000000" w:themeColor="text1"/>
          <w:sz w:val="22"/>
          <w:szCs w:val="22"/>
        </w:rPr>
        <w:instrText xml:space="preserve"> SEQ Figure \* ARABIC </w:instrText>
      </w:r>
      <w:r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41</w:t>
      </w:r>
      <w:r w:rsidRPr="003519B5">
        <w:rPr>
          <w:rFonts w:ascii="Times New Roman" w:hAnsi="Times New Roman" w:cs="Times New Roman"/>
          <w:i w:val="0"/>
          <w:iCs w:val="0"/>
          <w:color w:val="000000" w:themeColor="text1"/>
          <w:sz w:val="22"/>
          <w:szCs w:val="22"/>
        </w:rPr>
        <w:fldChar w:fldCharType="end"/>
      </w:r>
      <w:r w:rsidR="00B06A8A" w:rsidRPr="000118A3">
        <w:rPr>
          <w:rFonts w:ascii="Times New Roman" w:hAnsi="Times New Roman" w:cs="Times New Roman"/>
          <w:i w:val="0"/>
          <w:iCs w:val="0"/>
          <w:color w:val="000000" w:themeColor="text1"/>
          <w:sz w:val="22"/>
          <w:szCs w:val="22"/>
        </w:rPr>
        <w:t xml:space="preserve"> Capture fisheries production in the South China Sea from 1950 to 2019</w:t>
      </w:r>
      <w:bookmarkEnd w:id="129"/>
      <w:r w:rsidR="00B06A8A" w:rsidRPr="000118A3">
        <w:rPr>
          <w:rFonts w:ascii="Times New Roman" w:hAnsi="Times New Roman" w:cs="Times New Roman"/>
          <w:i w:val="0"/>
          <w:iCs w:val="0"/>
          <w:color w:val="000000" w:themeColor="text1"/>
          <w:sz w:val="22"/>
          <w:szCs w:val="22"/>
        </w:rPr>
        <w:t xml:space="preserve"> (FAO, 2022)</w:t>
      </w:r>
      <w:bookmarkEnd w:id="130"/>
    </w:p>
    <w:p w14:paraId="797FE81F" w14:textId="77777777" w:rsidR="00B06A8A" w:rsidRPr="000118A3" w:rsidRDefault="00B06A8A" w:rsidP="00D400A4">
      <w:pPr>
        <w:pBdr>
          <w:top w:val="nil"/>
          <w:left w:val="nil"/>
          <w:bottom w:val="nil"/>
          <w:right w:val="nil"/>
          <w:between w:val="nil"/>
        </w:pBd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 xml:space="preserve">From a scientific and management perspective, the significant disparity between reported and unreported catches carries important implications for sustainable fisheries governance in the South China Sea. The predominance of reported data provides a strong foundation for conducting stock assessments, setting quotas, and formulating science-based policy decisions. However, even a small proportion of unreported catch can introduce significant uncertainty into biomass estimates, especially when it involves high-value or ecologically important species. Unreported fishing may occur due to small-scale artisanal operations outside the formal monitoring system, cross-border fishing in disputed territories, or deliberate underreporting to evade regulations and taxes. This underestimation of total catch can lead to overly optimistic assessments of stock health, inadvertently increasing the risk of overexploitation and long-term stock depletion. To address this, it is essential to strengthen catch documentation schemes, expand the use of electronic monitoring and vessel tracking systems, and promote regional cooperation among South China Sea nations. </w:t>
      </w:r>
    </w:p>
    <w:p w14:paraId="7A80A974" w14:textId="77777777" w:rsidR="00D400A4" w:rsidRDefault="00B06A8A" w:rsidP="00D400A4">
      <w:pPr>
        <w:pBdr>
          <w:top w:val="nil"/>
          <w:left w:val="nil"/>
          <w:bottom w:val="nil"/>
          <w:right w:val="nil"/>
          <w:between w:val="nil"/>
        </w:pBdr>
        <w:ind w:left="360"/>
        <w:jc w:val="center"/>
        <w:rPr>
          <w:rFonts w:ascii="Times New Roman" w:hAnsi="Times New Roman" w:cs="Times New Roman"/>
          <w:color w:val="000000" w:themeColor="text1"/>
          <w:sz w:val="22"/>
          <w:szCs w:val="22"/>
        </w:rPr>
      </w:pPr>
      <w:r w:rsidRPr="000118A3">
        <w:rPr>
          <w:rFonts w:ascii="Times New Roman" w:hAnsi="Times New Roman" w:cs="Times New Roman"/>
          <w:noProof/>
          <w:color w:val="000000" w:themeColor="text1"/>
          <w:sz w:val="22"/>
          <w:szCs w:val="22"/>
        </w:rPr>
        <w:lastRenderedPageBreak/>
        <w:drawing>
          <wp:inline distT="0" distB="0" distL="0" distR="0" wp14:anchorId="39A993D1" wp14:editId="39988F65">
            <wp:extent cx="5287963" cy="2971800"/>
            <wp:effectExtent l="0" t="0" r="8255" b="0"/>
            <wp:docPr id="243652624" name="Chart 1">
              <a:extLst xmlns:a="http://schemas.openxmlformats.org/drawingml/2006/main">
                <a:ext uri="{FF2B5EF4-FFF2-40B4-BE49-F238E27FC236}">
                  <a16:creationId xmlns:a16="http://schemas.microsoft.com/office/drawing/2014/main" id="{D3F3701D-2560-4581-970E-54E653A132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bookmarkStart w:id="131" w:name="_Toc211860813"/>
    </w:p>
    <w:p w14:paraId="3AF8F089" w14:textId="27AB4DE7" w:rsidR="00B06A8A" w:rsidRPr="003519B5" w:rsidRDefault="00B06A8A" w:rsidP="003519B5">
      <w:pPr>
        <w:pStyle w:val="Caption"/>
        <w:rPr>
          <w:rFonts w:ascii="Times New Roman" w:hAnsi="Times New Roman" w:cs="Times New Roman"/>
          <w:i w:val="0"/>
          <w:iCs w:val="0"/>
          <w:color w:val="000000" w:themeColor="text1"/>
          <w:sz w:val="22"/>
          <w:szCs w:val="22"/>
        </w:rPr>
      </w:pPr>
      <w:r w:rsidRPr="003519B5">
        <w:rPr>
          <w:rFonts w:ascii="Times New Roman" w:hAnsi="Times New Roman" w:cs="Times New Roman"/>
          <w:i w:val="0"/>
          <w:iCs w:val="0"/>
          <w:color w:val="000000" w:themeColor="text1"/>
          <w:sz w:val="22"/>
          <w:szCs w:val="22"/>
        </w:rPr>
        <w:t xml:space="preserve"> </w:t>
      </w:r>
      <w:bookmarkStart w:id="132" w:name="_Toc217297629"/>
      <w:r w:rsidR="003519B5" w:rsidRPr="003519B5">
        <w:rPr>
          <w:rFonts w:ascii="Times New Roman" w:hAnsi="Times New Roman" w:cs="Times New Roman"/>
          <w:i w:val="0"/>
          <w:iCs w:val="0"/>
          <w:color w:val="000000" w:themeColor="text1"/>
          <w:sz w:val="22"/>
          <w:szCs w:val="22"/>
        </w:rPr>
        <w:t xml:space="preserve">Figure </w:t>
      </w:r>
      <w:r w:rsidR="003519B5" w:rsidRPr="003519B5">
        <w:rPr>
          <w:rFonts w:ascii="Times New Roman" w:hAnsi="Times New Roman" w:cs="Times New Roman"/>
          <w:i w:val="0"/>
          <w:iCs w:val="0"/>
          <w:color w:val="000000" w:themeColor="text1"/>
          <w:sz w:val="22"/>
          <w:szCs w:val="22"/>
        </w:rPr>
        <w:fldChar w:fldCharType="begin"/>
      </w:r>
      <w:r w:rsidR="003519B5" w:rsidRPr="003519B5">
        <w:rPr>
          <w:rFonts w:ascii="Times New Roman" w:hAnsi="Times New Roman" w:cs="Times New Roman"/>
          <w:i w:val="0"/>
          <w:iCs w:val="0"/>
          <w:color w:val="000000" w:themeColor="text1"/>
          <w:sz w:val="22"/>
          <w:szCs w:val="22"/>
        </w:rPr>
        <w:instrText xml:space="preserve"> SEQ Figure \* ARABIC </w:instrText>
      </w:r>
      <w:r w:rsidR="003519B5" w:rsidRPr="003519B5">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42</w:t>
      </w:r>
      <w:r w:rsidR="003519B5" w:rsidRPr="003519B5">
        <w:rPr>
          <w:rFonts w:ascii="Times New Roman" w:hAnsi="Times New Roman" w:cs="Times New Roman"/>
          <w:i w:val="0"/>
          <w:iCs w:val="0"/>
          <w:color w:val="000000" w:themeColor="text1"/>
          <w:sz w:val="22"/>
          <w:szCs w:val="22"/>
        </w:rPr>
        <w:fldChar w:fldCharType="end"/>
      </w:r>
      <w:r w:rsidR="00D400A4" w:rsidRPr="003519B5">
        <w:rPr>
          <w:rFonts w:ascii="Times New Roman" w:hAnsi="Times New Roman" w:cs="Times New Roman"/>
          <w:i w:val="0"/>
          <w:iCs w:val="0"/>
          <w:color w:val="000000" w:themeColor="text1"/>
          <w:sz w:val="22"/>
          <w:szCs w:val="22"/>
        </w:rPr>
        <w:t xml:space="preserve"> </w:t>
      </w:r>
      <w:r w:rsidRPr="003519B5">
        <w:rPr>
          <w:rFonts w:ascii="Times New Roman" w:hAnsi="Times New Roman" w:cs="Times New Roman"/>
          <w:i w:val="0"/>
          <w:iCs w:val="0"/>
          <w:color w:val="000000" w:themeColor="text1"/>
          <w:sz w:val="22"/>
          <w:szCs w:val="22"/>
        </w:rPr>
        <w:t>Capture fisheries by species group production in the South China Sea from 1950-2019</w:t>
      </w:r>
      <w:bookmarkEnd w:id="131"/>
      <w:r w:rsidRPr="003519B5">
        <w:rPr>
          <w:rFonts w:ascii="Times New Roman" w:hAnsi="Times New Roman" w:cs="Times New Roman"/>
          <w:i w:val="0"/>
          <w:iCs w:val="0"/>
          <w:color w:val="000000" w:themeColor="text1"/>
          <w:sz w:val="22"/>
          <w:szCs w:val="22"/>
        </w:rPr>
        <w:t xml:space="preserve"> (FAO, 2022)</w:t>
      </w:r>
      <w:bookmarkEnd w:id="132"/>
    </w:p>
    <w:p w14:paraId="7B309A99" w14:textId="77777777" w:rsidR="00B06A8A" w:rsidRPr="000118A3" w:rsidRDefault="00B06A8A" w:rsidP="00D400A4">
      <w:pPr>
        <w:pStyle w:val="ListParagraph"/>
        <w:pBdr>
          <w:top w:val="nil"/>
          <w:left w:val="nil"/>
          <w:bottom w:val="nil"/>
          <w:right w:val="nil"/>
          <w:between w:val="nil"/>
        </w:pBdr>
        <w:rPr>
          <w:rFonts w:ascii="Times New Roman" w:hAnsi="Times New Roman" w:cs="Times New Roman"/>
          <w:color w:val="000000" w:themeColor="text1"/>
          <w:sz w:val="22"/>
          <w:szCs w:val="22"/>
        </w:rPr>
      </w:pPr>
    </w:p>
    <w:p w14:paraId="12A7CFD4" w14:textId="77777777" w:rsidR="00B06A8A" w:rsidRPr="000118A3" w:rsidRDefault="00B06A8A" w:rsidP="00D400A4">
      <w:pPr>
        <w:pBdr>
          <w:top w:val="nil"/>
          <w:left w:val="nil"/>
          <w:bottom w:val="nil"/>
          <w:right w:val="nil"/>
          <w:between w:val="nil"/>
        </w:pBdr>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The artisanal fisheries sector in the South China Sea is essential for coastal livelihoods and food security, with catches dominated by anchovies, herring-like species, and other small pelagics that have grown steadily, especially since the late 1990s. Molluscs, crustaceans, and perch-like species also contribute significantly, reflecting the region’s ecological richness and the reliance of small-scale fishers on nearshore resources. Although some high-value species such as sharks, rays, and tuna are caught in smaller volumes, they provide important economic benefits. However, the expanding fishing range of artisanal fleets driven by market demand and technological improvements, combined with pressure from industrial fisheries, raises growing concerns about overfishing and long-term resource sustainability.</w:t>
      </w:r>
    </w:p>
    <w:p w14:paraId="4ADCAF63" w14:textId="77777777" w:rsidR="00B06A8A" w:rsidRPr="000118A3" w:rsidRDefault="00B06A8A" w:rsidP="00B06A8A">
      <w:pPr>
        <w:pBdr>
          <w:top w:val="nil"/>
          <w:left w:val="nil"/>
          <w:bottom w:val="nil"/>
          <w:right w:val="nil"/>
          <w:between w:val="nil"/>
        </w:pBdr>
        <w:ind w:firstLine="720"/>
        <w:jc w:val="both"/>
        <w:rPr>
          <w:rFonts w:ascii="Times New Roman" w:hAnsi="Times New Roman" w:cs="Times New Roman"/>
          <w:color w:val="000000" w:themeColor="text1"/>
          <w:sz w:val="22"/>
          <w:szCs w:val="22"/>
        </w:rPr>
      </w:pPr>
    </w:p>
    <w:p w14:paraId="0F414BB9" w14:textId="3C4DD7B6" w:rsidR="00B06A8A" w:rsidRPr="000118A3" w:rsidRDefault="00D400A4" w:rsidP="00D84F7F">
      <w:pPr>
        <w:pStyle w:val="BodyText"/>
        <w:spacing w:before="120" w:after="0" w:line="240" w:lineRule="auto"/>
        <w:rPr>
          <w:rFonts w:ascii="Times New Roman" w:hAnsi="Times New Roman" w:cs="Times New Roman"/>
          <w:b/>
          <w:bCs/>
          <w:color w:val="0070C0"/>
        </w:rPr>
      </w:pPr>
      <w:r>
        <w:rPr>
          <w:rFonts w:ascii="Times New Roman" w:hAnsi="Times New Roman" w:cs="Times New Roman"/>
          <w:b/>
          <w:bCs/>
          <w:color w:val="0070C0"/>
        </w:rPr>
        <w:t>5</w:t>
      </w:r>
      <w:r w:rsidR="0086089B" w:rsidRPr="000118A3">
        <w:rPr>
          <w:rFonts w:ascii="Times New Roman" w:hAnsi="Times New Roman" w:cs="Times New Roman"/>
          <w:b/>
          <w:bCs/>
          <w:color w:val="0070C0"/>
        </w:rPr>
        <w:t>.3.2</w:t>
      </w:r>
      <w:r w:rsidR="005E794A">
        <w:rPr>
          <w:rFonts w:ascii="Times New Roman" w:hAnsi="Times New Roman" w:cs="Times New Roman"/>
          <w:b/>
          <w:bCs/>
          <w:color w:val="0070C0"/>
        </w:rPr>
        <w:t xml:space="preserve">. </w:t>
      </w:r>
      <w:r w:rsidR="00B06A8A" w:rsidRPr="000118A3">
        <w:rPr>
          <w:rFonts w:ascii="Times New Roman" w:hAnsi="Times New Roman" w:cs="Times New Roman"/>
          <w:b/>
          <w:bCs/>
          <w:color w:val="0070C0"/>
        </w:rPr>
        <w:t>Fisheries Production Potential</w:t>
      </w:r>
    </w:p>
    <w:p w14:paraId="5702BB1E" w14:textId="77777777" w:rsidR="00B06A8A" w:rsidRPr="000118A3" w:rsidRDefault="00B06A8A" w:rsidP="00D84F7F">
      <w:pP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The capture fisheries production potential in freshwater areas of the South China Sea region demonstrates distinct trends when viewed over the period from 1960 to 2020 (Figure 4). Freshwater fishes (nei) have consistently dominated production, showing peaks in the mid-1960s and early 1970s before experiencing fluctuations and a gradual decline after 2005. Despite these variations, they remain the most significant contributor to freshwater capture production, indicating that fish species still hold significant economic and nutritional value in the region's inland fisheries.</w:t>
      </w:r>
    </w:p>
    <w:p w14:paraId="1ED14F9B" w14:textId="77777777" w:rsidR="00B06A8A" w:rsidRPr="000118A3" w:rsidRDefault="00B06A8A" w:rsidP="00B06A8A">
      <w:pPr>
        <w:ind w:left="360"/>
        <w:jc w:val="center"/>
        <w:rPr>
          <w:rFonts w:ascii="Times New Roman" w:hAnsi="Times New Roman" w:cs="Times New Roman"/>
          <w:color w:val="000000" w:themeColor="text1"/>
          <w:sz w:val="22"/>
          <w:szCs w:val="22"/>
        </w:rPr>
      </w:pPr>
      <w:r w:rsidRPr="000118A3">
        <w:rPr>
          <w:rFonts w:ascii="Times New Roman" w:hAnsi="Times New Roman" w:cs="Times New Roman"/>
          <w:noProof/>
          <w:color w:val="000000" w:themeColor="text1"/>
          <w:sz w:val="22"/>
          <w:szCs w:val="22"/>
        </w:rPr>
        <w:lastRenderedPageBreak/>
        <w:drawing>
          <wp:inline distT="0" distB="0" distL="0" distR="0" wp14:anchorId="2CC1E0B2" wp14:editId="24D5DFB0">
            <wp:extent cx="5757863" cy="3429000"/>
            <wp:effectExtent l="0" t="0" r="0" b="0"/>
            <wp:docPr id="30195464" name="Chart 1">
              <a:extLst xmlns:a="http://schemas.openxmlformats.org/drawingml/2006/main">
                <a:ext uri="{FF2B5EF4-FFF2-40B4-BE49-F238E27FC236}">
                  <a16:creationId xmlns:a16="http://schemas.microsoft.com/office/drawing/2014/main" id="{386A3B4E-6927-68B2-4609-E48C490306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5EE7C1C0" w14:textId="26DF0858" w:rsidR="00B06A8A" w:rsidRPr="000118A3" w:rsidRDefault="00612A70" w:rsidP="00612A70">
      <w:pPr>
        <w:pStyle w:val="Caption"/>
        <w:jc w:val="center"/>
        <w:rPr>
          <w:rFonts w:ascii="Times New Roman" w:hAnsi="Times New Roman" w:cs="Times New Roman"/>
          <w:i w:val="0"/>
          <w:iCs w:val="0"/>
          <w:color w:val="000000" w:themeColor="text1"/>
          <w:sz w:val="22"/>
          <w:szCs w:val="22"/>
        </w:rPr>
      </w:pPr>
      <w:bookmarkStart w:id="133" w:name="_Toc211860814"/>
      <w:bookmarkStart w:id="134" w:name="_Toc217297630"/>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43</w:t>
      </w:r>
      <w:r w:rsidRPr="00612A70">
        <w:rPr>
          <w:rFonts w:ascii="Times New Roman" w:hAnsi="Times New Roman" w:cs="Times New Roman"/>
          <w:i w:val="0"/>
          <w:iCs w:val="0"/>
          <w:color w:val="000000" w:themeColor="text1"/>
          <w:sz w:val="22"/>
          <w:szCs w:val="22"/>
        </w:rPr>
        <w:fldChar w:fldCharType="end"/>
      </w:r>
      <w:r w:rsidR="00D400A4">
        <w:rPr>
          <w:rFonts w:ascii="Times New Roman" w:hAnsi="Times New Roman" w:cs="Times New Roman"/>
          <w:i w:val="0"/>
          <w:iCs w:val="0"/>
          <w:color w:val="000000" w:themeColor="text1"/>
          <w:sz w:val="22"/>
          <w:szCs w:val="22"/>
        </w:rPr>
        <w:t xml:space="preserve"> </w:t>
      </w:r>
      <w:r w:rsidR="00B06A8A" w:rsidRPr="000118A3">
        <w:rPr>
          <w:rFonts w:ascii="Times New Roman" w:hAnsi="Times New Roman" w:cs="Times New Roman"/>
          <w:i w:val="0"/>
          <w:iCs w:val="0"/>
          <w:color w:val="000000" w:themeColor="text1"/>
          <w:sz w:val="22"/>
          <w:szCs w:val="22"/>
        </w:rPr>
        <w:t>Freshwater production potential from 1960 to 2020</w:t>
      </w:r>
      <w:bookmarkEnd w:id="133"/>
      <w:r w:rsidR="00B06A8A" w:rsidRPr="000118A3">
        <w:rPr>
          <w:rFonts w:ascii="Times New Roman" w:hAnsi="Times New Roman" w:cs="Times New Roman"/>
          <w:i w:val="0"/>
          <w:iCs w:val="0"/>
          <w:color w:val="000000" w:themeColor="text1"/>
          <w:sz w:val="22"/>
          <w:szCs w:val="22"/>
        </w:rPr>
        <w:t xml:space="preserve"> (FAO, 2022)</w:t>
      </w:r>
      <w:bookmarkEnd w:id="134"/>
    </w:p>
    <w:p w14:paraId="7C00D7C9" w14:textId="77777777" w:rsidR="00B06A8A" w:rsidRPr="000118A3" w:rsidRDefault="00B06A8A" w:rsidP="00B06A8A">
      <w:pPr>
        <w:ind w:left="36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Aquatic plants in the region have shown intermittent but notable production spikes, particularly in the late 1960s and early 2000s, likely driven by seasonal harvests and shifting market demand, while freshwater crustaceans and molluscs have become more prominent since 2010, though their volumes remain modest. These groups hold niche market potential and could be strengthened through targeted management, improved harvesting methods, and integration with aquaculture. Freshwater gastropods remain minimal, reflecting low availability or demand, yet they indicate untapped biodiversity. Overall, freshwater capture fisheries in the South China Sea region offer opportunities for diversification and economic enhancement, provided that sustainable management and habitat conservation measures are implemented.</w:t>
      </w:r>
    </w:p>
    <w:p w14:paraId="47632F95" w14:textId="77777777" w:rsidR="00B06A8A" w:rsidRPr="000118A3" w:rsidRDefault="00B06A8A" w:rsidP="00B06A8A">
      <w:pPr>
        <w:ind w:left="360" w:firstLine="360"/>
        <w:jc w:val="both"/>
        <w:rPr>
          <w:rFonts w:ascii="Times New Roman" w:hAnsi="Times New Roman" w:cs="Times New Roman"/>
          <w:color w:val="000000" w:themeColor="text1"/>
          <w:sz w:val="22"/>
          <w:szCs w:val="22"/>
        </w:rPr>
      </w:pPr>
      <w:r w:rsidRPr="000118A3">
        <w:rPr>
          <w:rFonts w:ascii="Times New Roman" w:hAnsi="Times New Roman" w:cs="Times New Roman"/>
          <w:noProof/>
          <w:color w:val="000000" w:themeColor="text1"/>
          <w:sz w:val="22"/>
          <w:szCs w:val="22"/>
        </w:rPr>
        <w:drawing>
          <wp:inline distT="0" distB="0" distL="0" distR="0" wp14:anchorId="3BF3204E" wp14:editId="792B211B">
            <wp:extent cx="5187950" cy="2495550"/>
            <wp:effectExtent l="0" t="0" r="0" b="0"/>
            <wp:docPr id="1786759887" name="Chart 1">
              <a:extLst xmlns:a="http://schemas.openxmlformats.org/drawingml/2006/main">
                <a:ext uri="{FF2B5EF4-FFF2-40B4-BE49-F238E27FC236}">
                  <a16:creationId xmlns:a16="http://schemas.microsoft.com/office/drawing/2014/main" id="{9EA9D255-6080-17D0-848D-8340EDFFD8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14:paraId="432540D1" w14:textId="33B8634D" w:rsidR="00B06A8A" w:rsidRPr="000118A3" w:rsidRDefault="00612A70" w:rsidP="00612A70">
      <w:pPr>
        <w:pStyle w:val="Caption"/>
        <w:jc w:val="center"/>
        <w:rPr>
          <w:rFonts w:ascii="Times New Roman" w:hAnsi="Times New Roman" w:cs="Times New Roman"/>
          <w:i w:val="0"/>
          <w:iCs w:val="0"/>
          <w:color w:val="000000" w:themeColor="text1"/>
          <w:sz w:val="22"/>
          <w:szCs w:val="22"/>
        </w:rPr>
      </w:pPr>
      <w:bookmarkStart w:id="135" w:name="_Toc211860815"/>
      <w:bookmarkStart w:id="136" w:name="_Toc217297631"/>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44</w:t>
      </w:r>
      <w:r w:rsidRPr="00612A70">
        <w:rPr>
          <w:rFonts w:ascii="Times New Roman" w:hAnsi="Times New Roman" w:cs="Times New Roman"/>
          <w:i w:val="0"/>
          <w:iCs w:val="0"/>
          <w:color w:val="000000" w:themeColor="text1"/>
          <w:sz w:val="22"/>
          <w:szCs w:val="22"/>
        </w:rPr>
        <w:fldChar w:fldCharType="end"/>
      </w:r>
      <w:r w:rsidR="00D400A4" w:rsidRPr="00612A70">
        <w:rPr>
          <w:rFonts w:ascii="Times New Roman" w:hAnsi="Times New Roman" w:cs="Times New Roman"/>
          <w:i w:val="0"/>
          <w:iCs w:val="0"/>
          <w:color w:val="000000" w:themeColor="text1"/>
          <w:sz w:val="22"/>
          <w:szCs w:val="22"/>
        </w:rPr>
        <w:t xml:space="preserve"> </w:t>
      </w:r>
      <w:r w:rsidR="00B06A8A" w:rsidRPr="00612A70">
        <w:rPr>
          <w:rFonts w:ascii="Times New Roman" w:hAnsi="Times New Roman" w:cs="Times New Roman"/>
          <w:i w:val="0"/>
          <w:iCs w:val="0"/>
          <w:color w:val="000000" w:themeColor="text1"/>
          <w:sz w:val="22"/>
          <w:szCs w:val="22"/>
        </w:rPr>
        <w:t xml:space="preserve"> </w:t>
      </w:r>
      <w:r w:rsidR="00B06A8A" w:rsidRPr="000118A3">
        <w:rPr>
          <w:rFonts w:ascii="Times New Roman" w:hAnsi="Times New Roman" w:cs="Times New Roman"/>
          <w:i w:val="0"/>
          <w:iCs w:val="0"/>
          <w:color w:val="000000" w:themeColor="text1"/>
          <w:sz w:val="22"/>
          <w:szCs w:val="22"/>
        </w:rPr>
        <w:t>Production potential</w:t>
      </w:r>
      <w:bookmarkEnd w:id="135"/>
      <w:r w:rsidR="00B06A8A" w:rsidRPr="000118A3">
        <w:rPr>
          <w:rFonts w:ascii="Times New Roman" w:hAnsi="Times New Roman" w:cs="Times New Roman"/>
          <w:i w:val="0"/>
          <w:iCs w:val="0"/>
          <w:color w:val="000000" w:themeColor="text1"/>
          <w:sz w:val="22"/>
          <w:szCs w:val="22"/>
        </w:rPr>
        <w:t xml:space="preserve"> (FAO, 2022)</w:t>
      </w:r>
      <w:bookmarkEnd w:id="136"/>
    </w:p>
    <w:p w14:paraId="07347C07" w14:textId="2403AAA2" w:rsidR="00B06A8A" w:rsidRPr="000118A3" w:rsidRDefault="00B06A8A" w:rsidP="00D400A4">
      <w:pPr>
        <w:jc w:val="both"/>
        <w:rPr>
          <w:rFonts w:ascii="Times New Roman" w:hAnsi="Times New Roman" w:cs="Times New Roman"/>
          <w:color w:val="000000" w:themeColor="text1"/>
          <w:sz w:val="22"/>
          <w:szCs w:val="22"/>
        </w:rPr>
      </w:pPr>
      <w:r w:rsidRPr="000118A3">
        <w:rPr>
          <w:rFonts w:ascii="Times New Roman" w:hAnsi="Times New Roman" w:cs="Times New Roman"/>
          <w:noProof/>
          <w:color w:val="000000" w:themeColor="text1"/>
          <w:sz w:val="22"/>
          <w:szCs w:val="22"/>
        </w:rPr>
        <w:t>Capture</w:t>
      </w:r>
      <w:r w:rsidR="00D400A4">
        <w:rPr>
          <w:rFonts w:ascii="Times New Roman" w:hAnsi="Times New Roman" w:cs="Times New Roman"/>
          <w:noProof/>
          <w:color w:val="000000" w:themeColor="text1"/>
          <w:sz w:val="22"/>
          <w:szCs w:val="22"/>
        </w:rPr>
        <w:t xml:space="preserve"> </w:t>
      </w:r>
      <w:r w:rsidRPr="000118A3">
        <w:rPr>
          <w:rFonts w:ascii="Times New Roman" w:hAnsi="Times New Roman" w:cs="Times New Roman"/>
          <w:noProof/>
          <w:color w:val="000000" w:themeColor="text1"/>
          <w:sz w:val="22"/>
          <w:szCs w:val="22"/>
        </w:rPr>
        <w:t xml:space="preserve"> fisheries in the South China Sea are dominated by miscellaneous demersal fishes, which surged dramatically in the early 2000s and peaked in 2014–2015 at over 11 million tonnes, reflecting intensified fishing pressure and technological improvements. Although production has slightly declined since then, demersal catches remain far higher than those of other groups. Pelagic fishes, tunas, billfishes, sharks, and rays contribute much smaller volumes, with pelagics and tunas maintaining steady commercial importance, while low shark </w:t>
      </w:r>
      <w:r w:rsidRPr="000118A3">
        <w:rPr>
          <w:rFonts w:ascii="Times New Roman" w:hAnsi="Times New Roman" w:cs="Times New Roman"/>
          <w:noProof/>
          <w:color w:val="000000" w:themeColor="text1"/>
          <w:sz w:val="22"/>
          <w:szCs w:val="22"/>
        </w:rPr>
        <w:lastRenderedPageBreak/>
        <w:t>and ray catches likely reflect conservation limits or declining stocks. Cephalopods and crustaceans, though modest in volume, are economically valuable and show stable trends that could support targeted fishery expansion. In contrast, seaweed and sea cucumbers appear only minimally in capture data. The strong dependence on demersal resources raises sustainability concerns due to their slower life histories, highlighting the need for diversified fishing targets, spatial management, selective gear use, and better utilization of underexploited species to strengthen long-term fisheries resilience</w:t>
      </w:r>
      <w:r w:rsidRPr="000118A3">
        <w:rPr>
          <w:rFonts w:ascii="Times New Roman" w:hAnsi="Times New Roman" w:cs="Times New Roman"/>
          <w:color w:val="000000" w:themeColor="text1"/>
          <w:sz w:val="22"/>
          <w:szCs w:val="22"/>
        </w:rPr>
        <w:t>.</w:t>
      </w:r>
    </w:p>
    <w:p w14:paraId="6F7C239C" w14:textId="77777777" w:rsidR="00B06A8A" w:rsidRPr="000118A3" w:rsidRDefault="00B06A8A" w:rsidP="00B06A8A">
      <w:pPr>
        <w:pBdr>
          <w:top w:val="nil"/>
          <w:left w:val="nil"/>
          <w:bottom w:val="nil"/>
          <w:right w:val="nil"/>
          <w:between w:val="nil"/>
        </w:pBdr>
        <w:rPr>
          <w:rFonts w:ascii="Times New Roman" w:hAnsi="Times New Roman" w:cs="Times New Roman"/>
          <w:b/>
          <w:bCs/>
          <w:color w:val="000000" w:themeColor="text1"/>
          <w:sz w:val="22"/>
          <w:szCs w:val="22"/>
        </w:rPr>
      </w:pPr>
    </w:p>
    <w:p w14:paraId="0386D3D1" w14:textId="6CC7A986" w:rsidR="00B06A8A" w:rsidRPr="000118A3" w:rsidRDefault="00D400A4" w:rsidP="0086089B">
      <w:pPr>
        <w:pStyle w:val="BodyText"/>
        <w:spacing w:before="188"/>
        <w:rPr>
          <w:rFonts w:ascii="Times New Roman" w:hAnsi="Times New Roman" w:cs="Times New Roman"/>
          <w:b/>
          <w:bCs/>
          <w:color w:val="0070C0"/>
        </w:rPr>
      </w:pPr>
      <w:r>
        <w:rPr>
          <w:rFonts w:ascii="Times New Roman" w:hAnsi="Times New Roman" w:cs="Times New Roman"/>
          <w:b/>
          <w:bCs/>
          <w:color w:val="0070C0"/>
        </w:rPr>
        <w:t>5</w:t>
      </w:r>
      <w:r w:rsidR="00B06A8A" w:rsidRPr="000118A3">
        <w:rPr>
          <w:rFonts w:ascii="Times New Roman" w:hAnsi="Times New Roman" w:cs="Times New Roman"/>
          <w:b/>
          <w:bCs/>
          <w:color w:val="0070C0"/>
        </w:rPr>
        <w:t>.3.</w:t>
      </w:r>
      <w:r w:rsidR="003246DC" w:rsidRPr="000118A3">
        <w:rPr>
          <w:rFonts w:ascii="Times New Roman" w:hAnsi="Times New Roman" w:cs="Times New Roman"/>
          <w:b/>
          <w:bCs/>
          <w:color w:val="0070C0"/>
        </w:rPr>
        <w:t xml:space="preserve">3. </w:t>
      </w:r>
      <w:r w:rsidR="00B06A8A" w:rsidRPr="000118A3">
        <w:rPr>
          <w:rFonts w:ascii="Times New Roman" w:hAnsi="Times New Roman" w:cs="Times New Roman"/>
          <w:b/>
          <w:bCs/>
          <w:color w:val="0070C0"/>
        </w:rPr>
        <w:t xml:space="preserve"> Fishing Effort</w:t>
      </w:r>
      <w:bookmarkStart w:id="137" w:name="_Toc211860796"/>
      <w:bookmarkStart w:id="138" w:name="_Toc211860889"/>
    </w:p>
    <w:p w14:paraId="3CA0726E" w14:textId="42F82A6E" w:rsidR="00B06A8A" w:rsidRPr="00612A70" w:rsidRDefault="00612A70" w:rsidP="00612A70">
      <w:pPr>
        <w:pStyle w:val="Caption"/>
        <w:rPr>
          <w:rFonts w:ascii="Times New Roman" w:hAnsi="Times New Roman" w:cs="Times New Roman"/>
          <w:b/>
          <w:bCs/>
          <w:i w:val="0"/>
          <w:iCs w:val="0"/>
          <w:color w:val="000000" w:themeColor="text1"/>
          <w:sz w:val="22"/>
          <w:szCs w:val="22"/>
        </w:rPr>
      </w:pPr>
      <w:bookmarkStart w:id="139" w:name="_Toc217297659"/>
      <w:r w:rsidRPr="00612A70">
        <w:rPr>
          <w:rFonts w:ascii="Times New Roman" w:hAnsi="Times New Roman" w:cs="Times New Roman"/>
          <w:i w:val="0"/>
          <w:iCs w:val="0"/>
          <w:color w:val="000000" w:themeColor="text1"/>
          <w:sz w:val="22"/>
          <w:szCs w:val="22"/>
        </w:rPr>
        <w:t xml:space="preserve">Table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Table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14</w:t>
      </w:r>
      <w:r w:rsidRPr="00612A70">
        <w:rPr>
          <w:rFonts w:ascii="Times New Roman" w:hAnsi="Times New Roman" w:cs="Times New Roman"/>
          <w:i w:val="0"/>
          <w:iCs w:val="0"/>
          <w:color w:val="000000" w:themeColor="text1"/>
          <w:sz w:val="22"/>
          <w:szCs w:val="22"/>
        </w:rPr>
        <w:fldChar w:fldCharType="end"/>
      </w:r>
      <w:r w:rsidR="00B06A8A" w:rsidRPr="00612A70">
        <w:rPr>
          <w:rFonts w:ascii="Times New Roman" w:hAnsi="Times New Roman" w:cs="Times New Roman"/>
          <w:i w:val="0"/>
          <w:iCs w:val="0"/>
          <w:color w:val="000000" w:themeColor="text1"/>
          <w:sz w:val="22"/>
          <w:szCs w:val="22"/>
        </w:rPr>
        <w:t xml:space="preserve"> Number of fleets by fishing boats and gears</w:t>
      </w:r>
      <w:bookmarkEnd w:id="137"/>
      <w:bookmarkEnd w:id="138"/>
      <w:bookmarkEnd w:id="139"/>
    </w:p>
    <w:tbl>
      <w:tblPr>
        <w:tblW w:w="89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85"/>
        <w:gridCol w:w="861"/>
        <w:gridCol w:w="1020"/>
        <w:gridCol w:w="1100"/>
        <w:gridCol w:w="805"/>
        <w:gridCol w:w="946"/>
        <w:gridCol w:w="847"/>
        <w:gridCol w:w="702"/>
        <w:gridCol w:w="738"/>
        <w:gridCol w:w="592"/>
      </w:tblGrid>
      <w:tr w:rsidR="00B06A8A" w:rsidRPr="000118A3" w14:paraId="04CAF4AC" w14:textId="77777777" w:rsidTr="00612A70">
        <w:trPr>
          <w:trHeight w:val="266"/>
          <w:jc w:val="center"/>
        </w:trPr>
        <w:tc>
          <w:tcPr>
            <w:tcW w:w="0" w:type="auto"/>
            <w:vMerge w:val="restart"/>
            <w:tcMar>
              <w:top w:w="0" w:type="dxa"/>
              <w:left w:w="45" w:type="dxa"/>
              <w:bottom w:w="0" w:type="dxa"/>
              <w:right w:w="45" w:type="dxa"/>
            </w:tcMar>
            <w:vAlign w:val="center"/>
            <w:hideMark/>
          </w:tcPr>
          <w:p w14:paraId="7252B4C8"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Country/ Sub Regions</w:t>
            </w:r>
          </w:p>
        </w:tc>
        <w:tc>
          <w:tcPr>
            <w:tcW w:w="0" w:type="auto"/>
            <w:gridSpan w:val="4"/>
            <w:shd w:val="clear" w:color="auto" w:fill="D9F2D0"/>
            <w:tcMar>
              <w:top w:w="0" w:type="dxa"/>
              <w:left w:w="45" w:type="dxa"/>
              <w:bottom w:w="0" w:type="dxa"/>
              <w:right w:w="45" w:type="dxa"/>
            </w:tcMar>
            <w:vAlign w:val="bottom"/>
            <w:hideMark/>
          </w:tcPr>
          <w:p w14:paraId="69EE6027"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Number of fleets by type of fishing boats</w:t>
            </w:r>
          </w:p>
        </w:tc>
        <w:tc>
          <w:tcPr>
            <w:tcW w:w="0" w:type="auto"/>
            <w:gridSpan w:val="5"/>
            <w:shd w:val="clear" w:color="auto" w:fill="CAEDFB"/>
            <w:tcMar>
              <w:top w:w="0" w:type="dxa"/>
              <w:left w:w="45" w:type="dxa"/>
              <w:bottom w:w="0" w:type="dxa"/>
              <w:right w:w="45" w:type="dxa"/>
            </w:tcMar>
            <w:vAlign w:val="bottom"/>
            <w:hideMark/>
          </w:tcPr>
          <w:p w14:paraId="78EBAFFA"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Number of fleets by type of fishing gear</w:t>
            </w:r>
          </w:p>
        </w:tc>
      </w:tr>
      <w:tr w:rsidR="00B06A8A" w:rsidRPr="000118A3" w14:paraId="0A95EE47" w14:textId="77777777" w:rsidTr="00612A70">
        <w:trPr>
          <w:trHeight w:val="266"/>
          <w:jc w:val="center"/>
        </w:trPr>
        <w:tc>
          <w:tcPr>
            <w:tcW w:w="0" w:type="auto"/>
            <w:vMerge/>
            <w:vAlign w:val="center"/>
            <w:hideMark/>
          </w:tcPr>
          <w:p w14:paraId="79191EDB"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p>
        </w:tc>
        <w:tc>
          <w:tcPr>
            <w:tcW w:w="0" w:type="auto"/>
            <w:shd w:val="clear" w:color="auto" w:fill="D9F2D0"/>
            <w:tcMar>
              <w:top w:w="0" w:type="dxa"/>
              <w:left w:w="45" w:type="dxa"/>
              <w:bottom w:w="0" w:type="dxa"/>
              <w:right w:w="45" w:type="dxa"/>
            </w:tcMar>
            <w:vAlign w:val="center"/>
            <w:hideMark/>
          </w:tcPr>
          <w:p w14:paraId="53C1B67C"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Inboard</w:t>
            </w:r>
          </w:p>
        </w:tc>
        <w:tc>
          <w:tcPr>
            <w:tcW w:w="0" w:type="auto"/>
            <w:shd w:val="clear" w:color="auto" w:fill="D9F2D0"/>
            <w:tcMar>
              <w:top w:w="0" w:type="dxa"/>
              <w:left w:w="45" w:type="dxa"/>
              <w:bottom w:w="0" w:type="dxa"/>
              <w:right w:w="45" w:type="dxa"/>
            </w:tcMar>
            <w:vAlign w:val="center"/>
            <w:hideMark/>
          </w:tcPr>
          <w:p w14:paraId="4982A7DC"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Outboard</w:t>
            </w:r>
          </w:p>
        </w:tc>
        <w:tc>
          <w:tcPr>
            <w:tcW w:w="0" w:type="auto"/>
            <w:shd w:val="clear" w:color="auto" w:fill="D9F2D0"/>
            <w:tcMar>
              <w:top w:w="0" w:type="dxa"/>
              <w:left w:w="45" w:type="dxa"/>
              <w:bottom w:w="0" w:type="dxa"/>
              <w:right w:w="45" w:type="dxa"/>
            </w:tcMar>
            <w:vAlign w:val="center"/>
            <w:hideMark/>
          </w:tcPr>
          <w:p w14:paraId="346E8395"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Non-motorized</w:t>
            </w:r>
          </w:p>
        </w:tc>
        <w:tc>
          <w:tcPr>
            <w:tcW w:w="0" w:type="auto"/>
            <w:shd w:val="clear" w:color="auto" w:fill="D9F2D0"/>
            <w:tcMar>
              <w:top w:w="0" w:type="dxa"/>
              <w:left w:w="45" w:type="dxa"/>
              <w:bottom w:w="0" w:type="dxa"/>
              <w:right w:w="45" w:type="dxa"/>
            </w:tcMar>
            <w:vAlign w:val="center"/>
            <w:hideMark/>
          </w:tcPr>
          <w:p w14:paraId="0EBAAABF"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 xml:space="preserve">Total </w:t>
            </w:r>
          </w:p>
        </w:tc>
        <w:tc>
          <w:tcPr>
            <w:tcW w:w="0" w:type="auto"/>
            <w:shd w:val="clear" w:color="auto" w:fill="CAEDFB"/>
            <w:tcMar>
              <w:top w:w="0" w:type="dxa"/>
              <w:left w:w="45" w:type="dxa"/>
              <w:bottom w:w="0" w:type="dxa"/>
              <w:right w:w="45" w:type="dxa"/>
            </w:tcMar>
            <w:vAlign w:val="center"/>
            <w:hideMark/>
          </w:tcPr>
          <w:p w14:paraId="2A351D08"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Trawlers</w:t>
            </w:r>
          </w:p>
        </w:tc>
        <w:tc>
          <w:tcPr>
            <w:tcW w:w="0" w:type="auto"/>
            <w:shd w:val="clear" w:color="auto" w:fill="CAEDFB"/>
            <w:tcMar>
              <w:top w:w="0" w:type="dxa"/>
              <w:left w:w="45" w:type="dxa"/>
              <w:bottom w:w="0" w:type="dxa"/>
              <w:right w:w="45" w:type="dxa"/>
            </w:tcMar>
            <w:vAlign w:val="center"/>
            <w:hideMark/>
          </w:tcPr>
          <w:p w14:paraId="52A785DC"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Purse Seiners</w:t>
            </w:r>
          </w:p>
        </w:tc>
        <w:tc>
          <w:tcPr>
            <w:tcW w:w="0" w:type="auto"/>
            <w:shd w:val="clear" w:color="auto" w:fill="CAEDFB"/>
            <w:tcMar>
              <w:top w:w="0" w:type="dxa"/>
              <w:left w:w="45" w:type="dxa"/>
              <w:bottom w:w="0" w:type="dxa"/>
              <w:right w:w="45" w:type="dxa"/>
            </w:tcMar>
            <w:vAlign w:val="center"/>
            <w:hideMark/>
          </w:tcPr>
          <w:p w14:paraId="7FC72D79"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Hook &amp; Lines</w:t>
            </w:r>
          </w:p>
        </w:tc>
        <w:tc>
          <w:tcPr>
            <w:tcW w:w="0" w:type="auto"/>
            <w:shd w:val="clear" w:color="auto" w:fill="CAEDFB"/>
            <w:tcMar>
              <w:top w:w="0" w:type="dxa"/>
              <w:left w:w="45" w:type="dxa"/>
              <w:bottom w:w="0" w:type="dxa"/>
              <w:right w:w="45" w:type="dxa"/>
            </w:tcMar>
            <w:vAlign w:val="center"/>
            <w:hideMark/>
          </w:tcPr>
          <w:p w14:paraId="17287205"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Gillnet</w:t>
            </w:r>
          </w:p>
        </w:tc>
        <w:tc>
          <w:tcPr>
            <w:tcW w:w="0" w:type="auto"/>
            <w:shd w:val="clear" w:color="auto" w:fill="CAEDFB"/>
            <w:tcMar>
              <w:top w:w="0" w:type="dxa"/>
              <w:left w:w="45" w:type="dxa"/>
              <w:bottom w:w="0" w:type="dxa"/>
              <w:right w:w="45" w:type="dxa"/>
            </w:tcMar>
            <w:vAlign w:val="center"/>
            <w:hideMark/>
          </w:tcPr>
          <w:p w14:paraId="05AAF56C"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Total</w:t>
            </w:r>
          </w:p>
        </w:tc>
      </w:tr>
      <w:tr w:rsidR="00B06A8A" w:rsidRPr="000118A3" w14:paraId="12749564" w14:textId="77777777" w:rsidTr="00612A70">
        <w:trPr>
          <w:trHeight w:val="266"/>
          <w:jc w:val="center"/>
        </w:trPr>
        <w:tc>
          <w:tcPr>
            <w:tcW w:w="0" w:type="auto"/>
            <w:tcMar>
              <w:top w:w="0" w:type="dxa"/>
              <w:left w:w="45" w:type="dxa"/>
              <w:bottom w:w="0" w:type="dxa"/>
              <w:right w:w="45" w:type="dxa"/>
            </w:tcMar>
            <w:vAlign w:val="center"/>
            <w:hideMark/>
          </w:tcPr>
          <w:p w14:paraId="34E2DC8E"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Indonesia</w:t>
            </w:r>
          </w:p>
        </w:tc>
        <w:tc>
          <w:tcPr>
            <w:tcW w:w="0" w:type="auto"/>
            <w:tcMar>
              <w:top w:w="0" w:type="dxa"/>
              <w:left w:w="45" w:type="dxa"/>
              <w:bottom w:w="0" w:type="dxa"/>
              <w:right w:w="45" w:type="dxa"/>
            </w:tcMar>
            <w:vAlign w:val="bottom"/>
            <w:hideMark/>
          </w:tcPr>
          <w:p w14:paraId="7E34075A"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p>
        </w:tc>
        <w:tc>
          <w:tcPr>
            <w:tcW w:w="0" w:type="auto"/>
            <w:tcMar>
              <w:top w:w="0" w:type="dxa"/>
              <w:left w:w="45" w:type="dxa"/>
              <w:bottom w:w="0" w:type="dxa"/>
              <w:right w:w="45" w:type="dxa"/>
            </w:tcMar>
            <w:vAlign w:val="bottom"/>
            <w:hideMark/>
          </w:tcPr>
          <w:p w14:paraId="2D0B0ABF"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0" w:type="auto"/>
            <w:tcMar>
              <w:top w:w="0" w:type="dxa"/>
              <w:left w:w="45" w:type="dxa"/>
              <w:bottom w:w="0" w:type="dxa"/>
              <w:right w:w="45" w:type="dxa"/>
            </w:tcMar>
            <w:vAlign w:val="bottom"/>
            <w:hideMark/>
          </w:tcPr>
          <w:p w14:paraId="1BA80F64"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0" w:type="auto"/>
            <w:tcMar>
              <w:top w:w="0" w:type="dxa"/>
              <w:left w:w="45" w:type="dxa"/>
              <w:bottom w:w="0" w:type="dxa"/>
              <w:right w:w="45" w:type="dxa"/>
            </w:tcMar>
            <w:vAlign w:val="bottom"/>
            <w:hideMark/>
          </w:tcPr>
          <w:p w14:paraId="1963262E"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0" w:type="auto"/>
            <w:tcMar>
              <w:top w:w="0" w:type="dxa"/>
              <w:left w:w="45" w:type="dxa"/>
              <w:bottom w:w="0" w:type="dxa"/>
              <w:right w:w="45" w:type="dxa"/>
            </w:tcMar>
            <w:vAlign w:val="bottom"/>
            <w:hideMark/>
          </w:tcPr>
          <w:p w14:paraId="0BBC64B1"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0" w:type="auto"/>
            <w:tcMar>
              <w:top w:w="0" w:type="dxa"/>
              <w:left w:w="45" w:type="dxa"/>
              <w:bottom w:w="0" w:type="dxa"/>
              <w:right w:w="45" w:type="dxa"/>
            </w:tcMar>
            <w:vAlign w:val="bottom"/>
            <w:hideMark/>
          </w:tcPr>
          <w:p w14:paraId="556F93B2"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0" w:type="auto"/>
            <w:tcMar>
              <w:top w:w="0" w:type="dxa"/>
              <w:left w:w="45" w:type="dxa"/>
              <w:bottom w:w="0" w:type="dxa"/>
              <w:right w:w="45" w:type="dxa"/>
            </w:tcMar>
            <w:vAlign w:val="bottom"/>
            <w:hideMark/>
          </w:tcPr>
          <w:p w14:paraId="3481F2C0"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0" w:type="auto"/>
            <w:tcMar>
              <w:top w:w="0" w:type="dxa"/>
              <w:left w:w="45" w:type="dxa"/>
              <w:bottom w:w="0" w:type="dxa"/>
              <w:right w:w="45" w:type="dxa"/>
            </w:tcMar>
            <w:vAlign w:val="bottom"/>
            <w:hideMark/>
          </w:tcPr>
          <w:p w14:paraId="784A767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0" w:type="auto"/>
            <w:tcMar>
              <w:top w:w="0" w:type="dxa"/>
              <w:left w:w="45" w:type="dxa"/>
              <w:bottom w:w="0" w:type="dxa"/>
              <w:right w:w="45" w:type="dxa"/>
            </w:tcMar>
            <w:vAlign w:val="bottom"/>
            <w:hideMark/>
          </w:tcPr>
          <w:p w14:paraId="5BB03881"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r>
      <w:tr w:rsidR="00B06A8A" w:rsidRPr="000118A3" w14:paraId="70F81370" w14:textId="77777777" w:rsidTr="00612A70">
        <w:trPr>
          <w:trHeight w:val="266"/>
          <w:jc w:val="center"/>
        </w:trPr>
        <w:tc>
          <w:tcPr>
            <w:tcW w:w="0" w:type="auto"/>
            <w:tcMar>
              <w:top w:w="0" w:type="dxa"/>
              <w:left w:w="45" w:type="dxa"/>
              <w:bottom w:w="0" w:type="dxa"/>
              <w:right w:w="45" w:type="dxa"/>
            </w:tcMar>
            <w:vAlign w:val="center"/>
            <w:hideMark/>
          </w:tcPr>
          <w:p w14:paraId="1D93DFB8"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Riau-Batam</w:t>
            </w:r>
          </w:p>
        </w:tc>
        <w:tc>
          <w:tcPr>
            <w:tcW w:w="0" w:type="auto"/>
            <w:tcMar>
              <w:top w:w="0" w:type="dxa"/>
              <w:left w:w="45" w:type="dxa"/>
              <w:bottom w:w="0" w:type="dxa"/>
              <w:right w:w="45" w:type="dxa"/>
            </w:tcMar>
            <w:vAlign w:val="center"/>
            <w:hideMark/>
          </w:tcPr>
          <w:p w14:paraId="4CFA46C5"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19,783</w:t>
            </w:r>
          </w:p>
        </w:tc>
        <w:tc>
          <w:tcPr>
            <w:tcW w:w="0" w:type="auto"/>
            <w:tcMar>
              <w:top w:w="0" w:type="dxa"/>
              <w:left w:w="45" w:type="dxa"/>
              <w:bottom w:w="0" w:type="dxa"/>
              <w:right w:w="45" w:type="dxa"/>
            </w:tcMar>
            <w:vAlign w:val="center"/>
            <w:hideMark/>
          </w:tcPr>
          <w:p w14:paraId="3879E4D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6,794</w:t>
            </w:r>
          </w:p>
        </w:tc>
        <w:tc>
          <w:tcPr>
            <w:tcW w:w="0" w:type="auto"/>
            <w:tcMar>
              <w:top w:w="0" w:type="dxa"/>
              <w:left w:w="45" w:type="dxa"/>
              <w:bottom w:w="0" w:type="dxa"/>
              <w:right w:w="45" w:type="dxa"/>
            </w:tcMar>
            <w:vAlign w:val="center"/>
            <w:hideMark/>
          </w:tcPr>
          <w:p w14:paraId="374D97F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11,612</w:t>
            </w:r>
          </w:p>
        </w:tc>
        <w:tc>
          <w:tcPr>
            <w:tcW w:w="0" w:type="auto"/>
            <w:tcMar>
              <w:top w:w="0" w:type="dxa"/>
              <w:left w:w="45" w:type="dxa"/>
              <w:bottom w:w="0" w:type="dxa"/>
              <w:right w:w="45" w:type="dxa"/>
            </w:tcMar>
            <w:vAlign w:val="center"/>
            <w:hideMark/>
          </w:tcPr>
          <w:p w14:paraId="36CC134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38,189</w:t>
            </w:r>
          </w:p>
        </w:tc>
        <w:tc>
          <w:tcPr>
            <w:tcW w:w="0" w:type="auto"/>
            <w:tcMar>
              <w:top w:w="0" w:type="dxa"/>
              <w:left w:w="45" w:type="dxa"/>
              <w:bottom w:w="0" w:type="dxa"/>
              <w:right w:w="45" w:type="dxa"/>
            </w:tcMar>
            <w:vAlign w:val="center"/>
            <w:hideMark/>
          </w:tcPr>
          <w:p w14:paraId="4E0D8E1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79112B1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22AF4C0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3A0387D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347E6BB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r>
      <w:tr w:rsidR="00B06A8A" w:rsidRPr="000118A3" w14:paraId="46920E47" w14:textId="77777777" w:rsidTr="00612A70">
        <w:trPr>
          <w:trHeight w:val="418"/>
          <w:jc w:val="center"/>
        </w:trPr>
        <w:tc>
          <w:tcPr>
            <w:tcW w:w="0" w:type="auto"/>
            <w:tcMar>
              <w:top w:w="0" w:type="dxa"/>
              <w:left w:w="45" w:type="dxa"/>
              <w:bottom w:w="0" w:type="dxa"/>
              <w:right w:w="45" w:type="dxa"/>
            </w:tcMar>
            <w:vAlign w:val="center"/>
            <w:hideMark/>
          </w:tcPr>
          <w:p w14:paraId="780EB176"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Bangka-Belitung and South Sumatra</w:t>
            </w:r>
          </w:p>
        </w:tc>
        <w:tc>
          <w:tcPr>
            <w:tcW w:w="0" w:type="auto"/>
            <w:tcMar>
              <w:top w:w="0" w:type="dxa"/>
              <w:left w:w="45" w:type="dxa"/>
              <w:bottom w:w="0" w:type="dxa"/>
              <w:right w:w="45" w:type="dxa"/>
            </w:tcMar>
            <w:vAlign w:val="center"/>
            <w:hideMark/>
          </w:tcPr>
          <w:p w14:paraId="66BAECC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2,350</w:t>
            </w:r>
          </w:p>
        </w:tc>
        <w:tc>
          <w:tcPr>
            <w:tcW w:w="0" w:type="auto"/>
            <w:tcMar>
              <w:top w:w="0" w:type="dxa"/>
              <w:left w:w="45" w:type="dxa"/>
              <w:bottom w:w="0" w:type="dxa"/>
              <w:right w:w="45" w:type="dxa"/>
            </w:tcMar>
            <w:vAlign w:val="center"/>
            <w:hideMark/>
          </w:tcPr>
          <w:p w14:paraId="2C1AAAA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757</w:t>
            </w:r>
          </w:p>
        </w:tc>
        <w:tc>
          <w:tcPr>
            <w:tcW w:w="0" w:type="auto"/>
            <w:tcMar>
              <w:top w:w="0" w:type="dxa"/>
              <w:left w:w="45" w:type="dxa"/>
              <w:bottom w:w="0" w:type="dxa"/>
              <w:right w:w="45" w:type="dxa"/>
            </w:tcMar>
            <w:vAlign w:val="center"/>
            <w:hideMark/>
          </w:tcPr>
          <w:p w14:paraId="16123F2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418</w:t>
            </w:r>
          </w:p>
        </w:tc>
        <w:tc>
          <w:tcPr>
            <w:tcW w:w="0" w:type="auto"/>
            <w:tcMar>
              <w:top w:w="0" w:type="dxa"/>
              <w:left w:w="45" w:type="dxa"/>
              <w:bottom w:w="0" w:type="dxa"/>
              <w:right w:w="45" w:type="dxa"/>
            </w:tcMar>
            <w:vAlign w:val="center"/>
            <w:hideMark/>
          </w:tcPr>
          <w:p w14:paraId="550EB87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3,525</w:t>
            </w:r>
          </w:p>
        </w:tc>
        <w:tc>
          <w:tcPr>
            <w:tcW w:w="0" w:type="auto"/>
            <w:tcMar>
              <w:top w:w="0" w:type="dxa"/>
              <w:left w:w="45" w:type="dxa"/>
              <w:bottom w:w="0" w:type="dxa"/>
              <w:right w:w="45" w:type="dxa"/>
            </w:tcMar>
            <w:vAlign w:val="center"/>
            <w:hideMark/>
          </w:tcPr>
          <w:p w14:paraId="30C8085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04F4102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221B6967"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10A75CB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7F9D09E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r>
      <w:tr w:rsidR="00B06A8A" w:rsidRPr="000118A3" w14:paraId="783C1F2D" w14:textId="77777777" w:rsidTr="00612A70">
        <w:trPr>
          <w:trHeight w:val="266"/>
          <w:jc w:val="center"/>
        </w:trPr>
        <w:tc>
          <w:tcPr>
            <w:tcW w:w="0" w:type="auto"/>
            <w:tcMar>
              <w:top w:w="0" w:type="dxa"/>
              <w:left w:w="45" w:type="dxa"/>
              <w:bottom w:w="0" w:type="dxa"/>
              <w:right w:w="45" w:type="dxa"/>
            </w:tcMar>
            <w:vAlign w:val="center"/>
            <w:hideMark/>
          </w:tcPr>
          <w:p w14:paraId="6C3AA384"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Jakarta and West Java</w:t>
            </w:r>
          </w:p>
        </w:tc>
        <w:tc>
          <w:tcPr>
            <w:tcW w:w="0" w:type="auto"/>
            <w:tcMar>
              <w:top w:w="0" w:type="dxa"/>
              <w:left w:w="45" w:type="dxa"/>
              <w:bottom w:w="0" w:type="dxa"/>
              <w:right w:w="45" w:type="dxa"/>
            </w:tcMar>
            <w:vAlign w:val="center"/>
            <w:hideMark/>
          </w:tcPr>
          <w:p w14:paraId="209FE41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6,766</w:t>
            </w:r>
          </w:p>
        </w:tc>
        <w:tc>
          <w:tcPr>
            <w:tcW w:w="0" w:type="auto"/>
            <w:tcMar>
              <w:top w:w="0" w:type="dxa"/>
              <w:left w:w="45" w:type="dxa"/>
              <w:bottom w:w="0" w:type="dxa"/>
              <w:right w:w="45" w:type="dxa"/>
            </w:tcMar>
            <w:vAlign w:val="center"/>
            <w:hideMark/>
          </w:tcPr>
          <w:p w14:paraId="30FEC20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11,425</w:t>
            </w:r>
          </w:p>
        </w:tc>
        <w:tc>
          <w:tcPr>
            <w:tcW w:w="0" w:type="auto"/>
            <w:tcMar>
              <w:top w:w="0" w:type="dxa"/>
              <w:left w:w="45" w:type="dxa"/>
              <w:bottom w:w="0" w:type="dxa"/>
              <w:right w:w="45" w:type="dxa"/>
            </w:tcMar>
            <w:vAlign w:val="center"/>
            <w:hideMark/>
          </w:tcPr>
          <w:p w14:paraId="3866D87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w:t>
            </w:r>
          </w:p>
        </w:tc>
        <w:tc>
          <w:tcPr>
            <w:tcW w:w="0" w:type="auto"/>
            <w:tcMar>
              <w:top w:w="0" w:type="dxa"/>
              <w:left w:w="45" w:type="dxa"/>
              <w:bottom w:w="0" w:type="dxa"/>
              <w:right w:w="45" w:type="dxa"/>
            </w:tcMar>
            <w:vAlign w:val="center"/>
            <w:hideMark/>
          </w:tcPr>
          <w:p w14:paraId="5C8C31F6"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18,211</w:t>
            </w:r>
          </w:p>
        </w:tc>
        <w:tc>
          <w:tcPr>
            <w:tcW w:w="0" w:type="auto"/>
            <w:tcMar>
              <w:top w:w="0" w:type="dxa"/>
              <w:left w:w="45" w:type="dxa"/>
              <w:bottom w:w="0" w:type="dxa"/>
              <w:right w:w="45" w:type="dxa"/>
            </w:tcMar>
            <w:vAlign w:val="center"/>
            <w:hideMark/>
          </w:tcPr>
          <w:p w14:paraId="0965A28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1B19E28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4B150135"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7FDC1AC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39FB496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r>
      <w:tr w:rsidR="00B06A8A" w:rsidRPr="000118A3" w14:paraId="0D3E3794" w14:textId="77777777" w:rsidTr="00612A70">
        <w:trPr>
          <w:trHeight w:val="266"/>
          <w:jc w:val="center"/>
        </w:trPr>
        <w:tc>
          <w:tcPr>
            <w:tcW w:w="0" w:type="auto"/>
            <w:tcMar>
              <w:top w:w="0" w:type="dxa"/>
              <w:left w:w="45" w:type="dxa"/>
              <w:bottom w:w="0" w:type="dxa"/>
              <w:right w:w="45" w:type="dxa"/>
            </w:tcMar>
            <w:vAlign w:val="center"/>
            <w:hideMark/>
          </w:tcPr>
          <w:p w14:paraId="3584FFFA"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East Java</w:t>
            </w:r>
          </w:p>
        </w:tc>
        <w:tc>
          <w:tcPr>
            <w:tcW w:w="0" w:type="auto"/>
            <w:tcMar>
              <w:top w:w="0" w:type="dxa"/>
              <w:left w:w="45" w:type="dxa"/>
              <w:bottom w:w="0" w:type="dxa"/>
              <w:right w:w="45" w:type="dxa"/>
            </w:tcMar>
            <w:vAlign w:val="center"/>
            <w:hideMark/>
          </w:tcPr>
          <w:p w14:paraId="4A5CF2C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27,224</w:t>
            </w:r>
          </w:p>
        </w:tc>
        <w:tc>
          <w:tcPr>
            <w:tcW w:w="0" w:type="auto"/>
            <w:tcMar>
              <w:top w:w="0" w:type="dxa"/>
              <w:left w:w="45" w:type="dxa"/>
              <w:bottom w:w="0" w:type="dxa"/>
              <w:right w:w="45" w:type="dxa"/>
            </w:tcMar>
            <w:vAlign w:val="center"/>
            <w:hideMark/>
          </w:tcPr>
          <w:p w14:paraId="6AD9ED9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26,365</w:t>
            </w:r>
          </w:p>
        </w:tc>
        <w:tc>
          <w:tcPr>
            <w:tcW w:w="0" w:type="auto"/>
            <w:tcMar>
              <w:top w:w="0" w:type="dxa"/>
              <w:left w:w="45" w:type="dxa"/>
              <w:bottom w:w="0" w:type="dxa"/>
              <w:right w:w="45" w:type="dxa"/>
            </w:tcMar>
            <w:vAlign w:val="center"/>
            <w:hideMark/>
          </w:tcPr>
          <w:p w14:paraId="457DAAE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3,654</w:t>
            </w:r>
          </w:p>
        </w:tc>
        <w:tc>
          <w:tcPr>
            <w:tcW w:w="0" w:type="auto"/>
            <w:tcMar>
              <w:top w:w="0" w:type="dxa"/>
              <w:left w:w="45" w:type="dxa"/>
              <w:bottom w:w="0" w:type="dxa"/>
              <w:right w:w="45" w:type="dxa"/>
            </w:tcMar>
            <w:vAlign w:val="center"/>
            <w:hideMark/>
          </w:tcPr>
          <w:p w14:paraId="0111438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57,243</w:t>
            </w:r>
          </w:p>
        </w:tc>
        <w:tc>
          <w:tcPr>
            <w:tcW w:w="0" w:type="auto"/>
            <w:tcMar>
              <w:top w:w="0" w:type="dxa"/>
              <w:left w:w="45" w:type="dxa"/>
              <w:bottom w:w="0" w:type="dxa"/>
              <w:right w:w="45" w:type="dxa"/>
            </w:tcMar>
            <w:vAlign w:val="center"/>
            <w:hideMark/>
          </w:tcPr>
          <w:p w14:paraId="0E59021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tcPr>
          <w:p w14:paraId="07B2EB7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tcPr>
          <w:p w14:paraId="76007D9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tcPr>
          <w:p w14:paraId="0BDF49B6"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tcPr>
          <w:p w14:paraId="101B956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r>
      <w:tr w:rsidR="00B06A8A" w:rsidRPr="000118A3" w14:paraId="1697E597" w14:textId="77777777" w:rsidTr="00612A70">
        <w:trPr>
          <w:trHeight w:val="266"/>
          <w:jc w:val="center"/>
        </w:trPr>
        <w:tc>
          <w:tcPr>
            <w:tcW w:w="0" w:type="auto"/>
            <w:tcMar>
              <w:top w:w="0" w:type="dxa"/>
              <w:left w:w="45" w:type="dxa"/>
              <w:bottom w:w="0" w:type="dxa"/>
              <w:right w:w="45" w:type="dxa"/>
            </w:tcMar>
            <w:vAlign w:val="center"/>
            <w:hideMark/>
          </w:tcPr>
          <w:p w14:paraId="26E6E8F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South Kalimantan</w:t>
            </w:r>
          </w:p>
        </w:tc>
        <w:tc>
          <w:tcPr>
            <w:tcW w:w="0" w:type="auto"/>
            <w:tcMar>
              <w:top w:w="0" w:type="dxa"/>
              <w:left w:w="45" w:type="dxa"/>
              <w:bottom w:w="0" w:type="dxa"/>
              <w:right w:w="45" w:type="dxa"/>
            </w:tcMar>
            <w:vAlign w:val="center"/>
            <w:hideMark/>
          </w:tcPr>
          <w:p w14:paraId="0384B237"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5,901</w:t>
            </w:r>
          </w:p>
        </w:tc>
        <w:tc>
          <w:tcPr>
            <w:tcW w:w="0" w:type="auto"/>
            <w:tcMar>
              <w:top w:w="0" w:type="dxa"/>
              <w:left w:w="45" w:type="dxa"/>
              <w:bottom w:w="0" w:type="dxa"/>
              <w:right w:w="45" w:type="dxa"/>
            </w:tcMar>
            <w:vAlign w:val="center"/>
            <w:hideMark/>
          </w:tcPr>
          <w:p w14:paraId="14B590F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68</w:t>
            </w:r>
          </w:p>
        </w:tc>
        <w:tc>
          <w:tcPr>
            <w:tcW w:w="0" w:type="auto"/>
            <w:tcMar>
              <w:top w:w="0" w:type="dxa"/>
              <w:left w:w="45" w:type="dxa"/>
              <w:bottom w:w="0" w:type="dxa"/>
              <w:right w:w="45" w:type="dxa"/>
            </w:tcMar>
            <w:vAlign w:val="center"/>
            <w:hideMark/>
          </w:tcPr>
          <w:p w14:paraId="14873B4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68</w:t>
            </w:r>
          </w:p>
        </w:tc>
        <w:tc>
          <w:tcPr>
            <w:tcW w:w="0" w:type="auto"/>
            <w:tcMar>
              <w:top w:w="0" w:type="dxa"/>
              <w:left w:w="45" w:type="dxa"/>
              <w:bottom w:w="0" w:type="dxa"/>
              <w:right w:w="45" w:type="dxa"/>
            </w:tcMar>
            <w:vAlign w:val="center"/>
            <w:hideMark/>
          </w:tcPr>
          <w:p w14:paraId="22FA140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6,037</w:t>
            </w:r>
          </w:p>
        </w:tc>
        <w:tc>
          <w:tcPr>
            <w:tcW w:w="0" w:type="auto"/>
            <w:tcMar>
              <w:top w:w="0" w:type="dxa"/>
              <w:left w:w="45" w:type="dxa"/>
              <w:bottom w:w="0" w:type="dxa"/>
              <w:right w:w="45" w:type="dxa"/>
            </w:tcMar>
            <w:vAlign w:val="center"/>
            <w:hideMark/>
          </w:tcPr>
          <w:p w14:paraId="6EDFD07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1B4E848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2E40357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705110E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7102E1A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r>
      <w:tr w:rsidR="00B06A8A" w:rsidRPr="000118A3" w14:paraId="4097D64E" w14:textId="77777777" w:rsidTr="00612A70">
        <w:trPr>
          <w:trHeight w:val="266"/>
          <w:jc w:val="center"/>
        </w:trPr>
        <w:tc>
          <w:tcPr>
            <w:tcW w:w="0" w:type="auto"/>
            <w:tcMar>
              <w:top w:w="0" w:type="dxa"/>
              <w:left w:w="45" w:type="dxa"/>
              <w:bottom w:w="0" w:type="dxa"/>
              <w:right w:w="45" w:type="dxa"/>
            </w:tcMar>
            <w:vAlign w:val="center"/>
            <w:hideMark/>
          </w:tcPr>
          <w:p w14:paraId="5C4F998F"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West Kalimantan</w:t>
            </w:r>
          </w:p>
        </w:tc>
        <w:tc>
          <w:tcPr>
            <w:tcW w:w="0" w:type="auto"/>
            <w:tcMar>
              <w:top w:w="0" w:type="dxa"/>
              <w:left w:w="45" w:type="dxa"/>
              <w:bottom w:w="0" w:type="dxa"/>
              <w:right w:w="45" w:type="dxa"/>
            </w:tcMar>
            <w:vAlign w:val="center"/>
            <w:hideMark/>
          </w:tcPr>
          <w:p w14:paraId="74C2FCA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7,777</w:t>
            </w:r>
          </w:p>
        </w:tc>
        <w:tc>
          <w:tcPr>
            <w:tcW w:w="0" w:type="auto"/>
            <w:tcMar>
              <w:top w:w="0" w:type="dxa"/>
              <w:left w:w="45" w:type="dxa"/>
              <w:bottom w:w="0" w:type="dxa"/>
              <w:right w:w="45" w:type="dxa"/>
            </w:tcMar>
            <w:vAlign w:val="center"/>
            <w:hideMark/>
          </w:tcPr>
          <w:p w14:paraId="7762AC17"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3,536</w:t>
            </w:r>
          </w:p>
        </w:tc>
        <w:tc>
          <w:tcPr>
            <w:tcW w:w="0" w:type="auto"/>
            <w:tcMar>
              <w:top w:w="0" w:type="dxa"/>
              <w:left w:w="45" w:type="dxa"/>
              <w:bottom w:w="0" w:type="dxa"/>
              <w:right w:w="45" w:type="dxa"/>
            </w:tcMar>
            <w:vAlign w:val="center"/>
            <w:hideMark/>
          </w:tcPr>
          <w:p w14:paraId="1F70D516"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4,591</w:t>
            </w:r>
          </w:p>
        </w:tc>
        <w:tc>
          <w:tcPr>
            <w:tcW w:w="0" w:type="auto"/>
            <w:tcMar>
              <w:top w:w="0" w:type="dxa"/>
              <w:left w:w="45" w:type="dxa"/>
              <w:bottom w:w="0" w:type="dxa"/>
              <w:right w:w="45" w:type="dxa"/>
            </w:tcMar>
            <w:vAlign w:val="center"/>
            <w:hideMark/>
          </w:tcPr>
          <w:p w14:paraId="46AB61A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15,904</w:t>
            </w:r>
          </w:p>
        </w:tc>
        <w:tc>
          <w:tcPr>
            <w:tcW w:w="0" w:type="auto"/>
            <w:tcMar>
              <w:top w:w="0" w:type="dxa"/>
              <w:left w:w="45" w:type="dxa"/>
              <w:bottom w:w="0" w:type="dxa"/>
              <w:right w:w="45" w:type="dxa"/>
            </w:tcMar>
            <w:vAlign w:val="center"/>
            <w:hideMark/>
          </w:tcPr>
          <w:p w14:paraId="37CEAB3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0E8A815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7290E12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3B1BCE9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hideMark/>
          </w:tcPr>
          <w:p w14:paraId="34D092A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r>
      <w:tr w:rsidR="00B06A8A" w:rsidRPr="000118A3" w14:paraId="02511FE5" w14:textId="77777777" w:rsidTr="00612A70">
        <w:trPr>
          <w:trHeight w:val="266"/>
          <w:jc w:val="center"/>
        </w:trPr>
        <w:tc>
          <w:tcPr>
            <w:tcW w:w="0" w:type="auto"/>
            <w:shd w:val="clear" w:color="auto" w:fill="E5E5E5"/>
            <w:tcMar>
              <w:top w:w="0" w:type="dxa"/>
              <w:left w:w="45" w:type="dxa"/>
              <w:bottom w:w="0" w:type="dxa"/>
              <w:right w:w="45" w:type="dxa"/>
            </w:tcMar>
            <w:vAlign w:val="center"/>
            <w:hideMark/>
          </w:tcPr>
          <w:p w14:paraId="1C0557EA"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Subtotal</w:t>
            </w:r>
          </w:p>
        </w:tc>
        <w:tc>
          <w:tcPr>
            <w:tcW w:w="0" w:type="auto"/>
            <w:tcMar>
              <w:top w:w="0" w:type="dxa"/>
              <w:left w:w="45" w:type="dxa"/>
              <w:bottom w:w="0" w:type="dxa"/>
              <w:right w:w="45" w:type="dxa"/>
            </w:tcMar>
            <w:vAlign w:val="center"/>
            <w:hideMark/>
          </w:tcPr>
          <w:p w14:paraId="140A5CD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69,801</w:t>
            </w:r>
          </w:p>
        </w:tc>
        <w:tc>
          <w:tcPr>
            <w:tcW w:w="0" w:type="auto"/>
            <w:tcMar>
              <w:top w:w="0" w:type="dxa"/>
              <w:left w:w="45" w:type="dxa"/>
              <w:bottom w:w="0" w:type="dxa"/>
              <w:right w:w="45" w:type="dxa"/>
            </w:tcMar>
            <w:vAlign w:val="center"/>
            <w:hideMark/>
          </w:tcPr>
          <w:p w14:paraId="6C994E3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48,945</w:t>
            </w:r>
          </w:p>
        </w:tc>
        <w:tc>
          <w:tcPr>
            <w:tcW w:w="0" w:type="auto"/>
            <w:tcMar>
              <w:top w:w="0" w:type="dxa"/>
              <w:left w:w="45" w:type="dxa"/>
              <w:bottom w:w="0" w:type="dxa"/>
              <w:right w:w="45" w:type="dxa"/>
            </w:tcMar>
            <w:vAlign w:val="center"/>
            <w:hideMark/>
          </w:tcPr>
          <w:p w14:paraId="505B970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20,363</w:t>
            </w:r>
          </w:p>
        </w:tc>
        <w:tc>
          <w:tcPr>
            <w:tcW w:w="0" w:type="auto"/>
            <w:tcMar>
              <w:top w:w="0" w:type="dxa"/>
              <w:left w:w="45" w:type="dxa"/>
              <w:bottom w:w="0" w:type="dxa"/>
              <w:right w:w="45" w:type="dxa"/>
            </w:tcMar>
            <w:vAlign w:val="center"/>
            <w:hideMark/>
          </w:tcPr>
          <w:p w14:paraId="64BF021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139,109</w:t>
            </w:r>
          </w:p>
        </w:tc>
        <w:tc>
          <w:tcPr>
            <w:tcW w:w="0" w:type="auto"/>
            <w:tcMar>
              <w:top w:w="0" w:type="dxa"/>
              <w:left w:w="45" w:type="dxa"/>
              <w:bottom w:w="0" w:type="dxa"/>
              <w:right w:w="45" w:type="dxa"/>
            </w:tcMar>
            <w:vAlign w:val="center"/>
            <w:hideMark/>
          </w:tcPr>
          <w:p w14:paraId="0EBF74C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tcPr>
          <w:p w14:paraId="61EF18D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tcPr>
          <w:p w14:paraId="2C99765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tcPr>
          <w:p w14:paraId="165E510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0" w:type="auto"/>
            <w:tcMar>
              <w:top w:w="0" w:type="dxa"/>
              <w:left w:w="45" w:type="dxa"/>
              <w:bottom w:w="0" w:type="dxa"/>
              <w:right w:w="45" w:type="dxa"/>
            </w:tcMar>
            <w:vAlign w:val="center"/>
          </w:tcPr>
          <w:p w14:paraId="3B568C4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r>
    </w:tbl>
    <w:p w14:paraId="7D415753" w14:textId="77777777" w:rsidR="00B06A8A" w:rsidRPr="000118A3" w:rsidRDefault="00B06A8A" w:rsidP="00B06A8A">
      <w:pPr>
        <w:pBdr>
          <w:top w:val="nil"/>
          <w:left w:val="nil"/>
          <w:bottom w:val="nil"/>
          <w:right w:val="nil"/>
          <w:between w:val="nil"/>
        </w:pBdr>
        <w:rPr>
          <w:rFonts w:ascii="Times New Roman" w:hAnsi="Times New Roman" w:cs="Times New Roman"/>
          <w:color w:val="000000" w:themeColor="text1"/>
          <w:sz w:val="22"/>
          <w:szCs w:val="22"/>
        </w:rPr>
      </w:pPr>
    </w:p>
    <w:p w14:paraId="4EC001C4" w14:textId="77777777" w:rsidR="00B06A8A" w:rsidRPr="000118A3" w:rsidRDefault="00B06A8A" w:rsidP="00612A70">
      <w:pPr>
        <w:pBdr>
          <w:top w:val="nil"/>
          <w:left w:val="nil"/>
          <w:bottom w:val="nil"/>
          <w:right w:val="nil"/>
          <w:between w:val="nil"/>
        </w:pBdr>
        <w:ind w:left="360"/>
        <w:jc w:val="center"/>
        <w:rPr>
          <w:rFonts w:ascii="Times New Roman" w:hAnsi="Times New Roman" w:cs="Times New Roman"/>
          <w:color w:val="000000" w:themeColor="text1"/>
          <w:sz w:val="22"/>
          <w:szCs w:val="22"/>
        </w:rPr>
      </w:pPr>
      <w:r w:rsidRPr="000118A3">
        <w:rPr>
          <w:rFonts w:ascii="Times New Roman" w:hAnsi="Times New Roman" w:cs="Times New Roman"/>
          <w:noProof/>
          <w:color w:val="000000" w:themeColor="text1"/>
          <w:sz w:val="22"/>
          <w:szCs w:val="22"/>
        </w:rPr>
        <w:drawing>
          <wp:inline distT="0" distB="0" distL="0" distR="0" wp14:anchorId="06A201AC" wp14:editId="3C599B5D">
            <wp:extent cx="4121150" cy="3079750"/>
            <wp:effectExtent l="0" t="0" r="0" b="6350"/>
            <wp:docPr id="1596584896" name="Chart 1">
              <a:extLst xmlns:a="http://schemas.openxmlformats.org/drawingml/2006/main">
                <a:ext uri="{FF2B5EF4-FFF2-40B4-BE49-F238E27FC236}">
                  <a16:creationId xmlns:a16="http://schemas.microsoft.com/office/drawing/2014/main" id="{CB05C487-12B1-4413-9A7F-2CEE68C5C9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37109B4A" w14:textId="77777777" w:rsidR="00B06A8A" w:rsidRPr="000118A3" w:rsidRDefault="00B06A8A" w:rsidP="00B06A8A">
      <w:pPr>
        <w:pBdr>
          <w:top w:val="nil"/>
          <w:left w:val="nil"/>
          <w:bottom w:val="nil"/>
          <w:right w:val="nil"/>
          <w:between w:val="nil"/>
        </w:pBdr>
        <w:ind w:left="360"/>
        <w:jc w:val="both"/>
        <w:rPr>
          <w:rFonts w:ascii="Times New Roman" w:hAnsi="Times New Roman" w:cs="Times New Roman"/>
          <w:color w:val="000000" w:themeColor="text1"/>
          <w:sz w:val="22"/>
          <w:szCs w:val="22"/>
        </w:rPr>
      </w:pPr>
    </w:p>
    <w:p w14:paraId="13222C9E" w14:textId="507F2F6E" w:rsidR="00B06A8A" w:rsidRPr="000118A3" w:rsidRDefault="00612A70" w:rsidP="00612A70">
      <w:pPr>
        <w:pStyle w:val="Caption"/>
        <w:jc w:val="center"/>
        <w:rPr>
          <w:rFonts w:ascii="Times New Roman" w:hAnsi="Times New Roman" w:cs="Times New Roman"/>
          <w:i w:val="0"/>
          <w:iCs w:val="0"/>
          <w:color w:val="000000" w:themeColor="text1"/>
          <w:sz w:val="22"/>
          <w:szCs w:val="22"/>
        </w:rPr>
      </w:pPr>
      <w:bookmarkStart w:id="140" w:name="_Toc211860816"/>
      <w:bookmarkStart w:id="141" w:name="_Toc217297632"/>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45</w:t>
      </w:r>
      <w:r w:rsidRPr="00612A70">
        <w:rPr>
          <w:rFonts w:ascii="Times New Roman" w:hAnsi="Times New Roman" w:cs="Times New Roman"/>
          <w:i w:val="0"/>
          <w:iCs w:val="0"/>
          <w:color w:val="000000" w:themeColor="text1"/>
          <w:sz w:val="22"/>
          <w:szCs w:val="22"/>
        </w:rPr>
        <w:fldChar w:fldCharType="end"/>
      </w:r>
      <w:r w:rsidR="00D400A4" w:rsidRPr="00612A70">
        <w:rPr>
          <w:rFonts w:ascii="Times New Roman" w:hAnsi="Times New Roman" w:cs="Times New Roman"/>
          <w:i w:val="0"/>
          <w:iCs w:val="0"/>
          <w:color w:val="000000" w:themeColor="text1"/>
          <w:sz w:val="22"/>
          <w:szCs w:val="22"/>
        </w:rPr>
        <w:t xml:space="preserve"> </w:t>
      </w:r>
      <w:r w:rsidR="00B06A8A" w:rsidRPr="00612A70">
        <w:rPr>
          <w:rFonts w:ascii="Times New Roman" w:hAnsi="Times New Roman" w:cs="Times New Roman"/>
          <w:i w:val="0"/>
          <w:iCs w:val="0"/>
          <w:color w:val="000000" w:themeColor="text1"/>
          <w:sz w:val="22"/>
          <w:szCs w:val="22"/>
        </w:rPr>
        <w:t xml:space="preserve"> </w:t>
      </w:r>
      <w:r w:rsidR="00B06A8A" w:rsidRPr="000118A3">
        <w:rPr>
          <w:rFonts w:ascii="Times New Roman" w:hAnsi="Times New Roman" w:cs="Times New Roman"/>
          <w:i w:val="0"/>
          <w:iCs w:val="0"/>
          <w:color w:val="000000" w:themeColor="text1"/>
          <w:sz w:val="22"/>
          <w:szCs w:val="22"/>
        </w:rPr>
        <w:t>Fish production (tonnes) by fisheries sector in the South China Sea from 1950 to 2019</w:t>
      </w:r>
      <w:bookmarkEnd w:id="140"/>
      <w:bookmarkEnd w:id="141"/>
    </w:p>
    <w:p w14:paraId="21166EDC" w14:textId="77777777" w:rsidR="00B06A8A" w:rsidRPr="000118A3" w:rsidRDefault="00B06A8A" w:rsidP="00D400A4">
      <w:pPr>
        <w:pBdr>
          <w:top w:val="nil"/>
          <w:left w:val="nil"/>
          <w:bottom w:val="nil"/>
          <w:right w:val="nil"/>
          <w:between w:val="nil"/>
        </w:pBdr>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lastRenderedPageBreak/>
        <w:t>The fishing effort in the Indonesian regions bordering the South China Sea is characterized by a significant number of fleets, with a mix of inboard, outboard, and non-motorized vessels. According to the table, East Java has the largest total fleet with 57,243 boats, followed by Riau-Batam with 38,189 vessels. The prevalence of non-motorized boats in areas like Riau-Batam (11,612 units) highlights the importance of small-scale artisanal fisheries, which rely heavily on traditional fishing methods and nearshore resources. However, the large numbers of inboard and outboard motorized vessels in key provinces suggest a growing fishing capacity that can exert considerable pressure on fish stocks.</w:t>
      </w:r>
    </w:p>
    <w:p w14:paraId="74A7B001" w14:textId="30498935" w:rsidR="00B06A8A" w:rsidRPr="000118A3" w:rsidRDefault="00B06A8A" w:rsidP="00D400A4">
      <w:pPr>
        <w:pBdr>
          <w:top w:val="nil"/>
          <w:left w:val="nil"/>
          <w:bottom w:val="nil"/>
          <w:right w:val="nil"/>
          <w:between w:val="nil"/>
        </w:pBd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 xml:space="preserve">Figure </w:t>
      </w:r>
      <w:r w:rsidR="00612A70">
        <w:rPr>
          <w:rFonts w:ascii="Times New Roman" w:hAnsi="Times New Roman" w:cs="Times New Roman"/>
          <w:color w:val="000000" w:themeColor="text1"/>
          <w:sz w:val="22"/>
          <w:szCs w:val="22"/>
        </w:rPr>
        <w:t>45</w:t>
      </w:r>
      <w:r w:rsidRPr="000118A3">
        <w:rPr>
          <w:rFonts w:ascii="Times New Roman" w:hAnsi="Times New Roman" w:cs="Times New Roman"/>
          <w:color w:val="000000" w:themeColor="text1"/>
          <w:sz w:val="22"/>
          <w:szCs w:val="22"/>
        </w:rPr>
        <w:t xml:space="preserve"> illustrates the long-term production trend of two main fisheries sectors, artisanal (traditional) and industrial fisheries, which together represent the dominant fishing activities within Indonesia's South China Sea sub-region. From the 1950s to 2019, industrial fisheries production increased exponentially, reaching nearly 600,000 tonnes, while artisanal fisheries showed a steadier but consistent growth, rising from less than 50,000 tonnes in the 1950s to over 300,000 tonnes by 2019. The continuous upward trend in both sectors reflects the expansion of fishing capacity, technological advancement, and market-driven demand for export-oriented species such as tuna, mackerel, and anchovy.</w:t>
      </w:r>
    </w:p>
    <w:p w14:paraId="4187005F" w14:textId="1D92B4BB" w:rsidR="00B06A8A" w:rsidRDefault="00B06A8A" w:rsidP="00B06A8A">
      <w:pPr>
        <w:pStyle w:val="BodyText"/>
        <w:spacing w:before="188"/>
        <w:rPr>
          <w:rFonts w:ascii="Times New Roman" w:hAnsi="Times New Roman" w:cs="Times New Roman"/>
          <w:color w:val="000000" w:themeColor="text1"/>
        </w:rPr>
      </w:pPr>
      <w:r w:rsidRPr="000118A3">
        <w:rPr>
          <w:rFonts w:ascii="Times New Roman" w:hAnsi="Times New Roman" w:cs="Times New Roman"/>
          <w:color w:val="000000" w:themeColor="text1"/>
        </w:rPr>
        <w:t xml:space="preserve">Figure </w:t>
      </w:r>
      <w:r w:rsidR="00612A70">
        <w:rPr>
          <w:rFonts w:ascii="Times New Roman" w:hAnsi="Times New Roman" w:cs="Times New Roman"/>
          <w:color w:val="000000" w:themeColor="text1"/>
        </w:rPr>
        <w:t>45</w:t>
      </w:r>
      <w:r w:rsidRPr="000118A3">
        <w:rPr>
          <w:rFonts w:ascii="Times New Roman" w:hAnsi="Times New Roman" w:cs="Times New Roman"/>
          <w:color w:val="000000" w:themeColor="text1"/>
        </w:rPr>
        <w:t xml:space="preserve"> and Table </w:t>
      </w:r>
      <w:r w:rsidR="00612A70">
        <w:rPr>
          <w:rFonts w:ascii="Times New Roman" w:hAnsi="Times New Roman" w:cs="Times New Roman"/>
          <w:color w:val="000000" w:themeColor="text1"/>
        </w:rPr>
        <w:t>14</w:t>
      </w:r>
      <w:r w:rsidRPr="000118A3">
        <w:rPr>
          <w:rFonts w:ascii="Times New Roman" w:hAnsi="Times New Roman" w:cs="Times New Roman"/>
          <w:color w:val="000000" w:themeColor="text1"/>
        </w:rPr>
        <w:t xml:space="preserve"> reveal a structural dualism in Indonesia's fishing economy, a coexistence between the rapidly modernizing industrial sector, supported by motorized fleets and advanced gear such as purse seiners and hook-and-line systems, and the traditional artisanal sector, which remains vital for coastal livelihoods and local food security. The expansion of industrial fleets correlates with the sharp rise in production after the 1980s, whereas artisanal fisheries growth is constrained by limited vessel capacity and spatial competition in nearshore waters. This dual-sector dynamic underscores the need for differentiated management strategies ensuring industrial efficiency while safeguarding artisanal sustainability, particularly in the WPPNRI 711 region, where both sectors play complementary but increasingly competitive roles.</w:t>
      </w:r>
    </w:p>
    <w:p w14:paraId="6D225DA0" w14:textId="74637CD6" w:rsidR="00B06A8A" w:rsidRPr="000118A3" w:rsidRDefault="00B06A8A" w:rsidP="0086089B">
      <w:pPr>
        <w:pStyle w:val="BodyText"/>
        <w:spacing w:before="188"/>
        <w:rPr>
          <w:rFonts w:ascii="Times New Roman" w:hAnsi="Times New Roman" w:cs="Times New Roman"/>
          <w:b/>
          <w:bCs/>
          <w:color w:val="0070C0"/>
        </w:rPr>
      </w:pPr>
      <w:r w:rsidRPr="000118A3">
        <w:rPr>
          <w:rFonts w:ascii="Times New Roman" w:hAnsi="Times New Roman" w:cs="Times New Roman"/>
          <w:b/>
          <w:bCs/>
          <w:color w:val="0070C0"/>
        </w:rPr>
        <w:t xml:space="preserve"> </w:t>
      </w:r>
      <w:r w:rsidR="007404EC">
        <w:rPr>
          <w:rFonts w:ascii="Times New Roman" w:hAnsi="Times New Roman" w:cs="Times New Roman"/>
          <w:b/>
          <w:bCs/>
          <w:color w:val="0070C0"/>
        </w:rPr>
        <w:t>5.</w:t>
      </w:r>
      <w:r w:rsidR="0086089B" w:rsidRPr="000118A3">
        <w:rPr>
          <w:rFonts w:ascii="Times New Roman" w:hAnsi="Times New Roman" w:cs="Times New Roman"/>
          <w:b/>
          <w:bCs/>
          <w:color w:val="0070C0"/>
        </w:rPr>
        <w:t xml:space="preserve">3.4. </w:t>
      </w:r>
      <w:r w:rsidRPr="000118A3">
        <w:rPr>
          <w:rFonts w:ascii="Times New Roman" w:hAnsi="Times New Roman" w:cs="Times New Roman"/>
          <w:b/>
          <w:bCs/>
          <w:color w:val="0070C0"/>
        </w:rPr>
        <w:t>Stock Numbers and Catch Biomass</w:t>
      </w:r>
    </w:p>
    <w:p w14:paraId="37AE8237" w14:textId="77777777" w:rsidR="00B06A8A" w:rsidRPr="000118A3" w:rsidRDefault="00B06A8A" w:rsidP="006F44B9">
      <w:pPr>
        <w:pBdr>
          <w:top w:val="nil"/>
          <w:left w:val="nil"/>
          <w:bottom w:val="nil"/>
          <w:right w:val="nil"/>
          <w:between w:val="nil"/>
        </w:pBdr>
        <w:jc w:val="both"/>
        <w:rPr>
          <w:rFonts w:ascii="Times New Roman" w:hAnsi="Times New Roman" w:cs="Times New Roman"/>
          <w:color w:val="000000" w:themeColor="text1"/>
          <w:sz w:val="22"/>
          <w:szCs w:val="22"/>
          <w:highlight w:val="green"/>
        </w:rPr>
      </w:pPr>
      <w:r w:rsidRPr="000118A3">
        <w:rPr>
          <w:rFonts w:ascii="Times New Roman" w:hAnsi="Times New Roman" w:cs="Times New Roman"/>
          <w:color w:val="000000" w:themeColor="text1"/>
          <w:sz w:val="22"/>
          <w:szCs w:val="22"/>
        </w:rPr>
        <w:t>Capture fisheries production in the South China Sea has risen steadily from 1950 to the late 2010s, driven by fleet mechanization, technological advancements, expanded fishing grounds, and improved reporting. Production reached its highest levels in the late 2010s, nearly one million tonnes, before dropping sharply in the most recent year, a decline that may reflect stricter management, reporting changes, or reduced resource availability. While the long-term growth trend highlights the sector’s expansion, the recent downturn signals ecological limits and increasing pressure on stocks, emphasizing the need for science-based management, stronger monitoring, and ecosystem-based approaches to maintain sustainability and safeguard coastal livelihoods.</w:t>
      </w:r>
    </w:p>
    <w:p w14:paraId="3CC63D84" w14:textId="77777777" w:rsidR="00B06A8A" w:rsidRPr="000118A3" w:rsidRDefault="00B06A8A" w:rsidP="00612A70">
      <w:pPr>
        <w:pBdr>
          <w:top w:val="nil"/>
          <w:left w:val="nil"/>
          <w:bottom w:val="nil"/>
          <w:right w:val="nil"/>
          <w:between w:val="nil"/>
        </w:pBdr>
        <w:ind w:left="360"/>
        <w:jc w:val="center"/>
        <w:rPr>
          <w:rFonts w:ascii="Times New Roman" w:hAnsi="Times New Roman" w:cs="Times New Roman"/>
          <w:color w:val="000000" w:themeColor="text1"/>
          <w:sz w:val="22"/>
          <w:szCs w:val="22"/>
          <w:highlight w:val="green"/>
        </w:rPr>
      </w:pPr>
      <w:r w:rsidRPr="000118A3">
        <w:rPr>
          <w:rFonts w:ascii="Times New Roman" w:hAnsi="Times New Roman" w:cs="Times New Roman"/>
          <w:noProof/>
          <w:color w:val="000000" w:themeColor="text1"/>
          <w:sz w:val="22"/>
          <w:szCs w:val="22"/>
        </w:rPr>
        <w:drawing>
          <wp:inline distT="0" distB="0" distL="0" distR="0" wp14:anchorId="3DDD91DD" wp14:editId="669131CD">
            <wp:extent cx="4394200" cy="2717800"/>
            <wp:effectExtent l="0" t="0" r="6350" b="6350"/>
            <wp:docPr id="413782673" name="Chart 1">
              <a:extLst xmlns:a="http://schemas.openxmlformats.org/drawingml/2006/main">
                <a:ext uri="{FF2B5EF4-FFF2-40B4-BE49-F238E27FC236}">
                  <a16:creationId xmlns:a16="http://schemas.microsoft.com/office/drawing/2014/main" id="{79218BC2-01F5-4D9E-B1CF-8B2E3B3D5C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1C32BA03" w14:textId="624B6232" w:rsidR="00B06A8A" w:rsidRPr="000118A3" w:rsidRDefault="00612A70" w:rsidP="00612A70">
      <w:pPr>
        <w:pStyle w:val="Caption"/>
        <w:jc w:val="center"/>
        <w:rPr>
          <w:rFonts w:ascii="Times New Roman" w:hAnsi="Times New Roman" w:cs="Times New Roman"/>
          <w:i w:val="0"/>
          <w:iCs w:val="0"/>
          <w:color w:val="000000" w:themeColor="text1"/>
          <w:sz w:val="22"/>
          <w:szCs w:val="22"/>
        </w:rPr>
      </w:pPr>
      <w:bookmarkStart w:id="142" w:name="_Toc211860817"/>
      <w:bookmarkStart w:id="143" w:name="_Toc217297633"/>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46</w:t>
      </w:r>
      <w:r w:rsidRPr="00612A70">
        <w:rPr>
          <w:rFonts w:ascii="Times New Roman" w:hAnsi="Times New Roman" w:cs="Times New Roman"/>
          <w:i w:val="0"/>
          <w:iCs w:val="0"/>
          <w:color w:val="000000" w:themeColor="text1"/>
          <w:sz w:val="22"/>
          <w:szCs w:val="22"/>
        </w:rPr>
        <w:fldChar w:fldCharType="end"/>
      </w:r>
      <w:r w:rsidR="00B06A8A" w:rsidRPr="000118A3">
        <w:rPr>
          <w:rFonts w:ascii="Times New Roman" w:hAnsi="Times New Roman" w:cs="Times New Roman"/>
          <w:i w:val="0"/>
          <w:iCs w:val="0"/>
          <w:color w:val="000000" w:themeColor="text1"/>
          <w:sz w:val="22"/>
          <w:szCs w:val="22"/>
        </w:rPr>
        <w:t xml:space="preserve"> Fish production (tonnes) in the South China Sea from 1950-2019</w:t>
      </w:r>
      <w:bookmarkEnd w:id="142"/>
      <w:r w:rsidR="00B06A8A" w:rsidRPr="000118A3">
        <w:rPr>
          <w:rFonts w:ascii="Times New Roman" w:hAnsi="Times New Roman" w:cs="Times New Roman"/>
          <w:i w:val="0"/>
          <w:iCs w:val="0"/>
          <w:color w:val="000000" w:themeColor="text1"/>
          <w:sz w:val="22"/>
          <w:szCs w:val="22"/>
        </w:rPr>
        <w:t xml:space="preserve"> (FAO, 2022)</w:t>
      </w:r>
      <w:bookmarkEnd w:id="143"/>
    </w:p>
    <w:p w14:paraId="439FE89B" w14:textId="77777777" w:rsidR="00D84F7F" w:rsidRDefault="00B06A8A" w:rsidP="00D84F7F">
      <w:pPr>
        <w:pStyle w:val="ListParagraph"/>
        <w:pBdr>
          <w:top w:val="nil"/>
          <w:left w:val="nil"/>
          <w:bottom w:val="nil"/>
          <w:right w:val="nil"/>
          <w:between w:val="nil"/>
        </w:pBdr>
        <w:jc w:val="center"/>
        <w:rPr>
          <w:rFonts w:ascii="Times New Roman" w:hAnsi="Times New Roman" w:cs="Times New Roman"/>
          <w:color w:val="000000" w:themeColor="text1"/>
          <w:sz w:val="22"/>
          <w:szCs w:val="22"/>
        </w:rPr>
      </w:pPr>
      <w:r w:rsidRPr="000118A3">
        <w:rPr>
          <w:rFonts w:ascii="Times New Roman" w:hAnsi="Times New Roman" w:cs="Times New Roman"/>
          <w:noProof/>
          <w:color w:val="000000" w:themeColor="text1"/>
          <w:sz w:val="22"/>
          <w:szCs w:val="22"/>
        </w:rPr>
        <w:lastRenderedPageBreak/>
        <w:drawing>
          <wp:inline distT="0" distB="0" distL="0" distR="0" wp14:anchorId="258CB7CC" wp14:editId="426E849B">
            <wp:extent cx="4438650" cy="2794000"/>
            <wp:effectExtent l="0" t="0" r="0" b="6350"/>
            <wp:docPr id="1373778525" name="Chart 1">
              <a:extLst xmlns:a="http://schemas.openxmlformats.org/drawingml/2006/main">
                <a:ext uri="{FF2B5EF4-FFF2-40B4-BE49-F238E27FC236}">
                  <a16:creationId xmlns:a16="http://schemas.microsoft.com/office/drawing/2014/main" id="{BFBF0930-A960-4957-832D-B343440A3B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bookmarkStart w:id="144" w:name="_Toc211860818"/>
    </w:p>
    <w:p w14:paraId="4045FDC1" w14:textId="7CB1C90E" w:rsidR="00B06A8A" w:rsidRPr="00612A70" w:rsidRDefault="00612A70" w:rsidP="00612A70">
      <w:pPr>
        <w:pStyle w:val="Caption"/>
        <w:jc w:val="center"/>
        <w:rPr>
          <w:rFonts w:ascii="Times New Roman" w:hAnsi="Times New Roman" w:cs="Times New Roman"/>
          <w:i w:val="0"/>
          <w:iCs w:val="0"/>
          <w:color w:val="000000" w:themeColor="text1"/>
          <w:sz w:val="22"/>
          <w:szCs w:val="22"/>
          <w:highlight w:val="green"/>
        </w:rPr>
      </w:pPr>
      <w:bookmarkStart w:id="145" w:name="_Toc217297634"/>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47</w:t>
      </w:r>
      <w:r w:rsidRPr="00612A70">
        <w:rPr>
          <w:rFonts w:ascii="Times New Roman" w:hAnsi="Times New Roman" w:cs="Times New Roman"/>
          <w:i w:val="0"/>
          <w:iCs w:val="0"/>
          <w:color w:val="000000" w:themeColor="text1"/>
          <w:sz w:val="22"/>
          <w:szCs w:val="22"/>
        </w:rPr>
        <w:fldChar w:fldCharType="end"/>
      </w:r>
      <w:r w:rsidRPr="00612A70">
        <w:rPr>
          <w:rFonts w:ascii="Times New Roman" w:hAnsi="Times New Roman" w:cs="Times New Roman"/>
          <w:i w:val="0"/>
          <w:iCs w:val="0"/>
          <w:color w:val="000000" w:themeColor="text1"/>
          <w:sz w:val="22"/>
          <w:szCs w:val="22"/>
        </w:rPr>
        <w:t xml:space="preserve"> </w:t>
      </w:r>
      <w:r w:rsidR="00B06A8A" w:rsidRPr="00612A70">
        <w:rPr>
          <w:rFonts w:ascii="Times New Roman" w:hAnsi="Times New Roman" w:cs="Times New Roman"/>
          <w:i w:val="0"/>
          <w:iCs w:val="0"/>
          <w:color w:val="000000" w:themeColor="text1"/>
          <w:sz w:val="22"/>
          <w:szCs w:val="22"/>
        </w:rPr>
        <w:t>Fish production value in the South China Sea from 1950-2019</w:t>
      </w:r>
      <w:bookmarkEnd w:id="144"/>
      <w:r w:rsidR="00B06A8A" w:rsidRPr="00612A70">
        <w:rPr>
          <w:rFonts w:ascii="Times New Roman" w:hAnsi="Times New Roman" w:cs="Times New Roman"/>
          <w:i w:val="0"/>
          <w:iCs w:val="0"/>
          <w:color w:val="000000" w:themeColor="text1"/>
          <w:sz w:val="22"/>
          <w:szCs w:val="22"/>
        </w:rPr>
        <w:t xml:space="preserve"> (FAO, 2022)</w:t>
      </w:r>
      <w:bookmarkEnd w:id="145"/>
    </w:p>
    <w:p w14:paraId="0F8718C7" w14:textId="77777777" w:rsidR="00B06A8A" w:rsidRPr="000118A3" w:rsidRDefault="00B06A8A" w:rsidP="00D84F7F">
      <w:pPr>
        <w:pStyle w:val="Caption"/>
        <w:spacing w:before="120" w:after="0"/>
        <w:jc w:val="both"/>
        <w:rPr>
          <w:rFonts w:ascii="Times New Roman" w:hAnsi="Times New Roman" w:cs="Times New Roman"/>
          <w:i w:val="0"/>
          <w:iCs w:val="0"/>
          <w:color w:val="000000" w:themeColor="text1"/>
          <w:sz w:val="22"/>
          <w:szCs w:val="22"/>
        </w:rPr>
      </w:pPr>
      <w:bookmarkStart w:id="146" w:name="_Toc211860797"/>
      <w:bookmarkStart w:id="147" w:name="_Toc211860890"/>
      <w:r w:rsidRPr="000118A3">
        <w:rPr>
          <w:rFonts w:ascii="Times New Roman" w:hAnsi="Times New Roman" w:cs="Times New Roman"/>
          <w:i w:val="0"/>
          <w:iCs w:val="0"/>
          <w:color w:val="000000" w:themeColor="text1"/>
          <w:sz w:val="22"/>
          <w:szCs w:val="22"/>
        </w:rPr>
        <w:t>The economic value of capture fisheries in the South China Sea has grown substantially from 1950 to the late 2010s, rising gradually in the early decades and then sharply from the 1970s onward due to improved technology, offshore expansion, and stronger market integration. After fluctuating through the 1980s and early 2000s, the sector experienced its steepest growth in the mid-2000s, peaking above one trillion rupiah in the early–mid 2010s as demand and prices for high-value species increased. The abrupt decline in the most recent year parallels drops in production, indicating possible reductions in catch, market disruptions, or reporting changes. This trend demonstrates the economic vulnerability of fisheries-dependent regions and reinforces the need for sustainable management to stabilize both biomass and long-term economic returns.</w:t>
      </w:r>
    </w:p>
    <w:p w14:paraId="4CCE3BE5" w14:textId="77777777" w:rsidR="00B06A8A" w:rsidRPr="000118A3" w:rsidRDefault="00B06A8A" w:rsidP="00B06A8A">
      <w:pPr>
        <w:rPr>
          <w:rFonts w:ascii="Times New Roman" w:hAnsi="Times New Roman" w:cs="Times New Roman"/>
          <w:sz w:val="22"/>
          <w:szCs w:val="22"/>
        </w:rPr>
      </w:pPr>
    </w:p>
    <w:p w14:paraId="1EDCA379" w14:textId="080513AE" w:rsidR="00B06A8A" w:rsidRPr="000118A3" w:rsidRDefault="00B06A8A" w:rsidP="00B06A8A">
      <w:pPr>
        <w:pStyle w:val="Caption"/>
        <w:spacing w:after="0"/>
        <w:rPr>
          <w:rFonts w:ascii="Times New Roman" w:hAnsi="Times New Roman" w:cs="Times New Roman"/>
          <w:i w:val="0"/>
          <w:iCs w:val="0"/>
          <w:color w:val="000000" w:themeColor="text1"/>
          <w:sz w:val="22"/>
          <w:szCs w:val="22"/>
        </w:rPr>
      </w:pPr>
      <w:bookmarkStart w:id="148" w:name="_Toc217297660"/>
      <w:r w:rsidRPr="000118A3">
        <w:rPr>
          <w:rFonts w:ascii="Times New Roman" w:hAnsi="Times New Roman" w:cs="Times New Roman"/>
          <w:i w:val="0"/>
          <w:iCs w:val="0"/>
          <w:color w:val="000000" w:themeColor="text1"/>
          <w:sz w:val="22"/>
          <w:szCs w:val="22"/>
        </w:rPr>
        <w:t xml:space="preserve">Table </w:t>
      </w:r>
      <w:r w:rsidRPr="000118A3">
        <w:rPr>
          <w:rFonts w:ascii="Times New Roman" w:hAnsi="Times New Roman" w:cs="Times New Roman"/>
          <w:i w:val="0"/>
          <w:iCs w:val="0"/>
          <w:color w:val="000000" w:themeColor="text1"/>
          <w:sz w:val="22"/>
          <w:szCs w:val="22"/>
        </w:rPr>
        <w:fldChar w:fldCharType="begin"/>
      </w:r>
      <w:r w:rsidRPr="000118A3">
        <w:rPr>
          <w:rFonts w:ascii="Times New Roman" w:hAnsi="Times New Roman" w:cs="Times New Roman"/>
          <w:i w:val="0"/>
          <w:iCs w:val="0"/>
          <w:color w:val="000000" w:themeColor="text1"/>
          <w:sz w:val="22"/>
          <w:szCs w:val="22"/>
        </w:rPr>
        <w:instrText xml:space="preserve"> SEQ Table \* ARABIC </w:instrText>
      </w:r>
      <w:r w:rsidRPr="000118A3">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15</w:t>
      </w:r>
      <w:r w:rsidRPr="000118A3">
        <w:rPr>
          <w:rFonts w:ascii="Times New Roman" w:hAnsi="Times New Roman" w:cs="Times New Roman"/>
          <w:i w:val="0"/>
          <w:iCs w:val="0"/>
          <w:color w:val="000000" w:themeColor="text1"/>
          <w:sz w:val="22"/>
          <w:szCs w:val="22"/>
        </w:rPr>
        <w:fldChar w:fldCharType="end"/>
      </w:r>
      <w:r w:rsidRPr="000118A3">
        <w:rPr>
          <w:rFonts w:ascii="Times New Roman" w:hAnsi="Times New Roman" w:cs="Times New Roman"/>
          <w:i w:val="0"/>
          <w:iCs w:val="0"/>
          <w:color w:val="000000" w:themeColor="text1"/>
          <w:sz w:val="22"/>
          <w:szCs w:val="22"/>
        </w:rPr>
        <w:t xml:space="preserve"> Exploitation level in the South China Sea from 1950 to 2019</w:t>
      </w:r>
      <w:bookmarkEnd w:id="146"/>
      <w:bookmarkEnd w:id="147"/>
      <w:bookmarkEnd w:id="148"/>
    </w:p>
    <w:tbl>
      <w:tblPr>
        <w:tblW w:w="9785" w:type="dxa"/>
        <w:tblInd w:w="-8" w:type="dxa"/>
        <w:tblLayout w:type="fixed"/>
        <w:tblCellMar>
          <w:left w:w="0" w:type="dxa"/>
          <w:right w:w="0" w:type="dxa"/>
        </w:tblCellMar>
        <w:tblLook w:val="04A0" w:firstRow="1" w:lastRow="0" w:firstColumn="1" w:lastColumn="0" w:noHBand="0" w:noVBand="1"/>
      </w:tblPr>
      <w:tblGrid>
        <w:gridCol w:w="993"/>
        <w:gridCol w:w="1134"/>
        <w:gridCol w:w="993"/>
        <w:gridCol w:w="992"/>
        <w:gridCol w:w="992"/>
        <w:gridCol w:w="1134"/>
        <w:gridCol w:w="992"/>
        <w:gridCol w:w="993"/>
        <w:gridCol w:w="708"/>
        <w:gridCol w:w="854"/>
      </w:tblGrid>
      <w:tr w:rsidR="00B06A8A" w:rsidRPr="000118A3" w14:paraId="3CF9F74E" w14:textId="77777777" w:rsidTr="00D84F7F">
        <w:trPr>
          <w:trHeight w:val="300"/>
        </w:trPr>
        <w:tc>
          <w:tcPr>
            <w:tcW w:w="993" w:type="dxa"/>
            <w:vMerge w:val="restart"/>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11782649" w14:textId="77777777" w:rsidR="00B06A8A" w:rsidRPr="000118A3" w:rsidRDefault="00B06A8A" w:rsidP="00D84F7F">
            <w:pPr>
              <w:pBdr>
                <w:top w:val="nil"/>
                <w:left w:val="nil"/>
                <w:bottom w:val="nil"/>
                <w:right w:val="nil"/>
                <w:between w:val="nil"/>
              </w:pBdr>
              <w:jc w:val="cente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Country/Sub-Regions or coastal provinces</w:t>
            </w:r>
          </w:p>
        </w:tc>
        <w:tc>
          <w:tcPr>
            <w:tcW w:w="8792" w:type="dxa"/>
            <w:gridSpan w:val="9"/>
            <w:tcBorders>
              <w:top w:val="single" w:sz="6" w:space="0" w:color="000000"/>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49618361" w14:textId="77777777" w:rsidR="00B06A8A" w:rsidRPr="000118A3" w:rsidRDefault="00B06A8A" w:rsidP="00D84F7F">
            <w:pPr>
              <w:pBdr>
                <w:top w:val="nil"/>
                <w:left w:val="nil"/>
                <w:bottom w:val="nil"/>
                <w:right w:val="nil"/>
                <w:between w:val="nil"/>
              </w:pBdr>
              <w:jc w:val="cente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Resource Categories (Fish Species Groups)</w:t>
            </w:r>
          </w:p>
        </w:tc>
      </w:tr>
      <w:tr w:rsidR="00B06A8A" w:rsidRPr="000118A3" w14:paraId="6359DEE4" w14:textId="77777777" w:rsidTr="00D84F7F">
        <w:trPr>
          <w:trHeight w:val="780"/>
        </w:trPr>
        <w:tc>
          <w:tcPr>
            <w:tcW w:w="993" w:type="dxa"/>
            <w:vMerge/>
            <w:tcBorders>
              <w:top w:val="single" w:sz="6" w:space="0" w:color="CCCCCC"/>
              <w:left w:val="single" w:sz="6" w:space="0" w:color="CCCCCC"/>
              <w:bottom w:val="single" w:sz="6" w:space="0" w:color="000000"/>
              <w:right w:val="single" w:sz="6" w:space="0" w:color="000000"/>
            </w:tcBorders>
            <w:vAlign w:val="center"/>
            <w:hideMark/>
          </w:tcPr>
          <w:p w14:paraId="5C9147B9"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4C795C9F"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p>
        </w:tc>
        <w:tc>
          <w:tcPr>
            <w:tcW w:w="993" w:type="dxa"/>
            <w:vMerge w:val="restart"/>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66E3267D"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Miscellaneous demersal fishes</w:t>
            </w:r>
          </w:p>
        </w:tc>
        <w:tc>
          <w:tcPr>
            <w:tcW w:w="1984" w:type="dxa"/>
            <w:gridSpan w:val="2"/>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33486460"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Miscellaneous pelagic fishes</w:t>
            </w:r>
          </w:p>
        </w:tc>
        <w:tc>
          <w:tcPr>
            <w:tcW w:w="1134" w:type="dxa"/>
            <w:vMerge w:val="restart"/>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7B3F7DFB"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Squids, cuttlefish, and Octopus</w:t>
            </w:r>
          </w:p>
        </w:tc>
        <w:tc>
          <w:tcPr>
            <w:tcW w:w="3547" w:type="dxa"/>
            <w:gridSpan w:val="4"/>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4DD0EE7C" w14:textId="77777777" w:rsidR="00B06A8A" w:rsidRPr="000118A3" w:rsidRDefault="00B06A8A" w:rsidP="00671D7D">
            <w:pPr>
              <w:pBdr>
                <w:top w:val="nil"/>
                <w:left w:val="nil"/>
                <w:bottom w:val="nil"/>
                <w:right w:val="nil"/>
                <w:between w:val="nil"/>
              </w:pBdr>
              <w:jc w:val="cente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Crustaceans nei</w:t>
            </w:r>
          </w:p>
        </w:tc>
      </w:tr>
      <w:tr w:rsidR="00B06A8A" w:rsidRPr="000118A3" w14:paraId="0260FF27" w14:textId="77777777" w:rsidTr="00D84F7F">
        <w:trPr>
          <w:trHeight w:val="960"/>
        </w:trPr>
        <w:tc>
          <w:tcPr>
            <w:tcW w:w="993" w:type="dxa"/>
            <w:vMerge/>
            <w:tcBorders>
              <w:top w:val="single" w:sz="6" w:space="0" w:color="CCCCCC"/>
              <w:left w:val="single" w:sz="6" w:space="0" w:color="CCCCCC"/>
              <w:bottom w:val="single" w:sz="6" w:space="0" w:color="000000"/>
              <w:right w:val="single" w:sz="6" w:space="0" w:color="000000"/>
            </w:tcBorders>
            <w:vAlign w:val="center"/>
            <w:hideMark/>
          </w:tcPr>
          <w:p w14:paraId="09C8B47D"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73C0C2D9"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p>
        </w:tc>
        <w:tc>
          <w:tcPr>
            <w:tcW w:w="993" w:type="dxa"/>
            <w:vMerge/>
            <w:tcBorders>
              <w:top w:val="single" w:sz="6" w:space="0" w:color="CCCCCC"/>
              <w:left w:val="single" w:sz="6" w:space="0" w:color="CCCCCC"/>
              <w:bottom w:val="single" w:sz="6" w:space="0" w:color="000000"/>
              <w:right w:val="single" w:sz="6" w:space="0" w:color="000000"/>
            </w:tcBorders>
            <w:vAlign w:val="center"/>
            <w:hideMark/>
          </w:tcPr>
          <w:p w14:paraId="44FFFBD0"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p>
        </w:tc>
        <w:tc>
          <w:tcPr>
            <w:tcW w:w="992"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2B6C3381"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Small Pelagic</w:t>
            </w:r>
          </w:p>
        </w:tc>
        <w:tc>
          <w:tcPr>
            <w:tcW w:w="992"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7100A6A4"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Big Pelagic</w:t>
            </w:r>
          </w:p>
        </w:tc>
        <w:tc>
          <w:tcPr>
            <w:tcW w:w="1134" w:type="dxa"/>
            <w:vMerge/>
            <w:tcBorders>
              <w:top w:val="single" w:sz="6" w:space="0" w:color="CCCCCC"/>
              <w:left w:val="single" w:sz="6" w:space="0" w:color="CCCCCC"/>
              <w:bottom w:val="single" w:sz="6" w:space="0" w:color="000000"/>
              <w:right w:val="single" w:sz="6" w:space="0" w:color="000000"/>
            </w:tcBorders>
            <w:vAlign w:val="center"/>
            <w:hideMark/>
          </w:tcPr>
          <w:p w14:paraId="4105C60F"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p>
        </w:tc>
        <w:tc>
          <w:tcPr>
            <w:tcW w:w="992"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158BF742"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Shrimp</w:t>
            </w:r>
          </w:p>
        </w:tc>
        <w:tc>
          <w:tcPr>
            <w:tcW w:w="993"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35994F3B"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Lobster</w:t>
            </w:r>
          </w:p>
        </w:tc>
        <w:tc>
          <w:tcPr>
            <w:tcW w:w="708"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5581635F"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Crab</w:t>
            </w:r>
          </w:p>
        </w:tc>
        <w:tc>
          <w:tcPr>
            <w:tcW w:w="854" w:type="dxa"/>
            <w:tcBorders>
              <w:top w:val="single" w:sz="6" w:space="0" w:color="CCCCCC"/>
              <w:left w:val="single" w:sz="6" w:space="0" w:color="CCCCCC"/>
              <w:bottom w:val="single" w:sz="6" w:space="0" w:color="000000"/>
              <w:right w:val="single" w:sz="6" w:space="0" w:color="000000"/>
            </w:tcBorders>
            <w:shd w:val="clear" w:color="auto" w:fill="F2F2F2"/>
            <w:tcMar>
              <w:top w:w="0" w:type="dxa"/>
              <w:left w:w="45" w:type="dxa"/>
              <w:bottom w:w="0" w:type="dxa"/>
              <w:right w:w="45" w:type="dxa"/>
            </w:tcMar>
            <w:vAlign w:val="center"/>
            <w:hideMark/>
          </w:tcPr>
          <w:p w14:paraId="5FCE24A7"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Blue Crab</w:t>
            </w:r>
          </w:p>
        </w:tc>
      </w:tr>
      <w:tr w:rsidR="00B06A8A" w:rsidRPr="000118A3" w14:paraId="6A853D6B" w14:textId="77777777" w:rsidTr="00D84F7F">
        <w:trPr>
          <w:trHeight w:val="300"/>
        </w:trPr>
        <w:tc>
          <w:tcPr>
            <w:tcW w:w="9785" w:type="dxa"/>
            <w:gridSpan w:val="10"/>
            <w:tcBorders>
              <w:top w:val="single" w:sz="6" w:space="0" w:color="CCCCCC"/>
              <w:left w:val="single" w:sz="6" w:space="0" w:color="000000"/>
              <w:bottom w:val="single" w:sz="6" w:space="0" w:color="000000"/>
              <w:right w:val="single" w:sz="6" w:space="0" w:color="CCCCCC"/>
            </w:tcBorders>
            <w:tcMar>
              <w:top w:w="0" w:type="dxa"/>
              <w:left w:w="45" w:type="dxa"/>
              <w:bottom w:w="0" w:type="dxa"/>
              <w:right w:w="45" w:type="dxa"/>
            </w:tcMar>
            <w:vAlign w:val="bottom"/>
            <w:hideMark/>
          </w:tcPr>
          <w:p w14:paraId="5E291E88" w14:textId="77777777" w:rsidR="00B06A8A" w:rsidRPr="000118A3" w:rsidRDefault="00B06A8A" w:rsidP="00671D7D">
            <w:pPr>
              <w:pBdr>
                <w:top w:val="nil"/>
                <w:left w:val="nil"/>
                <w:bottom w:val="nil"/>
                <w:right w:val="nil"/>
                <w:between w:val="nil"/>
              </w:pBdr>
              <w:rPr>
                <w:rFonts w:ascii="Times New Roman" w:hAnsi="Times New Roman" w:cs="Times New Roman"/>
                <w:b/>
                <w:bCs/>
                <w:color w:val="000000" w:themeColor="text1"/>
                <w:sz w:val="22"/>
                <w:szCs w:val="22"/>
              </w:rPr>
            </w:pPr>
            <w:r w:rsidRPr="000118A3">
              <w:rPr>
                <w:rFonts w:ascii="Times New Roman" w:hAnsi="Times New Roman" w:cs="Times New Roman"/>
                <w:b/>
                <w:bCs/>
                <w:color w:val="000000" w:themeColor="text1"/>
                <w:sz w:val="22"/>
                <w:szCs w:val="22"/>
              </w:rPr>
              <w:t>Indonesia</w:t>
            </w:r>
          </w:p>
        </w:tc>
      </w:tr>
      <w:tr w:rsidR="00B06A8A" w:rsidRPr="000118A3" w14:paraId="13EB8AA4" w14:textId="77777777" w:rsidTr="00D84F7F">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149225F0"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Riau-Batam</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5C62986"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E33E28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131,070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7854D2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330,284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FEC8B6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185,855</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0ADEDC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23,499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B86C314"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62,342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BF6B86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1,421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30DDF2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2,318</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635AAF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9,711</w:t>
            </w:r>
          </w:p>
        </w:tc>
      </w:tr>
      <w:tr w:rsidR="00B06A8A" w:rsidRPr="000118A3" w14:paraId="54D1FEA3"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4E326AB4"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F344CE9"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4777877"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104,856</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6551D6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264,227</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A56171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148,684</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3C1A8C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18,799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7757E37"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49,874</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177D13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1,137</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CA2A8B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1,854</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72E432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7,769</w:t>
            </w:r>
          </w:p>
        </w:tc>
      </w:tr>
      <w:tr w:rsidR="00B06A8A" w:rsidRPr="000118A3" w14:paraId="19B67506"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17228F28"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3DAA024"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153E37C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0.61</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0EEFB28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1.41</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1CA1A776"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0.93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00A2245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1.84</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675932E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0.53</w:t>
            </w:r>
          </w:p>
        </w:tc>
        <w:tc>
          <w:tcPr>
            <w:tcW w:w="993"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6403FB67"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0.54</w:t>
            </w:r>
          </w:p>
        </w:tc>
        <w:tc>
          <w:tcPr>
            <w:tcW w:w="708"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07D0780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1.09</w:t>
            </w:r>
          </w:p>
        </w:tc>
        <w:tc>
          <w:tcPr>
            <w:tcW w:w="85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6399AE0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1.18</w:t>
            </w:r>
          </w:p>
        </w:tc>
      </w:tr>
      <w:tr w:rsidR="00B06A8A" w:rsidRPr="000118A3" w14:paraId="0D8EE838" w14:textId="77777777" w:rsidTr="00D84F7F">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7B43449"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Bangka-Belitung and South Sumatra</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746847A"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754F96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131,070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1F0263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330,284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4F7620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185,855</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179649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23,499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915B75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62,342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127A2C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1,421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89C972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2,318</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A5F1AA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9,711</w:t>
            </w:r>
          </w:p>
        </w:tc>
      </w:tr>
      <w:tr w:rsidR="00B06A8A" w:rsidRPr="000118A3" w14:paraId="13AC6E0C"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3E6F5481"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009C07D"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12A5D45"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104,856</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148DC15"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264,227</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32FFE6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148,684</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3406B8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18,799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96AAC6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49,874</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C65D83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1,137</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A25AC07"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1,854</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245326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7,769</w:t>
            </w:r>
          </w:p>
        </w:tc>
      </w:tr>
      <w:tr w:rsidR="00B06A8A" w:rsidRPr="000118A3" w14:paraId="4ADFFEB8"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59066BC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66235BE"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60B4A28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0.61</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0CCCBD9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1.41</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2592E0F7"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0.93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0ECD2EA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1.84</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7083D57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0.53</w:t>
            </w:r>
          </w:p>
        </w:tc>
        <w:tc>
          <w:tcPr>
            <w:tcW w:w="993"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0CA05E45"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0.54</w:t>
            </w:r>
          </w:p>
        </w:tc>
        <w:tc>
          <w:tcPr>
            <w:tcW w:w="708"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7F4D273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1.09</w:t>
            </w:r>
          </w:p>
        </w:tc>
        <w:tc>
          <w:tcPr>
            <w:tcW w:w="85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4DE7A634"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1.18</w:t>
            </w:r>
          </w:p>
        </w:tc>
      </w:tr>
      <w:tr w:rsidR="00B06A8A" w:rsidRPr="000118A3" w14:paraId="4431EC24" w14:textId="77777777" w:rsidTr="00D84F7F">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0E3BACE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Jakarta and West Java</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2655F35"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60231B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657,525</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D39516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364,663</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AF4D12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72,812</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D08C53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126,554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482DF7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57,965</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BC2D3A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989</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C3FAE0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7,664</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204FB84"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23,508</w:t>
            </w:r>
          </w:p>
        </w:tc>
      </w:tr>
      <w:tr w:rsidR="00B06A8A" w:rsidRPr="000118A3" w14:paraId="672E92A4"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4A3CFE37"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0F1555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564419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526,020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234831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291,730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396B9C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58,250</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862547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101,243</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F4E7FF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46,372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191004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791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2C5595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6,131</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800865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18,806</w:t>
            </w:r>
          </w:p>
        </w:tc>
      </w:tr>
      <w:tr w:rsidR="00B06A8A" w:rsidRPr="000118A3" w14:paraId="39AA2BBF"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00BC9205"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D3A87A1"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2972261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0.83</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1B2B6C2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0.38</w:t>
            </w:r>
          </w:p>
        </w:tc>
        <w:tc>
          <w:tcPr>
            <w:tcW w:w="992"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6BE04E4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0.63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1727282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2.02</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543B07B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1.11</w:t>
            </w:r>
          </w:p>
        </w:tc>
        <w:tc>
          <w:tcPr>
            <w:tcW w:w="993"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77A34114"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1.36</w:t>
            </w:r>
          </w:p>
        </w:tc>
        <w:tc>
          <w:tcPr>
            <w:tcW w:w="708"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4D04A16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0.7</w:t>
            </w:r>
          </w:p>
        </w:tc>
        <w:tc>
          <w:tcPr>
            <w:tcW w:w="854"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45B130C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0.65</w:t>
            </w:r>
          </w:p>
        </w:tc>
      </w:tr>
      <w:tr w:rsidR="00B06A8A" w:rsidRPr="000118A3" w14:paraId="6953015C" w14:textId="77777777" w:rsidTr="00D84F7F">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05D2137"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East Java</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FD02B3A"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017074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657,525</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E7F9D1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364,663</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0B96054"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72,812</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2B1577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126,554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875987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57,965</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2661EF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989</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2BDA8A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7,664</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0FB720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23,508</w:t>
            </w:r>
          </w:p>
        </w:tc>
      </w:tr>
      <w:tr w:rsidR="00B06A8A" w:rsidRPr="000118A3" w14:paraId="6ED91F0E"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30681FCF"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5990591"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A775C7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526,020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0227A46"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291,730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5B9A8D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58,250</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E8E4E8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101,243</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466E9B5"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46,372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B2090B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791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B5D36D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6,131</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20CC47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18,806</w:t>
            </w:r>
          </w:p>
        </w:tc>
      </w:tr>
      <w:tr w:rsidR="00B06A8A" w:rsidRPr="000118A3" w14:paraId="7276DA8E"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1A894D9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072EDF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74207246"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0.83</w:t>
            </w:r>
          </w:p>
        </w:tc>
        <w:tc>
          <w:tcPr>
            <w:tcW w:w="992" w:type="dxa"/>
            <w:tcBorders>
              <w:top w:val="single" w:sz="6" w:space="0" w:color="CCCCCC"/>
              <w:left w:val="single" w:sz="6" w:space="0" w:color="CCCCCC"/>
              <w:bottom w:val="single" w:sz="6" w:space="0" w:color="000000"/>
              <w:right w:val="single" w:sz="6" w:space="0" w:color="000000"/>
            </w:tcBorders>
            <w:shd w:val="clear" w:color="auto" w:fill="4EA72E"/>
            <w:tcMar>
              <w:top w:w="0" w:type="dxa"/>
              <w:left w:w="45" w:type="dxa"/>
              <w:bottom w:w="0" w:type="dxa"/>
              <w:right w:w="45" w:type="dxa"/>
            </w:tcMar>
            <w:vAlign w:val="bottom"/>
            <w:hideMark/>
          </w:tcPr>
          <w:p w14:paraId="1BCCDB3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0.38</w:t>
            </w:r>
          </w:p>
        </w:tc>
        <w:tc>
          <w:tcPr>
            <w:tcW w:w="992"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1D01D91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0.63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6AF13B16"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2.02</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4374B9F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1.11</w:t>
            </w:r>
          </w:p>
        </w:tc>
        <w:tc>
          <w:tcPr>
            <w:tcW w:w="993"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701040F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1.36</w:t>
            </w:r>
          </w:p>
        </w:tc>
        <w:tc>
          <w:tcPr>
            <w:tcW w:w="708"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3A99B2C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0.7</w:t>
            </w:r>
          </w:p>
        </w:tc>
        <w:tc>
          <w:tcPr>
            <w:tcW w:w="854"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356B5A6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0.65</w:t>
            </w:r>
          </w:p>
        </w:tc>
      </w:tr>
      <w:tr w:rsidR="00B06A8A" w:rsidRPr="000118A3" w14:paraId="63BF92EE" w14:textId="77777777" w:rsidTr="00D84F7F">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54AB76F1"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South Kalimantan</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0FED10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AA6768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252,869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F1CEEB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208,414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3FF5AC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645,058</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64AF5F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10,519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4C9CA0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30,404</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C57960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927</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7245D1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4,347</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913480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5,463</w:t>
            </w:r>
          </w:p>
        </w:tc>
      </w:tr>
      <w:tr w:rsidR="00B06A8A" w:rsidRPr="000118A3" w14:paraId="77B9E67F"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4774927F"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5E24EA67"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9414A35"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202,295</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8C8B675"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166,731</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70C933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516,046</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878E10D"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8,415</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05E869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24,323</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55D302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742</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30D535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3,478</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141E34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4,370</w:t>
            </w:r>
          </w:p>
        </w:tc>
      </w:tr>
      <w:tr w:rsidR="00B06A8A" w:rsidRPr="000118A3" w14:paraId="35E59DCB"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31CC9B10"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1657148"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Level of Utilization</w:t>
            </w:r>
          </w:p>
        </w:tc>
        <w:tc>
          <w:tcPr>
            <w:tcW w:w="993"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7BB7A10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0.96</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4EA9B3D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1.23</w:t>
            </w:r>
          </w:p>
        </w:tc>
        <w:tc>
          <w:tcPr>
            <w:tcW w:w="992"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5F65AD7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1.13</w:t>
            </w:r>
          </w:p>
        </w:tc>
        <w:tc>
          <w:tcPr>
            <w:tcW w:w="1134"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5ABC0D4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1.19</w:t>
            </w:r>
          </w:p>
        </w:tc>
        <w:tc>
          <w:tcPr>
            <w:tcW w:w="992"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7B55A02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0.52</w:t>
            </w:r>
          </w:p>
        </w:tc>
        <w:tc>
          <w:tcPr>
            <w:tcW w:w="993" w:type="dxa"/>
            <w:tcBorders>
              <w:top w:val="single" w:sz="6" w:space="0" w:color="CCCCCC"/>
              <w:left w:val="single" w:sz="6" w:space="0" w:color="CCCCCC"/>
              <w:bottom w:val="single" w:sz="6" w:space="0" w:color="000000"/>
              <w:right w:val="single" w:sz="6" w:space="0" w:color="000000"/>
            </w:tcBorders>
            <w:shd w:val="clear" w:color="auto" w:fill="C00000"/>
            <w:tcMar>
              <w:top w:w="0" w:type="dxa"/>
              <w:left w:w="45" w:type="dxa"/>
              <w:bottom w:w="0" w:type="dxa"/>
              <w:right w:w="45" w:type="dxa"/>
            </w:tcMar>
            <w:vAlign w:val="bottom"/>
            <w:hideMark/>
          </w:tcPr>
          <w:p w14:paraId="1EEEBA36"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w:t>
            </w:r>
          </w:p>
        </w:tc>
        <w:tc>
          <w:tcPr>
            <w:tcW w:w="708"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476A77C4"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0.83</w:t>
            </w:r>
          </w:p>
        </w:tc>
        <w:tc>
          <w:tcPr>
            <w:tcW w:w="854" w:type="dxa"/>
            <w:tcBorders>
              <w:top w:val="single" w:sz="6" w:space="0" w:color="CCCCCC"/>
              <w:left w:val="single" w:sz="6" w:space="0" w:color="CCCCCC"/>
              <w:bottom w:val="single" w:sz="6" w:space="0" w:color="000000"/>
              <w:right w:val="single" w:sz="6" w:space="0" w:color="000000"/>
            </w:tcBorders>
            <w:shd w:val="clear" w:color="auto" w:fill="FFFF00"/>
            <w:tcMar>
              <w:top w:w="0" w:type="dxa"/>
              <w:left w:w="45" w:type="dxa"/>
              <w:bottom w:w="0" w:type="dxa"/>
              <w:right w:w="45" w:type="dxa"/>
            </w:tcMar>
            <w:vAlign w:val="bottom"/>
            <w:hideMark/>
          </w:tcPr>
          <w:p w14:paraId="5A81855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0.73</w:t>
            </w:r>
          </w:p>
        </w:tc>
      </w:tr>
      <w:tr w:rsidR="00B06A8A" w:rsidRPr="000118A3" w14:paraId="6560D9FB" w14:textId="77777777" w:rsidTr="00D84F7F">
        <w:trPr>
          <w:trHeight w:val="300"/>
        </w:trPr>
        <w:tc>
          <w:tcPr>
            <w:tcW w:w="993" w:type="dxa"/>
            <w:vMerge w:val="restart"/>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center"/>
            <w:hideMark/>
          </w:tcPr>
          <w:p w14:paraId="44E35541"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West Kalimantan</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604A76A7"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Potency</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23B6CEE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131,070</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72CD694"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330,284</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E30B100"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185,855</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D03208C"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23,499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C0462A4"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62,342</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F4907DF"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1,421</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FBFA4C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2,318</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620DA3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9,711</w:t>
            </w:r>
          </w:p>
        </w:tc>
      </w:tr>
      <w:tr w:rsidR="00B06A8A" w:rsidRPr="000118A3" w14:paraId="026694DE" w14:textId="77777777" w:rsidTr="00D84F7F">
        <w:trPr>
          <w:trHeight w:val="300"/>
        </w:trPr>
        <w:tc>
          <w:tcPr>
            <w:tcW w:w="993" w:type="dxa"/>
            <w:vMerge/>
            <w:tcBorders>
              <w:top w:val="single" w:sz="6" w:space="0" w:color="CCCCCC"/>
              <w:left w:val="single" w:sz="6" w:space="0" w:color="000000"/>
              <w:bottom w:val="single" w:sz="6" w:space="0" w:color="000000"/>
              <w:right w:val="single" w:sz="6" w:space="0" w:color="000000"/>
            </w:tcBorders>
            <w:vAlign w:val="center"/>
            <w:hideMark/>
          </w:tcPr>
          <w:p w14:paraId="4F975636"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BD34243"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TAC</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2A1ECB6"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104,856</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903035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264,227</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13A513B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148,684</w:t>
            </w:r>
          </w:p>
        </w:tc>
        <w:tc>
          <w:tcPr>
            <w:tcW w:w="113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3EF2939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18,799</w:t>
            </w:r>
          </w:p>
        </w:tc>
        <w:tc>
          <w:tcPr>
            <w:tcW w:w="992"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B1523E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49,874</w:t>
            </w:r>
          </w:p>
        </w:tc>
        <w:tc>
          <w:tcPr>
            <w:tcW w:w="99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7510490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1,137</w:t>
            </w:r>
          </w:p>
        </w:tc>
        <w:tc>
          <w:tcPr>
            <w:tcW w:w="708"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0CCDD32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1,854</w:t>
            </w:r>
          </w:p>
        </w:tc>
        <w:tc>
          <w:tcPr>
            <w:tcW w:w="854"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14:paraId="4F296723"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7,769</w:t>
            </w:r>
          </w:p>
        </w:tc>
      </w:tr>
      <w:tr w:rsidR="00B06A8A" w:rsidRPr="000118A3" w14:paraId="1BE83519" w14:textId="77777777" w:rsidTr="00D84F7F">
        <w:trPr>
          <w:trHeight w:val="300"/>
        </w:trPr>
        <w:tc>
          <w:tcPr>
            <w:tcW w:w="993" w:type="dxa"/>
            <w:vMerge/>
            <w:tcBorders>
              <w:top w:val="single" w:sz="6" w:space="0" w:color="CCCCCC"/>
              <w:left w:val="single" w:sz="6" w:space="0" w:color="000000"/>
              <w:bottom w:val="single" w:sz="4" w:space="0" w:color="auto"/>
              <w:right w:val="single" w:sz="6" w:space="0" w:color="000000"/>
            </w:tcBorders>
            <w:vAlign w:val="center"/>
            <w:hideMark/>
          </w:tcPr>
          <w:p w14:paraId="3469B262"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6" w:space="0" w:color="CCCCCC"/>
              <w:left w:val="single" w:sz="6" w:space="0" w:color="CCCCCC"/>
              <w:bottom w:val="single" w:sz="4" w:space="0" w:color="auto"/>
              <w:right w:val="single" w:sz="6" w:space="0" w:color="000000"/>
            </w:tcBorders>
            <w:tcMar>
              <w:top w:w="0" w:type="dxa"/>
              <w:left w:w="45" w:type="dxa"/>
              <w:bottom w:w="0" w:type="dxa"/>
              <w:right w:w="45" w:type="dxa"/>
            </w:tcMar>
            <w:vAlign w:val="bottom"/>
            <w:hideMark/>
          </w:tcPr>
          <w:p w14:paraId="55ED3A1C"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Level of Utilization</w:t>
            </w:r>
          </w:p>
        </w:tc>
        <w:tc>
          <w:tcPr>
            <w:tcW w:w="993" w:type="dxa"/>
            <w:tcBorders>
              <w:top w:val="single" w:sz="6" w:space="0" w:color="CCCCCC"/>
              <w:left w:val="single" w:sz="6" w:space="0" w:color="CCCCCC"/>
              <w:bottom w:val="single" w:sz="4" w:space="0" w:color="auto"/>
              <w:right w:val="single" w:sz="6" w:space="0" w:color="000000"/>
            </w:tcBorders>
            <w:shd w:val="clear" w:color="auto" w:fill="4EA72E"/>
            <w:tcMar>
              <w:top w:w="0" w:type="dxa"/>
              <w:left w:w="45" w:type="dxa"/>
              <w:bottom w:w="0" w:type="dxa"/>
              <w:right w:w="45" w:type="dxa"/>
            </w:tcMar>
            <w:vAlign w:val="bottom"/>
            <w:hideMark/>
          </w:tcPr>
          <w:p w14:paraId="08DB333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0.61</w:t>
            </w:r>
          </w:p>
        </w:tc>
        <w:tc>
          <w:tcPr>
            <w:tcW w:w="992" w:type="dxa"/>
            <w:tcBorders>
              <w:top w:val="single" w:sz="6" w:space="0" w:color="CCCCCC"/>
              <w:left w:val="single" w:sz="6" w:space="0" w:color="CCCCCC"/>
              <w:bottom w:val="single" w:sz="4" w:space="0" w:color="auto"/>
              <w:right w:val="single" w:sz="6" w:space="0" w:color="000000"/>
            </w:tcBorders>
            <w:shd w:val="clear" w:color="auto" w:fill="C00000"/>
            <w:tcMar>
              <w:top w:w="0" w:type="dxa"/>
              <w:left w:w="45" w:type="dxa"/>
              <w:bottom w:w="0" w:type="dxa"/>
              <w:right w:w="45" w:type="dxa"/>
            </w:tcMar>
            <w:vAlign w:val="bottom"/>
            <w:hideMark/>
          </w:tcPr>
          <w:p w14:paraId="5C48A62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1.41</w:t>
            </w:r>
          </w:p>
        </w:tc>
        <w:tc>
          <w:tcPr>
            <w:tcW w:w="992" w:type="dxa"/>
            <w:tcBorders>
              <w:top w:val="single" w:sz="6" w:space="0" w:color="CCCCCC"/>
              <w:left w:val="single" w:sz="6" w:space="0" w:color="CCCCCC"/>
              <w:bottom w:val="single" w:sz="4" w:space="0" w:color="auto"/>
              <w:right w:val="single" w:sz="6" w:space="0" w:color="000000"/>
            </w:tcBorders>
            <w:shd w:val="clear" w:color="auto" w:fill="4EA72E"/>
            <w:tcMar>
              <w:top w:w="0" w:type="dxa"/>
              <w:left w:w="45" w:type="dxa"/>
              <w:bottom w:w="0" w:type="dxa"/>
              <w:right w:w="45" w:type="dxa"/>
            </w:tcMar>
            <w:vAlign w:val="bottom"/>
            <w:hideMark/>
          </w:tcPr>
          <w:p w14:paraId="6A1B6349"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0.93</w:t>
            </w:r>
          </w:p>
        </w:tc>
        <w:tc>
          <w:tcPr>
            <w:tcW w:w="1134" w:type="dxa"/>
            <w:tcBorders>
              <w:top w:val="single" w:sz="6" w:space="0" w:color="CCCCCC"/>
              <w:left w:val="single" w:sz="6" w:space="0" w:color="CCCCCC"/>
              <w:bottom w:val="single" w:sz="4" w:space="0" w:color="auto"/>
              <w:right w:val="single" w:sz="6" w:space="0" w:color="000000"/>
            </w:tcBorders>
            <w:shd w:val="clear" w:color="auto" w:fill="C00000"/>
            <w:tcMar>
              <w:top w:w="0" w:type="dxa"/>
              <w:left w:w="45" w:type="dxa"/>
              <w:bottom w:w="0" w:type="dxa"/>
              <w:right w:w="45" w:type="dxa"/>
            </w:tcMar>
            <w:vAlign w:val="bottom"/>
            <w:hideMark/>
          </w:tcPr>
          <w:p w14:paraId="37BCD30B"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1.84</w:t>
            </w:r>
          </w:p>
        </w:tc>
        <w:tc>
          <w:tcPr>
            <w:tcW w:w="992" w:type="dxa"/>
            <w:tcBorders>
              <w:top w:val="single" w:sz="6" w:space="0" w:color="CCCCCC"/>
              <w:left w:val="single" w:sz="6" w:space="0" w:color="CCCCCC"/>
              <w:bottom w:val="single" w:sz="4" w:space="0" w:color="auto"/>
              <w:right w:val="single" w:sz="6" w:space="0" w:color="000000"/>
            </w:tcBorders>
            <w:shd w:val="clear" w:color="auto" w:fill="4EA72E"/>
            <w:tcMar>
              <w:top w:w="0" w:type="dxa"/>
              <w:left w:w="45" w:type="dxa"/>
              <w:bottom w:w="0" w:type="dxa"/>
              <w:right w:w="45" w:type="dxa"/>
            </w:tcMar>
            <w:vAlign w:val="bottom"/>
            <w:hideMark/>
          </w:tcPr>
          <w:p w14:paraId="61F91992"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0.53</w:t>
            </w:r>
          </w:p>
        </w:tc>
        <w:tc>
          <w:tcPr>
            <w:tcW w:w="993" w:type="dxa"/>
            <w:tcBorders>
              <w:top w:val="single" w:sz="6" w:space="0" w:color="CCCCCC"/>
              <w:left w:val="single" w:sz="6" w:space="0" w:color="CCCCCC"/>
              <w:bottom w:val="single" w:sz="4" w:space="0" w:color="auto"/>
              <w:right w:val="single" w:sz="6" w:space="0" w:color="000000"/>
            </w:tcBorders>
            <w:shd w:val="clear" w:color="auto" w:fill="4EA72E"/>
            <w:tcMar>
              <w:top w:w="0" w:type="dxa"/>
              <w:left w:w="45" w:type="dxa"/>
              <w:bottom w:w="0" w:type="dxa"/>
              <w:right w:w="45" w:type="dxa"/>
            </w:tcMar>
            <w:vAlign w:val="bottom"/>
            <w:hideMark/>
          </w:tcPr>
          <w:p w14:paraId="2C56E84E"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0.54</w:t>
            </w:r>
          </w:p>
        </w:tc>
        <w:tc>
          <w:tcPr>
            <w:tcW w:w="708" w:type="dxa"/>
            <w:tcBorders>
              <w:top w:val="single" w:sz="6" w:space="0" w:color="CCCCCC"/>
              <w:left w:val="single" w:sz="6" w:space="0" w:color="CCCCCC"/>
              <w:bottom w:val="single" w:sz="4" w:space="0" w:color="auto"/>
              <w:right w:val="single" w:sz="6" w:space="0" w:color="000000"/>
            </w:tcBorders>
            <w:shd w:val="clear" w:color="auto" w:fill="C00000"/>
            <w:tcMar>
              <w:top w:w="0" w:type="dxa"/>
              <w:left w:w="45" w:type="dxa"/>
              <w:bottom w:w="0" w:type="dxa"/>
              <w:right w:w="45" w:type="dxa"/>
            </w:tcMar>
            <w:vAlign w:val="bottom"/>
            <w:hideMark/>
          </w:tcPr>
          <w:p w14:paraId="1D1AD241"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1.09</w:t>
            </w:r>
          </w:p>
        </w:tc>
        <w:tc>
          <w:tcPr>
            <w:tcW w:w="854" w:type="dxa"/>
            <w:tcBorders>
              <w:top w:val="single" w:sz="6" w:space="0" w:color="CCCCCC"/>
              <w:left w:val="single" w:sz="6" w:space="0" w:color="CCCCCC"/>
              <w:bottom w:val="single" w:sz="4" w:space="0" w:color="auto"/>
              <w:right w:val="single" w:sz="6" w:space="0" w:color="000000"/>
            </w:tcBorders>
            <w:shd w:val="clear" w:color="auto" w:fill="C00000"/>
            <w:tcMar>
              <w:top w:w="0" w:type="dxa"/>
              <w:left w:w="45" w:type="dxa"/>
              <w:bottom w:w="0" w:type="dxa"/>
              <w:right w:w="45" w:type="dxa"/>
            </w:tcMar>
            <w:vAlign w:val="bottom"/>
            <w:hideMark/>
          </w:tcPr>
          <w:p w14:paraId="2900B9E4"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1.18</w:t>
            </w:r>
          </w:p>
        </w:tc>
      </w:tr>
      <w:tr w:rsidR="00B06A8A" w:rsidRPr="000118A3" w14:paraId="5E1ED9FD" w14:textId="77777777" w:rsidTr="00D84F7F">
        <w:trPr>
          <w:trHeight w:val="300"/>
        </w:trPr>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center"/>
            <w:hideMark/>
          </w:tcPr>
          <w:p w14:paraId="3649CEAF"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488AD7CE"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1185D793"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56ABDEC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1A8EFB06"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7A40D085"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238C7920"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5F0F8F60"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708"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72FC2C0A"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85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4F32777D"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r>
      <w:tr w:rsidR="00B06A8A" w:rsidRPr="000118A3" w14:paraId="0506A7E4" w14:textId="77777777" w:rsidTr="00D84F7F">
        <w:trPr>
          <w:trHeight w:val="300"/>
        </w:trPr>
        <w:tc>
          <w:tcPr>
            <w:tcW w:w="993" w:type="dxa"/>
            <w:tcBorders>
              <w:top w:val="single" w:sz="4" w:space="0" w:color="auto"/>
              <w:left w:val="single" w:sz="4" w:space="0" w:color="auto"/>
              <w:bottom w:val="single" w:sz="4" w:space="0" w:color="auto"/>
              <w:right w:val="single" w:sz="4" w:space="0" w:color="auto"/>
            </w:tcBorders>
            <w:shd w:val="clear" w:color="auto" w:fill="F2F2F2"/>
            <w:tcMar>
              <w:top w:w="0" w:type="dxa"/>
              <w:left w:w="45" w:type="dxa"/>
              <w:bottom w:w="0" w:type="dxa"/>
              <w:right w:w="45" w:type="dxa"/>
            </w:tcMar>
            <w:vAlign w:val="bottom"/>
            <w:hideMark/>
          </w:tcPr>
          <w:p w14:paraId="609DA81C" w14:textId="77777777" w:rsidR="00B06A8A" w:rsidRPr="000118A3" w:rsidRDefault="00B06A8A" w:rsidP="00671D7D">
            <w:pPr>
              <w:pBdr>
                <w:top w:val="nil"/>
                <w:left w:val="nil"/>
                <w:bottom w:val="nil"/>
                <w:right w:val="nil"/>
                <w:between w:val="nil"/>
              </w:pBdr>
              <w:shd w:val="clear" w:color="auto" w:fill="FFFFFF" w:themeFill="background1"/>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Average Score</w:t>
            </w: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1B4714EA"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985" w:type="dxa"/>
            <w:gridSpan w:val="2"/>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10FA0737"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w:t>
            </w: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62F370EA"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w:t>
            </w: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303FBA18" w14:textId="77777777" w:rsidR="00B06A8A" w:rsidRPr="000118A3" w:rsidRDefault="00B06A8A" w:rsidP="00E30AFB">
            <w:pPr>
              <w:pBdr>
                <w:top w:val="nil"/>
                <w:left w:val="nil"/>
                <w:bottom w:val="nil"/>
                <w:right w:val="nil"/>
                <w:between w:val="nil"/>
              </w:pBd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w:t>
            </w: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tcPr>
          <w:p w14:paraId="17D2F294"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12B0D2AA"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708"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248E6E65"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85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072DD9BC"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r>
      <w:tr w:rsidR="00B06A8A" w:rsidRPr="000118A3" w14:paraId="1E1B41FE" w14:textId="77777777" w:rsidTr="00D84F7F">
        <w:trPr>
          <w:trHeight w:val="300"/>
        </w:trPr>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6B6377D8"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13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61F98524"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1985" w:type="dxa"/>
            <w:gridSpan w:val="2"/>
            <w:tcBorders>
              <w:top w:val="single" w:sz="4" w:space="0" w:color="auto"/>
              <w:left w:val="single" w:sz="4" w:space="0" w:color="auto"/>
              <w:bottom w:val="single" w:sz="4" w:space="0" w:color="auto"/>
              <w:right w:val="single" w:sz="4" w:space="0" w:color="auto"/>
            </w:tcBorders>
            <w:shd w:val="clear" w:color="auto" w:fill="4EA72E"/>
            <w:tcMar>
              <w:top w:w="0" w:type="dxa"/>
              <w:left w:w="45" w:type="dxa"/>
              <w:bottom w:w="0" w:type="dxa"/>
              <w:right w:w="45" w:type="dxa"/>
            </w:tcMar>
            <w:vAlign w:val="bottom"/>
            <w:hideMark/>
          </w:tcPr>
          <w:p w14:paraId="3C7590AB"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Under Exploitation</w:t>
            </w:r>
          </w:p>
        </w:tc>
        <w:tc>
          <w:tcPr>
            <w:tcW w:w="992" w:type="dxa"/>
            <w:tcBorders>
              <w:top w:val="single" w:sz="4" w:space="0" w:color="auto"/>
              <w:left w:val="single" w:sz="4" w:space="0" w:color="auto"/>
              <w:bottom w:val="single" w:sz="4" w:space="0" w:color="auto"/>
              <w:right w:val="single" w:sz="4" w:space="0" w:color="auto"/>
            </w:tcBorders>
            <w:shd w:val="clear" w:color="auto" w:fill="FFFF00"/>
            <w:tcMar>
              <w:top w:w="0" w:type="dxa"/>
              <w:left w:w="45" w:type="dxa"/>
              <w:bottom w:w="0" w:type="dxa"/>
              <w:right w:w="45" w:type="dxa"/>
            </w:tcMar>
            <w:vAlign w:val="bottom"/>
            <w:hideMark/>
          </w:tcPr>
          <w:p w14:paraId="053BBAC1"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Exploitation</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0" w:type="dxa"/>
              <w:left w:w="45" w:type="dxa"/>
              <w:bottom w:w="0" w:type="dxa"/>
              <w:right w:w="45" w:type="dxa"/>
            </w:tcMar>
            <w:vAlign w:val="bottom"/>
            <w:hideMark/>
          </w:tcPr>
          <w:p w14:paraId="5F782E4A"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Over exploitation</w:t>
            </w:r>
          </w:p>
        </w:tc>
        <w:tc>
          <w:tcPr>
            <w:tcW w:w="992"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tcPr>
          <w:p w14:paraId="2094C538"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993"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065EC43F"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708"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7C9B62A0"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c>
          <w:tcPr>
            <w:tcW w:w="854" w:type="dxa"/>
            <w:tcBorders>
              <w:top w:val="single" w:sz="4" w:space="0" w:color="auto"/>
              <w:left w:val="single" w:sz="4" w:space="0" w:color="auto"/>
              <w:bottom w:val="single" w:sz="4" w:space="0" w:color="auto"/>
              <w:right w:val="single" w:sz="4" w:space="0" w:color="auto"/>
            </w:tcBorders>
            <w:tcMar>
              <w:top w:w="0" w:type="dxa"/>
              <w:left w:w="45" w:type="dxa"/>
              <w:bottom w:w="0" w:type="dxa"/>
              <w:right w:w="45" w:type="dxa"/>
            </w:tcMar>
            <w:vAlign w:val="bottom"/>
            <w:hideMark/>
          </w:tcPr>
          <w:p w14:paraId="702387BD" w14:textId="77777777" w:rsidR="00B06A8A" w:rsidRPr="000118A3" w:rsidRDefault="00B06A8A" w:rsidP="00671D7D">
            <w:pPr>
              <w:pBdr>
                <w:top w:val="nil"/>
                <w:left w:val="nil"/>
                <w:bottom w:val="nil"/>
                <w:right w:val="nil"/>
                <w:between w:val="nil"/>
              </w:pBdr>
              <w:rPr>
                <w:rFonts w:ascii="Times New Roman" w:hAnsi="Times New Roman" w:cs="Times New Roman"/>
                <w:color w:val="000000" w:themeColor="text1"/>
                <w:sz w:val="22"/>
                <w:szCs w:val="22"/>
              </w:rPr>
            </w:pPr>
          </w:p>
        </w:tc>
      </w:tr>
    </w:tbl>
    <w:p w14:paraId="483168F0" w14:textId="02E5761C" w:rsidR="00B06A8A" w:rsidRPr="000118A3" w:rsidRDefault="00B06A8A" w:rsidP="00D84F7F">
      <w:pPr>
        <w:pBdr>
          <w:top w:val="nil"/>
          <w:left w:val="nil"/>
          <w:bottom w:val="nil"/>
          <w:right w:val="nil"/>
          <w:between w:val="nil"/>
        </w:pBd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 xml:space="preserve">The fisheries status of Indonesian waters bordering the South China Sea shows differing levels of resource use across species groups, as summarized in Table </w:t>
      </w:r>
      <w:r w:rsidR="00612A70">
        <w:rPr>
          <w:rFonts w:ascii="Times New Roman" w:hAnsi="Times New Roman" w:cs="Times New Roman"/>
          <w:color w:val="000000" w:themeColor="text1"/>
          <w:sz w:val="22"/>
          <w:szCs w:val="22"/>
        </w:rPr>
        <w:t>15</w:t>
      </w:r>
      <w:r w:rsidRPr="000118A3">
        <w:rPr>
          <w:rFonts w:ascii="Times New Roman" w:hAnsi="Times New Roman" w:cs="Times New Roman"/>
          <w:color w:val="000000" w:themeColor="text1"/>
          <w:sz w:val="22"/>
          <w:szCs w:val="22"/>
        </w:rPr>
        <w:t xml:space="preserve"> Indonesia’s marine resources in WPPNRI 711 are categorized into demersal fishes, pelagic fishes (small and large), cephalopods, and crustaceans. Key species include small pelagics such as </w:t>
      </w:r>
      <w:r w:rsidRPr="000118A3">
        <w:rPr>
          <w:rFonts w:ascii="Times New Roman" w:hAnsi="Times New Roman" w:cs="Times New Roman"/>
          <w:i/>
          <w:iCs/>
          <w:color w:val="000000" w:themeColor="text1"/>
          <w:sz w:val="22"/>
          <w:szCs w:val="22"/>
        </w:rPr>
        <w:t>Decapterus</w:t>
      </w:r>
      <w:r w:rsidRPr="000118A3">
        <w:rPr>
          <w:rFonts w:ascii="Times New Roman" w:hAnsi="Times New Roman" w:cs="Times New Roman"/>
          <w:color w:val="000000" w:themeColor="text1"/>
          <w:sz w:val="22"/>
          <w:szCs w:val="22"/>
        </w:rPr>
        <w:t xml:space="preserve"> spp., </w:t>
      </w:r>
      <w:r w:rsidRPr="000118A3">
        <w:rPr>
          <w:rFonts w:ascii="Times New Roman" w:hAnsi="Times New Roman" w:cs="Times New Roman"/>
          <w:i/>
          <w:iCs/>
          <w:color w:val="000000" w:themeColor="text1"/>
          <w:sz w:val="22"/>
          <w:szCs w:val="22"/>
        </w:rPr>
        <w:t>Sardinella</w:t>
      </w:r>
      <w:r w:rsidRPr="000118A3">
        <w:rPr>
          <w:rFonts w:ascii="Times New Roman" w:hAnsi="Times New Roman" w:cs="Times New Roman"/>
          <w:color w:val="000000" w:themeColor="text1"/>
          <w:sz w:val="22"/>
          <w:szCs w:val="22"/>
        </w:rPr>
        <w:t xml:space="preserve"> spp., and </w:t>
      </w:r>
      <w:r w:rsidRPr="000118A3">
        <w:rPr>
          <w:rFonts w:ascii="Times New Roman" w:hAnsi="Times New Roman" w:cs="Times New Roman"/>
          <w:i/>
          <w:iCs/>
          <w:color w:val="000000" w:themeColor="text1"/>
          <w:sz w:val="22"/>
          <w:szCs w:val="22"/>
        </w:rPr>
        <w:t>Rastrelliger</w:t>
      </w:r>
      <w:r w:rsidRPr="000118A3">
        <w:rPr>
          <w:rFonts w:ascii="Times New Roman" w:hAnsi="Times New Roman" w:cs="Times New Roman"/>
          <w:color w:val="000000" w:themeColor="text1"/>
          <w:sz w:val="22"/>
          <w:szCs w:val="22"/>
        </w:rPr>
        <w:t xml:space="preserve"> spp. Large pelagics such as </w:t>
      </w:r>
      <w:r w:rsidRPr="000118A3">
        <w:rPr>
          <w:rFonts w:ascii="Times New Roman" w:hAnsi="Times New Roman" w:cs="Times New Roman"/>
          <w:i/>
          <w:iCs/>
          <w:color w:val="000000" w:themeColor="text1"/>
          <w:sz w:val="22"/>
          <w:szCs w:val="22"/>
        </w:rPr>
        <w:t>Thunnus tonggol, Thunnus albacares</w:t>
      </w:r>
      <w:r w:rsidRPr="000118A3">
        <w:rPr>
          <w:rFonts w:ascii="Times New Roman" w:hAnsi="Times New Roman" w:cs="Times New Roman"/>
          <w:color w:val="000000" w:themeColor="text1"/>
          <w:sz w:val="22"/>
          <w:szCs w:val="22"/>
        </w:rPr>
        <w:t xml:space="preserve">, and </w:t>
      </w:r>
      <w:r w:rsidRPr="000118A3">
        <w:rPr>
          <w:rFonts w:ascii="Times New Roman" w:hAnsi="Times New Roman" w:cs="Times New Roman"/>
          <w:i/>
          <w:iCs/>
          <w:color w:val="000000" w:themeColor="text1"/>
          <w:sz w:val="22"/>
          <w:szCs w:val="22"/>
        </w:rPr>
        <w:t>Scomberomorus commerson</w:t>
      </w:r>
      <w:r w:rsidRPr="000118A3">
        <w:rPr>
          <w:rFonts w:ascii="Times New Roman" w:hAnsi="Times New Roman" w:cs="Times New Roman"/>
          <w:color w:val="000000" w:themeColor="text1"/>
          <w:sz w:val="22"/>
          <w:szCs w:val="22"/>
        </w:rPr>
        <w:t xml:space="preserve">. Demersal species such as </w:t>
      </w:r>
      <w:r w:rsidRPr="000118A3">
        <w:rPr>
          <w:rFonts w:ascii="Times New Roman" w:hAnsi="Times New Roman" w:cs="Times New Roman"/>
          <w:i/>
          <w:iCs/>
          <w:color w:val="000000" w:themeColor="text1"/>
          <w:sz w:val="22"/>
          <w:szCs w:val="22"/>
        </w:rPr>
        <w:t xml:space="preserve">Lutjanus </w:t>
      </w:r>
      <w:r w:rsidRPr="000118A3">
        <w:rPr>
          <w:rFonts w:ascii="Times New Roman" w:hAnsi="Times New Roman" w:cs="Times New Roman"/>
          <w:color w:val="000000" w:themeColor="text1"/>
          <w:sz w:val="22"/>
          <w:szCs w:val="22"/>
        </w:rPr>
        <w:t>spp</w:t>
      </w:r>
      <w:r w:rsidRPr="000118A3">
        <w:rPr>
          <w:rFonts w:ascii="Times New Roman" w:hAnsi="Times New Roman" w:cs="Times New Roman"/>
          <w:i/>
          <w:iCs/>
          <w:color w:val="000000" w:themeColor="text1"/>
          <w:sz w:val="22"/>
          <w:szCs w:val="22"/>
        </w:rPr>
        <w:t xml:space="preserve">., Epinephelus </w:t>
      </w:r>
      <w:r w:rsidRPr="000118A3">
        <w:rPr>
          <w:rFonts w:ascii="Times New Roman" w:hAnsi="Times New Roman" w:cs="Times New Roman"/>
          <w:color w:val="000000" w:themeColor="text1"/>
          <w:sz w:val="22"/>
          <w:szCs w:val="22"/>
        </w:rPr>
        <w:t xml:space="preserve">spp., and </w:t>
      </w:r>
      <w:r w:rsidRPr="000118A3">
        <w:rPr>
          <w:rFonts w:ascii="Times New Roman" w:hAnsi="Times New Roman" w:cs="Times New Roman"/>
          <w:i/>
          <w:iCs/>
          <w:color w:val="000000" w:themeColor="text1"/>
          <w:sz w:val="22"/>
          <w:szCs w:val="22"/>
        </w:rPr>
        <w:t>Nemipterus</w:t>
      </w:r>
      <w:r w:rsidRPr="000118A3">
        <w:rPr>
          <w:rFonts w:ascii="Times New Roman" w:hAnsi="Times New Roman" w:cs="Times New Roman"/>
          <w:color w:val="000000" w:themeColor="text1"/>
          <w:sz w:val="22"/>
          <w:szCs w:val="22"/>
        </w:rPr>
        <w:t xml:space="preserve"> spp., and crustaceans including </w:t>
      </w:r>
      <w:r w:rsidRPr="000118A3">
        <w:rPr>
          <w:rFonts w:ascii="Times New Roman" w:hAnsi="Times New Roman" w:cs="Times New Roman"/>
          <w:i/>
          <w:iCs/>
          <w:color w:val="000000" w:themeColor="text1"/>
          <w:sz w:val="22"/>
          <w:szCs w:val="22"/>
        </w:rPr>
        <w:t>Penaeus merguiensis, Panulirus</w:t>
      </w:r>
      <w:r w:rsidRPr="000118A3">
        <w:rPr>
          <w:rFonts w:ascii="Times New Roman" w:hAnsi="Times New Roman" w:cs="Times New Roman"/>
          <w:color w:val="000000" w:themeColor="text1"/>
          <w:sz w:val="22"/>
          <w:szCs w:val="22"/>
        </w:rPr>
        <w:t xml:space="preserve"> spp., </w:t>
      </w:r>
      <w:r w:rsidRPr="000118A3">
        <w:rPr>
          <w:rFonts w:ascii="Times New Roman" w:hAnsi="Times New Roman" w:cs="Times New Roman"/>
          <w:i/>
          <w:iCs/>
          <w:color w:val="000000" w:themeColor="text1"/>
          <w:sz w:val="22"/>
          <w:szCs w:val="22"/>
        </w:rPr>
        <w:t>Portunus pelagicus</w:t>
      </w:r>
      <w:r w:rsidRPr="000118A3">
        <w:rPr>
          <w:rFonts w:ascii="Times New Roman" w:hAnsi="Times New Roman" w:cs="Times New Roman"/>
          <w:color w:val="000000" w:themeColor="text1"/>
          <w:sz w:val="22"/>
          <w:szCs w:val="22"/>
        </w:rPr>
        <w:t xml:space="preserve">, and </w:t>
      </w:r>
      <w:r w:rsidRPr="000118A3">
        <w:rPr>
          <w:rFonts w:ascii="Times New Roman" w:hAnsi="Times New Roman" w:cs="Times New Roman"/>
          <w:i/>
          <w:iCs/>
          <w:color w:val="000000" w:themeColor="text1"/>
          <w:sz w:val="22"/>
          <w:szCs w:val="22"/>
        </w:rPr>
        <w:t>Scylla serrata.</w:t>
      </w:r>
    </w:p>
    <w:p w14:paraId="2A939761" w14:textId="5400F83D" w:rsidR="00B06A8A" w:rsidRPr="000118A3" w:rsidRDefault="00B06A8A" w:rsidP="006F44B9">
      <w:pPr>
        <w:pBdr>
          <w:top w:val="nil"/>
          <w:left w:val="nil"/>
          <w:bottom w:val="nil"/>
          <w:right w:val="nil"/>
          <w:between w:val="nil"/>
        </w:pBd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The term "potential" refers to Maximum Sustainable Yield (MSY) or Total Allowable Catch (TAC) estimates derived from biomass assessments by the Ministry of Marine Affairs and Fisheries. These values represent the biological capacity for sustainable harvest rather than recorded catches, emphasizing the need for science-based management in WPPNRI 711 through catch limits, gear controls, and habitat protection. Overexploitation in several sub-regions, particularly Jakarta and West Java, East Java, South Kalimantan, and West Kalimantan, indicate fishing pressure exceeding TAC. High utilization of cephalopods, shrimp, and crab is driven by the expansion of industrial and artisanal vessels, especially purse seines and trawls. East Java alone operates over 57,000 vessels, intensifying spatial and operational pressure on shared resources.</w:t>
      </w:r>
    </w:p>
    <w:p w14:paraId="7B23360F" w14:textId="6C61AF99" w:rsidR="00B06A8A" w:rsidRPr="000118A3" w:rsidRDefault="00B06A8A" w:rsidP="006F44B9">
      <w:pPr>
        <w:pBdr>
          <w:top w:val="nil"/>
          <w:left w:val="nil"/>
          <w:bottom w:val="nil"/>
          <w:right w:val="nil"/>
          <w:between w:val="nil"/>
        </w:pBd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Key drivers of overexploitation include technological advancements that boost fishing efficiency, weak enforcement of quotas and spatial regulations, and strong market demand for export-oriented species such as Penaeus merguiensis, Portunus pelagicus, and various cephalopods. Habitat degradation, particularly coral reef and mangrove loss, further reduces ecosystem resilience, while climate-driven shifts in temperature and productivity alter distribution and recruitment.</w:t>
      </w:r>
    </w:p>
    <w:p w14:paraId="26D2CC5A" w14:textId="02882CA2" w:rsidR="00B06A8A" w:rsidRPr="000118A3" w:rsidRDefault="007404EC" w:rsidP="00643DA1">
      <w:pPr>
        <w:pStyle w:val="BodyText"/>
        <w:spacing w:before="188"/>
        <w:rPr>
          <w:rFonts w:ascii="Times New Roman" w:hAnsi="Times New Roman" w:cs="Times New Roman"/>
          <w:b/>
          <w:bCs/>
          <w:color w:val="0070C0"/>
        </w:rPr>
      </w:pPr>
      <w:r>
        <w:rPr>
          <w:rFonts w:ascii="Times New Roman" w:hAnsi="Times New Roman" w:cs="Times New Roman"/>
          <w:b/>
          <w:bCs/>
          <w:color w:val="0070C0"/>
        </w:rPr>
        <w:t>5</w:t>
      </w:r>
      <w:r w:rsidR="00643DA1" w:rsidRPr="000118A3">
        <w:rPr>
          <w:rFonts w:ascii="Times New Roman" w:hAnsi="Times New Roman" w:cs="Times New Roman"/>
          <w:b/>
          <w:bCs/>
          <w:color w:val="0070C0"/>
        </w:rPr>
        <w:t xml:space="preserve">.3.5. </w:t>
      </w:r>
      <w:r w:rsidR="00B06A8A" w:rsidRPr="000118A3">
        <w:rPr>
          <w:rFonts w:ascii="Times New Roman" w:hAnsi="Times New Roman" w:cs="Times New Roman"/>
          <w:b/>
          <w:bCs/>
          <w:color w:val="0070C0"/>
        </w:rPr>
        <w:t>Catch from Bottom Impacting Gear Types</w:t>
      </w:r>
    </w:p>
    <w:p w14:paraId="2BA06E70" w14:textId="77777777" w:rsidR="00B06A8A" w:rsidRPr="000118A3" w:rsidRDefault="00B06A8A" w:rsidP="003246DC">
      <w:pPr>
        <w:pBdr>
          <w:top w:val="nil"/>
          <w:left w:val="nil"/>
          <w:bottom w:val="nil"/>
          <w:right w:val="nil"/>
          <w:between w:val="nil"/>
        </w:pBdr>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The types of gear used in Indonesia are diverse, ranging from simple fishing gear to modern fishing gear that uses certain types of machinery. The type of fishing gear used can have an impact on the number of fish caught. The following graph shows the types of fishing gear used and the number of fish caught.</w:t>
      </w:r>
    </w:p>
    <w:p w14:paraId="44B976CF" w14:textId="77777777" w:rsidR="00B06A8A" w:rsidRPr="000118A3" w:rsidRDefault="00B06A8A" w:rsidP="00B06A8A">
      <w:pPr>
        <w:pBdr>
          <w:top w:val="nil"/>
          <w:left w:val="nil"/>
          <w:bottom w:val="nil"/>
          <w:right w:val="nil"/>
          <w:between w:val="nil"/>
        </w:pBdr>
        <w:ind w:firstLine="720"/>
        <w:jc w:val="both"/>
        <w:rPr>
          <w:rFonts w:ascii="Times New Roman" w:hAnsi="Times New Roman" w:cs="Times New Roman"/>
          <w:color w:val="000000" w:themeColor="text1"/>
          <w:sz w:val="22"/>
          <w:szCs w:val="22"/>
        </w:rPr>
      </w:pPr>
    </w:p>
    <w:p w14:paraId="1A0FBEEA" w14:textId="77777777" w:rsidR="00B06A8A" w:rsidRPr="000118A3" w:rsidRDefault="00B06A8A" w:rsidP="00B06A8A">
      <w:pPr>
        <w:pBdr>
          <w:top w:val="nil"/>
          <w:left w:val="nil"/>
          <w:bottom w:val="nil"/>
          <w:right w:val="nil"/>
          <w:between w:val="nil"/>
        </w:pBdr>
        <w:ind w:firstLine="142"/>
        <w:jc w:val="center"/>
        <w:rPr>
          <w:rFonts w:ascii="Times New Roman" w:hAnsi="Times New Roman" w:cs="Times New Roman"/>
          <w:color w:val="000000" w:themeColor="text1"/>
          <w:sz w:val="22"/>
          <w:szCs w:val="22"/>
        </w:rPr>
      </w:pPr>
      <w:r w:rsidRPr="000118A3">
        <w:rPr>
          <w:rFonts w:ascii="Times New Roman" w:hAnsi="Times New Roman" w:cs="Times New Roman"/>
          <w:noProof/>
          <w:color w:val="000000" w:themeColor="text1"/>
          <w:sz w:val="22"/>
          <w:szCs w:val="22"/>
        </w:rPr>
        <w:lastRenderedPageBreak/>
        <w:drawing>
          <wp:inline distT="0" distB="0" distL="0" distR="0" wp14:anchorId="4F64F882" wp14:editId="6F9E6007">
            <wp:extent cx="4617267" cy="2716040"/>
            <wp:effectExtent l="0" t="0" r="0" b="8255"/>
            <wp:docPr id="693884881" name="Chart 1">
              <a:extLst xmlns:a="http://schemas.openxmlformats.org/drawingml/2006/main">
                <a:ext uri="{FF2B5EF4-FFF2-40B4-BE49-F238E27FC236}">
                  <a16:creationId xmlns:a16="http://schemas.microsoft.com/office/drawing/2014/main" id="{917E9BA9-75CC-421E-99B4-30DECE9D8F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691BD712" w14:textId="43BB8FBA" w:rsidR="00B06A8A" w:rsidRPr="000118A3" w:rsidRDefault="00612A70" w:rsidP="00612A70">
      <w:pPr>
        <w:pStyle w:val="Caption"/>
        <w:jc w:val="center"/>
        <w:rPr>
          <w:rFonts w:ascii="Times New Roman" w:hAnsi="Times New Roman" w:cs="Times New Roman"/>
          <w:i w:val="0"/>
          <w:iCs w:val="0"/>
          <w:color w:val="000000" w:themeColor="text1"/>
          <w:sz w:val="22"/>
          <w:szCs w:val="22"/>
        </w:rPr>
      </w:pPr>
      <w:bookmarkStart w:id="149" w:name="_Toc211860819"/>
      <w:bookmarkStart w:id="150" w:name="_Toc217297635"/>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48</w:t>
      </w:r>
      <w:r w:rsidRPr="00612A70">
        <w:rPr>
          <w:rFonts w:ascii="Times New Roman" w:hAnsi="Times New Roman" w:cs="Times New Roman"/>
          <w:i w:val="0"/>
          <w:iCs w:val="0"/>
          <w:color w:val="000000" w:themeColor="text1"/>
          <w:sz w:val="22"/>
          <w:szCs w:val="22"/>
        </w:rPr>
        <w:fldChar w:fldCharType="end"/>
      </w:r>
      <w:r w:rsidR="007404EC">
        <w:rPr>
          <w:rFonts w:ascii="Times New Roman" w:hAnsi="Times New Roman" w:cs="Times New Roman"/>
          <w:i w:val="0"/>
          <w:iCs w:val="0"/>
          <w:color w:val="000000" w:themeColor="text1"/>
          <w:sz w:val="22"/>
          <w:szCs w:val="22"/>
        </w:rPr>
        <w:t xml:space="preserve"> </w:t>
      </w:r>
      <w:r w:rsidR="00B06A8A" w:rsidRPr="000118A3">
        <w:rPr>
          <w:rFonts w:ascii="Times New Roman" w:hAnsi="Times New Roman" w:cs="Times New Roman"/>
          <w:i w:val="0"/>
          <w:iCs w:val="0"/>
          <w:color w:val="000000" w:themeColor="text1"/>
          <w:sz w:val="22"/>
          <w:szCs w:val="22"/>
        </w:rPr>
        <w:t>Number of fleets in the South China Sea from 1950 to 2019</w:t>
      </w:r>
      <w:bookmarkEnd w:id="149"/>
      <w:bookmarkEnd w:id="150"/>
    </w:p>
    <w:p w14:paraId="142955E2" w14:textId="6C16B2FD" w:rsidR="00B06A8A" w:rsidRPr="000118A3" w:rsidRDefault="00B06A8A" w:rsidP="003246DC">
      <w:pPr>
        <w:pStyle w:val="BodyText"/>
        <w:spacing w:before="188"/>
        <w:jc w:val="both"/>
        <w:rPr>
          <w:rFonts w:ascii="Times New Roman" w:hAnsi="Times New Roman" w:cs="Times New Roman"/>
          <w:color w:val="000000" w:themeColor="text1"/>
        </w:rPr>
      </w:pPr>
      <w:r w:rsidRPr="000118A3">
        <w:rPr>
          <w:rFonts w:ascii="Times New Roman" w:hAnsi="Times New Roman" w:cs="Times New Roman"/>
          <w:color w:val="000000" w:themeColor="text1"/>
        </w:rPr>
        <w:t>Purse seine is the dominant gear in the South China Sea, expanding rapidly since the 1970s and peaking at over 400,000 units in 2010–2016, driving pelagic fisheries but raising concerns over juvenile bycatch and stock decline. Bottom trawls, the second primary gear type, have increased since the 1980s and remain highly productive for demersal species, though they cause severe habitat damage and high bycatch. Longlines, while fewer, contribute significantly to high-value tuna and billfish markets, reflecting a gradual shift toward selective, premium fisheries. Traditional small-scale gears show modest, stable contributions mainly supporting local food security. Overall, data from 1950–2019 indicate substantial industrial intensification, with purse seines and trawls dominating production but amplifying sustainability risks; in WPP 711 and 718, bottom seine nets add further pressure due to high bycatch, habitat disruption, and conflicts with artisanal fishers.</w:t>
      </w:r>
    </w:p>
    <w:p w14:paraId="1D045FDB" w14:textId="1D30AB24" w:rsidR="003246DC" w:rsidRPr="000118A3" w:rsidRDefault="007404EC" w:rsidP="00643DA1">
      <w:pPr>
        <w:pStyle w:val="BodyText"/>
        <w:spacing w:before="188"/>
        <w:rPr>
          <w:rFonts w:ascii="Times New Roman" w:hAnsi="Times New Roman" w:cs="Times New Roman"/>
          <w:b/>
          <w:bCs/>
          <w:color w:val="0070C0"/>
        </w:rPr>
      </w:pPr>
      <w:r>
        <w:rPr>
          <w:rFonts w:ascii="Times New Roman" w:hAnsi="Times New Roman" w:cs="Times New Roman"/>
          <w:b/>
          <w:bCs/>
          <w:color w:val="0070C0"/>
        </w:rPr>
        <w:t>5.</w:t>
      </w:r>
      <w:r w:rsidR="00643DA1" w:rsidRPr="000118A3">
        <w:rPr>
          <w:rFonts w:ascii="Times New Roman" w:hAnsi="Times New Roman" w:cs="Times New Roman"/>
          <w:b/>
          <w:bCs/>
          <w:color w:val="0070C0"/>
        </w:rPr>
        <w:t xml:space="preserve">3.6. </w:t>
      </w:r>
      <w:r w:rsidR="003246DC" w:rsidRPr="000118A3">
        <w:rPr>
          <w:rFonts w:ascii="Times New Roman" w:hAnsi="Times New Roman" w:cs="Times New Roman"/>
          <w:b/>
          <w:bCs/>
          <w:color w:val="0070C0"/>
        </w:rPr>
        <w:t>Change in Catch Potential Under Global Climate Change</w:t>
      </w:r>
    </w:p>
    <w:p w14:paraId="334552AF" w14:textId="77777777" w:rsidR="003246DC" w:rsidRDefault="003246DC" w:rsidP="007404EC">
      <w:pPr>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The region of WPPNRI 711, located in the southern part of the South China Sea, exhibits significant variability in sea surface temperature (SST) and ocean circulation driven by monsoon systems and regional currents. For example, studies report that SST in the area fell to as low as 27.1 °C in February and rose to around 30.9 °C in May between 2017 and 2021, with a long‐term mean near 29.0 °C. The lowest values typically occur during the West Monsoon season, when colder water masses and stronger winds reduce surface temperatures. In terms of sea surface salinity (SSS), measurements show an average of about 33.3 psu during the West Monsoon (Dec–Feb), with observed ranges between approximately 30.4 psu and 33.6 psu for that seasonal period. At depth in the upper ~54 m layer of the sea, salinity ranges from about 33.3 psu to 34.2 psu, indicating variability due to dynamic processes and mixing.</w:t>
      </w:r>
    </w:p>
    <w:p w14:paraId="065C4F7A" w14:textId="77777777" w:rsidR="000E7449" w:rsidRPr="000118A3" w:rsidRDefault="000E7449" w:rsidP="007404EC">
      <w:pPr>
        <w:jc w:val="both"/>
        <w:rPr>
          <w:rFonts w:ascii="Times New Roman" w:eastAsia="Times New Roman" w:hAnsi="Times New Roman" w:cs="Times New Roman"/>
          <w:color w:val="000000" w:themeColor="text1"/>
          <w:sz w:val="22"/>
          <w:szCs w:val="22"/>
        </w:rPr>
      </w:pPr>
    </w:p>
    <w:p w14:paraId="0581DFAA" w14:textId="2BA40FF7" w:rsidR="003246DC" w:rsidRPr="000118A3" w:rsidRDefault="003246DC" w:rsidP="003246DC">
      <w:pPr>
        <w:pStyle w:val="Caption"/>
        <w:rPr>
          <w:rFonts w:ascii="Times New Roman" w:eastAsia="Times New Roman" w:hAnsi="Times New Roman" w:cs="Times New Roman"/>
          <w:i w:val="0"/>
          <w:iCs w:val="0"/>
          <w:color w:val="000000" w:themeColor="text1"/>
          <w:kern w:val="0"/>
          <w:sz w:val="22"/>
          <w:szCs w:val="22"/>
          <w14:ligatures w14:val="none"/>
        </w:rPr>
      </w:pPr>
      <w:bookmarkStart w:id="151" w:name="_Toc217297661"/>
      <w:r w:rsidRPr="000118A3">
        <w:rPr>
          <w:rFonts w:ascii="Times New Roman" w:hAnsi="Times New Roman" w:cs="Times New Roman"/>
          <w:i w:val="0"/>
          <w:iCs w:val="0"/>
          <w:color w:val="000000" w:themeColor="text1"/>
          <w:sz w:val="22"/>
          <w:szCs w:val="22"/>
        </w:rPr>
        <w:t xml:space="preserve">Table </w:t>
      </w:r>
      <w:r w:rsidRPr="000118A3">
        <w:rPr>
          <w:rFonts w:ascii="Times New Roman" w:hAnsi="Times New Roman" w:cs="Times New Roman"/>
          <w:i w:val="0"/>
          <w:iCs w:val="0"/>
          <w:color w:val="000000" w:themeColor="text1"/>
          <w:sz w:val="22"/>
          <w:szCs w:val="22"/>
        </w:rPr>
        <w:fldChar w:fldCharType="begin"/>
      </w:r>
      <w:r w:rsidRPr="000118A3">
        <w:rPr>
          <w:rFonts w:ascii="Times New Roman" w:hAnsi="Times New Roman" w:cs="Times New Roman"/>
          <w:i w:val="0"/>
          <w:iCs w:val="0"/>
          <w:color w:val="000000" w:themeColor="text1"/>
          <w:sz w:val="22"/>
          <w:szCs w:val="22"/>
        </w:rPr>
        <w:instrText xml:space="preserve"> SEQ Table \* ARABIC </w:instrText>
      </w:r>
      <w:r w:rsidRPr="000118A3">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16</w:t>
      </w:r>
      <w:r w:rsidRPr="000118A3">
        <w:rPr>
          <w:rFonts w:ascii="Times New Roman" w:hAnsi="Times New Roman" w:cs="Times New Roman"/>
          <w:i w:val="0"/>
          <w:iCs w:val="0"/>
          <w:color w:val="000000" w:themeColor="text1"/>
          <w:sz w:val="22"/>
          <w:szCs w:val="22"/>
        </w:rPr>
        <w:fldChar w:fldCharType="end"/>
      </w:r>
      <w:r w:rsidRPr="000118A3">
        <w:rPr>
          <w:rFonts w:ascii="Times New Roman" w:hAnsi="Times New Roman" w:cs="Times New Roman"/>
          <w:i w:val="0"/>
          <w:iCs w:val="0"/>
          <w:color w:val="000000" w:themeColor="text1"/>
          <w:sz w:val="22"/>
          <w:szCs w:val="22"/>
        </w:rPr>
        <w:t xml:space="preserve"> Environmental data of the South China Sea</w:t>
      </w:r>
      <w:bookmarkEnd w:id="151"/>
    </w:p>
    <w:tbl>
      <w:tblPr>
        <w:tblStyle w:val="TableGrid"/>
        <w:tblW w:w="0" w:type="auto"/>
        <w:tblLook w:val="04A0" w:firstRow="1" w:lastRow="0" w:firstColumn="1" w:lastColumn="0" w:noHBand="0" w:noVBand="1"/>
      </w:tblPr>
      <w:tblGrid>
        <w:gridCol w:w="3005"/>
        <w:gridCol w:w="3005"/>
        <w:gridCol w:w="3006"/>
      </w:tblGrid>
      <w:tr w:rsidR="003246DC" w:rsidRPr="000118A3" w14:paraId="7888F54E" w14:textId="77777777" w:rsidTr="000E7449">
        <w:trPr>
          <w:tblHeader/>
        </w:trPr>
        <w:tc>
          <w:tcPr>
            <w:tcW w:w="3005" w:type="dxa"/>
            <w:shd w:val="clear" w:color="auto" w:fill="BDD6EE" w:themeFill="accent5" w:themeFillTint="66"/>
            <w:vAlign w:val="center"/>
          </w:tcPr>
          <w:p w14:paraId="626E394C" w14:textId="77777777" w:rsidR="003246DC" w:rsidRPr="000E7449" w:rsidRDefault="003246DC" w:rsidP="00671D7D">
            <w:pPr>
              <w:spacing w:before="100" w:beforeAutospacing="1" w:after="100" w:afterAutospacing="1"/>
              <w:jc w:val="center"/>
              <w:rPr>
                <w:rFonts w:ascii="Times New Roman" w:eastAsia="Times New Roman" w:hAnsi="Times New Roman" w:cs="Times New Roman"/>
                <w:b/>
                <w:bCs/>
                <w:color w:val="000000" w:themeColor="text1"/>
                <w:sz w:val="22"/>
                <w:szCs w:val="22"/>
              </w:rPr>
            </w:pPr>
            <w:r w:rsidRPr="000E7449">
              <w:rPr>
                <w:rFonts w:ascii="Times New Roman" w:eastAsia="Times New Roman" w:hAnsi="Times New Roman" w:cs="Times New Roman"/>
                <w:b/>
                <w:bCs/>
                <w:color w:val="000000" w:themeColor="text1"/>
                <w:sz w:val="22"/>
                <w:szCs w:val="22"/>
              </w:rPr>
              <w:t>Variable</w:t>
            </w:r>
          </w:p>
        </w:tc>
        <w:tc>
          <w:tcPr>
            <w:tcW w:w="3005" w:type="dxa"/>
            <w:shd w:val="clear" w:color="auto" w:fill="BDD6EE" w:themeFill="accent5" w:themeFillTint="66"/>
            <w:vAlign w:val="center"/>
          </w:tcPr>
          <w:p w14:paraId="39990FD2" w14:textId="77777777" w:rsidR="003246DC" w:rsidRPr="000E7449" w:rsidRDefault="003246DC" w:rsidP="00671D7D">
            <w:pPr>
              <w:spacing w:before="100" w:beforeAutospacing="1" w:after="100" w:afterAutospacing="1"/>
              <w:jc w:val="center"/>
              <w:rPr>
                <w:rFonts w:ascii="Times New Roman" w:eastAsia="Times New Roman" w:hAnsi="Times New Roman" w:cs="Times New Roman"/>
                <w:b/>
                <w:bCs/>
                <w:color w:val="000000" w:themeColor="text1"/>
                <w:sz w:val="22"/>
                <w:szCs w:val="22"/>
              </w:rPr>
            </w:pPr>
            <w:r w:rsidRPr="000E7449">
              <w:rPr>
                <w:rFonts w:ascii="Times New Roman" w:eastAsia="Times New Roman" w:hAnsi="Times New Roman" w:cs="Times New Roman"/>
                <w:b/>
                <w:bCs/>
                <w:color w:val="000000" w:themeColor="text1"/>
                <w:sz w:val="22"/>
                <w:szCs w:val="22"/>
              </w:rPr>
              <w:t>Observed Values</w:t>
            </w:r>
          </w:p>
        </w:tc>
        <w:tc>
          <w:tcPr>
            <w:tcW w:w="3006" w:type="dxa"/>
            <w:shd w:val="clear" w:color="auto" w:fill="BDD6EE" w:themeFill="accent5" w:themeFillTint="66"/>
            <w:vAlign w:val="center"/>
          </w:tcPr>
          <w:p w14:paraId="4000C4C1" w14:textId="77777777" w:rsidR="003246DC" w:rsidRPr="000E7449" w:rsidRDefault="003246DC" w:rsidP="00671D7D">
            <w:pPr>
              <w:spacing w:before="100" w:beforeAutospacing="1" w:after="100" w:afterAutospacing="1"/>
              <w:jc w:val="center"/>
              <w:rPr>
                <w:rFonts w:ascii="Times New Roman" w:eastAsia="Times New Roman" w:hAnsi="Times New Roman" w:cs="Times New Roman"/>
                <w:b/>
                <w:bCs/>
                <w:color w:val="000000" w:themeColor="text1"/>
                <w:sz w:val="22"/>
                <w:szCs w:val="22"/>
              </w:rPr>
            </w:pPr>
            <w:r w:rsidRPr="000E7449">
              <w:rPr>
                <w:rFonts w:ascii="Times New Roman" w:eastAsia="Times New Roman" w:hAnsi="Times New Roman" w:cs="Times New Roman"/>
                <w:b/>
                <w:bCs/>
                <w:color w:val="000000" w:themeColor="text1"/>
                <w:sz w:val="22"/>
                <w:szCs w:val="22"/>
              </w:rPr>
              <w:t>Sources</w:t>
            </w:r>
          </w:p>
        </w:tc>
      </w:tr>
      <w:tr w:rsidR="003246DC" w:rsidRPr="000118A3" w14:paraId="39072780" w14:textId="77777777" w:rsidTr="00671D7D">
        <w:tc>
          <w:tcPr>
            <w:tcW w:w="3005" w:type="dxa"/>
            <w:vAlign w:val="center"/>
          </w:tcPr>
          <w:p w14:paraId="39379F55" w14:textId="77777777" w:rsidR="003246DC" w:rsidRPr="000118A3" w:rsidRDefault="003246DC" w:rsidP="00671D7D">
            <w:pPr>
              <w:spacing w:before="100" w:beforeAutospacing="1" w:after="100" w:afterAutospacing="1"/>
              <w:jc w:val="center"/>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Sea Surface Temperature (SST)</w:t>
            </w:r>
          </w:p>
        </w:tc>
        <w:tc>
          <w:tcPr>
            <w:tcW w:w="3005" w:type="dxa"/>
          </w:tcPr>
          <w:p w14:paraId="25E84C3C" w14:textId="77777777" w:rsidR="003246DC" w:rsidRPr="000118A3" w:rsidRDefault="003246DC" w:rsidP="003246DC">
            <w:pPr>
              <w:pStyle w:val="ListParagraph"/>
              <w:numPr>
                <w:ilvl w:val="0"/>
                <w:numId w:val="117"/>
              </w:numPr>
              <w:spacing w:before="100" w:beforeAutospacing="1" w:after="100" w:afterAutospacing="1"/>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Lowest record for 2017-2021 in North Natuna: 27,1 °C (February)</w:t>
            </w:r>
          </w:p>
          <w:p w14:paraId="5BC150CB" w14:textId="77777777" w:rsidR="003246DC" w:rsidRPr="000118A3" w:rsidRDefault="003246DC" w:rsidP="003246DC">
            <w:pPr>
              <w:pStyle w:val="ListParagraph"/>
              <w:numPr>
                <w:ilvl w:val="0"/>
                <w:numId w:val="117"/>
              </w:numPr>
              <w:spacing w:before="100" w:beforeAutospacing="1" w:after="100" w:afterAutospacing="1"/>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Highest recorded for 2017-2021 in North Natuna: 30.9 °C (May)</w:t>
            </w:r>
          </w:p>
          <w:p w14:paraId="22456206" w14:textId="77777777" w:rsidR="003246DC" w:rsidRPr="000118A3" w:rsidRDefault="003246DC" w:rsidP="003246DC">
            <w:pPr>
              <w:pStyle w:val="ListParagraph"/>
              <w:numPr>
                <w:ilvl w:val="0"/>
                <w:numId w:val="117"/>
              </w:numPr>
              <w:spacing w:before="100" w:beforeAutospacing="1" w:after="100" w:afterAutospacing="1"/>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lastRenderedPageBreak/>
              <w:t>Long-term (2011-2020) mean 29.0 °C</w:t>
            </w:r>
          </w:p>
        </w:tc>
        <w:tc>
          <w:tcPr>
            <w:tcW w:w="3006" w:type="dxa"/>
            <w:vAlign w:val="center"/>
          </w:tcPr>
          <w:p w14:paraId="5ACE57B2" w14:textId="77777777" w:rsidR="003246DC" w:rsidRPr="000118A3" w:rsidRDefault="003246DC" w:rsidP="00671D7D">
            <w:pPr>
              <w:spacing w:before="100" w:beforeAutospacing="1" w:after="100" w:afterAutospacing="1"/>
              <w:jc w:val="center"/>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lastRenderedPageBreak/>
              <w:t xml:space="preserve">Debiyanti </w:t>
            </w:r>
            <w:r w:rsidRPr="000118A3">
              <w:rPr>
                <w:rFonts w:ascii="Times New Roman" w:eastAsia="Times New Roman" w:hAnsi="Times New Roman" w:cs="Times New Roman"/>
                <w:i/>
                <w:iCs/>
                <w:color w:val="000000" w:themeColor="text1"/>
                <w:sz w:val="22"/>
                <w:szCs w:val="22"/>
              </w:rPr>
              <w:t>et al</w:t>
            </w:r>
            <w:r w:rsidRPr="000118A3">
              <w:rPr>
                <w:rFonts w:ascii="Times New Roman" w:eastAsia="Times New Roman" w:hAnsi="Times New Roman" w:cs="Times New Roman"/>
                <w:color w:val="000000" w:themeColor="text1"/>
                <w:sz w:val="22"/>
                <w:szCs w:val="22"/>
              </w:rPr>
              <w:t>. 2025</w:t>
            </w:r>
          </w:p>
        </w:tc>
      </w:tr>
      <w:tr w:rsidR="003246DC" w:rsidRPr="000118A3" w14:paraId="333F2A33" w14:textId="77777777" w:rsidTr="00671D7D">
        <w:tc>
          <w:tcPr>
            <w:tcW w:w="3005" w:type="dxa"/>
            <w:vAlign w:val="center"/>
          </w:tcPr>
          <w:p w14:paraId="62831930" w14:textId="77777777" w:rsidR="003246DC" w:rsidRPr="000118A3" w:rsidRDefault="003246DC" w:rsidP="00671D7D">
            <w:pPr>
              <w:spacing w:before="100" w:beforeAutospacing="1" w:after="100" w:afterAutospacing="1"/>
              <w:jc w:val="center"/>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Sea Surface Salinity (SSS)</w:t>
            </w:r>
          </w:p>
        </w:tc>
        <w:tc>
          <w:tcPr>
            <w:tcW w:w="3005" w:type="dxa"/>
          </w:tcPr>
          <w:p w14:paraId="5A6A2F69" w14:textId="77777777" w:rsidR="003246DC" w:rsidRPr="000118A3" w:rsidRDefault="003246DC" w:rsidP="003246DC">
            <w:pPr>
              <w:pStyle w:val="ListParagraph"/>
              <w:numPr>
                <w:ilvl w:val="0"/>
                <w:numId w:val="118"/>
              </w:numPr>
              <w:spacing w:before="100" w:beforeAutospacing="1" w:after="100" w:afterAutospacing="1"/>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Average salinity ~ 33,3 psu during West Monsoon (Dec-Feb)</w:t>
            </w:r>
          </w:p>
          <w:p w14:paraId="36A9BB58" w14:textId="77777777" w:rsidR="003246DC" w:rsidRPr="000118A3" w:rsidRDefault="003246DC" w:rsidP="003246DC">
            <w:pPr>
              <w:pStyle w:val="ListParagraph"/>
              <w:numPr>
                <w:ilvl w:val="0"/>
                <w:numId w:val="118"/>
              </w:numPr>
              <w:spacing w:before="100" w:beforeAutospacing="1" w:after="100" w:afterAutospacing="1"/>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30,4 psu to 33,6 psu for Dec-Feb period</w:t>
            </w:r>
          </w:p>
          <w:p w14:paraId="2884DD89" w14:textId="77777777" w:rsidR="003246DC" w:rsidRPr="000118A3" w:rsidRDefault="003246DC" w:rsidP="003246DC">
            <w:pPr>
              <w:pStyle w:val="ListParagraph"/>
              <w:numPr>
                <w:ilvl w:val="0"/>
                <w:numId w:val="118"/>
              </w:numPr>
              <w:spacing w:before="100" w:beforeAutospacing="1" w:after="100" w:afterAutospacing="1"/>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In the upper ~54 m depth of SCS: salinity range ~ 33,3 psu to 34,2 psu (for the SCS upper layer)</w:t>
            </w:r>
          </w:p>
        </w:tc>
        <w:tc>
          <w:tcPr>
            <w:tcW w:w="3006" w:type="dxa"/>
            <w:vAlign w:val="center"/>
          </w:tcPr>
          <w:p w14:paraId="0C339DF3" w14:textId="77777777" w:rsidR="003246DC" w:rsidRPr="000118A3" w:rsidRDefault="003246DC" w:rsidP="00671D7D">
            <w:pPr>
              <w:spacing w:before="100" w:beforeAutospacing="1" w:after="100" w:afterAutospacing="1"/>
              <w:jc w:val="center"/>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 xml:space="preserve">Debiyanti </w:t>
            </w:r>
            <w:r w:rsidRPr="000118A3">
              <w:rPr>
                <w:rFonts w:ascii="Times New Roman" w:eastAsia="Times New Roman" w:hAnsi="Times New Roman" w:cs="Times New Roman"/>
                <w:i/>
                <w:iCs/>
                <w:color w:val="000000" w:themeColor="text1"/>
                <w:sz w:val="22"/>
                <w:szCs w:val="22"/>
              </w:rPr>
              <w:t>et al</w:t>
            </w:r>
            <w:r w:rsidRPr="000118A3">
              <w:rPr>
                <w:rFonts w:ascii="Times New Roman" w:eastAsia="Times New Roman" w:hAnsi="Times New Roman" w:cs="Times New Roman"/>
                <w:color w:val="000000" w:themeColor="text1"/>
                <w:sz w:val="22"/>
                <w:szCs w:val="22"/>
              </w:rPr>
              <w:t xml:space="preserve">. 2025, Xie </w:t>
            </w:r>
            <w:r w:rsidRPr="000118A3">
              <w:rPr>
                <w:rFonts w:ascii="Times New Roman" w:eastAsia="Times New Roman" w:hAnsi="Times New Roman" w:cs="Times New Roman"/>
                <w:i/>
                <w:iCs/>
                <w:color w:val="000000" w:themeColor="text1"/>
                <w:sz w:val="22"/>
                <w:szCs w:val="22"/>
              </w:rPr>
              <w:t>et al</w:t>
            </w:r>
            <w:r w:rsidRPr="000118A3">
              <w:rPr>
                <w:rFonts w:ascii="Times New Roman" w:eastAsia="Times New Roman" w:hAnsi="Times New Roman" w:cs="Times New Roman"/>
                <w:color w:val="000000" w:themeColor="text1"/>
                <w:sz w:val="22"/>
                <w:szCs w:val="22"/>
              </w:rPr>
              <w:t>. 2023</w:t>
            </w:r>
          </w:p>
        </w:tc>
      </w:tr>
      <w:tr w:rsidR="003246DC" w:rsidRPr="000118A3" w14:paraId="61014C3D" w14:textId="77777777" w:rsidTr="00671D7D">
        <w:tc>
          <w:tcPr>
            <w:tcW w:w="3005" w:type="dxa"/>
            <w:vAlign w:val="center"/>
          </w:tcPr>
          <w:p w14:paraId="1942C5D7" w14:textId="77777777" w:rsidR="003246DC" w:rsidRPr="000118A3" w:rsidRDefault="003246DC" w:rsidP="00671D7D">
            <w:pPr>
              <w:spacing w:before="100" w:beforeAutospacing="1" w:after="100" w:afterAutospacing="1"/>
              <w:jc w:val="center"/>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SST Anomaly/Variation</w:t>
            </w:r>
          </w:p>
        </w:tc>
        <w:tc>
          <w:tcPr>
            <w:tcW w:w="3005" w:type="dxa"/>
          </w:tcPr>
          <w:p w14:paraId="31AC7E61" w14:textId="77777777" w:rsidR="003246DC" w:rsidRPr="000118A3" w:rsidRDefault="003246DC" w:rsidP="00671D7D">
            <w:pPr>
              <w:spacing w:before="100" w:beforeAutospacing="1" w:after="100" w:afterAutospacing="1"/>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Seasonal maximum SST in SCS &gt; 29,8</w:t>
            </w:r>
            <w:r w:rsidRPr="000118A3">
              <w:rPr>
                <w:rFonts w:ascii="Times New Roman" w:eastAsia="Times New Roman" w:hAnsi="Times New Roman" w:cs="Times New Roman"/>
                <w:color w:val="000000" w:themeColor="text1"/>
                <w:sz w:val="22"/>
                <w:szCs w:val="22"/>
                <w:vertAlign w:val="superscript"/>
              </w:rPr>
              <w:t>o</w:t>
            </w:r>
            <w:r w:rsidRPr="000118A3">
              <w:rPr>
                <w:rFonts w:ascii="Times New Roman" w:eastAsia="Times New Roman" w:hAnsi="Times New Roman" w:cs="Times New Roman"/>
                <w:color w:val="000000" w:themeColor="text1"/>
                <w:sz w:val="22"/>
                <w:szCs w:val="22"/>
              </w:rPr>
              <w:t>C (summer) and minimum in winter &lt; ~ 27</w:t>
            </w:r>
            <w:r w:rsidRPr="000118A3">
              <w:rPr>
                <w:rFonts w:ascii="Times New Roman" w:eastAsia="Times New Roman" w:hAnsi="Times New Roman" w:cs="Times New Roman"/>
                <w:color w:val="000000" w:themeColor="text1"/>
                <w:sz w:val="22"/>
                <w:szCs w:val="22"/>
                <w:vertAlign w:val="superscript"/>
              </w:rPr>
              <w:t>o</w:t>
            </w:r>
            <w:r w:rsidRPr="000118A3">
              <w:rPr>
                <w:rFonts w:ascii="Times New Roman" w:eastAsia="Times New Roman" w:hAnsi="Times New Roman" w:cs="Times New Roman"/>
                <w:color w:val="000000" w:themeColor="text1"/>
                <w:sz w:val="22"/>
                <w:szCs w:val="22"/>
              </w:rPr>
              <w:t xml:space="preserve">C </w:t>
            </w:r>
          </w:p>
        </w:tc>
        <w:tc>
          <w:tcPr>
            <w:tcW w:w="3006" w:type="dxa"/>
            <w:vAlign w:val="center"/>
          </w:tcPr>
          <w:p w14:paraId="41792EB2" w14:textId="77777777" w:rsidR="003246DC" w:rsidRPr="000118A3" w:rsidRDefault="003246DC" w:rsidP="00671D7D">
            <w:pPr>
              <w:spacing w:before="100" w:beforeAutospacing="1" w:after="100" w:afterAutospacing="1"/>
              <w:jc w:val="center"/>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 xml:space="preserve">Tan </w:t>
            </w:r>
            <w:r w:rsidRPr="000118A3">
              <w:rPr>
                <w:rFonts w:ascii="Times New Roman" w:eastAsia="Times New Roman" w:hAnsi="Times New Roman" w:cs="Times New Roman"/>
                <w:i/>
                <w:iCs/>
                <w:color w:val="000000" w:themeColor="text1"/>
                <w:sz w:val="22"/>
                <w:szCs w:val="22"/>
              </w:rPr>
              <w:t xml:space="preserve">et al. </w:t>
            </w:r>
            <w:r w:rsidRPr="000118A3">
              <w:rPr>
                <w:rFonts w:ascii="Times New Roman" w:eastAsia="Times New Roman" w:hAnsi="Times New Roman" w:cs="Times New Roman"/>
                <w:color w:val="000000" w:themeColor="text1"/>
                <w:sz w:val="22"/>
                <w:szCs w:val="22"/>
              </w:rPr>
              <w:t>2016, Belkin&amp;Shen 2025</w:t>
            </w:r>
          </w:p>
        </w:tc>
      </w:tr>
      <w:tr w:rsidR="003246DC" w:rsidRPr="000118A3" w14:paraId="2A3F4681" w14:textId="77777777" w:rsidTr="00671D7D">
        <w:tc>
          <w:tcPr>
            <w:tcW w:w="3005" w:type="dxa"/>
            <w:vAlign w:val="center"/>
          </w:tcPr>
          <w:p w14:paraId="09D69761" w14:textId="77777777" w:rsidR="003246DC" w:rsidRPr="000118A3" w:rsidRDefault="003246DC" w:rsidP="00671D7D">
            <w:pPr>
              <w:spacing w:before="100" w:beforeAutospacing="1" w:after="100" w:afterAutospacing="1"/>
              <w:jc w:val="center"/>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Salinity vertical variability</w:t>
            </w:r>
          </w:p>
        </w:tc>
        <w:tc>
          <w:tcPr>
            <w:tcW w:w="3005" w:type="dxa"/>
          </w:tcPr>
          <w:p w14:paraId="087A2834" w14:textId="77777777" w:rsidR="003246DC" w:rsidRPr="000118A3" w:rsidRDefault="003246DC" w:rsidP="00671D7D">
            <w:pPr>
              <w:spacing w:before="100" w:beforeAutospacing="1" w:after="100" w:afterAutospacing="1"/>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Maximum horizontal difference at depth ~54 m in SCS 2,1 psu, and at depth &gt;500 m, difference ~ 0,3 psu</w:t>
            </w:r>
          </w:p>
        </w:tc>
        <w:tc>
          <w:tcPr>
            <w:tcW w:w="3006" w:type="dxa"/>
            <w:vAlign w:val="center"/>
          </w:tcPr>
          <w:p w14:paraId="5164FCB3" w14:textId="77777777" w:rsidR="003246DC" w:rsidRPr="000118A3" w:rsidRDefault="003246DC" w:rsidP="00671D7D">
            <w:pPr>
              <w:spacing w:before="100" w:beforeAutospacing="1" w:after="100" w:afterAutospacing="1"/>
              <w:jc w:val="center"/>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 xml:space="preserve">Xie </w:t>
            </w:r>
            <w:r w:rsidRPr="000118A3">
              <w:rPr>
                <w:rFonts w:ascii="Times New Roman" w:eastAsia="Times New Roman" w:hAnsi="Times New Roman" w:cs="Times New Roman"/>
                <w:i/>
                <w:iCs/>
                <w:color w:val="000000" w:themeColor="text1"/>
                <w:sz w:val="22"/>
                <w:szCs w:val="22"/>
              </w:rPr>
              <w:t>et al</w:t>
            </w:r>
            <w:r w:rsidRPr="000118A3">
              <w:rPr>
                <w:rFonts w:ascii="Times New Roman" w:eastAsia="Times New Roman" w:hAnsi="Times New Roman" w:cs="Times New Roman"/>
                <w:color w:val="000000" w:themeColor="text1"/>
                <w:sz w:val="22"/>
                <w:szCs w:val="22"/>
              </w:rPr>
              <w:t>. 2022</w:t>
            </w:r>
          </w:p>
        </w:tc>
      </w:tr>
    </w:tbl>
    <w:p w14:paraId="58256147" w14:textId="77777777" w:rsidR="003246DC" w:rsidRPr="000118A3" w:rsidRDefault="003246DC" w:rsidP="007404EC">
      <w:pPr>
        <w:pStyle w:val="Caption"/>
        <w:spacing w:before="120" w:after="0"/>
        <w:jc w:val="both"/>
        <w:rPr>
          <w:rFonts w:ascii="Times New Roman" w:eastAsia="Times New Roman" w:hAnsi="Times New Roman" w:cs="Times New Roman"/>
          <w:i w:val="0"/>
          <w:iCs w:val="0"/>
          <w:color w:val="000000" w:themeColor="text1"/>
          <w:kern w:val="0"/>
          <w:sz w:val="22"/>
          <w:szCs w:val="22"/>
          <w14:ligatures w14:val="none"/>
        </w:rPr>
      </w:pPr>
      <w:r w:rsidRPr="000118A3">
        <w:rPr>
          <w:rFonts w:ascii="Times New Roman" w:eastAsia="Times New Roman" w:hAnsi="Times New Roman" w:cs="Times New Roman"/>
          <w:i w:val="0"/>
          <w:iCs w:val="0"/>
          <w:color w:val="000000" w:themeColor="text1"/>
          <w:kern w:val="0"/>
          <w:sz w:val="22"/>
          <w:szCs w:val="22"/>
          <w14:ligatures w14:val="none"/>
        </w:rPr>
        <w:t>Three-dimensional salinity patterns in WPPNRI 711 reveal substantial variability in the upper water column, with horizontal differences reaching 2.1 psu at ~54 m but narrowing to about 0.3 psu below 500 m, indicating that surface and subsurface layers are far more dynamic than deeper waters. These conditions, shaped by monsoons, circulation, mixing, and river inputs, underscore the region’s highly variable oceanographic environment—an important factor for understanding ecosystem behavior and informing resource management.</w:t>
      </w:r>
    </w:p>
    <w:p w14:paraId="2D11CCD7" w14:textId="77777777" w:rsidR="003246DC" w:rsidRPr="000118A3" w:rsidRDefault="003246DC" w:rsidP="007404EC">
      <w:pPr>
        <w:pStyle w:val="Caption"/>
        <w:spacing w:before="120" w:after="0"/>
        <w:jc w:val="both"/>
        <w:rPr>
          <w:rFonts w:ascii="Times New Roman" w:eastAsia="Times New Roman" w:hAnsi="Times New Roman" w:cs="Times New Roman"/>
          <w:i w:val="0"/>
          <w:iCs w:val="0"/>
          <w:color w:val="000000" w:themeColor="text1"/>
          <w:kern w:val="0"/>
          <w:sz w:val="22"/>
          <w:szCs w:val="22"/>
          <w14:ligatures w14:val="none"/>
        </w:rPr>
      </w:pPr>
      <w:r w:rsidRPr="000118A3">
        <w:rPr>
          <w:rFonts w:ascii="Times New Roman" w:eastAsia="Times New Roman" w:hAnsi="Times New Roman" w:cs="Times New Roman"/>
          <w:i w:val="0"/>
          <w:iCs w:val="0"/>
          <w:color w:val="000000" w:themeColor="text1"/>
          <w:kern w:val="0"/>
          <w:sz w:val="22"/>
          <w:szCs w:val="22"/>
          <w14:ligatures w14:val="none"/>
        </w:rPr>
        <w:t>Climate change is projected to further reshape this system by reducing catch potential through warming, acidification, and declining primary productivity, which drive species to cooler or deeper habitats and disrupt food webs. Long-term assessments show an estimated 12% decline in maximum catch potential from 1990 to 2025, with many pelagic and demersal species shifting poleward or into less suitable environments. These changes pose significant challenges for fisheries governance, highlighting the need for ecosystem-based management, regional cooperation, habitat protection, and adaptive strategies to maintain resource sustainability and support vulnerable coastal communities.</w:t>
      </w:r>
    </w:p>
    <w:p w14:paraId="1EEC2B19" w14:textId="77777777" w:rsidR="003246DC" w:rsidRPr="000118A3" w:rsidRDefault="003246DC" w:rsidP="00D84F7F">
      <w:pPr>
        <w:pStyle w:val="Caption"/>
        <w:jc w:val="center"/>
        <w:rPr>
          <w:rFonts w:ascii="Times New Roman" w:eastAsia="Times New Roman" w:hAnsi="Times New Roman" w:cs="Times New Roman"/>
          <w:i w:val="0"/>
          <w:iCs w:val="0"/>
          <w:color w:val="000000" w:themeColor="text1"/>
          <w:kern w:val="0"/>
          <w:sz w:val="22"/>
          <w:szCs w:val="22"/>
          <w14:ligatures w14:val="none"/>
        </w:rPr>
      </w:pPr>
      <w:r w:rsidRPr="000118A3">
        <w:rPr>
          <w:rFonts w:ascii="Times New Roman" w:eastAsia="Times New Roman" w:hAnsi="Times New Roman" w:cs="Times New Roman"/>
          <w:noProof/>
          <w:color w:val="000000" w:themeColor="text1"/>
          <w:kern w:val="0"/>
          <w:sz w:val="22"/>
          <w:szCs w:val="22"/>
          <w14:ligatures w14:val="none"/>
        </w:rPr>
        <w:drawing>
          <wp:inline distT="0" distB="0" distL="0" distR="0" wp14:anchorId="5C29F52E" wp14:editId="721ED3EF">
            <wp:extent cx="3987800" cy="2489388"/>
            <wp:effectExtent l="0" t="0" r="0" b="6350"/>
            <wp:docPr id="11154325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432599" name=""/>
                    <pic:cNvPicPr/>
                  </pic:nvPicPr>
                  <pic:blipFill>
                    <a:blip r:embed="rId96"/>
                    <a:srcRect l="737"/>
                    <a:stretch>
                      <a:fillRect/>
                    </a:stretch>
                  </pic:blipFill>
                  <pic:spPr bwMode="auto">
                    <a:xfrm>
                      <a:off x="0" y="0"/>
                      <a:ext cx="4004924" cy="2500078"/>
                    </a:xfrm>
                    <a:prstGeom prst="rect">
                      <a:avLst/>
                    </a:prstGeom>
                    <a:ln>
                      <a:noFill/>
                    </a:ln>
                    <a:extLst>
                      <a:ext uri="{53640926-AAD7-44D8-BBD7-CCE9431645EC}">
                        <a14:shadowObscured xmlns:a14="http://schemas.microsoft.com/office/drawing/2010/main"/>
                      </a:ext>
                    </a:extLst>
                  </pic:spPr>
                </pic:pic>
              </a:graphicData>
            </a:graphic>
          </wp:inline>
        </w:drawing>
      </w:r>
    </w:p>
    <w:p w14:paraId="653E3380" w14:textId="2A778F7E" w:rsidR="003246DC" w:rsidRPr="000118A3" w:rsidRDefault="00612A70" w:rsidP="00612A70">
      <w:pPr>
        <w:pStyle w:val="Caption"/>
        <w:rPr>
          <w:rFonts w:ascii="Times New Roman" w:eastAsia="Times New Roman" w:hAnsi="Times New Roman" w:cs="Times New Roman"/>
          <w:i w:val="0"/>
          <w:iCs w:val="0"/>
          <w:color w:val="000000" w:themeColor="text1"/>
          <w:kern w:val="0"/>
          <w:sz w:val="22"/>
          <w:szCs w:val="22"/>
          <w14:ligatures w14:val="none"/>
        </w:rPr>
      </w:pPr>
      <w:bookmarkStart w:id="152" w:name="_Toc217297636"/>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49</w:t>
      </w:r>
      <w:r w:rsidRPr="00612A70">
        <w:rPr>
          <w:rFonts w:ascii="Times New Roman" w:hAnsi="Times New Roman" w:cs="Times New Roman"/>
          <w:i w:val="0"/>
          <w:iCs w:val="0"/>
          <w:color w:val="000000" w:themeColor="text1"/>
          <w:sz w:val="22"/>
          <w:szCs w:val="22"/>
        </w:rPr>
        <w:fldChar w:fldCharType="end"/>
      </w:r>
      <w:r w:rsidR="007404EC" w:rsidRPr="00612A70">
        <w:rPr>
          <w:rFonts w:ascii="Times New Roman" w:hAnsi="Times New Roman" w:cs="Times New Roman"/>
          <w:i w:val="0"/>
          <w:iCs w:val="0"/>
          <w:color w:val="000000" w:themeColor="text1"/>
          <w:sz w:val="22"/>
          <w:szCs w:val="22"/>
        </w:rPr>
        <w:t xml:space="preserve"> </w:t>
      </w:r>
      <w:r w:rsidR="003246DC" w:rsidRPr="00612A70">
        <w:rPr>
          <w:rFonts w:ascii="Times New Roman" w:eastAsia="Times New Roman" w:hAnsi="Times New Roman" w:cs="Times New Roman"/>
          <w:i w:val="0"/>
          <w:iCs w:val="0"/>
          <w:color w:val="000000" w:themeColor="text1"/>
          <w:kern w:val="0"/>
          <w:sz w:val="22"/>
          <w:szCs w:val="22"/>
          <w14:ligatures w14:val="none"/>
        </w:rPr>
        <w:t xml:space="preserve"> </w:t>
      </w:r>
      <w:r w:rsidR="003246DC" w:rsidRPr="000118A3">
        <w:rPr>
          <w:rFonts w:ascii="Times New Roman" w:eastAsia="Times New Roman" w:hAnsi="Times New Roman" w:cs="Times New Roman"/>
          <w:i w:val="0"/>
          <w:iCs w:val="0"/>
          <w:color w:val="000000" w:themeColor="text1"/>
          <w:kern w:val="0"/>
          <w:sz w:val="22"/>
          <w:szCs w:val="22"/>
          <w14:ligatures w14:val="none"/>
        </w:rPr>
        <w:t>Projected change in fisheries catch potential in the South China Sea (WPPNRI 711) from 1990 to 2025, adapted from Cheung et al. (2016), Palomares &amp; Pauly (2020), and IPCC (2022).</w:t>
      </w:r>
      <w:bookmarkEnd w:id="152"/>
    </w:p>
    <w:p w14:paraId="2DD1499F" w14:textId="77777777" w:rsidR="003246DC" w:rsidRPr="007404EC" w:rsidRDefault="003246DC" w:rsidP="007404EC">
      <w:pPr>
        <w:ind w:firstLine="720"/>
        <w:jc w:val="both"/>
        <w:rPr>
          <w:rFonts w:ascii="Times New Roman" w:eastAsia="Times New Roman" w:hAnsi="Times New Roman" w:cs="Times New Roman"/>
          <w:b/>
          <w:bCs/>
          <w:color w:val="000000" w:themeColor="text1"/>
          <w:sz w:val="22"/>
          <w:szCs w:val="22"/>
        </w:rPr>
      </w:pPr>
      <w:r w:rsidRPr="007404EC">
        <w:rPr>
          <w:rFonts w:ascii="Times New Roman" w:eastAsia="Times New Roman" w:hAnsi="Times New Roman" w:cs="Times New Roman"/>
          <w:b/>
          <w:bCs/>
          <w:color w:val="000000" w:themeColor="text1"/>
          <w:sz w:val="22"/>
          <w:szCs w:val="22"/>
        </w:rPr>
        <w:lastRenderedPageBreak/>
        <w:t>Risk Assessment</w:t>
      </w:r>
    </w:p>
    <w:p w14:paraId="5102373F" w14:textId="77777777" w:rsidR="003246DC" w:rsidRPr="000118A3" w:rsidRDefault="003246DC" w:rsidP="007404EC">
      <w:pPr>
        <w:spacing w:before="120"/>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The projected decline in catch potential presents multiple risks to fish stocks, fisheries, and coastal livelihoods. Under moderate to severe warming scenarios, key pelagic species such as mackerel (</w:t>
      </w:r>
      <w:r w:rsidRPr="000118A3">
        <w:rPr>
          <w:rFonts w:ascii="Times New Roman" w:eastAsia="Times New Roman" w:hAnsi="Times New Roman" w:cs="Times New Roman"/>
          <w:i/>
          <w:iCs/>
          <w:color w:val="000000" w:themeColor="text1"/>
          <w:sz w:val="22"/>
          <w:szCs w:val="22"/>
        </w:rPr>
        <w:t>Rastrelliger spp</w:t>
      </w:r>
      <w:r w:rsidRPr="000118A3">
        <w:rPr>
          <w:rFonts w:ascii="Times New Roman" w:eastAsia="Times New Roman" w:hAnsi="Times New Roman" w:cs="Times New Roman"/>
          <w:color w:val="000000" w:themeColor="text1"/>
          <w:sz w:val="22"/>
          <w:szCs w:val="22"/>
        </w:rPr>
        <w:t>.), tuna (</w:t>
      </w:r>
      <w:r w:rsidRPr="000118A3">
        <w:rPr>
          <w:rFonts w:ascii="Times New Roman" w:eastAsia="Times New Roman" w:hAnsi="Times New Roman" w:cs="Times New Roman"/>
          <w:i/>
          <w:iCs/>
          <w:color w:val="000000" w:themeColor="text1"/>
          <w:sz w:val="22"/>
          <w:szCs w:val="22"/>
        </w:rPr>
        <w:t>Thunnus</w:t>
      </w:r>
      <w:r w:rsidRPr="000118A3">
        <w:rPr>
          <w:rFonts w:ascii="Times New Roman" w:eastAsia="Times New Roman" w:hAnsi="Times New Roman" w:cs="Times New Roman"/>
          <w:color w:val="000000" w:themeColor="text1"/>
          <w:sz w:val="22"/>
          <w:szCs w:val="22"/>
        </w:rPr>
        <w:t xml:space="preserve"> spp.), and anchovy (</w:t>
      </w:r>
      <w:r w:rsidRPr="000118A3">
        <w:rPr>
          <w:rFonts w:ascii="Times New Roman" w:eastAsia="Times New Roman" w:hAnsi="Times New Roman" w:cs="Times New Roman"/>
          <w:i/>
          <w:iCs/>
          <w:color w:val="000000" w:themeColor="text1"/>
          <w:sz w:val="22"/>
          <w:szCs w:val="22"/>
        </w:rPr>
        <w:t xml:space="preserve">Stolephorus </w:t>
      </w:r>
      <w:r w:rsidRPr="000118A3">
        <w:rPr>
          <w:rFonts w:ascii="Times New Roman" w:eastAsia="Times New Roman" w:hAnsi="Times New Roman" w:cs="Times New Roman"/>
          <w:color w:val="000000" w:themeColor="text1"/>
          <w:sz w:val="22"/>
          <w:szCs w:val="22"/>
        </w:rPr>
        <w:t>spp.) are expected to lose 10–20% of their biomass due to altered thermal regimes and disrupted spawning patterns. These biological impacts cascade into socioeconomic vulnerabilities, particularly in nations bordering the South China Sea, Indonesia, Vietnam, and the Philippines, where a high proportion of protein intake and employment depend on marine resources. Studies by Sumaila</w:t>
      </w:r>
      <w:r w:rsidRPr="000118A3">
        <w:rPr>
          <w:rFonts w:ascii="Times New Roman" w:eastAsia="Times New Roman" w:hAnsi="Times New Roman" w:cs="Times New Roman"/>
          <w:i/>
          <w:iCs/>
          <w:color w:val="000000" w:themeColor="text1"/>
          <w:sz w:val="22"/>
          <w:szCs w:val="22"/>
        </w:rPr>
        <w:t xml:space="preserve"> et al. (2019)</w:t>
      </w:r>
      <w:r w:rsidRPr="000118A3">
        <w:rPr>
          <w:rFonts w:ascii="Times New Roman" w:eastAsia="Times New Roman" w:hAnsi="Times New Roman" w:cs="Times New Roman"/>
          <w:color w:val="000000" w:themeColor="text1"/>
          <w:sz w:val="22"/>
          <w:szCs w:val="22"/>
        </w:rPr>
        <w:t xml:space="preserve"> suggest that without adaptive measures, climate-induced changes in fish stocks could exacerbate income inequality, reduce food security, and drive overexploitation in nearshore ecosystems as communities seek to compensate for declining yields.</w:t>
      </w:r>
    </w:p>
    <w:p w14:paraId="5D0E4799" w14:textId="77777777" w:rsidR="003246DC" w:rsidRPr="007404EC" w:rsidRDefault="003246DC" w:rsidP="007404EC">
      <w:pPr>
        <w:spacing w:before="120"/>
        <w:ind w:firstLine="720"/>
        <w:jc w:val="both"/>
        <w:rPr>
          <w:rFonts w:ascii="Times New Roman" w:eastAsia="Times New Roman" w:hAnsi="Times New Roman" w:cs="Times New Roman"/>
          <w:b/>
          <w:bCs/>
          <w:color w:val="000000" w:themeColor="text1"/>
          <w:sz w:val="22"/>
          <w:szCs w:val="22"/>
        </w:rPr>
      </w:pPr>
      <w:r w:rsidRPr="007404EC">
        <w:rPr>
          <w:rFonts w:ascii="Times New Roman" w:eastAsia="Times New Roman" w:hAnsi="Times New Roman" w:cs="Times New Roman"/>
          <w:b/>
          <w:bCs/>
          <w:color w:val="000000" w:themeColor="text1"/>
          <w:sz w:val="22"/>
          <w:szCs w:val="22"/>
        </w:rPr>
        <w:t>Reporting and Communication</w:t>
      </w:r>
    </w:p>
    <w:p w14:paraId="2FEC2646" w14:textId="07DD9F03" w:rsidR="003246DC" w:rsidRDefault="003246DC" w:rsidP="007404EC">
      <w:pPr>
        <w:pBdr>
          <w:top w:val="nil"/>
          <w:left w:val="nil"/>
          <w:bottom w:val="nil"/>
          <w:right w:val="nil"/>
          <w:between w:val="nil"/>
        </w:pBdr>
        <w:spacing w:before="120"/>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To manage and mitigate these impacts, systematic monitoring and transparent communication are essential. Regional initiatives such as the Southeast Asian Fisheries Development Center (SEAFDEC) and the ASEAN-SEAFDEC Strategic Partnership play a crucial role in coordinating research and sharing data. Regular reports integrating satellite-based environmental observations, catch statistics, and species distribution models should be disseminated to policymakers, fishery managers, and local communities. These reports serve to inform evidence-based decision-making and promote the implementation of adaptive strategies such as climate-resilient fisheries management, spatial zoning, and ecosystem-based approaches to enhance sustainability in the region's fisheries sector.</w:t>
      </w:r>
    </w:p>
    <w:p w14:paraId="0E908D41" w14:textId="77777777" w:rsidR="007404EC" w:rsidRPr="000118A3" w:rsidRDefault="007404EC" w:rsidP="007404EC">
      <w:pPr>
        <w:pBdr>
          <w:top w:val="nil"/>
          <w:left w:val="nil"/>
          <w:bottom w:val="nil"/>
          <w:right w:val="nil"/>
          <w:between w:val="nil"/>
        </w:pBdr>
        <w:spacing w:before="120"/>
        <w:jc w:val="both"/>
        <w:rPr>
          <w:rFonts w:ascii="Times New Roman" w:hAnsi="Times New Roman" w:cs="Times New Roman"/>
          <w:color w:val="000000" w:themeColor="text1"/>
          <w:sz w:val="22"/>
          <w:szCs w:val="22"/>
        </w:rPr>
      </w:pPr>
    </w:p>
    <w:p w14:paraId="573480BD" w14:textId="068D9651" w:rsidR="00B06A8A" w:rsidRPr="000118A3" w:rsidRDefault="007404EC" w:rsidP="00B16E45">
      <w:pPr>
        <w:pStyle w:val="BodyText"/>
        <w:spacing w:after="0" w:line="240" w:lineRule="auto"/>
        <w:contextualSpacing/>
        <w:outlineLvl w:val="1"/>
        <w:rPr>
          <w:rFonts w:ascii="Times New Roman" w:hAnsi="Times New Roman" w:cs="Times New Roman"/>
          <w:b/>
          <w:bCs/>
          <w:color w:val="0070C0"/>
        </w:rPr>
      </w:pPr>
      <w:bookmarkStart w:id="153" w:name="_Toc217297565"/>
      <w:r>
        <w:rPr>
          <w:rFonts w:ascii="Times New Roman" w:hAnsi="Times New Roman" w:cs="Times New Roman"/>
          <w:b/>
          <w:bCs/>
          <w:color w:val="0070C0"/>
        </w:rPr>
        <w:t>5.</w:t>
      </w:r>
      <w:r w:rsidR="00643DA1" w:rsidRPr="000118A3">
        <w:rPr>
          <w:rFonts w:ascii="Times New Roman" w:hAnsi="Times New Roman" w:cs="Times New Roman"/>
          <w:b/>
          <w:bCs/>
          <w:color w:val="0070C0"/>
        </w:rPr>
        <w:t xml:space="preserve">4. </w:t>
      </w:r>
      <w:r w:rsidR="00AE7A71">
        <w:rPr>
          <w:rFonts w:ascii="Times New Roman" w:hAnsi="Times New Roman" w:cs="Times New Roman"/>
          <w:b/>
          <w:bCs/>
          <w:color w:val="0070C0"/>
        </w:rPr>
        <w:tab/>
      </w:r>
      <w:r w:rsidR="003246DC" w:rsidRPr="000118A3">
        <w:rPr>
          <w:rFonts w:ascii="Times New Roman" w:hAnsi="Times New Roman" w:cs="Times New Roman"/>
          <w:b/>
          <w:bCs/>
          <w:color w:val="0070C0"/>
        </w:rPr>
        <w:t>Status of Coastal Aquaculture</w:t>
      </w:r>
      <w:bookmarkEnd w:id="153"/>
    </w:p>
    <w:p w14:paraId="1758507F" w14:textId="246CAFC2" w:rsidR="003246DC" w:rsidRPr="000118A3" w:rsidRDefault="007404EC" w:rsidP="007404EC">
      <w:pPr>
        <w:pStyle w:val="BodyText"/>
        <w:spacing w:after="0" w:line="240" w:lineRule="auto"/>
        <w:contextualSpacing/>
        <w:rPr>
          <w:rFonts w:ascii="Times New Roman" w:hAnsi="Times New Roman" w:cs="Times New Roman"/>
          <w:b/>
          <w:bCs/>
          <w:color w:val="0070C0"/>
        </w:rPr>
      </w:pPr>
      <w:r>
        <w:rPr>
          <w:rFonts w:ascii="Times New Roman" w:hAnsi="Times New Roman" w:cs="Times New Roman"/>
          <w:b/>
          <w:bCs/>
          <w:color w:val="0070C0"/>
        </w:rPr>
        <w:t>5,</w:t>
      </w:r>
      <w:r w:rsidR="00643DA1" w:rsidRPr="000118A3">
        <w:rPr>
          <w:rFonts w:ascii="Times New Roman" w:hAnsi="Times New Roman" w:cs="Times New Roman"/>
          <w:b/>
          <w:bCs/>
          <w:color w:val="0070C0"/>
        </w:rPr>
        <w:t xml:space="preserve">4.1. </w:t>
      </w:r>
      <w:r w:rsidR="003246DC" w:rsidRPr="000118A3">
        <w:rPr>
          <w:rFonts w:ascii="Times New Roman" w:hAnsi="Times New Roman" w:cs="Times New Roman"/>
          <w:b/>
          <w:bCs/>
          <w:color w:val="0070C0"/>
        </w:rPr>
        <w:t>Aquaculture Production</w:t>
      </w:r>
    </w:p>
    <w:p w14:paraId="78ADC09F" w14:textId="77777777" w:rsidR="003246DC" w:rsidRPr="000118A3" w:rsidRDefault="003246DC" w:rsidP="007404EC">
      <w:pPr>
        <w:pBdr>
          <w:top w:val="nil"/>
          <w:left w:val="nil"/>
          <w:bottom w:val="nil"/>
          <w:right w:val="nil"/>
          <w:between w:val="nil"/>
        </w:pBdr>
        <w:spacing w:before="120"/>
        <w:contextualSpacing/>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Aquaculture production in the South China Sea region varies significantly across different provinces over the observed period from 1998 to 2024 (Figure 11). In the early years, production levels were generally low, with sporadic increases in Riau-Batam and East Java. Before 2012, most regions maintained relatively modest outputs, reflecting either limited aquaculture development or data availability. However, East Java began showing a steady increase in production from 2010 onward, becoming a notable contributor to the overall output.</w:t>
      </w:r>
    </w:p>
    <w:p w14:paraId="3CC39A8F" w14:textId="368C1F79" w:rsidR="003246DC" w:rsidRPr="000118A3" w:rsidRDefault="003246DC" w:rsidP="007404EC">
      <w:pPr>
        <w:pBdr>
          <w:top w:val="nil"/>
          <w:left w:val="nil"/>
          <w:bottom w:val="nil"/>
          <w:right w:val="nil"/>
          <w:between w:val="nil"/>
        </w:pBd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From 2013 to 2016, production trends shifted dramatically. Jakarta and West Java experienced a sharp spike, peaking at around 1.5 million units in 2015 before rapidly declining. In the same period, East Java also saw a substantial surge, reaching its highest levels around 2016, before stabilizing at a high output range through the following years. West Kalimantan, while less dominant, showed a gradual upward trend starting in the mid-2010s, contributing steadily to total production.</w:t>
      </w:r>
    </w:p>
    <w:p w14:paraId="370D3119" w14:textId="7231456F" w:rsidR="003246DC" w:rsidRPr="000118A3" w:rsidRDefault="003246DC" w:rsidP="007404EC">
      <w:pPr>
        <w:pBdr>
          <w:top w:val="nil"/>
          <w:left w:val="nil"/>
          <w:bottom w:val="nil"/>
          <w:right w:val="nil"/>
          <w:between w:val="nil"/>
        </w:pBd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 xml:space="preserve">In contrast, South Kalimantan and Bangka-Belitung, with South Sumatra, maintained consistently low production throughout the period, indicating smaller-scale aquaculture activities. By 2018 onward, production from East Java and Jakarta–West Java dominated the regional aquaculture output, despite fluctuations. This pattern suggests a regional concentration of aquaculture capacity in these provinces, likely due to better infrastructure, market access, and technological investment compared to other areas in the South China Sea region (Table </w:t>
      </w:r>
      <w:r w:rsidR="00612A70">
        <w:rPr>
          <w:rFonts w:ascii="Times New Roman" w:hAnsi="Times New Roman" w:cs="Times New Roman"/>
          <w:color w:val="000000" w:themeColor="text1"/>
          <w:sz w:val="22"/>
          <w:szCs w:val="22"/>
        </w:rPr>
        <w:t>17</w:t>
      </w:r>
      <w:r w:rsidRPr="000118A3">
        <w:rPr>
          <w:rFonts w:ascii="Times New Roman" w:hAnsi="Times New Roman" w:cs="Times New Roman"/>
          <w:color w:val="000000" w:themeColor="text1"/>
          <w:sz w:val="22"/>
          <w:szCs w:val="22"/>
        </w:rPr>
        <w:t>)</w:t>
      </w:r>
    </w:p>
    <w:p w14:paraId="10215B0F" w14:textId="77777777" w:rsidR="003246DC" w:rsidRPr="000118A3" w:rsidRDefault="003246DC" w:rsidP="003246DC">
      <w:pPr>
        <w:pStyle w:val="ListParagraph"/>
        <w:pBdr>
          <w:top w:val="nil"/>
          <w:left w:val="nil"/>
          <w:bottom w:val="nil"/>
          <w:right w:val="nil"/>
          <w:between w:val="nil"/>
        </w:pBdr>
        <w:jc w:val="both"/>
        <w:rPr>
          <w:rFonts w:ascii="Times New Roman" w:hAnsi="Times New Roman" w:cs="Times New Roman"/>
          <w:color w:val="000000" w:themeColor="text1"/>
          <w:sz w:val="22"/>
          <w:szCs w:val="22"/>
        </w:rPr>
      </w:pPr>
    </w:p>
    <w:p w14:paraId="6AAF1328" w14:textId="77777777" w:rsidR="003246DC" w:rsidRPr="000118A3" w:rsidRDefault="003246DC" w:rsidP="008A7A10">
      <w:pPr>
        <w:pStyle w:val="ListParagraph"/>
        <w:pBdr>
          <w:top w:val="nil"/>
          <w:left w:val="nil"/>
          <w:bottom w:val="nil"/>
          <w:right w:val="nil"/>
          <w:between w:val="nil"/>
        </w:pBdr>
        <w:rPr>
          <w:rFonts w:ascii="Times New Roman" w:hAnsi="Times New Roman" w:cs="Times New Roman"/>
          <w:color w:val="000000" w:themeColor="text1"/>
          <w:sz w:val="22"/>
          <w:szCs w:val="22"/>
        </w:rPr>
      </w:pPr>
      <w:r w:rsidRPr="000118A3">
        <w:rPr>
          <w:rFonts w:ascii="Times New Roman" w:hAnsi="Times New Roman" w:cs="Times New Roman"/>
          <w:noProof/>
          <w:sz w:val="22"/>
          <w:szCs w:val="22"/>
        </w:rPr>
        <w:lastRenderedPageBreak/>
        <w:drawing>
          <wp:inline distT="0" distB="0" distL="0" distR="0" wp14:anchorId="4A31BA99" wp14:editId="70D059A5">
            <wp:extent cx="5671820" cy="3149283"/>
            <wp:effectExtent l="0" t="0" r="5080" b="0"/>
            <wp:docPr id="937121758" name="Chart 1">
              <a:extLst xmlns:a="http://schemas.openxmlformats.org/drawingml/2006/main">
                <a:ext uri="{FF2B5EF4-FFF2-40B4-BE49-F238E27FC236}">
                  <a16:creationId xmlns:a16="http://schemas.microsoft.com/office/drawing/2014/main" id="{A0EE117C-322A-BA50-01A5-5F4F26AAFB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597ED506" w14:textId="050EF08A" w:rsidR="003246DC" w:rsidRPr="000118A3" w:rsidRDefault="00612A70" w:rsidP="00612A70">
      <w:pPr>
        <w:pStyle w:val="Caption"/>
        <w:jc w:val="center"/>
        <w:rPr>
          <w:rFonts w:ascii="Times New Roman" w:hAnsi="Times New Roman" w:cs="Times New Roman"/>
          <w:i w:val="0"/>
          <w:iCs w:val="0"/>
          <w:color w:val="000000" w:themeColor="text1"/>
          <w:sz w:val="22"/>
          <w:szCs w:val="22"/>
        </w:rPr>
      </w:pPr>
      <w:bookmarkStart w:id="154" w:name="_Toc211860820"/>
      <w:bookmarkStart w:id="155" w:name="_Toc217297637"/>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50</w:t>
      </w:r>
      <w:r w:rsidRPr="00612A70">
        <w:rPr>
          <w:rFonts w:ascii="Times New Roman" w:hAnsi="Times New Roman" w:cs="Times New Roman"/>
          <w:i w:val="0"/>
          <w:iCs w:val="0"/>
          <w:color w:val="000000" w:themeColor="text1"/>
          <w:sz w:val="22"/>
          <w:szCs w:val="22"/>
        </w:rPr>
        <w:fldChar w:fldCharType="end"/>
      </w:r>
      <w:r w:rsidR="003246DC" w:rsidRPr="00612A70">
        <w:rPr>
          <w:rFonts w:ascii="Times New Roman" w:hAnsi="Times New Roman" w:cs="Times New Roman"/>
          <w:i w:val="0"/>
          <w:iCs w:val="0"/>
          <w:color w:val="000000" w:themeColor="text1"/>
          <w:sz w:val="22"/>
          <w:szCs w:val="22"/>
        </w:rPr>
        <w:t xml:space="preserve"> </w:t>
      </w:r>
      <w:r w:rsidR="003246DC" w:rsidRPr="000118A3">
        <w:rPr>
          <w:rFonts w:ascii="Times New Roman" w:hAnsi="Times New Roman" w:cs="Times New Roman"/>
          <w:i w:val="0"/>
          <w:iCs w:val="0"/>
          <w:color w:val="000000" w:themeColor="text1"/>
          <w:sz w:val="22"/>
          <w:szCs w:val="22"/>
        </w:rPr>
        <w:t>Aquaculture production by province from 1998 to 2024</w:t>
      </w:r>
      <w:bookmarkEnd w:id="154"/>
      <w:bookmarkEnd w:id="155"/>
    </w:p>
    <w:p w14:paraId="2EC6A5A4" w14:textId="5E8026DA" w:rsidR="003246DC" w:rsidRPr="000118A3" w:rsidRDefault="003246DC" w:rsidP="003246DC">
      <w:pPr>
        <w:pStyle w:val="Caption"/>
        <w:rPr>
          <w:rFonts w:ascii="Times New Roman" w:hAnsi="Times New Roman" w:cs="Times New Roman"/>
          <w:i w:val="0"/>
          <w:iCs w:val="0"/>
          <w:color w:val="000000" w:themeColor="text1"/>
          <w:sz w:val="22"/>
          <w:szCs w:val="22"/>
        </w:rPr>
      </w:pPr>
      <w:bookmarkStart w:id="156" w:name="_Toc211860798"/>
      <w:bookmarkStart w:id="157" w:name="_Toc211860891"/>
      <w:bookmarkStart w:id="158" w:name="_Toc217297662"/>
      <w:r w:rsidRPr="000118A3">
        <w:rPr>
          <w:rFonts w:ascii="Times New Roman" w:hAnsi="Times New Roman" w:cs="Times New Roman"/>
          <w:i w:val="0"/>
          <w:iCs w:val="0"/>
          <w:color w:val="000000" w:themeColor="text1"/>
          <w:sz w:val="22"/>
          <w:szCs w:val="22"/>
        </w:rPr>
        <w:t>Table</w:t>
      </w:r>
      <w:r w:rsidR="00612A70">
        <w:rPr>
          <w:rFonts w:ascii="Times New Roman" w:hAnsi="Times New Roman" w:cs="Times New Roman"/>
          <w:i w:val="0"/>
          <w:iCs w:val="0"/>
          <w:color w:val="000000" w:themeColor="text1"/>
          <w:sz w:val="22"/>
          <w:szCs w:val="22"/>
        </w:rPr>
        <w:t xml:space="preserve"> </w:t>
      </w:r>
      <w:r w:rsidRPr="000118A3">
        <w:rPr>
          <w:rFonts w:ascii="Times New Roman" w:hAnsi="Times New Roman" w:cs="Times New Roman"/>
          <w:i w:val="0"/>
          <w:iCs w:val="0"/>
          <w:color w:val="000000" w:themeColor="text1"/>
          <w:sz w:val="22"/>
          <w:szCs w:val="22"/>
        </w:rPr>
        <w:fldChar w:fldCharType="begin"/>
      </w:r>
      <w:r w:rsidRPr="000118A3">
        <w:rPr>
          <w:rFonts w:ascii="Times New Roman" w:hAnsi="Times New Roman" w:cs="Times New Roman"/>
          <w:i w:val="0"/>
          <w:iCs w:val="0"/>
          <w:color w:val="000000" w:themeColor="text1"/>
          <w:sz w:val="22"/>
          <w:szCs w:val="22"/>
        </w:rPr>
        <w:instrText xml:space="preserve"> SEQ Table \* ARABIC </w:instrText>
      </w:r>
      <w:r w:rsidRPr="000118A3">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17</w:t>
      </w:r>
      <w:r w:rsidRPr="000118A3">
        <w:rPr>
          <w:rFonts w:ascii="Times New Roman" w:hAnsi="Times New Roman" w:cs="Times New Roman"/>
          <w:i w:val="0"/>
          <w:iCs w:val="0"/>
          <w:color w:val="000000" w:themeColor="text1"/>
          <w:sz w:val="22"/>
          <w:szCs w:val="22"/>
        </w:rPr>
        <w:fldChar w:fldCharType="end"/>
      </w:r>
      <w:r w:rsidRPr="000118A3">
        <w:rPr>
          <w:rFonts w:ascii="Times New Roman" w:hAnsi="Times New Roman" w:cs="Times New Roman"/>
          <w:i w:val="0"/>
          <w:iCs w:val="0"/>
          <w:color w:val="000000" w:themeColor="text1"/>
          <w:sz w:val="22"/>
          <w:szCs w:val="22"/>
        </w:rPr>
        <w:t>: Aquaculture production of the seven provinces in the South China Sea</w:t>
      </w:r>
      <w:bookmarkEnd w:id="156"/>
      <w:bookmarkEnd w:id="157"/>
      <w:bookmarkEnd w:id="158"/>
    </w:p>
    <w:tbl>
      <w:tblPr>
        <w:tblStyle w:val="TableGrid"/>
        <w:tblW w:w="8646" w:type="dxa"/>
        <w:tblInd w:w="421" w:type="dxa"/>
        <w:tblLook w:val="04A0" w:firstRow="1" w:lastRow="0" w:firstColumn="1" w:lastColumn="0" w:noHBand="0" w:noVBand="1"/>
      </w:tblPr>
      <w:tblGrid>
        <w:gridCol w:w="730"/>
        <w:gridCol w:w="1206"/>
        <w:gridCol w:w="1101"/>
        <w:gridCol w:w="1206"/>
        <w:gridCol w:w="1206"/>
        <w:gridCol w:w="1243"/>
        <w:gridCol w:w="1954"/>
      </w:tblGrid>
      <w:tr w:rsidR="003246DC" w:rsidRPr="000118A3" w14:paraId="2F43E606" w14:textId="77777777" w:rsidTr="000E7449">
        <w:trPr>
          <w:tblHeader/>
        </w:trPr>
        <w:tc>
          <w:tcPr>
            <w:tcW w:w="708" w:type="dxa"/>
            <w:shd w:val="clear" w:color="auto" w:fill="BDD6EE" w:themeFill="accent5" w:themeFillTint="66"/>
            <w:vAlign w:val="center"/>
          </w:tcPr>
          <w:p w14:paraId="15CD3FB3"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Years</w:t>
            </w:r>
          </w:p>
        </w:tc>
        <w:tc>
          <w:tcPr>
            <w:tcW w:w="1206" w:type="dxa"/>
            <w:shd w:val="clear" w:color="auto" w:fill="BDD6EE" w:themeFill="accent5" w:themeFillTint="66"/>
            <w:vAlign w:val="center"/>
          </w:tcPr>
          <w:p w14:paraId="7E117590"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Riau-Batam</w:t>
            </w:r>
          </w:p>
        </w:tc>
        <w:tc>
          <w:tcPr>
            <w:tcW w:w="1101" w:type="dxa"/>
            <w:shd w:val="clear" w:color="auto" w:fill="BDD6EE" w:themeFill="accent5" w:themeFillTint="66"/>
            <w:vAlign w:val="center"/>
          </w:tcPr>
          <w:p w14:paraId="7ED816B6"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Bangka-Belitung and South Sumatra</w:t>
            </w:r>
          </w:p>
        </w:tc>
        <w:tc>
          <w:tcPr>
            <w:tcW w:w="1198" w:type="dxa"/>
            <w:shd w:val="clear" w:color="auto" w:fill="BDD6EE" w:themeFill="accent5" w:themeFillTint="66"/>
            <w:vAlign w:val="center"/>
          </w:tcPr>
          <w:p w14:paraId="42EC38A1"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Jakarta and West Java</w:t>
            </w:r>
          </w:p>
        </w:tc>
        <w:tc>
          <w:tcPr>
            <w:tcW w:w="1206" w:type="dxa"/>
            <w:shd w:val="clear" w:color="auto" w:fill="BDD6EE" w:themeFill="accent5" w:themeFillTint="66"/>
            <w:vAlign w:val="center"/>
          </w:tcPr>
          <w:p w14:paraId="7B4563B5"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East Java</w:t>
            </w:r>
          </w:p>
        </w:tc>
        <w:tc>
          <w:tcPr>
            <w:tcW w:w="1243" w:type="dxa"/>
            <w:shd w:val="clear" w:color="auto" w:fill="BDD6EE" w:themeFill="accent5" w:themeFillTint="66"/>
            <w:vAlign w:val="center"/>
          </w:tcPr>
          <w:p w14:paraId="300F142F"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South Kalimantan</w:t>
            </w:r>
          </w:p>
        </w:tc>
        <w:tc>
          <w:tcPr>
            <w:tcW w:w="1984" w:type="dxa"/>
            <w:shd w:val="clear" w:color="auto" w:fill="BDD6EE" w:themeFill="accent5" w:themeFillTint="66"/>
            <w:vAlign w:val="center"/>
          </w:tcPr>
          <w:p w14:paraId="4D862B9C"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West Kalimantan</w:t>
            </w:r>
          </w:p>
        </w:tc>
      </w:tr>
      <w:tr w:rsidR="003246DC" w:rsidRPr="000118A3" w14:paraId="4762000C" w14:textId="77777777" w:rsidTr="00671D7D">
        <w:tc>
          <w:tcPr>
            <w:tcW w:w="708" w:type="dxa"/>
            <w:vAlign w:val="center"/>
          </w:tcPr>
          <w:p w14:paraId="5ADC52AA"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1998</w:t>
            </w:r>
          </w:p>
        </w:tc>
        <w:tc>
          <w:tcPr>
            <w:tcW w:w="1206" w:type="dxa"/>
            <w:vAlign w:val="center"/>
          </w:tcPr>
          <w:p w14:paraId="515C1F78"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101" w:type="dxa"/>
            <w:vAlign w:val="center"/>
          </w:tcPr>
          <w:p w14:paraId="5630250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198" w:type="dxa"/>
            <w:vAlign w:val="center"/>
          </w:tcPr>
          <w:p w14:paraId="10091646"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06" w:type="dxa"/>
            <w:vAlign w:val="center"/>
          </w:tcPr>
          <w:p w14:paraId="47A82CA8"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19C60FD6"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984" w:type="dxa"/>
            <w:vAlign w:val="center"/>
          </w:tcPr>
          <w:p w14:paraId="5E5A404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3,006.70</w:t>
            </w:r>
          </w:p>
        </w:tc>
      </w:tr>
      <w:tr w:rsidR="003246DC" w:rsidRPr="000118A3" w14:paraId="6CF8951F" w14:textId="77777777" w:rsidTr="00671D7D">
        <w:tc>
          <w:tcPr>
            <w:tcW w:w="708" w:type="dxa"/>
            <w:vAlign w:val="center"/>
          </w:tcPr>
          <w:p w14:paraId="15A8B509"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1999</w:t>
            </w:r>
          </w:p>
        </w:tc>
        <w:tc>
          <w:tcPr>
            <w:tcW w:w="1206" w:type="dxa"/>
            <w:vAlign w:val="center"/>
          </w:tcPr>
          <w:p w14:paraId="0435EA99"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265,843.10</w:t>
            </w:r>
          </w:p>
        </w:tc>
        <w:tc>
          <w:tcPr>
            <w:tcW w:w="1101" w:type="dxa"/>
            <w:vAlign w:val="center"/>
          </w:tcPr>
          <w:p w14:paraId="2375984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198" w:type="dxa"/>
            <w:vAlign w:val="center"/>
          </w:tcPr>
          <w:p w14:paraId="715F5ABE"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06" w:type="dxa"/>
            <w:vAlign w:val="center"/>
          </w:tcPr>
          <w:p w14:paraId="7229166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2D4D05C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984" w:type="dxa"/>
            <w:vAlign w:val="center"/>
          </w:tcPr>
          <w:p w14:paraId="7EE331C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2,684.90</w:t>
            </w:r>
          </w:p>
        </w:tc>
      </w:tr>
      <w:tr w:rsidR="003246DC" w:rsidRPr="000118A3" w14:paraId="1483A463" w14:textId="77777777" w:rsidTr="00671D7D">
        <w:tc>
          <w:tcPr>
            <w:tcW w:w="708" w:type="dxa"/>
            <w:vAlign w:val="center"/>
          </w:tcPr>
          <w:p w14:paraId="177DC891"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2000</w:t>
            </w:r>
          </w:p>
        </w:tc>
        <w:tc>
          <w:tcPr>
            <w:tcW w:w="1206" w:type="dxa"/>
            <w:vAlign w:val="center"/>
          </w:tcPr>
          <w:p w14:paraId="4F84115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288,473.30</w:t>
            </w:r>
          </w:p>
        </w:tc>
        <w:tc>
          <w:tcPr>
            <w:tcW w:w="1101" w:type="dxa"/>
            <w:vAlign w:val="center"/>
          </w:tcPr>
          <w:p w14:paraId="189AB01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198" w:type="dxa"/>
            <w:vAlign w:val="center"/>
          </w:tcPr>
          <w:p w14:paraId="0163437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06" w:type="dxa"/>
            <w:vAlign w:val="center"/>
          </w:tcPr>
          <w:p w14:paraId="5821156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083E3DED"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984" w:type="dxa"/>
            <w:vAlign w:val="center"/>
          </w:tcPr>
          <w:p w14:paraId="56DA6C9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2,347.80</w:t>
            </w:r>
          </w:p>
        </w:tc>
      </w:tr>
      <w:tr w:rsidR="003246DC" w:rsidRPr="000118A3" w14:paraId="79079084" w14:textId="77777777" w:rsidTr="00671D7D">
        <w:tc>
          <w:tcPr>
            <w:tcW w:w="708" w:type="dxa"/>
            <w:vAlign w:val="center"/>
          </w:tcPr>
          <w:p w14:paraId="194615CD"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2001</w:t>
            </w:r>
          </w:p>
        </w:tc>
        <w:tc>
          <w:tcPr>
            <w:tcW w:w="1206" w:type="dxa"/>
            <w:vAlign w:val="center"/>
          </w:tcPr>
          <w:p w14:paraId="30BF16EA"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101" w:type="dxa"/>
            <w:vAlign w:val="center"/>
          </w:tcPr>
          <w:p w14:paraId="2DDEE6C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198" w:type="dxa"/>
            <w:vAlign w:val="center"/>
          </w:tcPr>
          <w:p w14:paraId="5B47222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06" w:type="dxa"/>
            <w:vAlign w:val="center"/>
          </w:tcPr>
          <w:p w14:paraId="52F4FF5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1BF38A2A"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984" w:type="dxa"/>
            <w:vAlign w:val="center"/>
          </w:tcPr>
          <w:p w14:paraId="69082886"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2,856.70</w:t>
            </w:r>
          </w:p>
        </w:tc>
      </w:tr>
      <w:tr w:rsidR="003246DC" w:rsidRPr="000118A3" w14:paraId="2B461259" w14:textId="77777777" w:rsidTr="00671D7D">
        <w:tc>
          <w:tcPr>
            <w:tcW w:w="708" w:type="dxa"/>
            <w:vAlign w:val="center"/>
          </w:tcPr>
          <w:p w14:paraId="3240111D"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2002</w:t>
            </w:r>
          </w:p>
        </w:tc>
        <w:tc>
          <w:tcPr>
            <w:tcW w:w="1206" w:type="dxa"/>
            <w:vAlign w:val="center"/>
          </w:tcPr>
          <w:p w14:paraId="5EDD546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101" w:type="dxa"/>
            <w:vAlign w:val="center"/>
          </w:tcPr>
          <w:p w14:paraId="6BFD0A6D"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313.99</w:t>
            </w:r>
          </w:p>
        </w:tc>
        <w:tc>
          <w:tcPr>
            <w:tcW w:w="1198" w:type="dxa"/>
            <w:vAlign w:val="center"/>
          </w:tcPr>
          <w:p w14:paraId="6585EB36"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3,760</w:t>
            </w:r>
          </w:p>
        </w:tc>
        <w:tc>
          <w:tcPr>
            <w:tcW w:w="1206" w:type="dxa"/>
            <w:vAlign w:val="center"/>
          </w:tcPr>
          <w:p w14:paraId="5D9D5AF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78B6D811"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502.1</w:t>
            </w:r>
          </w:p>
        </w:tc>
        <w:tc>
          <w:tcPr>
            <w:tcW w:w="1984" w:type="dxa"/>
            <w:vAlign w:val="center"/>
          </w:tcPr>
          <w:p w14:paraId="198C026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2,921.80</w:t>
            </w:r>
          </w:p>
        </w:tc>
      </w:tr>
      <w:tr w:rsidR="003246DC" w:rsidRPr="000118A3" w14:paraId="6099306A" w14:textId="77777777" w:rsidTr="00671D7D">
        <w:tc>
          <w:tcPr>
            <w:tcW w:w="708" w:type="dxa"/>
            <w:vAlign w:val="center"/>
          </w:tcPr>
          <w:p w14:paraId="3A3AB8C0"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2003</w:t>
            </w:r>
          </w:p>
        </w:tc>
        <w:tc>
          <w:tcPr>
            <w:tcW w:w="1206" w:type="dxa"/>
            <w:vAlign w:val="center"/>
          </w:tcPr>
          <w:p w14:paraId="79CE5E1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313,656.40</w:t>
            </w:r>
          </w:p>
        </w:tc>
        <w:tc>
          <w:tcPr>
            <w:tcW w:w="1101" w:type="dxa"/>
            <w:vAlign w:val="center"/>
          </w:tcPr>
          <w:p w14:paraId="7CFD597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626.84</w:t>
            </w:r>
          </w:p>
        </w:tc>
        <w:tc>
          <w:tcPr>
            <w:tcW w:w="1198" w:type="dxa"/>
            <w:vAlign w:val="center"/>
          </w:tcPr>
          <w:p w14:paraId="1E5F4AC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13,760</w:t>
            </w:r>
          </w:p>
        </w:tc>
        <w:tc>
          <w:tcPr>
            <w:tcW w:w="1206" w:type="dxa"/>
            <w:vAlign w:val="center"/>
          </w:tcPr>
          <w:p w14:paraId="48C3C46D"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19535C2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511.3</w:t>
            </w:r>
          </w:p>
        </w:tc>
        <w:tc>
          <w:tcPr>
            <w:tcW w:w="1984" w:type="dxa"/>
            <w:vAlign w:val="center"/>
          </w:tcPr>
          <w:p w14:paraId="2E03BDE8"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3,321.70</w:t>
            </w:r>
          </w:p>
        </w:tc>
      </w:tr>
      <w:tr w:rsidR="003246DC" w:rsidRPr="000118A3" w14:paraId="3EB3075C" w14:textId="77777777" w:rsidTr="00671D7D">
        <w:tc>
          <w:tcPr>
            <w:tcW w:w="708" w:type="dxa"/>
            <w:vAlign w:val="center"/>
          </w:tcPr>
          <w:p w14:paraId="6FE3491E"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2004</w:t>
            </w:r>
          </w:p>
        </w:tc>
        <w:tc>
          <w:tcPr>
            <w:tcW w:w="1206" w:type="dxa"/>
            <w:vAlign w:val="center"/>
          </w:tcPr>
          <w:p w14:paraId="7D78F25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101" w:type="dxa"/>
            <w:vAlign w:val="center"/>
          </w:tcPr>
          <w:p w14:paraId="23F5E9E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788.74</w:t>
            </w:r>
          </w:p>
        </w:tc>
        <w:tc>
          <w:tcPr>
            <w:tcW w:w="1198" w:type="dxa"/>
            <w:vAlign w:val="center"/>
          </w:tcPr>
          <w:p w14:paraId="2C1BAF0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11,092.60</w:t>
            </w:r>
          </w:p>
        </w:tc>
        <w:tc>
          <w:tcPr>
            <w:tcW w:w="1206" w:type="dxa"/>
            <w:vAlign w:val="center"/>
          </w:tcPr>
          <w:p w14:paraId="3D1613B4"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12FEC5C6"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496.2</w:t>
            </w:r>
          </w:p>
        </w:tc>
        <w:tc>
          <w:tcPr>
            <w:tcW w:w="1984" w:type="dxa"/>
            <w:vAlign w:val="center"/>
          </w:tcPr>
          <w:p w14:paraId="52F5E73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3,671.70</w:t>
            </w:r>
          </w:p>
        </w:tc>
      </w:tr>
      <w:tr w:rsidR="003246DC" w:rsidRPr="000118A3" w14:paraId="0F357BE4" w14:textId="77777777" w:rsidTr="00671D7D">
        <w:tc>
          <w:tcPr>
            <w:tcW w:w="708" w:type="dxa"/>
            <w:vAlign w:val="center"/>
          </w:tcPr>
          <w:p w14:paraId="752E35FA"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2005</w:t>
            </w:r>
          </w:p>
        </w:tc>
        <w:tc>
          <w:tcPr>
            <w:tcW w:w="1206" w:type="dxa"/>
            <w:vAlign w:val="center"/>
          </w:tcPr>
          <w:p w14:paraId="08D9A4B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97,781.80</w:t>
            </w:r>
          </w:p>
        </w:tc>
        <w:tc>
          <w:tcPr>
            <w:tcW w:w="1101" w:type="dxa"/>
            <w:vAlign w:val="center"/>
          </w:tcPr>
          <w:p w14:paraId="208FF14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724.64</w:t>
            </w:r>
          </w:p>
        </w:tc>
        <w:tc>
          <w:tcPr>
            <w:tcW w:w="1198" w:type="dxa"/>
            <w:vAlign w:val="center"/>
          </w:tcPr>
          <w:p w14:paraId="4D289FAA"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14,662.57</w:t>
            </w:r>
          </w:p>
        </w:tc>
        <w:tc>
          <w:tcPr>
            <w:tcW w:w="1206" w:type="dxa"/>
            <w:vAlign w:val="center"/>
          </w:tcPr>
          <w:p w14:paraId="2A82194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5C113899"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504.9</w:t>
            </w:r>
          </w:p>
        </w:tc>
        <w:tc>
          <w:tcPr>
            <w:tcW w:w="1984" w:type="dxa"/>
            <w:vAlign w:val="center"/>
          </w:tcPr>
          <w:p w14:paraId="1BB5241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6,903.60</w:t>
            </w:r>
          </w:p>
        </w:tc>
      </w:tr>
      <w:tr w:rsidR="003246DC" w:rsidRPr="000118A3" w14:paraId="661651E2" w14:textId="77777777" w:rsidTr="00671D7D">
        <w:tc>
          <w:tcPr>
            <w:tcW w:w="708" w:type="dxa"/>
            <w:vAlign w:val="center"/>
          </w:tcPr>
          <w:p w14:paraId="11DE99E5"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2006</w:t>
            </w:r>
          </w:p>
        </w:tc>
        <w:tc>
          <w:tcPr>
            <w:tcW w:w="1206" w:type="dxa"/>
            <w:vAlign w:val="center"/>
          </w:tcPr>
          <w:p w14:paraId="23C2A548"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99,188.20</w:t>
            </w:r>
          </w:p>
        </w:tc>
        <w:tc>
          <w:tcPr>
            <w:tcW w:w="1101" w:type="dxa"/>
            <w:vAlign w:val="center"/>
          </w:tcPr>
          <w:p w14:paraId="7D4B92BE"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935.48</w:t>
            </w:r>
          </w:p>
        </w:tc>
        <w:tc>
          <w:tcPr>
            <w:tcW w:w="1198" w:type="dxa"/>
            <w:vAlign w:val="center"/>
          </w:tcPr>
          <w:p w14:paraId="5749903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11,774.50</w:t>
            </w:r>
          </w:p>
        </w:tc>
        <w:tc>
          <w:tcPr>
            <w:tcW w:w="1206" w:type="dxa"/>
            <w:vAlign w:val="center"/>
          </w:tcPr>
          <w:p w14:paraId="3C2D635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3449F68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316.0</w:t>
            </w:r>
          </w:p>
        </w:tc>
        <w:tc>
          <w:tcPr>
            <w:tcW w:w="1984" w:type="dxa"/>
            <w:vAlign w:val="center"/>
          </w:tcPr>
          <w:p w14:paraId="14824ED1"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7,757.20</w:t>
            </w:r>
          </w:p>
        </w:tc>
      </w:tr>
      <w:tr w:rsidR="003246DC" w:rsidRPr="000118A3" w14:paraId="08E161DB" w14:textId="77777777" w:rsidTr="00671D7D">
        <w:tc>
          <w:tcPr>
            <w:tcW w:w="708" w:type="dxa"/>
            <w:vAlign w:val="center"/>
          </w:tcPr>
          <w:p w14:paraId="01504085"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2007</w:t>
            </w:r>
          </w:p>
        </w:tc>
        <w:tc>
          <w:tcPr>
            <w:tcW w:w="1206" w:type="dxa"/>
            <w:vAlign w:val="center"/>
          </w:tcPr>
          <w:p w14:paraId="7EC7D3A1"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102,090.20</w:t>
            </w:r>
          </w:p>
        </w:tc>
        <w:tc>
          <w:tcPr>
            <w:tcW w:w="1101" w:type="dxa"/>
            <w:vAlign w:val="center"/>
          </w:tcPr>
          <w:p w14:paraId="530EB2D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903.12</w:t>
            </w:r>
          </w:p>
        </w:tc>
        <w:tc>
          <w:tcPr>
            <w:tcW w:w="1198" w:type="dxa"/>
            <w:vAlign w:val="center"/>
          </w:tcPr>
          <w:p w14:paraId="75F09289"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12,381.69</w:t>
            </w:r>
          </w:p>
        </w:tc>
        <w:tc>
          <w:tcPr>
            <w:tcW w:w="1206" w:type="dxa"/>
            <w:vAlign w:val="center"/>
          </w:tcPr>
          <w:p w14:paraId="29329233"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43" w:type="dxa"/>
            <w:vAlign w:val="center"/>
          </w:tcPr>
          <w:p w14:paraId="141F6EE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984" w:type="dxa"/>
            <w:vAlign w:val="center"/>
          </w:tcPr>
          <w:p w14:paraId="14EDFBC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9,269.30</w:t>
            </w:r>
          </w:p>
        </w:tc>
      </w:tr>
      <w:tr w:rsidR="003246DC" w:rsidRPr="000118A3" w14:paraId="32E2EC0B" w14:textId="77777777" w:rsidTr="00671D7D">
        <w:tc>
          <w:tcPr>
            <w:tcW w:w="708" w:type="dxa"/>
            <w:vAlign w:val="center"/>
          </w:tcPr>
          <w:p w14:paraId="4973D07F"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2008</w:t>
            </w:r>
          </w:p>
        </w:tc>
        <w:tc>
          <w:tcPr>
            <w:tcW w:w="1206" w:type="dxa"/>
            <w:vAlign w:val="center"/>
          </w:tcPr>
          <w:p w14:paraId="7B126BFA"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87,919.20</w:t>
            </w:r>
          </w:p>
        </w:tc>
        <w:tc>
          <w:tcPr>
            <w:tcW w:w="1101" w:type="dxa"/>
            <w:vAlign w:val="center"/>
          </w:tcPr>
          <w:p w14:paraId="0CC55FD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1,502.56</w:t>
            </w:r>
          </w:p>
        </w:tc>
        <w:tc>
          <w:tcPr>
            <w:tcW w:w="1198" w:type="dxa"/>
            <w:vAlign w:val="center"/>
          </w:tcPr>
          <w:p w14:paraId="0AFA851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12,624.41</w:t>
            </w:r>
          </w:p>
        </w:tc>
        <w:tc>
          <w:tcPr>
            <w:tcW w:w="1206" w:type="dxa"/>
            <w:vAlign w:val="center"/>
          </w:tcPr>
          <w:p w14:paraId="47CF7501"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73,737.60</w:t>
            </w:r>
          </w:p>
        </w:tc>
        <w:tc>
          <w:tcPr>
            <w:tcW w:w="1243" w:type="dxa"/>
            <w:vAlign w:val="center"/>
          </w:tcPr>
          <w:p w14:paraId="7CC8780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5,622</w:t>
            </w:r>
          </w:p>
        </w:tc>
        <w:tc>
          <w:tcPr>
            <w:tcW w:w="1984" w:type="dxa"/>
            <w:vAlign w:val="center"/>
          </w:tcPr>
          <w:p w14:paraId="31B2C95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14,888.90</w:t>
            </w:r>
          </w:p>
        </w:tc>
      </w:tr>
      <w:tr w:rsidR="003246DC" w:rsidRPr="000118A3" w14:paraId="11EC3A6B" w14:textId="77777777" w:rsidTr="00671D7D">
        <w:tc>
          <w:tcPr>
            <w:tcW w:w="708" w:type="dxa"/>
            <w:vAlign w:val="center"/>
          </w:tcPr>
          <w:p w14:paraId="468628E1"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2009</w:t>
            </w:r>
          </w:p>
        </w:tc>
        <w:tc>
          <w:tcPr>
            <w:tcW w:w="1206" w:type="dxa"/>
            <w:vAlign w:val="center"/>
          </w:tcPr>
          <w:p w14:paraId="23DB1323"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75,517.50</w:t>
            </w:r>
          </w:p>
        </w:tc>
        <w:tc>
          <w:tcPr>
            <w:tcW w:w="1101" w:type="dxa"/>
            <w:vAlign w:val="center"/>
          </w:tcPr>
          <w:p w14:paraId="2679DF9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2,076.68</w:t>
            </w:r>
          </w:p>
        </w:tc>
        <w:tc>
          <w:tcPr>
            <w:tcW w:w="1198" w:type="dxa"/>
            <w:vAlign w:val="center"/>
          </w:tcPr>
          <w:p w14:paraId="2C82537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2,676.17</w:t>
            </w:r>
          </w:p>
        </w:tc>
        <w:tc>
          <w:tcPr>
            <w:tcW w:w="1206" w:type="dxa"/>
            <w:vAlign w:val="center"/>
          </w:tcPr>
          <w:p w14:paraId="1EC96A0E"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339,487.50</w:t>
            </w:r>
          </w:p>
        </w:tc>
        <w:tc>
          <w:tcPr>
            <w:tcW w:w="1243" w:type="dxa"/>
            <w:vAlign w:val="center"/>
          </w:tcPr>
          <w:p w14:paraId="2FF662C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1,833</w:t>
            </w:r>
          </w:p>
        </w:tc>
        <w:tc>
          <w:tcPr>
            <w:tcW w:w="1984" w:type="dxa"/>
            <w:vAlign w:val="center"/>
          </w:tcPr>
          <w:p w14:paraId="1A38D91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15,204.80</w:t>
            </w:r>
          </w:p>
        </w:tc>
      </w:tr>
      <w:tr w:rsidR="003246DC" w:rsidRPr="000118A3" w14:paraId="463063C3" w14:textId="77777777" w:rsidTr="00671D7D">
        <w:tc>
          <w:tcPr>
            <w:tcW w:w="708" w:type="dxa"/>
            <w:vAlign w:val="center"/>
          </w:tcPr>
          <w:p w14:paraId="2E89DB29"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2010</w:t>
            </w:r>
          </w:p>
        </w:tc>
        <w:tc>
          <w:tcPr>
            <w:tcW w:w="1206" w:type="dxa"/>
            <w:vAlign w:val="center"/>
          </w:tcPr>
          <w:p w14:paraId="79A987E3"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77,113.50</w:t>
            </w:r>
          </w:p>
        </w:tc>
        <w:tc>
          <w:tcPr>
            <w:tcW w:w="1101" w:type="dxa"/>
            <w:vAlign w:val="center"/>
          </w:tcPr>
          <w:p w14:paraId="77CF010E"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2,622.27</w:t>
            </w:r>
          </w:p>
        </w:tc>
        <w:tc>
          <w:tcPr>
            <w:tcW w:w="1198" w:type="dxa"/>
            <w:vAlign w:val="center"/>
          </w:tcPr>
          <w:p w14:paraId="5B685E03"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9,577.84</w:t>
            </w:r>
          </w:p>
        </w:tc>
        <w:tc>
          <w:tcPr>
            <w:tcW w:w="1206" w:type="dxa"/>
            <w:vAlign w:val="center"/>
          </w:tcPr>
          <w:p w14:paraId="4DEB7088"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1,680.30</w:t>
            </w:r>
          </w:p>
        </w:tc>
        <w:tc>
          <w:tcPr>
            <w:tcW w:w="1243" w:type="dxa"/>
            <w:vAlign w:val="center"/>
          </w:tcPr>
          <w:p w14:paraId="5C48EA4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1,866.90</w:t>
            </w:r>
          </w:p>
        </w:tc>
        <w:tc>
          <w:tcPr>
            <w:tcW w:w="1984" w:type="dxa"/>
            <w:vAlign w:val="center"/>
          </w:tcPr>
          <w:p w14:paraId="7450433D"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27,039.10</w:t>
            </w:r>
          </w:p>
        </w:tc>
      </w:tr>
      <w:tr w:rsidR="003246DC" w:rsidRPr="000118A3" w14:paraId="26A50F99" w14:textId="77777777" w:rsidTr="00671D7D">
        <w:tc>
          <w:tcPr>
            <w:tcW w:w="708" w:type="dxa"/>
            <w:vAlign w:val="center"/>
          </w:tcPr>
          <w:p w14:paraId="496FF932"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2011</w:t>
            </w:r>
          </w:p>
        </w:tc>
        <w:tc>
          <w:tcPr>
            <w:tcW w:w="1206" w:type="dxa"/>
            <w:vAlign w:val="center"/>
          </w:tcPr>
          <w:p w14:paraId="67B7C65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90,505.30</w:t>
            </w:r>
          </w:p>
        </w:tc>
        <w:tc>
          <w:tcPr>
            <w:tcW w:w="1101" w:type="dxa"/>
            <w:vAlign w:val="center"/>
          </w:tcPr>
          <w:p w14:paraId="10409C8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1,683.05</w:t>
            </w:r>
          </w:p>
        </w:tc>
        <w:tc>
          <w:tcPr>
            <w:tcW w:w="1198" w:type="dxa"/>
            <w:vAlign w:val="center"/>
          </w:tcPr>
          <w:p w14:paraId="19C26F6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8,799.88</w:t>
            </w:r>
          </w:p>
        </w:tc>
        <w:tc>
          <w:tcPr>
            <w:tcW w:w="1206" w:type="dxa"/>
            <w:vAlign w:val="center"/>
          </w:tcPr>
          <w:p w14:paraId="53382293"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10,690</w:t>
            </w:r>
          </w:p>
        </w:tc>
        <w:tc>
          <w:tcPr>
            <w:tcW w:w="1243" w:type="dxa"/>
            <w:vAlign w:val="center"/>
          </w:tcPr>
          <w:p w14:paraId="2B9333AD"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3,063.40</w:t>
            </w:r>
          </w:p>
        </w:tc>
        <w:tc>
          <w:tcPr>
            <w:tcW w:w="1984" w:type="dxa"/>
            <w:vAlign w:val="center"/>
          </w:tcPr>
          <w:p w14:paraId="4932384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33,878.30</w:t>
            </w:r>
          </w:p>
        </w:tc>
      </w:tr>
      <w:tr w:rsidR="003246DC" w:rsidRPr="000118A3" w14:paraId="04D053A6" w14:textId="77777777" w:rsidTr="00671D7D">
        <w:tc>
          <w:tcPr>
            <w:tcW w:w="708" w:type="dxa"/>
            <w:vAlign w:val="center"/>
          </w:tcPr>
          <w:p w14:paraId="25542F55"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2012</w:t>
            </w:r>
          </w:p>
        </w:tc>
        <w:tc>
          <w:tcPr>
            <w:tcW w:w="1206" w:type="dxa"/>
            <w:vAlign w:val="center"/>
          </w:tcPr>
          <w:p w14:paraId="29A8A60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96,611</w:t>
            </w:r>
          </w:p>
        </w:tc>
        <w:tc>
          <w:tcPr>
            <w:tcW w:w="1101" w:type="dxa"/>
            <w:vAlign w:val="center"/>
          </w:tcPr>
          <w:p w14:paraId="45F6EFDA"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8.107.50</w:t>
            </w:r>
          </w:p>
        </w:tc>
        <w:tc>
          <w:tcPr>
            <w:tcW w:w="1198" w:type="dxa"/>
            <w:vAlign w:val="center"/>
          </w:tcPr>
          <w:p w14:paraId="2D5C61B4"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4,505.12</w:t>
            </w:r>
          </w:p>
        </w:tc>
        <w:tc>
          <w:tcPr>
            <w:tcW w:w="1206" w:type="dxa"/>
            <w:vAlign w:val="center"/>
          </w:tcPr>
          <w:p w14:paraId="4C1CF24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79,610</w:t>
            </w:r>
          </w:p>
        </w:tc>
        <w:tc>
          <w:tcPr>
            <w:tcW w:w="1243" w:type="dxa"/>
            <w:vAlign w:val="center"/>
          </w:tcPr>
          <w:p w14:paraId="0D86ACD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2,725.90</w:t>
            </w:r>
          </w:p>
        </w:tc>
        <w:tc>
          <w:tcPr>
            <w:tcW w:w="1984" w:type="dxa"/>
            <w:vAlign w:val="center"/>
          </w:tcPr>
          <w:p w14:paraId="02A165F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40,309</w:t>
            </w:r>
          </w:p>
        </w:tc>
      </w:tr>
      <w:tr w:rsidR="003246DC" w:rsidRPr="000118A3" w14:paraId="570B4C47" w14:textId="77777777" w:rsidTr="00671D7D">
        <w:tc>
          <w:tcPr>
            <w:tcW w:w="708" w:type="dxa"/>
            <w:vAlign w:val="center"/>
          </w:tcPr>
          <w:p w14:paraId="4725C845"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2013</w:t>
            </w:r>
          </w:p>
        </w:tc>
        <w:tc>
          <w:tcPr>
            <w:tcW w:w="1206" w:type="dxa"/>
            <w:vAlign w:val="center"/>
          </w:tcPr>
          <w:p w14:paraId="0F80DC0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93,279.20</w:t>
            </w:r>
          </w:p>
        </w:tc>
        <w:tc>
          <w:tcPr>
            <w:tcW w:w="1101" w:type="dxa"/>
            <w:vAlign w:val="center"/>
          </w:tcPr>
          <w:p w14:paraId="5D866C8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3,209.37</w:t>
            </w:r>
          </w:p>
        </w:tc>
        <w:tc>
          <w:tcPr>
            <w:tcW w:w="1198" w:type="dxa"/>
            <w:vAlign w:val="center"/>
          </w:tcPr>
          <w:p w14:paraId="08FDA141"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211,272.25</w:t>
            </w:r>
          </w:p>
        </w:tc>
        <w:tc>
          <w:tcPr>
            <w:tcW w:w="1206" w:type="dxa"/>
            <w:vAlign w:val="center"/>
          </w:tcPr>
          <w:p w14:paraId="051FEEE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395,396</w:t>
            </w:r>
          </w:p>
        </w:tc>
        <w:tc>
          <w:tcPr>
            <w:tcW w:w="1243" w:type="dxa"/>
            <w:vAlign w:val="center"/>
          </w:tcPr>
          <w:p w14:paraId="351D589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2,426.20</w:t>
            </w:r>
          </w:p>
        </w:tc>
        <w:tc>
          <w:tcPr>
            <w:tcW w:w="1984" w:type="dxa"/>
            <w:vAlign w:val="center"/>
          </w:tcPr>
          <w:p w14:paraId="41DD04B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79,154</w:t>
            </w:r>
          </w:p>
        </w:tc>
      </w:tr>
      <w:tr w:rsidR="003246DC" w:rsidRPr="000118A3" w14:paraId="53B2105E" w14:textId="77777777" w:rsidTr="00671D7D">
        <w:tc>
          <w:tcPr>
            <w:tcW w:w="708" w:type="dxa"/>
            <w:vAlign w:val="center"/>
          </w:tcPr>
          <w:p w14:paraId="677A3188"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2014</w:t>
            </w:r>
          </w:p>
        </w:tc>
        <w:tc>
          <w:tcPr>
            <w:tcW w:w="1206" w:type="dxa"/>
            <w:vAlign w:val="center"/>
          </w:tcPr>
          <w:p w14:paraId="55CB2444"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107,306</w:t>
            </w:r>
          </w:p>
        </w:tc>
        <w:tc>
          <w:tcPr>
            <w:tcW w:w="1101" w:type="dxa"/>
            <w:vAlign w:val="center"/>
          </w:tcPr>
          <w:p w14:paraId="6D3B3A3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4,199</w:t>
            </w:r>
          </w:p>
        </w:tc>
        <w:tc>
          <w:tcPr>
            <w:tcW w:w="1198" w:type="dxa"/>
            <w:vAlign w:val="center"/>
          </w:tcPr>
          <w:p w14:paraId="14343C73"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1,048,114</w:t>
            </w:r>
          </w:p>
        </w:tc>
        <w:tc>
          <w:tcPr>
            <w:tcW w:w="1206" w:type="dxa"/>
            <w:vAlign w:val="center"/>
          </w:tcPr>
          <w:p w14:paraId="32FFC8BE"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601,413</w:t>
            </w:r>
          </w:p>
        </w:tc>
        <w:tc>
          <w:tcPr>
            <w:tcW w:w="1243" w:type="dxa"/>
            <w:vAlign w:val="center"/>
          </w:tcPr>
          <w:p w14:paraId="19C4E70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2,705.60</w:t>
            </w:r>
          </w:p>
        </w:tc>
        <w:tc>
          <w:tcPr>
            <w:tcW w:w="1984" w:type="dxa"/>
            <w:vAlign w:val="center"/>
          </w:tcPr>
          <w:p w14:paraId="31DF043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57,936</w:t>
            </w:r>
          </w:p>
        </w:tc>
      </w:tr>
      <w:tr w:rsidR="003246DC" w:rsidRPr="000118A3" w14:paraId="536B59AA" w14:textId="77777777" w:rsidTr="00671D7D">
        <w:tc>
          <w:tcPr>
            <w:tcW w:w="708" w:type="dxa"/>
            <w:vAlign w:val="center"/>
          </w:tcPr>
          <w:p w14:paraId="712AC42E"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2015</w:t>
            </w:r>
          </w:p>
        </w:tc>
        <w:tc>
          <w:tcPr>
            <w:tcW w:w="1206" w:type="dxa"/>
            <w:vAlign w:val="center"/>
          </w:tcPr>
          <w:p w14:paraId="10B51758"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105,296.30</w:t>
            </w:r>
          </w:p>
        </w:tc>
        <w:tc>
          <w:tcPr>
            <w:tcW w:w="1101" w:type="dxa"/>
            <w:vAlign w:val="center"/>
          </w:tcPr>
          <w:p w14:paraId="0E4D3D8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4,307</w:t>
            </w:r>
          </w:p>
        </w:tc>
        <w:tc>
          <w:tcPr>
            <w:tcW w:w="1198" w:type="dxa"/>
            <w:vAlign w:val="center"/>
          </w:tcPr>
          <w:p w14:paraId="443EEEA3"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1,430,700</w:t>
            </w:r>
          </w:p>
        </w:tc>
        <w:tc>
          <w:tcPr>
            <w:tcW w:w="1206" w:type="dxa"/>
            <w:vAlign w:val="center"/>
          </w:tcPr>
          <w:p w14:paraId="3D55C7B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845,862</w:t>
            </w:r>
          </w:p>
        </w:tc>
        <w:tc>
          <w:tcPr>
            <w:tcW w:w="1243" w:type="dxa"/>
            <w:vAlign w:val="center"/>
          </w:tcPr>
          <w:p w14:paraId="1EDAC16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486</w:t>
            </w:r>
          </w:p>
        </w:tc>
        <w:tc>
          <w:tcPr>
            <w:tcW w:w="1984" w:type="dxa"/>
            <w:vAlign w:val="center"/>
          </w:tcPr>
          <w:p w14:paraId="493A0F5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65,267</w:t>
            </w:r>
          </w:p>
        </w:tc>
      </w:tr>
      <w:tr w:rsidR="003246DC" w:rsidRPr="000118A3" w14:paraId="6F518BE7" w14:textId="77777777" w:rsidTr="00671D7D">
        <w:tc>
          <w:tcPr>
            <w:tcW w:w="708" w:type="dxa"/>
            <w:vAlign w:val="center"/>
          </w:tcPr>
          <w:p w14:paraId="585BBF86"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2016</w:t>
            </w:r>
          </w:p>
        </w:tc>
        <w:tc>
          <w:tcPr>
            <w:tcW w:w="1206" w:type="dxa"/>
            <w:vAlign w:val="center"/>
          </w:tcPr>
          <w:p w14:paraId="52CF5FAE"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101" w:type="dxa"/>
            <w:vAlign w:val="center"/>
          </w:tcPr>
          <w:p w14:paraId="7896748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4,623</w:t>
            </w:r>
          </w:p>
        </w:tc>
        <w:tc>
          <w:tcPr>
            <w:tcW w:w="1198" w:type="dxa"/>
            <w:vAlign w:val="center"/>
          </w:tcPr>
          <w:p w14:paraId="3F01ECA3"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57,079</w:t>
            </w:r>
          </w:p>
        </w:tc>
        <w:tc>
          <w:tcPr>
            <w:tcW w:w="1206" w:type="dxa"/>
            <w:vAlign w:val="center"/>
          </w:tcPr>
          <w:p w14:paraId="47DFF1A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640,818.91</w:t>
            </w:r>
          </w:p>
        </w:tc>
        <w:tc>
          <w:tcPr>
            <w:tcW w:w="1243" w:type="dxa"/>
            <w:vAlign w:val="center"/>
          </w:tcPr>
          <w:p w14:paraId="75471FC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675</w:t>
            </w:r>
          </w:p>
        </w:tc>
        <w:tc>
          <w:tcPr>
            <w:tcW w:w="1984" w:type="dxa"/>
            <w:vAlign w:val="center"/>
          </w:tcPr>
          <w:p w14:paraId="449A523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62,301</w:t>
            </w:r>
          </w:p>
        </w:tc>
      </w:tr>
      <w:tr w:rsidR="003246DC" w:rsidRPr="000118A3" w14:paraId="2631A291" w14:textId="77777777" w:rsidTr="00671D7D">
        <w:tc>
          <w:tcPr>
            <w:tcW w:w="708" w:type="dxa"/>
            <w:vAlign w:val="center"/>
          </w:tcPr>
          <w:p w14:paraId="26712165"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2017</w:t>
            </w:r>
          </w:p>
        </w:tc>
        <w:tc>
          <w:tcPr>
            <w:tcW w:w="1206" w:type="dxa"/>
            <w:vAlign w:val="center"/>
          </w:tcPr>
          <w:p w14:paraId="5D1AD88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68,606</w:t>
            </w:r>
          </w:p>
        </w:tc>
        <w:tc>
          <w:tcPr>
            <w:tcW w:w="1101" w:type="dxa"/>
            <w:vAlign w:val="center"/>
          </w:tcPr>
          <w:p w14:paraId="69F2E0F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3,845</w:t>
            </w:r>
          </w:p>
        </w:tc>
        <w:tc>
          <w:tcPr>
            <w:tcW w:w="1198" w:type="dxa"/>
            <w:vAlign w:val="center"/>
          </w:tcPr>
          <w:p w14:paraId="25ADE0C4"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1,160,748</w:t>
            </w:r>
          </w:p>
        </w:tc>
        <w:tc>
          <w:tcPr>
            <w:tcW w:w="1206" w:type="dxa"/>
            <w:vAlign w:val="center"/>
          </w:tcPr>
          <w:p w14:paraId="1A94820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1,189,443</w:t>
            </w:r>
          </w:p>
        </w:tc>
        <w:tc>
          <w:tcPr>
            <w:tcW w:w="1243" w:type="dxa"/>
            <w:vAlign w:val="center"/>
          </w:tcPr>
          <w:p w14:paraId="4E4D945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164,715</w:t>
            </w:r>
          </w:p>
        </w:tc>
        <w:tc>
          <w:tcPr>
            <w:tcW w:w="1984" w:type="dxa"/>
            <w:vAlign w:val="center"/>
          </w:tcPr>
          <w:p w14:paraId="1141D91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77,970</w:t>
            </w:r>
          </w:p>
        </w:tc>
      </w:tr>
      <w:tr w:rsidR="003246DC" w:rsidRPr="000118A3" w14:paraId="02B0CE8B" w14:textId="77777777" w:rsidTr="00671D7D">
        <w:tc>
          <w:tcPr>
            <w:tcW w:w="708" w:type="dxa"/>
            <w:vAlign w:val="center"/>
          </w:tcPr>
          <w:p w14:paraId="59366765"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2018</w:t>
            </w:r>
          </w:p>
        </w:tc>
        <w:tc>
          <w:tcPr>
            <w:tcW w:w="1206" w:type="dxa"/>
            <w:vAlign w:val="center"/>
          </w:tcPr>
          <w:p w14:paraId="17297BEA"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19,686</w:t>
            </w:r>
          </w:p>
        </w:tc>
        <w:tc>
          <w:tcPr>
            <w:tcW w:w="1101" w:type="dxa"/>
            <w:vAlign w:val="center"/>
          </w:tcPr>
          <w:p w14:paraId="2D837AE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9,334</w:t>
            </w:r>
          </w:p>
        </w:tc>
        <w:tc>
          <w:tcPr>
            <w:tcW w:w="1198" w:type="dxa"/>
            <w:vAlign w:val="center"/>
          </w:tcPr>
          <w:p w14:paraId="280EC0E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1,174,435</w:t>
            </w:r>
          </w:p>
        </w:tc>
        <w:tc>
          <w:tcPr>
            <w:tcW w:w="1206" w:type="dxa"/>
            <w:vAlign w:val="center"/>
          </w:tcPr>
          <w:p w14:paraId="590BB868"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1,226,560</w:t>
            </w:r>
          </w:p>
        </w:tc>
        <w:tc>
          <w:tcPr>
            <w:tcW w:w="1243" w:type="dxa"/>
            <w:vAlign w:val="center"/>
          </w:tcPr>
          <w:p w14:paraId="31AE6119"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177,852</w:t>
            </w:r>
          </w:p>
        </w:tc>
        <w:tc>
          <w:tcPr>
            <w:tcW w:w="1984" w:type="dxa"/>
            <w:vAlign w:val="center"/>
          </w:tcPr>
          <w:p w14:paraId="09CFC47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78,349</w:t>
            </w:r>
          </w:p>
        </w:tc>
      </w:tr>
      <w:tr w:rsidR="003246DC" w:rsidRPr="000118A3" w14:paraId="3D5CCA29" w14:textId="77777777" w:rsidTr="00671D7D">
        <w:tc>
          <w:tcPr>
            <w:tcW w:w="708" w:type="dxa"/>
            <w:vAlign w:val="center"/>
          </w:tcPr>
          <w:p w14:paraId="53F05EA5"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2019</w:t>
            </w:r>
          </w:p>
        </w:tc>
        <w:tc>
          <w:tcPr>
            <w:tcW w:w="1206" w:type="dxa"/>
            <w:vAlign w:val="center"/>
          </w:tcPr>
          <w:p w14:paraId="476BC9F8"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33,195</w:t>
            </w:r>
          </w:p>
        </w:tc>
        <w:tc>
          <w:tcPr>
            <w:tcW w:w="1101" w:type="dxa"/>
            <w:vAlign w:val="center"/>
          </w:tcPr>
          <w:p w14:paraId="0D2FFA66"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7,151</w:t>
            </w:r>
          </w:p>
        </w:tc>
        <w:tc>
          <w:tcPr>
            <w:tcW w:w="1198" w:type="dxa"/>
            <w:vAlign w:val="center"/>
          </w:tcPr>
          <w:p w14:paraId="04A5E39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1,327,271</w:t>
            </w:r>
          </w:p>
        </w:tc>
        <w:tc>
          <w:tcPr>
            <w:tcW w:w="1206" w:type="dxa"/>
            <w:vAlign w:val="center"/>
          </w:tcPr>
          <w:p w14:paraId="6B18C4B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1,243,767</w:t>
            </w:r>
          </w:p>
        </w:tc>
        <w:tc>
          <w:tcPr>
            <w:tcW w:w="1243" w:type="dxa"/>
            <w:vAlign w:val="center"/>
          </w:tcPr>
          <w:p w14:paraId="304058E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129,442</w:t>
            </w:r>
          </w:p>
        </w:tc>
        <w:tc>
          <w:tcPr>
            <w:tcW w:w="1984" w:type="dxa"/>
            <w:vAlign w:val="center"/>
          </w:tcPr>
          <w:p w14:paraId="2FA08D63"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74,245</w:t>
            </w:r>
          </w:p>
        </w:tc>
      </w:tr>
      <w:tr w:rsidR="003246DC" w:rsidRPr="000118A3" w14:paraId="5F19DAAA" w14:textId="77777777" w:rsidTr="00671D7D">
        <w:tc>
          <w:tcPr>
            <w:tcW w:w="708" w:type="dxa"/>
            <w:vAlign w:val="center"/>
          </w:tcPr>
          <w:p w14:paraId="2BC44D67"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2020</w:t>
            </w:r>
          </w:p>
        </w:tc>
        <w:tc>
          <w:tcPr>
            <w:tcW w:w="1206" w:type="dxa"/>
            <w:vAlign w:val="center"/>
          </w:tcPr>
          <w:p w14:paraId="24DA3F56"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27,237</w:t>
            </w:r>
          </w:p>
        </w:tc>
        <w:tc>
          <w:tcPr>
            <w:tcW w:w="1101" w:type="dxa"/>
            <w:vAlign w:val="center"/>
          </w:tcPr>
          <w:p w14:paraId="63BC94B1"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8,164</w:t>
            </w:r>
          </w:p>
        </w:tc>
        <w:tc>
          <w:tcPr>
            <w:tcW w:w="1198" w:type="dxa"/>
            <w:vAlign w:val="center"/>
          </w:tcPr>
          <w:p w14:paraId="54A12AF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1,186,738</w:t>
            </w:r>
          </w:p>
        </w:tc>
        <w:tc>
          <w:tcPr>
            <w:tcW w:w="1206" w:type="dxa"/>
            <w:vAlign w:val="center"/>
          </w:tcPr>
          <w:p w14:paraId="45F9DEF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1,264,159</w:t>
            </w:r>
          </w:p>
        </w:tc>
        <w:tc>
          <w:tcPr>
            <w:tcW w:w="1243" w:type="dxa"/>
            <w:vAlign w:val="center"/>
          </w:tcPr>
          <w:p w14:paraId="1DEC2531"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139,079</w:t>
            </w:r>
          </w:p>
        </w:tc>
        <w:tc>
          <w:tcPr>
            <w:tcW w:w="1984" w:type="dxa"/>
            <w:vAlign w:val="center"/>
          </w:tcPr>
          <w:p w14:paraId="075B92C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81,474</w:t>
            </w:r>
          </w:p>
        </w:tc>
      </w:tr>
      <w:tr w:rsidR="003246DC" w:rsidRPr="000118A3" w14:paraId="7874C9F7" w14:textId="77777777" w:rsidTr="00671D7D">
        <w:tc>
          <w:tcPr>
            <w:tcW w:w="708" w:type="dxa"/>
            <w:vAlign w:val="center"/>
          </w:tcPr>
          <w:p w14:paraId="7DE6A2D1"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2021</w:t>
            </w:r>
          </w:p>
        </w:tc>
        <w:tc>
          <w:tcPr>
            <w:tcW w:w="1206" w:type="dxa"/>
            <w:vAlign w:val="center"/>
          </w:tcPr>
          <w:p w14:paraId="14011DD2"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20,235</w:t>
            </w:r>
          </w:p>
        </w:tc>
        <w:tc>
          <w:tcPr>
            <w:tcW w:w="1101" w:type="dxa"/>
            <w:vAlign w:val="center"/>
          </w:tcPr>
          <w:p w14:paraId="09E1B85D"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9,144</w:t>
            </w:r>
          </w:p>
        </w:tc>
        <w:tc>
          <w:tcPr>
            <w:tcW w:w="1198" w:type="dxa"/>
            <w:vAlign w:val="center"/>
          </w:tcPr>
          <w:p w14:paraId="336A8EA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1,235,930</w:t>
            </w:r>
          </w:p>
        </w:tc>
        <w:tc>
          <w:tcPr>
            <w:tcW w:w="1206" w:type="dxa"/>
            <w:vAlign w:val="center"/>
          </w:tcPr>
          <w:p w14:paraId="19F00985"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1,279,959</w:t>
            </w:r>
          </w:p>
        </w:tc>
        <w:tc>
          <w:tcPr>
            <w:tcW w:w="1243" w:type="dxa"/>
            <w:vAlign w:val="center"/>
          </w:tcPr>
          <w:p w14:paraId="28A9ED2A"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118,059</w:t>
            </w:r>
          </w:p>
        </w:tc>
        <w:tc>
          <w:tcPr>
            <w:tcW w:w="1984" w:type="dxa"/>
            <w:vAlign w:val="center"/>
          </w:tcPr>
          <w:p w14:paraId="19FC206E"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83,149</w:t>
            </w:r>
          </w:p>
        </w:tc>
      </w:tr>
      <w:tr w:rsidR="003246DC" w:rsidRPr="000118A3" w14:paraId="7511D2A4" w14:textId="77777777" w:rsidTr="00671D7D">
        <w:tc>
          <w:tcPr>
            <w:tcW w:w="708" w:type="dxa"/>
            <w:vAlign w:val="center"/>
          </w:tcPr>
          <w:p w14:paraId="3374F6CD"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2022</w:t>
            </w:r>
          </w:p>
        </w:tc>
        <w:tc>
          <w:tcPr>
            <w:tcW w:w="1206" w:type="dxa"/>
            <w:vAlign w:val="center"/>
          </w:tcPr>
          <w:p w14:paraId="292CE9D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27,942</w:t>
            </w:r>
          </w:p>
        </w:tc>
        <w:tc>
          <w:tcPr>
            <w:tcW w:w="1101" w:type="dxa"/>
            <w:vAlign w:val="center"/>
          </w:tcPr>
          <w:p w14:paraId="3B14C9D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11,165</w:t>
            </w:r>
          </w:p>
        </w:tc>
        <w:tc>
          <w:tcPr>
            <w:tcW w:w="1198" w:type="dxa"/>
            <w:vAlign w:val="center"/>
          </w:tcPr>
          <w:p w14:paraId="2790B91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1,240,853</w:t>
            </w:r>
          </w:p>
        </w:tc>
        <w:tc>
          <w:tcPr>
            <w:tcW w:w="1206" w:type="dxa"/>
            <w:vAlign w:val="center"/>
          </w:tcPr>
          <w:p w14:paraId="76197BB9"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1,284,129</w:t>
            </w:r>
          </w:p>
        </w:tc>
        <w:tc>
          <w:tcPr>
            <w:tcW w:w="1243" w:type="dxa"/>
            <w:vAlign w:val="center"/>
          </w:tcPr>
          <w:p w14:paraId="4AAC564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126,468</w:t>
            </w:r>
          </w:p>
        </w:tc>
        <w:tc>
          <w:tcPr>
            <w:tcW w:w="1984" w:type="dxa"/>
            <w:vAlign w:val="center"/>
          </w:tcPr>
          <w:p w14:paraId="5076B530"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84,076</w:t>
            </w:r>
          </w:p>
        </w:tc>
      </w:tr>
      <w:tr w:rsidR="003246DC" w:rsidRPr="000118A3" w14:paraId="4234320C" w14:textId="77777777" w:rsidTr="00671D7D">
        <w:tc>
          <w:tcPr>
            <w:tcW w:w="708" w:type="dxa"/>
            <w:vAlign w:val="center"/>
          </w:tcPr>
          <w:p w14:paraId="47CAE679"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lastRenderedPageBreak/>
              <w:t>2023</w:t>
            </w:r>
          </w:p>
        </w:tc>
        <w:tc>
          <w:tcPr>
            <w:tcW w:w="1206" w:type="dxa"/>
            <w:vAlign w:val="center"/>
          </w:tcPr>
          <w:p w14:paraId="4DF8846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126,344.73</w:t>
            </w:r>
          </w:p>
        </w:tc>
        <w:tc>
          <w:tcPr>
            <w:tcW w:w="1101" w:type="dxa"/>
            <w:vAlign w:val="center"/>
          </w:tcPr>
          <w:p w14:paraId="51FC3218"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10,913.68</w:t>
            </w:r>
          </w:p>
        </w:tc>
        <w:tc>
          <w:tcPr>
            <w:tcW w:w="1198" w:type="dxa"/>
            <w:vAlign w:val="center"/>
          </w:tcPr>
          <w:p w14:paraId="531A91EB"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1,148,456</w:t>
            </w:r>
          </w:p>
        </w:tc>
        <w:tc>
          <w:tcPr>
            <w:tcW w:w="1206" w:type="dxa"/>
            <w:vAlign w:val="center"/>
          </w:tcPr>
          <w:p w14:paraId="3D5CBDFC"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1,054,927</w:t>
            </w:r>
          </w:p>
        </w:tc>
        <w:tc>
          <w:tcPr>
            <w:tcW w:w="1243" w:type="dxa"/>
            <w:vAlign w:val="center"/>
          </w:tcPr>
          <w:p w14:paraId="29F14FAE"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984" w:type="dxa"/>
            <w:vAlign w:val="center"/>
          </w:tcPr>
          <w:p w14:paraId="298A859A"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84,717.32</w:t>
            </w:r>
          </w:p>
        </w:tc>
      </w:tr>
      <w:tr w:rsidR="003246DC" w:rsidRPr="000118A3" w14:paraId="339E3E26" w14:textId="77777777" w:rsidTr="00671D7D">
        <w:tc>
          <w:tcPr>
            <w:tcW w:w="708" w:type="dxa"/>
            <w:vAlign w:val="center"/>
          </w:tcPr>
          <w:p w14:paraId="6770CCAD" w14:textId="77777777" w:rsidR="003246DC" w:rsidRPr="000118A3" w:rsidRDefault="003246DC" w:rsidP="00671D7D">
            <w:pPr>
              <w:jc w:val="center"/>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2024</w:t>
            </w:r>
          </w:p>
        </w:tc>
        <w:tc>
          <w:tcPr>
            <w:tcW w:w="1206" w:type="dxa"/>
            <w:vAlign w:val="center"/>
          </w:tcPr>
          <w:p w14:paraId="6D68EC46"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27,421</w:t>
            </w:r>
          </w:p>
        </w:tc>
        <w:tc>
          <w:tcPr>
            <w:tcW w:w="1101" w:type="dxa"/>
            <w:vAlign w:val="center"/>
          </w:tcPr>
          <w:p w14:paraId="6D3D3B0E"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11,165</w:t>
            </w:r>
          </w:p>
        </w:tc>
        <w:tc>
          <w:tcPr>
            <w:tcW w:w="1198" w:type="dxa"/>
            <w:vAlign w:val="center"/>
          </w:tcPr>
          <w:p w14:paraId="610F6B37"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206" w:type="dxa"/>
            <w:vAlign w:val="center"/>
          </w:tcPr>
          <w:p w14:paraId="279102CF"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1,369,571</w:t>
            </w:r>
          </w:p>
        </w:tc>
        <w:tc>
          <w:tcPr>
            <w:tcW w:w="1243" w:type="dxa"/>
            <w:vAlign w:val="center"/>
          </w:tcPr>
          <w:p w14:paraId="01259346"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c>
          <w:tcPr>
            <w:tcW w:w="1984" w:type="dxa"/>
            <w:vAlign w:val="center"/>
          </w:tcPr>
          <w:p w14:paraId="198F9044" w14:textId="77777777" w:rsidR="003246DC" w:rsidRPr="000118A3" w:rsidRDefault="003246DC" w:rsidP="00671D7D">
            <w:pPr>
              <w:jc w:val="right"/>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w:t>
            </w:r>
          </w:p>
        </w:tc>
      </w:tr>
    </w:tbl>
    <w:p w14:paraId="58C2F4AF" w14:textId="77777777" w:rsidR="003246DC" w:rsidRPr="000118A3" w:rsidRDefault="003246DC" w:rsidP="003246DC">
      <w:pPr>
        <w:pStyle w:val="ListParagraph"/>
        <w:pBdr>
          <w:top w:val="nil"/>
          <w:left w:val="nil"/>
          <w:bottom w:val="nil"/>
          <w:right w:val="nil"/>
          <w:between w:val="nil"/>
        </w:pBdr>
        <w:jc w:val="both"/>
        <w:rPr>
          <w:rFonts w:ascii="Times New Roman" w:hAnsi="Times New Roman" w:cs="Times New Roman"/>
          <w:color w:val="000000" w:themeColor="text1"/>
          <w:sz w:val="22"/>
          <w:szCs w:val="22"/>
        </w:rPr>
      </w:pPr>
    </w:p>
    <w:p w14:paraId="55E86930" w14:textId="202F2907" w:rsidR="003246DC" w:rsidRPr="000118A3" w:rsidRDefault="001F7FF9" w:rsidP="001F7FF9">
      <w:pPr>
        <w:pStyle w:val="BodyText"/>
        <w:spacing w:after="0" w:line="240" w:lineRule="auto"/>
        <w:rPr>
          <w:rFonts w:ascii="Times New Roman" w:hAnsi="Times New Roman" w:cs="Times New Roman"/>
          <w:b/>
          <w:bCs/>
          <w:color w:val="0070C0"/>
        </w:rPr>
      </w:pPr>
      <w:r>
        <w:rPr>
          <w:rFonts w:ascii="Times New Roman" w:hAnsi="Times New Roman" w:cs="Times New Roman"/>
          <w:b/>
          <w:bCs/>
          <w:color w:val="0070C0"/>
        </w:rPr>
        <w:t>5</w:t>
      </w:r>
      <w:r w:rsidR="00643DA1" w:rsidRPr="000118A3">
        <w:rPr>
          <w:rFonts w:ascii="Times New Roman" w:hAnsi="Times New Roman" w:cs="Times New Roman"/>
          <w:b/>
          <w:bCs/>
          <w:color w:val="0070C0"/>
        </w:rPr>
        <w:t xml:space="preserve">.4.2. </w:t>
      </w:r>
      <w:r w:rsidR="003246DC" w:rsidRPr="000118A3">
        <w:rPr>
          <w:rFonts w:ascii="Times New Roman" w:hAnsi="Times New Roman" w:cs="Times New Roman"/>
          <w:b/>
          <w:bCs/>
          <w:color w:val="0070C0"/>
        </w:rPr>
        <w:t>Climate Change Impacts</w:t>
      </w:r>
    </w:p>
    <w:p w14:paraId="167730F8" w14:textId="77777777" w:rsidR="003246DC" w:rsidRPr="000118A3" w:rsidRDefault="003246DC" w:rsidP="001F7FF9">
      <w:pPr>
        <w:spacing w:before="120"/>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Climate change poses significant challenges to the marine aquaculture sector through its influence on ocean temperature, chemistry, and circulation patterns. Rising sea surface temperatures can alter the growth rates, metabolism, and reproductive cycles of cultured species, often leading to reduced productivity or increased mortality. Warm-water stress may also create conditions that favor harmful algal blooms (HABs), which release toxins that can contaminate shellfish and disrupt fish farming operations. Additionally, changes in ocean currents and stratification can affect nutrient availability and water exchange in aquaculture sites, further impacting the health and yield of farmed stocks.</w:t>
      </w:r>
    </w:p>
    <w:p w14:paraId="759E6458" w14:textId="77777777" w:rsidR="003246DC" w:rsidRPr="000118A3" w:rsidRDefault="003246DC" w:rsidP="001F7FF9">
      <w:pPr>
        <w:spacing w:before="120"/>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Extreme weather events, including storms, floods, and prolonged heatwaves, are expected to increase in frequency and intensity under climate change, posing direct physical threats to aquaculture infrastructure. Storm surges and strong waves can damage cages, nets, and mooring systems, leading to stock losses and economic setbacks. Salinity fluctuations from heavy rainfall or drought can stress farmed species, especially those with narrow tolerance ranges. These combined impacts not only threaten production stability but also increase operational costs due to the need for adaptive measures, such as selective breeding for climate-resilient species, improved farm design, and strategic relocation of aquaculture facilities to less vulnerable areas.</w:t>
      </w:r>
    </w:p>
    <w:p w14:paraId="587C8465" w14:textId="77777777" w:rsidR="003246DC" w:rsidRPr="000118A3" w:rsidRDefault="003246DC" w:rsidP="000E7449">
      <w:pPr>
        <w:pStyle w:val="ListParagraph"/>
        <w:spacing w:before="100" w:beforeAutospacing="1" w:after="100" w:afterAutospacing="1"/>
        <w:ind w:left="0"/>
        <w:jc w:val="center"/>
        <w:rPr>
          <w:rFonts w:ascii="Times New Roman" w:eastAsia="Times New Roman" w:hAnsi="Times New Roman" w:cs="Times New Roman"/>
          <w:color w:val="000000" w:themeColor="text1"/>
          <w:sz w:val="22"/>
          <w:szCs w:val="22"/>
        </w:rPr>
      </w:pPr>
      <w:r w:rsidRPr="000118A3">
        <w:rPr>
          <w:rFonts w:ascii="Times New Roman" w:hAnsi="Times New Roman" w:cs="Times New Roman"/>
          <w:noProof/>
          <w:sz w:val="22"/>
          <w:szCs w:val="22"/>
        </w:rPr>
        <w:drawing>
          <wp:inline distT="0" distB="0" distL="0" distR="0" wp14:anchorId="220F24AA" wp14:editId="6AC02F91">
            <wp:extent cx="6126855" cy="2185059"/>
            <wp:effectExtent l="0" t="0" r="0" b="0"/>
            <wp:docPr id="6638635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863532" name=""/>
                    <pic:cNvPicPr/>
                  </pic:nvPicPr>
                  <pic:blipFill>
                    <a:blip r:embed="rId98"/>
                    <a:stretch>
                      <a:fillRect/>
                    </a:stretch>
                  </pic:blipFill>
                  <pic:spPr>
                    <a:xfrm>
                      <a:off x="0" y="0"/>
                      <a:ext cx="6158222" cy="2196246"/>
                    </a:xfrm>
                    <a:prstGeom prst="rect">
                      <a:avLst/>
                    </a:prstGeom>
                  </pic:spPr>
                </pic:pic>
              </a:graphicData>
            </a:graphic>
          </wp:inline>
        </w:drawing>
      </w:r>
    </w:p>
    <w:p w14:paraId="3BEFFD6B" w14:textId="7A5D288C" w:rsidR="003246DC" w:rsidRPr="000118A3" w:rsidRDefault="00612A70" w:rsidP="00612A70">
      <w:pPr>
        <w:pStyle w:val="Caption"/>
        <w:jc w:val="center"/>
        <w:rPr>
          <w:rFonts w:ascii="Times New Roman" w:hAnsi="Times New Roman" w:cs="Times New Roman"/>
          <w:i w:val="0"/>
          <w:iCs w:val="0"/>
          <w:color w:val="000000" w:themeColor="text1"/>
          <w:sz w:val="22"/>
          <w:szCs w:val="22"/>
        </w:rPr>
      </w:pPr>
      <w:bookmarkStart w:id="159" w:name="_Toc211860821"/>
      <w:bookmarkStart w:id="160" w:name="_Toc217297638"/>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51</w:t>
      </w:r>
      <w:r w:rsidRPr="00612A70">
        <w:rPr>
          <w:rFonts w:ascii="Times New Roman" w:hAnsi="Times New Roman" w:cs="Times New Roman"/>
          <w:i w:val="0"/>
          <w:iCs w:val="0"/>
          <w:color w:val="000000" w:themeColor="text1"/>
          <w:sz w:val="22"/>
          <w:szCs w:val="22"/>
        </w:rPr>
        <w:fldChar w:fldCharType="end"/>
      </w:r>
      <w:r w:rsidR="003246DC" w:rsidRPr="00612A70">
        <w:rPr>
          <w:rFonts w:ascii="Times New Roman" w:hAnsi="Times New Roman" w:cs="Times New Roman"/>
          <w:i w:val="0"/>
          <w:iCs w:val="0"/>
          <w:color w:val="000000" w:themeColor="text1"/>
          <w:sz w:val="22"/>
          <w:szCs w:val="22"/>
        </w:rPr>
        <w:t xml:space="preserve"> </w:t>
      </w:r>
      <w:r w:rsidR="003246DC" w:rsidRPr="000118A3">
        <w:rPr>
          <w:rFonts w:ascii="Times New Roman" w:hAnsi="Times New Roman" w:cs="Times New Roman"/>
          <w:i w:val="0"/>
          <w:iCs w:val="0"/>
          <w:color w:val="000000" w:themeColor="text1"/>
          <w:sz w:val="22"/>
          <w:szCs w:val="22"/>
        </w:rPr>
        <w:t xml:space="preserve">Spatial distribution of multiyear warm season (1982-2020) in the SCS (Li </w:t>
      </w:r>
      <w:r w:rsidR="003246DC" w:rsidRPr="000118A3">
        <w:rPr>
          <w:rFonts w:ascii="Times New Roman" w:hAnsi="Times New Roman" w:cs="Times New Roman"/>
          <w:color w:val="000000" w:themeColor="text1"/>
          <w:sz w:val="22"/>
          <w:szCs w:val="22"/>
        </w:rPr>
        <w:t>et al</w:t>
      </w:r>
      <w:r w:rsidR="003246DC" w:rsidRPr="000118A3">
        <w:rPr>
          <w:rFonts w:ascii="Times New Roman" w:hAnsi="Times New Roman" w:cs="Times New Roman"/>
          <w:i w:val="0"/>
          <w:iCs w:val="0"/>
          <w:color w:val="000000" w:themeColor="text1"/>
          <w:sz w:val="22"/>
          <w:szCs w:val="22"/>
        </w:rPr>
        <w:t>., 2022)</w:t>
      </w:r>
      <w:bookmarkEnd w:id="159"/>
      <w:bookmarkEnd w:id="160"/>
    </w:p>
    <w:p w14:paraId="00D9CCD7" w14:textId="77777777" w:rsidR="003246DC" w:rsidRPr="000118A3" w:rsidRDefault="003246DC" w:rsidP="003246DC">
      <w:pPr>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In the South China Sea, climate change has already shown tangible impacts on marine aquaculture, particularly in coastal provinces such as Guangdong, Hainan, and the Gulf of Thailand region. Rising sea surface temperatures have led to more frequent outbreaks of fish diseases, including viral nervous necrosis (VNN) in groupers and streptococcosis in tilapia, which thrive in warmer and more stagnant waters. Farmers have reported reduced growth rates and increased mortality in high-value species like shrimp, as higher temperatures and lower dissolved oxygen levels stress the animals. In shellfish farming areas, such as oyster and mussel beds, shifts in seasonal temperature cycles have disrupted spawning periods, affecting seed availability and production timing. These biological changes, compounded by unpredictable monsoon patterns, have made it more difficult for farmers to plan stocking and harvesting schedules.</w:t>
      </w:r>
    </w:p>
    <w:p w14:paraId="379E1DAA" w14:textId="77777777" w:rsidR="001F7FF9" w:rsidRDefault="003246DC" w:rsidP="001F7FF9">
      <w:pP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 xml:space="preserve">Ocean acidification in the South China Sea has further exacerbated challenges, particularly for calcifying organisms such as pearl oysters in Hainan and scallops in northern Vietnam. Lower pH levels have been linked to weaker shell formation and higher larval mortality, reducing yields and threatening the economic viability of </w:t>
      </w:r>
      <w:r w:rsidRPr="000118A3">
        <w:rPr>
          <w:rFonts w:ascii="Times New Roman" w:hAnsi="Times New Roman" w:cs="Times New Roman"/>
          <w:color w:val="000000" w:themeColor="text1"/>
          <w:sz w:val="22"/>
          <w:szCs w:val="22"/>
        </w:rPr>
        <w:lastRenderedPageBreak/>
        <w:t>hatcheries. Additionally, stronger typhoons, which have increased in intensity over the past two decades, have caused significant physical damage to fish cages, seaweed lines, and other infrastructure, resulting in both stock loss and environmental degradation from escaped non-native species. These climate-driven impacts highlight the urgent need for adaptive strategies in the region, including selective breeding for heat- and acidification-resistant strains, the use of deeper or more sheltered farming sites, and the integration of climate forecasting into aquaculture management.</w:t>
      </w:r>
    </w:p>
    <w:p w14:paraId="122BA737" w14:textId="6CE21074" w:rsidR="003246DC" w:rsidRDefault="003246DC" w:rsidP="001F7FF9">
      <w:pPr>
        <w:spacing w:before="120"/>
        <w:jc w:val="both"/>
        <w:rPr>
          <w:rFonts w:ascii="Times New Roman" w:hAnsi="Times New Roman" w:cs="Times New Roman"/>
          <w:color w:val="000000" w:themeColor="text1"/>
        </w:rPr>
      </w:pPr>
      <w:r w:rsidRPr="000118A3">
        <w:rPr>
          <w:rFonts w:ascii="Times New Roman" w:hAnsi="Times New Roman" w:cs="Times New Roman"/>
          <w:color w:val="000000" w:themeColor="text1"/>
        </w:rPr>
        <w:t xml:space="preserve">Climate change has measurably affected fisheries in Indonesia’s South China Sea sub-region (WPPNRI 711), encompassing the Natuna and Anambas waters. Satellite observations show that sea surface temperatures have increased by 0.2–0.4 °C per decade since the early 2000s, while marine heatwaves occur up to four times annually, lasting 8–18 days with temperature anomalies reaching +1.6 °C (Zandika </w:t>
      </w:r>
      <w:r w:rsidRPr="000118A3">
        <w:rPr>
          <w:rFonts w:ascii="Times New Roman" w:hAnsi="Times New Roman" w:cs="Times New Roman"/>
          <w:i/>
          <w:iCs/>
          <w:color w:val="000000" w:themeColor="text1"/>
        </w:rPr>
        <w:t xml:space="preserve">et al., </w:t>
      </w:r>
      <w:r w:rsidRPr="000118A3">
        <w:rPr>
          <w:rFonts w:ascii="Times New Roman" w:hAnsi="Times New Roman" w:cs="Times New Roman"/>
          <w:color w:val="000000" w:themeColor="text1"/>
        </w:rPr>
        <w:t>2024). These thermal shifts disrupt plankton productivity—chlorophyll-a concentrations fluctuate between 0.1–5 mg/m³—and drive habitat shifts in pelagic fish such as mackerel (</w:t>
      </w:r>
      <w:r w:rsidRPr="000118A3">
        <w:rPr>
          <w:rFonts w:ascii="Times New Roman" w:hAnsi="Times New Roman" w:cs="Times New Roman"/>
          <w:i/>
          <w:iCs/>
          <w:color w:val="000000" w:themeColor="text1"/>
        </w:rPr>
        <w:t>Scomberomorus commerson</w:t>
      </w:r>
      <w:r w:rsidRPr="000118A3">
        <w:rPr>
          <w:rFonts w:ascii="Times New Roman" w:hAnsi="Times New Roman" w:cs="Times New Roman"/>
          <w:color w:val="000000" w:themeColor="text1"/>
        </w:rPr>
        <w:t>), yellowfin tuna (</w:t>
      </w:r>
      <w:r w:rsidRPr="000118A3">
        <w:rPr>
          <w:rFonts w:ascii="Times New Roman" w:hAnsi="Times New Roman" w:cs="Times New Roman"/>
          <w:i/>
          <w:iCs/>
          <w:color w:val="000000" w:themeColor="text1"/>
        </w:rPr>
        <w:t>Thunnus albacares</w:t>
      </w:r>
      <w:r w:rsidRPr="000118A3">
        <w:rPr>
          <w:rFonts w:ascii="Times New Roman" w:hAnsi="Times New Roman" w:cs="Times New Roman"/>
          <w:color w:val="000000" w:themeColor="text1"/>
        </w:rPr>
        <w:t>), and skipjack tuna (</w:t>
      </w:r>
      <w:r w:rsidRPr="000118A3">
        <w:rPr>
          <w:rFonts w:ascii="Times New Roman" w:hAnsi="Times New Roman" w:cs="Times New Roman"/>
          <w:i/>
          <w:iCs/>
          <w:color w:val="000000" w:themeColor="text1"/>
        </w:rPr>
        <w:t>Katsuwonus pelamis</w:t>
      </w:r>
      <w:r w:rsidRPr="000118A3">
        <w:rPr>
          <w:rFonts w:ascii="Times New Roman" w:hAnsi="Times New Roman" w:cs="Times New Roman"/>
          <w:color w:val="000000" w:themeColor="text1"/>
        </w:rPr>
        <w:t>). The area of potential fishing grounds has declined by about 30% during transitional monsoon seasons, causing reduced catch efficiency and up to 20–25% higher fuel costs for local fleets (Untan, 2023). Socioeconomic surveys in Natuna indicate that over 60% of small-scale fishers have experienced declining income due to changing fishing patterns. These findings highlight that without adaptive, data-driven management and improved resilience of coastal communities, climate-related stressors could significantly reduce fishery productivity in Indonesia's portion of the South China Sea</w:t>
      </w:r>
    </w:p>
    <w:p w14:paraId="0EC86EBB" w14:textId="77777777" w:rsidR="001F7FF9" w:rsidRDefault="001F7FF9" w:rsidP="001F7FF9">
      <w:pPr>
        <w:spacing w:before="120"/>
        <w:jc w:val="both"/>
        <w:rPr>
          <w:rFonts w:ascii="Times New Roman" w:hAnsi="Times New Roman" w:cs="Times New Roman"/>
          <w:color w:val="000000" w:themeColor="text1"/>
        </w:rPr>
      </w:pPr>
    </w:p>
    <w:p w14:paraId="704B7453" w14:textId="00ECA21F" w:rsidR="003246DC" w:rsidRPr="000118A3" w:rsidRDefault="003246DC" w:rsidP="00B16E45">
      <w:pPr>
        <w:pStyle w:val="BodyText"/>
        <w:numPr>
          <w:ilvl w:val="1"/>
          <w:numId w:val="143"/>
        </w:numPr>
        <w:spacing w:after="0" w:line="240" w:lineRule="auto"/>
        <w:outlineLvl w:val="1"/>
        <w:rPr>
          <w:rFonts w:ascii="Times New Roman" w:hAnsi="Times New Roman" w:cs="Times New Roman"/>
          <w:b/>
          <w:bCs/>
          <w:color w:val="0070C0"/>
        </w:rPr>
      </w:pPr>
      <w:bookmarkStart w:id="161" w:name="_Toc217297566"/>
      <w:r w:rsidRPr="000118A3">
        <w:rPr>
          <w:rFonts w:ascii="Times New Roman" w:hAnsi="Times New Roman" w:cs="Times New Roman"/>
          <w:b/>
          <w:bCs/>
          <w:color w:val="0070C0"/>
        </w:rPr>
        <w:t>Problems and Issues</w:t>
      </w:r>
      <w:bookmarkEnd w:id="161"/>
    </w:p>
    <w:p w14:paraId="538A9823" w14:textId="50E6B79C" w:rsidR="003246DC" w:rsidRPr="000118A3" w:rsidRDefault="003246DC" w:rsidP="001F7FF9">
      <w:pPr>
        <w:pStyle w:val="BodyText"/>
        <w:numPr>
          <w:ilvl w:val="2"/>
          <w:numId w:val="143"/>
        </w:numPr>
        <w:spacing w:after="0" w:line="240" w:lineRule="auto"/>
        <w:rPr>
          <w:rFonts w:ascii="Times New Roman" w:hAnsi="Times New Roman" w:cs="Times New Roman"/>
          <w:b/>
          <w:bCs/>
          <w:color w:val="0070C0"/>
        </w:rPr>
      </w:pPr>
      <w:r w:rsidRPr="000118A3">
        <w:rPr>
          <w:rFonts w:ascii="Times New Roman" w:hAnsi="Times New Roman" w:cs="Times New Roman"/>
          <w:b/>
          <w:bCs/>
          <w:color w:val="0070C0"/>
        </w:rPr>
        <w:t>Fisheries Issue</w:t>
      </w:r>
    </w:p>
    <w:p w14:paraId="5EA73398" w14:textId="77777777" w:rsidR="00474BE2" w:rsidRPr="000118A3" w:rsidRDefault="00474BE2" w:rsidP="001F7FF9">
      <w:pPr>
        <w:pBdr>
          <w:top w:val="nil"/>
          <w:left w:val="nil"/>
          <w:bottom w:val="nil"/>
          <w:right w:val="nil"/>
          <w:between w:val="nil"/>
        </w:pBd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The waters around Bintan within WPPNRI 711 (Natuna and the South China Sea) are highly strategic but face significant ecological and governance pressures. IUU fishing remains a major issue, with violations by Vietnamese vessels increasing despite reductions in Thai incursions, placing heavy pressure on demersal and pelagic stocks and creating economic disadvantages for local fishers. Bottom seine vessels from Java—along with continued use of bouke ami, seine nets, and other bottom-contact gears—frequently violate spatial regulations and damage benthic habitats, particularly in areas such as Tambelan and Anambas where destructive practices like blast fishing, cyanide use, and compressor-assisted capture persist.</w:t>
      </w:r>
    </w:p>
    <w:p w14:paraId="6B925FD6" w14:textId="4F733A31" w:rsidR="003246DC" w:rsidRPr="000118A3" w:rsidRDefault="00474BE2" w:rsidP="001F7FF9">
      <w:pPr>
        <w:pStyle w:val="BodyText"/>
        <w:spacing w:before="120" w:after="0" w:line="240" w:lineRule="auto"/>
        <w:jc w:val="both"/>
        <w:rPr>
          <w:rFonts w:ascii="Times New Roman" w:hAnsi="Times New Roman" w:cs="Times New Roman"/>
          <w:b/>
          <w:bCs/>
          <w:color w:val="0070C0"/>
        </w:rPr>
      </w:pPr>
      <w:r w:rsidRPr="000118A3">
        <w:rPr>
          <w:rFonts w:ascii="Times New Roman" w:hAnsi="Times New Roman" w:cs="Times New Roman"/>
          <w:color w:val="000000" w:themeColor="text1"/>
        </w:rPr>
        <w:t>Harmful traditional gears, including Muroami and coral-placed fish traps, further degrade reef structures, reduce habitat complexity, and weaken fish recruitment. Spatial conflicts between fishing and marine tourism have intensified in Bintan and Anambas due to overlapping use zones, underscoring the need for clearer zoning and stronger enforcement under RZWP3K. Additional concerns include abandoned and lost fishing gear (ALDFG), which accumulates in coral and dive sites, posing entanglement risks and contributing to marine debris. Cross-border trade challenges persist for high-value or protected species such as Napoleon wrasse, sharks, and sea cucumbers, with recent export restrictions from China affecting local livelihoods. Illegal harvest of protected fauna, including dugongs and sea turtles, continues in remote areas, despite the region’s role as a migratory corridor for many ETP species. Overall, these issues highlight the need for enhanced monitoring, stricter compliance mechanisms, and the development of sustainable livelihood alternatives for coastal communities.</w:t>
      </w:r>
    </w:p>
    <w:p w14:paraId="1EFB39EC" w14:textId="01A3C122" w:rsidR="003246DC" w:rsidRPr="000118A3" w:rsidRDefault="00474BE2" w:rsidP="001F7FF9">
      <w:pPr>
        <w:pStyle w:val="BodyText"/>
        <w:numPr>
          <w:ilvl w:val="2"/>
          <w:numId w:val="143"/>
        </w:numPr>
        <w:spacing w:before="188"/>
        <w:rPr>
          <w:rFonts w:ascii="Times New Roman" w:hAnsi="Times New Roman" w:cs="Times New Roman"/>
          <w:b/>
          <w:bCs/>
          <w:color w:val="0070C0"/>
        </w:rPr>
      </w:pPr>
      <w:r w:rsidRPr="000118A3">
        <w:rPr>
          <w:rFonts w:ascii="Times New Roman" w:hAnsi="Times New Roman" w:cs="Times New Roman"/>
          <w:b/>
          <w:bCs/>
          <w:color w:val="0070C0"/>
        </w:rPr>
        <w:t>Aquaculture Issues</w:t>
      </w:r>
    </w:p>
    <w:p w14:paraId="471BB313" w14:textId="77777777" w:rsidR="00474BE2" w:rsidRPr="000118A3" w:rsidRDefault="00474BE2" w:rsidP="001F7FF9">
      <w:pPr>
        <w:spacing w:before="120"/>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t>In addition to captured fisheries, aquaculture activities in Bintan and Pontianak face several regulatory and environmental challenges that hinder their sustainable development. One major issue is the absence of clear regulations for limited aquaculture activities within the designated aquaculture utilization zones in Pontianak. This regulatory gap often leads to overlapping spatial use, unmonitored farm expansion, and potential conflicts with other coastal activities such as capture fisheries and tourism. The lack of formal governance mechanisms also weakens law enforcement, making it difficult to control environmental impacts and ensure that aquaculture practices comply with sustainability principles.</w:t>
      </w:r>
    </w:p>
    <w:p w14:paraId="0CB1BF5D" w14:textId="77777777" w:rsidR="00474BE2" w:rsidRPr="000118A3" w:rsidRDefault="00474BE2" w:rsidP="001F7FF9">
      <w:pPr>
        <w:spacing w:before="120"/>
        <w:jc w:val="both"/>
        <w:rPr>
          <w:rFonts w:ascii="Times New Roman" w:eastAsia="Times New Roman" w:hAnsi="Times New Roman" w:cs="Times New Roman"/>
          <w:color w:val="000000" w:themeColor="text1"/>
          <w:sz w:val="22"/>
          <w:szCs w:val="22"/>
        </w:rPr>
      </w:pPr>
      <w:r w:rsidRPr="000118A3">
        <w:rPr>
          <w:rFonts w:ascii="Times New Roman" w:eastAsia="Times New Roman" w:hAnsi="Times New Roman" w:cs="Times New Roman"/>
          <w:color w:val="000000" w:themeColor="text1"/>
          <w:sz w:val="22"/>
          <w:szCs w:val="22"/>
        </w:rPr>
        <w:lastRenderedPageBreak/>
        <w:t>Environmental concerns are also evident in both regions. Uncontrolled feed input, poor waste management, and weak water quality monitoring contribute to nutrient accumulation and eutrophication in coastal waters, particularly around floating net cages and pond systems. Inadequate biosecurity and disease surveillance further exacerbate production risks, leading to periodic losses that affect small-scale farmers. Moreover, limited access to high-quality seed stock, feed, and technology remains a constraint for many aquaculture operators. Dependence on wild-caught juveniles, especially for species like grouper and lobster, not only reduces natural stock populations but also threatens ecosystem balance. Without sufficient hatchery development and local government support, reliance on natural seed sources is likely to persist.</w:t>
      </w:r>
    </w:p>
    <w:p w14:paraId="5FCF3C06" w14:textId="1A071600" w:rsidR="00474BE2" w:rsidRPr="000118A3" w:rsidRDefault="00474BE2" w:rsidP="001F7FF9">
      <w:pPr>
        <w:pStyle w:val="BodyText"/>
        <w:spacing w:before="120" w:after="0" w:line="240" w:lineRule="auto"/>
        <w:jc w:val="both"/>
        <w:rPr>
          <w:rFonts w:ascii="Times New Roman" w:hAnsi="Times New Roman" w:cs="Times New Roman"/>
          <w:b/>
          <w:bCs/>
          <w:color w:val="0070C0"/>
        </w:rPr>
      </w:pPr>
      <w:r w:rsidRPr="000118A3">
        <w:rPr>
          <w:rFonts w:ascii="Times New Roman" w:eastAsia="Times New Roman" w:hAnsi="Times New Roman" w:cs="Times New Roman"/>
          <w:color w:val="000000" w:themeColor="text1"/>
        </w:rPr>
        <w:t>From a socioeconomic perspective, small-scale aquaculture producers also struggle to meet market demands and international export standards. The lack of certification schemes, product traceability, and stable market access, especially for live reef fish such as Napoleon wrasse and groupers, makes the sector vulnerable to fluctuating trade policies and demand, such as China's recent import restrictions. To ensure long-term sustainability, the aquaculture sector in Bintan and Pontianak require stronger spatial planning, clear regulatory frameworks, and enhanced capacity-building programs that promote environmentally responsible and economically viable aquaculture development</w:t>
      </w:r>
    </w:p>
    <w:p w14:paraId="411E3E1D" w14:textId="18F94A11" w:rsidR="003246DC" w:rsidRPr="000118A3" w:rsidRDefault="00474BE2" w:rsidP="00B16E45">
      <w:pPr>
        <w:pStyle w:val="BodyText"/>
        <w:numPr>
          <w:ilvl w:val="1"/>
          <w:numId w:val="143"/>
        </w:numPr>
        <w:spacing w:before="188"/>
        <w:outlineLvl w:val="1"/>
        <w:rPr>
          <w:rFonts w:ascii="Times New Roman" w:hAnsi="Times New Roman" w:cs="Times New Roman"/>
          <w:b/>
          <w:bCs/>
          <w:color w:val="0070C0"/>
        </w:rPr>
      </w:pPr>
      <w:bookmarkStart w:id="162" w:name="_Toc217297567"/>
      <w:r w:rsidRPr="000118A3">
        <w:rPr>
          <w:rFonts w:ascii="Times New Roman" w:hAnsi="Times New Roman" w:cs="Times New Roman"/>
          <w:b/>
          <w:bCs/>
          <w:color w:val="0070C0"/>
        </w:rPr>
        <w:t>Conclusion</w:t>
      </w:r>
      <w:bookmarkEnd w:id="162"/>
    </w:p>
    <w:p w14:paraId="348D44E1" w14:textId="77777777" w:rsidR="00474BE2" w:rsidRPr="000118A3" w:rsidRDefault="00474BE2" w:rsidP="001F7FF9">
      <w:pPr>
        <w:autoSpaceDE w:val="0"/>
        <w:autoSpaceDN w:val="0"/>
        <w:adjustRightInd w:val="0"/>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The fisheries and aquaculture systems of Indonesia's South China Sea sub-region are at a critical juncture, balancing high productivity with mounting ecological and governance challenges. Analysis of historical production trends demonstrates substantial growth supported by technological advancement and expanded fishing capacity; however, several major species groups now face overexploitation and habitat pressures. IUU fishing, destructive and bottom-impacting gears, and weak enforcement continue to undermine resource sustainability, particularly in ecologically sensitive areas such as Bintan, Natuna, and Anambas. Climate-driven changes, including rising sea surface temperatures, altered salinity structure, and shifting species distributions further reduce catch potential and increase socioeconomic vulnerability among coastal communities.</w:t>
      </w:r>
    </w:p>
    <w:p w14:paraId="22136B07" w14:textId="77777777" w:rsidR="00474BE2" w:rsidRPr="000118A3" w:rsidRDefault="00474BE2" w:rsidP="001F7FF9">
      <w:pPr>
        <w:autoSpaceDE w:val="0"/>
        <w:autoSpaceDN w:val="0"/>
        <w:adjustRightInd w:val="0"/>
        <w:spacing w:before="120"/>
        <w:jc w:val="both"/>
        <w:rPr>
          <w:rFonts w:ascii="Times New Roman" w:hAnsi="Times New Roman" w:cs="Times New Roman"/>
          <w:color w:val="000000" w:themeColor="text1"/>
          <w:sz w:val="22"/>
          <w:szCs w:val="22"/>
        </w:rPr>
      </w:pPr>
    </w:p>
    <w:p w14:paraId="2A98497A" w14:textId="72578197" w:rsidR="00474BE2" w:rsidRPr="000118A3" w:rsidRDefault="00474BE2" w:rsidP="001F7FF9">
      <w:pPr>
        <w:autoSpaceDE w:val="0"/>
        <w:autoSpaceDN w:val="0"/>
        <w:adjustRightInd w:val="0"/>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themeColor="text1"/>
          <w:sz w:val="22"/>
          <w:szCs w:val="22"/>
        </w:rPr>
        <w:t>Aquaculture presents a growing but unevenly distributed sector, with substantial development concentrated in East Java and Jakarta, West Java. At the same time, other provinces face regulatory gaps, environmental constraints, and limited access to technology and quality seed. Strengthening spatial planning, improving biosecurity, and promoting environmentally responsible practices are essential to support sustainable aquaculture growth.</w:t>
      </w:r>
    </w:p>
    <w:p w14:paraId="337898DE" w14:textId="38C079DE" w:rsidR="00474BE2" w:rsidRDefault="00474BE2" w:rsidP="001F7FF9">
      <w:pPr>
        <w:pStyle w:val="BodyText"/>
        <w:spacing w:before="120" w:after="0" w:line="240" w:lineRule="auto"/>
        <w:jc w:val="both"/>
        <w:rPr>
          <w:rFonts w:ascii="Times New Roman" w:hAnsi="Times New Roman" w:cs="Times New Roman"/>
          <w:color w:val="000000" w:themeColor="text1"/>
        </w:rPr>
      </w:pPr>
      <w:r w:rsidRPr="000118A3">
        <w:rPr>
          <w:rFonts w:ascii="Times New Roman" w:hAnsi="Times New Roman" w:cs="Times New Roman"/>
          <w:color w:val="000000" w:themeColor="text1"/>
        </w:rPr>
        <w:t>Overall, ensuring the long-term viability of fisheries in WPPNRI 711 requires integrated, ecosystem-based management that incorporates accurate stock assessments, improved catch documentation, habitat protection, and climate adaptation measures. Enhanced regional cooperation, transparent reporting, and community-focused livelihood diversification will be critical to maintaining food security, economic stability, and ecological resilience in Indonesia’s portion of the South China Sea</w:t>
      </w:r>
      <w:r w:rsidR="001F7FF9">
        <w:rPr>
          <w:rFonts w:ascii="Times New Roman" w:hAnsi="Times New Roman" w:cs="Times New Roman"/>
          <w:color w:val="000000" w:themeColor="text1"/>
        </w:rPr>
        <w:t>.</w:t>
      </w:r>
    </w:p>
    <w:p w14:paraId="6B48441C" w14:textId="77777777" w:rsidR="001F7FF9" w:rsidRDefault="001F7FF9" w:rsidP="001F7FF9">
      <w:pPr>
        <w:pStyle w:val="BodyText"/>
        <w:spacing w:before="120" w:after="0" w:line="240" w:lineRule="auto"/>
        <w:jc w:val="both"/>
        <w:rPr>
          <w:rFonts w:ascii="Times New Roman" w:hAnsi="Times New Roman" w:cs="Times New Roman"/>
          <w:b/>
          <w:bCs/>
          <w:color w:val="000000" w:themeColor="text1"/>
          <w:lang w:val="en-ID"/>
        </w:rPr>
      </w:pPr>
    </w:p>
    <w:p w14:paraId="5F84AB22" w14:textId="13D19B87" w:rsidR="001F7FF9" w:rsidRPr="001F7FF9" w:rsidRDefault="001F7FF9" w:rsidP="001F7FF9">
      <w:pPr>
        <w:pStyle w:val="BodyText"/>
        <w:spacing w:before="120" w:after="0" w:line="240" w:lineRule="auto"/>
        <w:jc w:val="both"/>
        <w:rPr>
          <w:rFonts w:ascii="Times New Roman" w:hAnsi="Times New Roman" w:cs="Times New Roman"/>
          <w:color w:val="000000" w:themeColor="text1"/>
          <w:lang w:val="en-ID"/>
        </w:rPr>
      </w:pPr>
      <w:r w:rsidRPr="001F7FF9">
        <w:rPr>
          <w:rFonts w:ascii="Times New Roman" w:hAnsi="Times New Roman" w:cs="Times New Roman"/>
          <w:b/>
          <w:bCs/>
          <w:color w:val="000000" w:themeColor="text1"/>
          <w:lang w:val="en-ID"/>
        </w:rPr>
        <w:t xml:space="preserve">Acknowledgements: </w:t>
      </w:r>
      <w:r w:rsidRPr="001F7FF9">
        <w:rPr>
          <w:rFonts w:ascii="Times New Roman" w:hAnsi="Times New Roman" w:cs="Times New Roman"/>
          <w:color w:val="000000" w:themeColor="text1"/>
          <w:lang w:val="en-ID"/>
        </w:rPr>
        <w:t>The authors are grateful to the Ministry of Environment of Indonesia, UNOPS, and the Center for Coastal and Marine Resources Studies, IPB University (PKSPL IPB), Indonesia, which provided the research facilities and funding, especially during data collection processes, including Focus Group Discussion in Bintan and Pontianak.   </w:t>
      </w:r>
    </w:p>
    <w:p w14:paraId="7FA61815" w14:textId="77777777" w:rsidR="001F7FF9" w:rsidRPr="001F7FF9" w:rsidRDefault="001F7FF9" w:rsidP="001F7FF9">
      <w:pPr>
        <w:pStyle w:val="BodyText"/>
        <w:spacing w:before="120" w:after="0" w:line="240" w:lineRule="auto"/>
        <w:jc w:val="both"/>
        <w:rPr>
          <w:rFonts w:ascii="Times New Roman" w:hAnsi="Times New Roman" w:cs="Times New Roman"/>
          <w:color w:val="000000" w:themeColor="text1"/>
          <w:lang w:val="en-ID"/>
        </w:rPr>
      </w:pPr>
    </w:p>
    <w:p w14:paraId="21F6CA94" w14:textId="77777777" w:rsidR="001F7FF9" w:rsidRPr="001F7FF9" w:rsidRDefault="001F7FF9" w:rsidP="001F7FF9">
      <w:pPr>
        <w:pStyle w:val="BodyText"/>
        <w:spacing w:before="120" w:after="0" w:line="240" w:lineRule="auto"/>
        <w:jc w:val="both"/>
        <w:rPr>
          <w:rFonts w:ascii="Times New Roman" w:hAnsi="Times New Roman" w:cs="Times New Roman"/>
          <w:color w:val="000000" w:themeColor="text1"/>
          <w:lang w:val="en-ID"/>
        </w:rPr>
      </w:pPr>
      <w:r w:rsidRPr="001F7FF9">
        <w:rPr>
          <w:rFonts w:ascii="Times New Roman" w:hAnsi="Times New Roman" w:cs="Times New Roman"/>
          <w:b/>
          <w:bCs/>
          <w:color w:val="000000" w:themeColor="text1"/>
          <w:lang w:val="en-ID"/>
        </w:rPr>
        <w:t>Author Contributions</w:t>
      </w:r>
      <w:r w:rsidRPr="001F7FF9">
        <w:rPr>
          <w:rFonts w:ascii="Times New Roman" w:hAnsi="Times New Roman" w:cs="Times New Roman"/>
          <w:color w:val="000000" w:themeColor="text1"/>
          <w:lang w:val="en-ID"/>
        </w:rPr>
        <w:t xml:space="preserve">: </w:t>
      </w:r>
      <w:r w:rsidRPr="001F7FF9">
        <w:rPr>
          <w:rFonts w:ascii="Times New Roman" w:hAnsi="Times New Roman" w:cs="Times New Roman"/>
          <w:b/>
          <w:bCs/>
          <w:i/>
          <w:iCs/>
          <w:color w:val="000000" w:themeColor="text1"/>
          <w:lang w:val="en-ID"/>
        </w:rPr>
        <w:t>conceptualization</w:t>
      </w:r>
      <w:r w:rsidRPr="001F7FF9">
        <w:rPr>
          <w:rFonts w:ascii="Times New Roman" w:hAnsi="Times New Roman" w:cs="Times New Roman"/>
          <w:color w:val="000000" w:themeColor="text1"/>
          <w:lang w:val="en-ID"/>
        </w:rPr>
        <w:t xml:space="preserve">, A.D.; </w:t>
      </w:r>
      <w:r w:rsidRPr="001F7FF9">
        <w:rPr>
          <w:rFonts w:ascii="Times New Roman" w:hAnsi="Times New Roman" w:cs="Times New Roman"/>
          <w:b/>
          <w:bCs/>
          <w:i/>
          <w:iCs/>
          <w:color w:val="000000" w:themeColor="text1"/>
          <w:lang w:val="en-ID"/>
        </w:rPr>
        <w:t>data curation</w:t>
      </w:r>
      <w:r w:rsidRPr="001F7FF9">
        <w:rPr>
          <w:rFonts w:ascii="Times New Roman" w:hAnsi="Times New Roman" w:cs="Times New Roman"/>
          <w:color w:val="000000" w:themeColor="text1"/>
          <w:lang w:val="en-ID"/>
        </w:rPr>
        <w:t xml:space="preserve">, A.D., Q.S.; </w:t>
      </w:r>
      <w:r w:rsidRPr="001F7FF9">
        <w:rPr>
          <w:rFonts w:ascii="Times New Roman" w:hAnsi="Times New Roman" w:cs="Times New Roman"/>
          <w:b/>
          <w:bCs/>
          <w:i/>
          <w:iCs/>
          <w:color w:val="000000" w:themeColor="text1"/>
          <w:lang w:val="en-ID"/>
        </w:rPr>
        <w:t>formal analysis</w:t>
      </w:r>
      <w:r w:rsidRPr="001F7FF9">
        <w:rPr>
          <w:rFonts w:ascii="Times New Roman" w:hAnsi="Times New Roman" w:cs="Times New Roman"/>
          <w:color w:val="000000" w:themeColor="text1"/>
          <w:lang w:val="en-ID"/>
        </w:rPr>
        <w:t xml:space="preserve">, A.D., Q.S.;  </w:t>
      </w:r>
      <w:r w:rsidRPr="001F7FF9">
        <w:rPr>
          <w:rFonts w:ascii="Times New Roman" w:hAnsi="Times New Roman" w:cs="Times New Roman"/>
          <w:b/>
          <w:bCs/>
          <w:i/>
          <w:iCs/>
          <w:color w:val="000000" w:themeColor="text1"/>
          <w:lang w:val="en-ID"/>
        </w:rPr>
        <w:t>funding acquisition</w:t>
      </w:r>
      <w:r w:rsidRPr="001F7FF9">
        <w:rPr>
          <w:rFonts w:ascii="Times New Roman" w:hAnsi="Times New Roman" w:cs="Times New Roman"/>
          <w:color w:val="000000" w:themeColor="text1"/>
          <w:lang w:val="en-ID"/>
        </w:rPr>
        <w:t xml:space="preserve">, I.A., A.D.; </w:t>
      </w:r>
      <w:r w:rsidRPr="001F7FF9">
        <w:rPr>
          <w:rFonts w:ascii="Times New Roman" w:hAnsi="Times New Roman" w:cs="Times New Roman"/>
          <w:b/>
          <w:bCs/>
          <w:i/>
          <w:iCs/>
          <w:color w:val="000000" w:themeColor="text1"/>
          <w:lang w:val="en-ID"/>
        </w:rPr>
        <w:t>investigation</w:t>
      </w:r>
      <w:r w:rsidRPr="001F7FF9">
        <w:rPr>
          <w:rFonts w:ascii="Times New Roman" w:hAnsi="Times New Roman" w:cs="Times New Roman"/>
          <w:color w:val="000000" w:themeColor="text1"/>
          <w:lang w:val="en-ID"/>
        </w:rPr>
        <w:t xml:space="preserve">, A.D., Q.S.; </w:t>
      </w:r>
      <w:r w:rsidRPr="001F7FF9">
        <w:rPr>
          <w:rFonts w:ascii="Times New Roman" w:hAnsi="Times New Roman" w:cs="Times New Roman"/>
          <w:b/>
          <w:bCs/>
          <w:i/>
          <w:iCs/>
          <w:color w:val="000000" w:themeColor="text1"/>
          <w:lang w:val="en-ID"/>
        </w:rPr>
        <w:t>methodology</w:t>
      </w:r>
      <w:r w:rsidRPr="001F7FF9">
        <w:rPr>
          <w:rFonts w:ascii="Times New Roman" w:hAnsi="Times New Roman" w:cs="Times New Roman"/>
          <w:color w:val="000000" w:themeColor="text1"/>
          <w:lang w:val="en-ID"/>
        </w:rPr>
        <w:t xml:space="preserve">, A.D., Q.S.; </w:t>
      </w:r>
      <w:r w:rsidRPr="001F7FF9">
        <w:rPr>
          <w:rFonts w:ascii="Times New Roman" w:hAnsi="Times New Roman" w:cs="Times New Roman"/>
          <w:b/>
          <w:bCs/>
          <w:i/>
          <w:iCs/>
          <w:color w:val="000000" w:themeColor="text1"/>
          <w:lang w:val="en-ID"/>
        </w:rPr>
        <w:t>project administration</w:t>
      </w:r>
      <w:r w:rsidRPr="001F7FF9">
        <w:rPr>
          <w:rFonts w:ascii="Times New Roman" w:hAnsi="Times New Roman" w:cs="Times New Roman"/>
          <w:color w:val="000000" w:themeColor="text1"/>
          <w:lang w:val="en-ID"/>
        </w:rPr>
        <w:t xml:space="preserve">, I.H.; </w:t>
      </w:r>
      <w:r w:rsidRPr="001F7FF9">
        <w:rPr>
          <w:rFonts w:ascii="Times New Roman" w:hAnsi="Times New Roman" w:cs="Times New Roman"/>
          <w:b/>
          <w:bCs/>
          <w:i/>
          <w:iCs/>
          <w:color w:val="000000" w:themeColor="text1"/>
          <w:lang w:val="en-ID"/>
        </w:rPr>
        <w:t>resources</w:t>
      </w:r>
      <w:r w:rsidRPr="001F7FF9">
        <w:rPr>
          <w:rFonts w:ascii="Times New Roman" w:hAnsi="Times New Roman" w:cs="Times New Roman"/>
          <w:color w:val="000000" w:themeColor="text1"/>
          <w:lang w:val="en-ID"/>
        </w:rPr>
        <w:t xml:space="preserve">, I.H.;  </w:t>
      </w:r>
      <w:r w:rsidRPr="001F7FF9">
        <w:rPr>
          <w:rFonts w:ascii="Times New Roman" w:hAnsi="Times New Roman" w:cs="Times New Roman"/>
          <w:b/>
          <w:bCs/>
          <w:i/>
          <w:iCs/>
          <w:color w:val="000000" w:themeColor="text1"/>
          <w:lang w:val="en-ID"/>
        </w:rPr>
        <w:t>supervision</w:t>
      </w:r>
      <w:r w:rsidRPr="001F7FF9">
        <w:rPr>
          <w:rFonts w:ascii="Times New Roman" w:hAnsi="Times New Roman" w:cs="Times New Roman"/>
          <w:color w:val="000000" w:themeColor="text1"/>
          <w:lang w:val="en-ID"/>
        </w:rPr>
        <w:t xml:space="preserve">, A.D., I.A.; </w:t>
      </w:r>
      <w:r w:rsidRPr="001F7FF9">
        <w:rPr>
          <w:rFonts w:ascii="Times New Roman" w:hAnsi="Times New Roman" w:cs="Times New Roman"/>
          <w:b/>
          <w:bCs/>
          <w:i/>
          <w:iCs/>
          <w:color w:val="000000" w:themeColor="text1"/>
          <w:lang w:val="en-ID"/>
        </w:rPr>
        <w:t>visualisation</w:t>
      </w:r>
      <w:r w:rsidRPr="001F7FF9">
        <w:rPr>
          <w:rFonts w:ascii="Times New Roman" w:hAnsi="Times New Roman" w:cs="Times New Roman"/>
          <w:color w:val="000000" w:themeColor="text1"/>
          <w:lang w:val="en-ID"/>
        </w:rPr>
        <w:t xml:space="preserve">, A.D., Q.S.;  </w:t>
      </w:r>
      <w:r w:rsidRPr="001F7FF9">
        <w:rPr>
          <w:rFonts w:ascii="Times New Roman" w:hAnsi="Times New Roman" w:cs="Times New Roman"/>
          <w:b/>
          <w:bCs/>
          <w:i/>
          <w:iCs/>
          <w:color w:val="000000" w:themeColor="text1"/>
          <w:lang w:val="en-ID"/>
        </w:rPr>
        <w:t>writing-original draft</w:t>
      </w:r>
      <w:r w:rsidRPr="001F7FF9">
        <w:rPr>
          <w:rFonts w:ascii="Times New Roman" w:hAnsi="Times New Roman" w:cs="Times New Roman"/>
          <w:color w:val="000000" w:themeColor="text1"/>
          <w:lang w:val="en-ID"/>
        </w:rPr>
        <w:t xml:space="preserve">, A.D., Q.S.; </w:t>
      </w:r>
      <w:r w:rsidRPr="001F7FF9">
        <w:rPr>
          <w:rFonts w:ascii="Times New Roman" w:hAnsi="Times New Roman" w:cs="Times New Roman"/>
          <w:b/>
          <w:bCs/>
          <w:i/>
          <w:iCs/>
          <w:color w:val="000000" w:themeColor="text1"/>
          <w:lang w:val="en-ID"/>
        </w:rPr>
        <w:t>writing-review and editing</w:t>
      </w:r>
      <w:r w:rsidRPr="001F7FF9">
        <w:rPr>
          <w:rFonts w:ascii="Times New Roman" w:hAnsi="Times New Roman" w:cs="Times New Roman"/>
          <w:color w:val="000000" w:themeColor="text1"/>
          <w:lang w:val="en-ID"/>
        </w:rPr>
        <w:t>, A.D., Q.S.  </w:t>
      </w:r>
    </w:p>
    <w:p w14:paraId="3CCD486E" w14:textId="77777777" w:rsidR="001F7FF9" w:rsidRPr="001F7FF9" w:rsidRDefault="001F7FF9" w:rsidP="001F7FF9">
      <w:pPr>
        <w:pStyle w:val="BodyText"/>
        <w:spacing w:before="120" w:after="0"/>
        <w:jc w:val="both"/>
        <w:rPr>
          <w:rFonts w:ascii="Times New Roman" w:hAnsi="Times New Roman" w:cs="Times New Roman"/>
          <w:color w:val="000000" w:themeColor="text1"/>
          <w:lang w:val="en-ID"/>
        </w:rPr>
      </w:pPr>
    </w:p>
    <w:p w14:paraId="2A60872B" w14:textId="77777777" w:rsidR="001F7FF9" w:rsidRPr="001F7FF9" w:rsidRDefault="001F7FF9" w:rsidP="0092522E">
      <w:pPr>
        <w:pStyle w:val="BodyText"/>
        <w:spacing w:before="120" w:after="0"/>
        <w:outlineLvl w:val="1"/>
        <w:rPr>
          <w:rFonts w:ascii="Times New Roman" w:hAnsi="Times New Roman" w:cs="Times New Roman"/>
          <w:b/>
          <w:bCs/>
          <w:color w:val="0070C0"/>
        </w:rPr>
      </w:pPr>
      <w:bookmarkStart w:id="163" w:name="_Toc217297568"/>
      <w:r w:rsidRPr="001F7FF9">
        <w:rPr>
          <w:rFonts w:ascii="Times New Roman" w:hAnsi="Times New Roman" w:cs="Times New Roman"/>
          <w:b/>
          <w:bCs/>
          <w:color w:val="0070C0"/>
        </w:rPr>
        <w:t>References</w:t>
      </w:r>
      <w:bookmarkEnd w:id="163"/>
    </w:p>
    <w:p w14:paraId="38BCF366" w14:textId="77777777" w:rsidR="00014119" w:rsidRDefault="001F7FF9" w:rsidP="00014119">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lastRenderedPageBreak/>
        <w:t>Allen, M.S. (2014). Fish Population Dynamics: Mortality, Growth, Reproduction</w:t>
      </w:r>
      <w:r w:rsidRPr="001F7FF9">
        <w:rPr>
          <w:rFonts w:ascii="Times New Roman" w:hAnsi="Times New Roman" w:cs="Times New Roman"/>
          <w:i/>
          <w:iCs/>
          <w:color w:val="000000" w:themeColor="text1"/>
          <w:lang w:val="en-ID"/>
        </w:rPr>
        <w:t>.</w:t>
      </w:r>
      <w:r w:rsidRPr="001F7FF9">
        <w:rPr>
          <w:rFonts w:ascii="Times New Roman" w:hAnsi="Times New Roman" w:cs="Times New Roman"/>
          <w:color w:val="000000" w:themeColor="text1"/>
          <w:lang w:val="en-ID"/>
        </w:rPr>
        <w:t xml:space="preserve"> </w:t>
      </w:r>
      <w:r w:rsidRPr="001F7FF9">
        <w:rPr>
          <w:rFonts w:ascii="Times New Roman" w:hAnsi="Times New Roman" w:cs="Times New Roman"/>
          <w:i/>
          <w:iCs/>
          <w:color w:val="000000" w:themeColor="text1"/>
          <w:lang w:val="en-ID"/>
        </w:rPr>
        <w:t>American Fisheries Society.</w:t>
      </w:r>
      <w:r w:rsidRPr="001F7FF9">
        <w:rPr>
          <w:rFonts w:ascii="Times New Roman" w:hAnsi="Times New Roman" w:cs="Times New Roman"/>
          <w:color w:val="000000" w:themeColor="text1"/>
          <w:lang w:val="en-ID"/>
        </w:rPr>
        <w:t xml:space="preserve"> </w:t>
      </w:r>
      <w:hyperlink r:id="rId99" w:history="1">
        <w:r w:rsidRPr="001F7FF9">
          <w:rPr>
            <w:rStyle w:val="Hyperlink"/>
            <w:rFonts w:ascii="Times New Roman" w:hAnsi="Times New Roman" w:cs="Times New Roman"/>
            <w:lang w:val="en-ID"/>
          </w:rPr>
          <w:t>https://fisheries.org/docs/books/55060C/2.pdf</w:t>
        </w:r>
      </w:hyperlink>
    </w:p>
    <w:p w14:paraId="25FA325E" w14:textId="77777777" w:rsidR="00014119" w:rsidRDefault="001F7FF9" w:rsidP="00014119">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Belkin IM, Shen C. (2025). </w:t>
      </w:r>
      <w:r w:rsidRPr="001F7FF9">
        <w:rPr>
          <w:rFonts w:ascii="Times New Roman" w:hAnsi="Times New Roman" w:cs="Times New Roman"/>
          <w:i/>
          <w:iCs/>
          <w:color w:val="000000" w:themeColor="text1"/>
          <w:lang w:val="en-ID"/>
        </w:rPr>
        <w:t>Long-term variability of surface temperature in the South China Sea</w:t>
      </w:r>
      <w:r w:rsidRPr="001F7FF9">
        <w:rPr>
          <w:rFonts w:ascii="Times New Roman" w:hAnsi="Times New Roman" w:cs="Times New Roman"/>
          <w:color w:val="000000" w:themeColor="text1"/>
          <w:lang w:val="en-ID"/>
        </w:rPr>
        <w:t xml:space="preserve">. NOAA AOML Technical Report. Retrieved from </w:t>
      </w:r>
      <w:hyperlink r:id="rId100" w:history="1">
        <w:r w:rsidRPr="001F7FF9">
          <w:rPr>
            <w:rStyle w:val="Hyperlink"/>
            <w:rFonts w:ascii="Times New Roman" w:hAnsi="Times New Roman" w:cs="Times New Roman"/>
            <w:lang w:val="en-ID"/>
          </w:rPr>
          <w:t>https://www.aoml.noaa.gov/phod/docs/jcli-d-15-0338.1.pdf</w:t>
        </w:r>
      </w:hyperlink>
    </w:p>
    <w:p w14:paraId="383470CA" w14:textId="76A93836" w:rsidR="00014119" w:rsidRDefault="001F7FF9" w:rsidP="00014119">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Cheung WWL, Reygondeau G, Frölicher TL. (2016). </w:t>
      </w:r>
      <w:r w:rsidRPr="001F7FF9">
        <w:rPr>
          <w:rFonts w:ascii="Times New Roman" w:hAnsi="Times New Roman" w:cs="Times New Roman"/>
          <w:i/>
          <w:iCs/>
          <w:color w:val="000000" w:themeColor="text1"/>
          <w:lang w:val="en-ID"/>
        </w:rPr>
        <w:t>Large benefits to marine fisheries of meeting the 1.5°C global warming target.</w:t>
      </w:r>
      <w:r w:rsidRPr="001F7FF9">
        <w:rPr>
          <w:rFonts w:ascii="Times New Roman" w:hAnsi="Times New Roman" w:cs="Times New Roman"/>
          <w:color w:val="000000" w:themeColor="text1"/>
          <w:lang w:val="en-ID"/>
        </w:rPr>
        <w:t xml:space="preserve"> </w:t>
      </w:r>
      <w:r w:rsidRPr="001F7FF9">
        <w:rPr>
          <w:rFonts w:ascii="Times New Roman" w:hAnsi="Times New Roman" w:cs="Times New Roman"/>
          <w:i/>
          <w:iCs/>
          <w:color w:val="000000" w:themeColor="text1"/>
          <w:lang w:val="en-ID"/>
        </w:rPr>
        <w:t xml:space="preserve">Science. </w:t>
      </w:r>
      <w:r w:rsidRPr="001F7FF9">
        <w:rPr>
          <w:rFonts w:ascii="Times New Roman" w:hAnsi="Times New Roman" w:cs="Times New Roman"/>
          <w:color w:val="000000" w:themeColor="text1"/>
          <w:lang w:val="en-ID"/>
        </w:rPr>
        <w:t xml:space="preserve">345(6319): 1591–1594. </w:t>
      </w:r>
      <w:hyperlink r:id="rId101" w:history="1">
        <w:r w:rsidR="00014119" w:rsidRPr="00E07899">
          <w:rPr>
            <w:rStyle w:val="Hyperlink"/>
            <w:rFonts w:ascii="Times New Roman" w:hAnsi="Times New Roman" w:cs="Times New Roman"/>
            <w:lang w:val="en-ID"/>
          </w:rPr>
          <w:t>https://doi.org/10.1126/science.aag2331</w:t>
        </w:r>
      </w:hyperlink>
    </w:p>
    <w:p w14:paraId="6E72EAA6" w14:textId="77777777" w:rsidR="00014119" w:rsidRDefault="001F7FF9" w:rsidP="00014119">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Debiyanti N, Alfiansyah S, Hidayat M. 2025. Cycle of potential fishing area of WPP-NRI 711 (2011–2020). </w:t>
      </w:r>
      <w:r w:rsidRPr="001F7FF9">
        <w:rPr>
          <w:rFonts w:ascii="Times New Roman" w:hAnsi="Times New Roman" w:cs="Times New Roman"/>
          <w:i/>
          <w:iCs/>
          <w:color w:val="000000" w:themeColor="text1"/>
          <w:lang w:val="en-ID"/>
        </w:rPr>
        <w:t xml:space="preserve">Journal of Regional Science and Sustainable Fisheries Development. </w:t>
      </w:r>
      <w:r w:rsidRPr="001F7FF9">
        <w:rPr>
          <w:rFonts w:ascii="Times New Roman" w:hAnsi="Times New Roman" w:cs="Times New Roman"/>
          <w:color w:val="000000" w:themeColor="text1"/>
          <w:lang w:val="en-ID"/>
        </w:rPr>
        <w:t>12(3): 115–124.</w:t>
      </w:r>
    </w:p>
    <w:p w14:paraId="5083A2F6" w14:textId="0B53AF19" w:rsidR="00014119" w:rsidRDefault="001F7FF9" w:rsidP="00014119">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Degnbol P, Jarre A. (2004). Review of indicators in fisheries management. </w:t>
      </w:r>
      <w:r w:rsidRPr="001F7FF9">
        <w:rPr>
          <w:rFonts w:ascii="Times New Roman" w:hAnsi="Times New Roman" w:cs="Times New Roman"/>
          <w:i/>
          <w:iCs/>
          <w:color w:val="000000" w:themeColor="text1"/>
          <w:lang w:val="en-ID"/>
        </w:rPr>
        <w:t>African Journal of Marine Science,</w:t>
      </w:r>
      <w:r w:rsidRPr="001F7FF9">
        <w:rPr>
          <w:rFonts w:ascii="Times New Roman" w:hAnsi="Times New Roman" w:cs="Times New Roman"/>
          <w:color w:val="000000" w:themeColor="text1"/>
          <w:lang w:val="en-ID"/>
        </w:rPr>
        <w:t xml:space="preserve"> 26(1), 303–313. </w:t>
      </w:r>
      <w:hyperlink r:id="rId102" w:history="1">
        <w:r w:rsidR="00014119" w:rsidRPr="00E07899">
          <w:rPr>
            <w:rStyle w:val="Hyperlink"/>
            <w:rFonts w:ascii="Times New Roman" w:hAnsi="Times New Roman" w:cs="Times New Roman"/>
            <w:lang w:val="en-ID"/>
          </w:rPr>
          <w:t>https://doi.org/10.2989/18142320409504063</w:t>
        </w:r>
      </w:hyperlink>
    </w:p>
    <w:p w14:paraId="02BE8FA4" w14:textId="4777BF16" w:rsidR="00014119" w:rsidRDefault="001F7FF9" w:rsidP="00014119">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Durant JM, Holt RE, Langangen. (2024). Large biomass reduction effects on the relative role of climate, fishing, and recruitment on fish population dynamics. </w:t>
      </w:r>
      <w:r w:rsidRPr="001F7FF9">
        <w:rPr>
          <w:rFonts w:ascii="Times New Roman" w:hAnsi="Times New Roman" w:cs="Times New Roman"/>
          <w:i/>
          <w:iCs/>
          <w:color w:val="000000" w:themeColor="text1"/>
          <w:lang w:val="en-ID"/>
        </w:rPr>
        <w:t xml:space="preserve">Scientific Reports. </w:t>
      </w:r>
      <w:r w:rsidRPr="001F7FF9">
        <w:rPr>
          <w:rFonts w:ascii="Times New Roman" w:hAnsi="Times New Roman" w:cs="Times New Roman"/>
          <w:color w:val="000000" w:themeColor="text1"/>
          <w:lang w:val="en-ID"/>
        </w:rPr>
        <w:t xml:space="preserve">14: 15469. </w:t>
      </w:r>
      <w:hyperlink r:id="rId103" w:history="1">
        <w:r w:rsidR="00014119" w:rsidRPr="00E07899">
          <w:rPr>
            <w:rStyle w:val="Hyperlink"/>
            <w:rFonts w:ascii="Times New Roman" w:hAnsi="Times New Roman" w:cs="Times New Roman"/>
            <w:lang w:val="en-ID"/>
          </w:rPr>
          <w:t>https://doi.org/10.1038/s41598-024-59569-4</w:t>
        </w:r>
      </w:hyperlink>
    </w:p>
    <w:p w14:paraId="44A7FD55" w14:textId="77777777" w:rsidR="00014119" w:rsidRDefault="001F7FF9" w:rsidP="00014119">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FAO. 2018. </w:t>
      </w:r>
      <w:r w:rsidRPr="001F7FF9">
        <w:rPr>
          <w:rFonts w:ascii="Times New Roman" w:hAnsi="Times New Roman" w:cs="Times New Roman"/>
          <w:i/>
          <w:iCs/>
          <w:color w:val="000000" w:themeColor="text1"/>
          <w:lang w:val="en-ID"/>
        </w:rPr>
        <w:t>The State of World Fisheries and Aquaculture 2018: Meeting the Sustainable Development Goals.</w:t>
      </w:r>
      <w:r w:rsidRPr="001F7FF9">
        <w:rPr>
          <w:rFonts w:ascii="Times New Roman" w:hAnsi="Times New Roman" w:cs="Times New Roman"/>
          <w:color w:val="000000" w:themeColor="text1"/>
          <w:lang w:val="en-ID"/>
        </w:rPr>
        <w:t xml:space="preserve"> Rome: Food and Agriculture Organization of the United Nations.</w:t>
      </w:r>
    </w:p>
    <w:p w14:paraId="1F2C4F04" w14:textId="77777777"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FAO. 2020. </w:t>
      </w:r>
      <w:r w:rsidRPr="001F7FF9">
        <w:rPr>
          <w:rFonts w:ascii="Times New Roman" w:hAnsi="Times New Roman" w:cs="Times New Roman"/>
          <w:i/>
          <w:iCs/>
          <w:color w:val="000000" w:themeColor="text1"/>
          <w:lang w:val="en-ID"/>
        </w:rPr>
        <w:t>Fishery and Aquaculture Country Profiles – Southeast Asian Region.</w:t>
      </w:r>
      <w:r w:rsidRPr="001F7FF9">
        <w:rPr>
          <w:rFonts w:ascii="Times New Roman" w:hAnsi="Times New Roman" w:cs="Times New Roman"/>
          <w:color w:val="000000" w:themeColor="text1"/>
          <w:lang w:val="en-ID"/>
        </w:rPr>
        <w:t xml:space="preserve"> Rome: Food and Agriculture Organization.</w:t>
      </w:r>
    </w:p>
    <w:p w14:paraId="5AD9AEEA" w14:textId="77777777"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FAO. 2021. </w:t>
      </w:r>
      <w:r w:rsidRPr="001F7FF9">
        <w:rPr>
          <w:rFonts w:ascii="Times New Roman" w:hAnsi="Times New Roman" w:cs="Times New Roman"/>
          <w:i/>
          <w:iCs/>
          <w:color w:val="000000" w:themeColor="text1"/>
          <w:lang w:val="en-ID"/>
        </w:rPr>
        <w:t>Global Capture Production Database (1950–2019).</w:t>
      </w:r>
      <w:r w:rsidRPr="001F7FF9">
        <w:rPr>
          <w:rFonts w:ascii="Times New Roman" w:hAnsi="Times New Roman" w:cs="Times New Roman"/>
          <w:color w:val="000000" w:themeColor="text1"/>
          <w:lang w:val="en-ID"/>
        </w:rPr>
        <w:t xml:space="preserve"> Rome: Food and Agriculture Organization.</w:t>
      </w:r>
    </w:p>
    <w:p w14:paraId="1214ED64" w14:textId="49C4E669"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Friedland KD, Tanaka KR, Smolinski S, Wang Y, Hodgdon C, Mazur M, Wiedenmann J, Goetscg C, Pendleton DE. 2023. Trends in the area of occurrence and biomass of fish and macroinvertebrates. </w:t>
      </w:r>
      <w:r w:rsidRPr="001F7FF9">
        <w:rPr>
          <w:rFonts w:ascii="Times New Roman" w:hAnsi="Times New Roman" w:cs="Times New Roman"/>
          <w:i/>
          <w:iCs/>
          <w:color w:val="000000" w:themeColor="text1"/>
          <w:lang w:val="en-ID"/>
        </w:rPr>
        <w:t>Marine and Coastal Fisheries,</w:t>
      </w:r>
      <w:r w:rsidRPr="001F7FF9">
        <w:rPr>
          <w:rFonts w:ascii="Times New Roman" w:hAnsi="Times New Roman" w:cs="Times New Roman"/>
          <w:color w:val="000000" w:themeColor="text1"/>
          <w:lang w:val="en-ID"/>
        </w:rPr>
        <w:t xml:space="preserve"> 15(2), e210235. </w:t>
      </w:r>
      <w:hyperlink r:id="rId104" w:history="1">
        <w:r w:rsidR="00AC76A4" w:rsidRPr="00E07899">
          <w:rPr>
            <w:rStyle w:val="Hyperlink"/>
            <w:rFonts w:ascii="Times New Roman" w:hAnsi="Times New Roman" w:cs="Times New Roman"/>
            <w:lang w:val="en-ID"/>
          </w:rPr>
          <w:t>https://doi.org/10.1002/mcf2.210235</w:t>
        </w:r>
      </w:hyperlink>
    </w:p>
    <w:p w14:paraId="2EBFD2B0" w14:textId="77777777"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IPCC. (2022). </w:t>
      </w:r>
      <w:r w:rsidRPr="001F7FF9">
        <w:rPr>
          <w:rFonts w:ascii="Times New Roman" w:hAnsi="Times New Roman" w:cs="Times New Roman"/>
          <w:i/>
          <w:iCs/>
          <w:color w:val="000000" w:themeColor="text1"/>
          <w:lang w:val="en-ID"/>
        </w:rPr>
        <w:t>Sixth Assessment Report: Impacts, Adaptation and Vulnerability – Chapter 18: Climate Change Impacts on Fisheries and Aquaculture.</w:t>
      </w:r>
      <w:r w:rsidRPr="001F7FF9">
        <w:rPr>
          <w:rFonts w:ascii="Times New Roman" w:hAnsi="Times New Roman" w:cs="Times New Roman"/>
          <w:color w:val="000000" w:themeColor="text1"/>
          <w:lang w:val="en-ID"/>
        </w:rPr>
        <w:t xml:space="preserve"> Intergovernmental Panel on Climate Change.</w:t>
      </w:r>
    </w:p>
    <w:p w14:paraId="0B8EC09E" w14:textId="77777777"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Li Y, Ren G, Wang Q, Mu L, Niu Q. 2022. Marine heatwaves in the South China Sea: temporal-spatial pattern and its association with large-scale circulation. </w:t>
      </w:r>
      <w:r w:rsidRPr="001F7FF9">
        <w:rPr>
          <w:rFonts w:ascii="Times New Roman" w:hAnsi="Times New Roman" w:cs="Times New Roman"/>
          <w:i/>
          <w:iCs/>
          <w:color w:val="000000" w:themeColor="text1"/>
          <w:lang w:val="en-ID"/>
        </w:rPr>
        <w:t>Remote Sens</w:t>
      </w:r>
      <w:r w:rsidRPr="001F7FF9">
        <w:rPr>
          <w:rFonts w:ascii="Times New Roman" w:hAnsi="Times New Roman" w:cs="Times New Roman"/>
          <w:color w:val="000000" w:themeColor="text1"/>
          <w:lang w:val="en-ID"/>
        </w:rPr>
        <w:t>. 14: 1-19</w:t>
      </w:r>
    </w:p>
    <w:p w14:paraId="60CE4747" w14:textId="5AA2E630"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Nash, K. L., et al. (2016). Habitat structure and the resilience of reef fish communities. </w:t>
      </w:r>
      <w:r w:rsidRPr="001F7FF9">
        <w:rPr>
          <w:rFonts w:ascii="Times New Roman" w:hAnsi="Times New Roman" w:cs="Times New Roman"/>
          <w:i/>
          <w:iCs/>
          <w:color w:val="000000" w:themeColor="text1"/>
          <w:lang w:val="en-ID"/>
        </w:rPr>
        <w:t>Ecosphere,</w:t>
      </w:r>
      <w:r w:rsidRPr="001F7FF9">
        <w:rPr>
          <w:rFonts w:ascii="Times New Roman" w:hAnsi="Times New Roman" w:cs="Times New Roman"/>
          <w:color w:val="000000" w:themeColor="text1"/>
          <w:lang w:val="en-ID"/>
        </w:rPr>
        <w:t xml:space="preserve"> 7(8), e01362. </w:t>
      </w:r>
      <w:hyperlink r:id="rId105" w:history="1">
        <w:r w:rsidR="00AC76A4" w:rsidRPr="00E07899">
          <w:rPr>
            <w:rStyle w:val="Hyperlink"/>
            <w:rFonts w:ascii="Times New Roman" w:hAnsi="Times New Roman" w:cs="Times New Roman"/>
            <w:lang w:val="en-ID"/>
          </w:rPr>
          <w:t>https://doi.org/10.1002/ecs2.1362</w:t>
        </w:r>
      </w:hyperlink>
    </w:p>
    <w:p w14:paraId="1616CE80" w14:textId="5A07C49F"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Nilsson JA, Johnson CR, Fulton EA, Haward M. (2019). Fisheries sustainability relies on biological understanding. </w:t>
      </w:r>
      <w:r w:rsidRPr="001F7FF9">
        <w:rPr>
          <w:rFonts w:ascii="Times New Roman" w:hAnsi="Times New Roman" w:cs="Times New Roman"/>
          <w:i/>
          <w:iCs/>
          <w:color w:val="000000" w:themeColor="text1"/>
          <w:lang w:val="en-ID"/>
        </w:rPr>
        <w:t>ICES Journal of Marine Science,</w:t>
      </w:r>
      <w:r w:rsidRPr="001F7FF9">
        <w:rPr>
          <w:rFonts w:ascii="Times New Roman" w:hAnsi="Times New Roman" w:cs="Times New Roman"/>
          <w:color w:val="000000" w:themeColor="text1"/>
          <w:lang w:val="en-ID"/>
        </w:rPr>
        <w:t xml:space="preserve"> 76(6), 1436–1447. </w:t>
      </w:r>
      <w:hyperlink r:id="rId106" w:history="1">
        <w:r w:rsidR="00AC76A4" w:rsidRPr="00E07899">
          <w:rPr>
            <w:rStyle w:val="Hyperlink"/>
            <w:rFonts w:ascii="Times New Roman" w:hAnsi="Times New Roman" w:cs="Times New Roman"/>
            <w:lang w:val="en-ID"/>
          </w:rPr>
          <w:t>https://doi.org/10.1093/icesjms/fsz058</w:t>
        </w:r>
      </w:hyperlink>
    </w:p>
    <w:p w14:paraId="5628E039" w14:textId="584779B3"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Palomares MLD, Pauly D. 2020. On the creeping increase of marine fisheries catches in the South China Sea: A basin-wide analysis, 1950–2016</w:t>
      </w:r>
      <w:r w:rsidRPr="001F7FF9">
        <w:rPr>
          <w:rFonts w:ascii="Times New Roman" w:hAnsi="Times New Roman" w:cs="Times New Roman"/>
          <w:i/>
          <w:iCs/>
          <w:color w:val="000000" w:themeColor="text1"/>
          <w:lang w:val="en-ID"/>
        </w:rPr>
        <w:t>.</w:t>
      </w:r>
      <w:r w:rsidRPr="001F7FF9">
        <w:rPr>
          <w:rFonts w:ascii="Times New Roman" w:hAnsi="Times New Roman" w:cs="Times New Roman"/>
          <w:color w:val="000000" w:themeColor="text1"/>
          <w:lang w:val="en-ID"/>
        </w:rPr>
        <w:t xml:space="preserve"> </w:t>
      </w:r>
      <w:r w:rsidRPr="001F7FF9">
        <w:rPr>
          <w:rFonts w:ascii="Times New Roman" w:hAnsi="Times New Roman" w:cs="Times New Roman"/>
          <w:i/>
          <w:iCs/>
          <w:color w:val="000000" w:themeColor="text1"/>
          <w:lang w:val="en-ID"/>
        </w:rPr>
        <w:t xml:space="preserve">Frontiers in Marine Science. </w:t>
      </w:r>
      <w:r w:rsidRPr="001F7FF9">
        <w:rPr>
          <w:rFonts w:ascii="Times New Roman" w:hAnsi="Times New Roman" w:cs="Times New Roman"/>
          <w:color w:val="000000" w:themeColor="text1"/>
          <w:lang w:val="en-ID"/>
        </w:rPr>
        <w:t xml:space="preserve">7: 309. </w:t>
      </w:r>
      <w:hyperlink r:id="rId107" w:history="1">
        <w:r w:rsidR="00AC76A4" w:rsidRPr="00E07899">
          <w:rPr>
            <w:rStyle w:val="Hyperlink"/>
            <w:rFonts w:ascii="Times New Roman" w:hAnsi="Times New Roman" w:cs="Times New Roman"/>
            <w:lang w:val="en-ID"/>
          </w:rPr>
          <w:t>https://doi.org/10.3389/fmars.2020.00309</w:t>
        </w:r>
      </w:hyperlink>
    </w:p>
    <w:p w14:paraId="7364C145" w14:textId="77777777"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SEAFDEC. (2019). </w:t>
      </w:r>
      <w:r w:rsidRPr="001F7FF9">
        <w:rPr>
          <w:rFonts w:ascii="Times New Roman" w:hAnsi="Times New Roman" w:cs="Times New Roman"/>
          <w:i/>
          <w:iCs/>
          <w:color w:val="000000" w:themeColor="text1"/>
          <w:lang w:val="en-ID"/>
        </w:rPr>
        <w:t>Regional Catch and Effort Data Compilation for the South China Sea Area.</w:t>
      </w:r>
      <w:r w:rsidRPr="001F7FF9">
        <w:rPr>
          <w:rFonts w:ascii="Times New Roman" w:hAnsi="Times New Roman" w:cs="Times New Roman"/>
          <w:color w:val="000000" w:themeColor="text1"/>
          <w:lang w:val="en-ID"/>
        </w:rPr>
        <w:t xml:space="preserve"> Southeast Asian Fisheries Development Center.</w:t>
      </w:r>
    </w:p>
    <w:p w14:paraId="45B5A36C" w14:textId="77777777"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SEAFDEC. (2021). </w:t>
      </w:r>
      <w:r w:rsidRPr="001F7FF9">
        <w:rPr>
          <w:rFonts w:ascii="Times New Roman" w:hAnsi="Times New Roman" w:cs="Times New Roman"/>
          <w:i/>
          <w:iCs/>
          <w:color w:val="000000" w:themeColor="text1"/>
          <w:lang w:val="en-ID"/>
        </w:rPr>
        <w:t>Status and Trends of Fisheries and Aquaculture in the ASEAN Region.</w:t>
      </w:r>
      <w:r w:rsidRPr="001F7FF9">
        <w:rPr>
          <w:rFonts w:ascii="Times New Roman" w:hAnsi="Times New Roman" w:cs="Times New Roman"/>
          <w:color w:val="000000" w:themeColor="text1"/>
          <w:lang w:val="en-ID"/>
        </w:rPr>
        <w:t xml:space="preserve"> Bangkok: SEAFDEC.</w:t>
      </w:r>
    </w:p>
    <w:p w14:paraId="3B1BBEC5" w14:textId="77777777"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SEAFDEC. (2022). </w:t>
      </w:r>
      <w:r w:rsidRPr="001F7FF9">
        <w:rPr>
          <w:rFonts w:ascii="Times New Roman" w:hAnsi="Times New Roman" w:cs="Times New Roman"/>
          <w:i/>
          <w:iCs/>
          <w:color w:val="000000" w:themeColor="text1"/>
          <w:lang w:val="en-ID"/>
        </w:rPr>
        <w:t>Fishing Capacity and Resource Utilization in the South China Sea Sub-region.</w:t>
      </w:r>
      <w:r w:rsidRPr="001F7FF9">
        <w:rPr>
          <w:rFonts w:ascii="Times New Roman" w:hAnsi="Times New Roman" w:cs="Times New Roman"/>
          <w:color w:val="000000" w:themeColor="text1"/>
          <w:lang w:val="en-ID"/>
        </w:rPr>
        <w:t xml:space="preserve"> Southeast Asian Fisheries Development Center.</w:t>
      </w:r>
    </w:p>
    <w:p w14:paraId="01B3B267" w14:textId="6BA81AB0"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Su C, Shan X, Jin X, Han Q, Chen W, Gorfine H. 2024. Simulated reproductive allocation to fisheries-induced evolution. </w:t>
      </w:r>
      <w:r w:rsidRPr="001F7FF9">
        <w:rPr>
          <w:rFonts w:ascii="Times New Roman" w:hAnsi="Times New Roman" w:cs="Times New Roman"/>
          <w:i/>
          <w:iCs/>
          <w:color w:val="000000" w:themeColor="text1"/>
          <w:lang w:val="en-ID"/>
        </w:rPr>
        <w:t>Ecological Indicators,</w:t>
      </w:r>
      <w:r w:rsidRPr="001F7FF9">
        <w:rPr>
          <w:rFonts w:ascii="Times New Roman" w:hAnsi="Times New Roman" w:cs="Times New Roman"/>
          <w:color w:val="000000" w:themeColor="text1"/>
          <w:lang w:val="en-ID"/>
        </w:rPr>
        <w:t xml:space="preserve"> 160, 112257. </w:t>
      </w:r>
      <w:hyperlink r:id="rId108" w:history="1">
        <w:r w:rsidR="00AC76A4" w:rsidRPr="00E07899">
          <w:rPr>
            <w:rStyle w:val="Hyperlink"/>
            <w:rFonts w:ascii="Times New Roman" w:hAnsi="Times New Roman" w:cs="Times New Roman"/>
            <w:lang w:val="en-ID"/>
          </w:rPr>
          <w:t>https://doi.org/10.1016/j.ecolind.2024.112257</w:t>
        </w:r>
      </w:hyperlink>
    </w:p>
    <w:p w14:paraId="23E80905" w14:textId="53B8C0F4"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Sumaila UR, Tai TC, Lam VWY. 2019. Benefits of the Paris Agreement to ocean life, economies, and people</w:t>
      </w:r>
      <w:r w:rsidRPr="001F7FF9">
        <w:rPr>
          <w:rFonts w:ascii="Times New Roman" w:hAnsi="Times New Roman" w:cs="Times New Roman"/>
          <w:i/>
          <w:iCs/>
          <w:color w:val="000000" w:themeColor="text1"/>
          <w:lang w:val="en-ID"/>
        </w:rPr>
        <w:t>.</w:t>
      </w:r>
      <w:r w:rsidRPr="001F7FF9">
        <w:rPr>
          <w:rFonts w:ascii="Times New Roman" w:hAnsi="Times New Roman" w:cs="Times New Roman"/>
          <w:color w:val="000000" w:themeColor="text1"/>
          <w:lang w:val="en-ID"/>
        </w:rPr>
        <w:t xml:space="preserve"> </w:t>
      </w:r>
      <w:r w:rsidRPr="001F7FF9">
        <w:rPr>
          <w:rFonts w:ascii="Times New Roman" w:hAnsi="Times New Roman" w:cs="Times New Roman"/>
          <w:i/>
          <w:iCs/>
          <w:color w:val="000000" w:themeColor="text1"/>
          <w:lang w:val="en-ID"/>
        </w:rPr>
        <w:t>Science Advances, 5</w:t>
      </w:r>
      <w:r w:rsidRPr="001F7FF9">
        <w:rPr>
          <w:rFonts w:ascii="Times New Roman" w:hAnsi="Times New Roman" w:cs="Times New Roman"/>
          <w:color w:val="000000" w:themeColor="text1"/>
          <w:lang w:val="en-ID"/>
        </w:rPr>
        <w:t xml:space="preserve">(2): 38-55. </w:t>
      </w:r>
      <w:hyperlink r:id="rId109" w:history="1">
        <w:r w:rsidR="00AC76A4" w:rsidRPr="00E07899">
          <w:rPr>
            <w:rStyle w:val="Hyperlink"/>
            <w:rFonts w:ascii="Times New Roman" w:hAnsi="Times New Roman" w:cs="Times New Roman"/>
            <w:lang w:val="en-ID"/>
          </w:rPr>
          <w:t>https://doi.org/10.1126/sciadv.aau3855</w:t>
        </w:r>
      </w:hyperlink>
    </w:p>
    <w:p w14:paraId="278E6DD6" w14:textId="6FFBE920"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lastRenderedPageBreak/>
        <w:t xml:space="preserve">Tan W, Wang C, Zhang L. (2016). Sea surface temperature variability and monsoon influence in the South China Sea. </w:t>
      </w:r>
      <w:r w:rsidRPr="001F7FF9">
        <w:rPr>
          <w:rFonts w:ascii="Times New Roman" w:hAnsi="Times New Roman" w:cs="Times New Roman"/>
          <w:i/>
          <w:iCs/>
          <w:color w:val="000000" w:themeColor="text1"/>
          <w:lang w:val="en-ID"/>
        </w:rPr>
        <w:t>Journal of Climate</w:t>
      </w:r>
      <w:r w:rsidRPr="001F7FF9">
        <w:rPr>
          <w:rFonts w:ascii="Times New Roman" w:hAnsi="Times New Roman" w:cs="Times New Roman"/>
          <w:color w:val="000000" w:themeColor="text1"/>
          <w:lang w:val="en-ID"/>
        </w:rPr>
        <w:t xml:space="preserve">. 29(4), 1423–1438. </w:t>
      </w:r>
      <w:hyperlink r:id="rId110" w:history="1">
        <w:r w:rsidR="00AC76A4" w:rsidRPr="00E07899">
          <w:rPr>
            <w:rStyle w:val="Hyperlink"/>
            <w:rFonts w:ascii="Times New Roman" w:hAnsi="Times New Roman" w:cs="Times New Roman"/>
            <w:lang w:val="en-ID"/>
          </w:rPr>
          <w:t>https://doi.org/10.1175/JCLI-D-15-0338.1</w:t>
        </w:r>
      </w:hyperlink>
    </w:p>
    <w:p w14:paraId="069302CD" w14:textId="77777777" w:rsid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Xie Q, Wang G, Qiu Y. (2023). Seasonal variability and salinity structure in the South China Sea based on long-term observation. </w:t>
      </w:r>
      <w:r w:rsidRPr="001F7FF9">
        <w:rPr>
          <w:rFonts w:ascii="Times New Roman" w:hAnsi="Times New Roman" w:cs="Times New Roman"/>
          <w:i/>
          <w:iCs/>
          <w:color w:val="000000" w:themeColor="text1"/>
          <w:lang w:val="en-ID"/>
        </w:rPr>
        <w:t>Frontiers in Marine Science.</w:t>
      </w:r>
      <w:r w:rsidRPr="001F7FF9">
        <w:rPr>
          <w:rFonts w:ascii="Times New Roman" w:hAnsi="Times New Roman" w:cs="Times New Roman"/>
          <w:color w:val="000000" w:themeColor="text1"/>
          <w:lang w:val="en-ID"/>
        </w:rPr>
        <w:t xml:space="preserve"> 10: 1168486. </w:t>
      </w:r>
      <w:hyperlink r:id="rId111" w:history="1">
        <w:r w:rsidRPr="001F7FF9">
          <w:rPr>
            <w:rStyle w:val="Hyperlink"/>
            <w:rFonts w:ascii="Times New Roman" w:hAnsi="Times New Roman" w:cs="Times New Roman"/>
            <w:lang w:val="en-ID"/>
          </w:rPr>
          <w:t>https://doi.org/10.3389/fmars.2023.1168486</w:t>
        </w:r>
      </w:hyperlink>
    </w:p>
    <w:p w14:paraId="1BD25205" w14:textId="06730BA9" w:rsidR="001F7FF9" w:rsidRPr="00AC76A4" w:rsidRDefault="001F7FF9" w:rsidP="00AC76A4">
      <w:pPr>
        <w:pStyle w:val="BodyText"/>
        <w:spacing w:before="120" w:after="0" w:line="240" w:lineRule="auto"/>
        <w:ind w:left="567" w:hanging="567"/>
        <w:jc w:val="both"/>
        <w:rPr>
          <w:rFonts w:ascii="Times New Roman" w:hAnsi="Times New Roman" w:cs="Times New Roman"/>
          <w:color w:val="000000" w:themeColor="text1"/>
          <w:lang w:val="en-ID"/>
        </w:rPr>
      </w:pPr>
      <w:r w:rsidRPr="001F7FF9">
        <w:rPr>
          <w:rFonts w:ascii="Times New Roman" w:hAnsi="Times New Roman" w:cs="Times New Roman"/>
          <w:color w:val="000000" w:themeColor="text1"/>
          <w:lang w:val="en-ID"/>
        </w:rPr>
        <w:t xml:space="preserve">Zandika R, Ismunarti DH, Kunarso, Hatmaja RB, Ayubi MAA. 2024. Variabilitas thermal front dan keterkaitan dengan klorofil-a di wilayah pengelolaan perikanan Negara Republik Indonesia 711. </w:t>
      </w:r>
      <w:r w:rsidRPr="001F7FF9">
        <w:rPr>
          <w:rFonts w:ascii="Times New Roman" w:hAnsi="Times New Roman" w:cs="Times New Roman"/>
          <w:i/>
          <w:iCs/>
          <w:color w:val="000000" w:themeColor="text1"/>
          <w:lang w:val="en-ID"/>
        </w:rPr>
        <w:t>Buletin Oseanografi Marina</w:t>
      </w:r>
      <w:r w:rsidRPr="001F7FF9">
        <w:rPr>
          <w:rFonts w:ascii="Times New Roman" w:hAnsi="Times New Roman" w:cs="Times New Roman"/>
          <w:color w:val="000000" w:themeColor="text1"/>
          <w:lang w:val="en-ID"/>
        </w:rPr>
        <w:t>. 13(2): 250-260</w:t>
      </w:r>
    </w:p>
    <w:p w14:paraId="0F440799" w14:textId="77777777" w:rsidR="001F7FF9" w:rsidRDefault="001F7FF9" w:rsidP="001F7FF9">
      <w:pPr>
        <w:pStyle w:val="BodyText"/>
        <w:spacing w:before="120" w:after="0" w:line="240" w:lineRule="auto"/>
        <w:jc w:val="both"/>
        <w:rPr>
          <w:rFonts w:ascii="Times New Roman" w:hAnsi="Times New Roman" w:cs="Times New Roman"/>
          <w:color w:val="000000" w:themeColor="text1"/>
        </w:rPr>
      </w:pPr>
    </w:p>
    <w:p w14:paraId="4FEDE705" w14:textId="7ADAB90A" w:rsidR="00D84F7F" w:rsidRDefault="00D84F7F">
      <w:pPr>
        <w:rPr>
          <w:rFonts w:ascii="Times New Roman" w:eastAsiaTheme="minorEastAsia" w:hAnsi="Times New Roman" w:cs="Times New Roman"/>
          <w:color w:val="000000" w:themeColor="text1"/>
          <w:sz w:val="22"/>
          <w:szCs w:val="22"/>
        </w:rPr>
      </w:pPr>
      <w:r>
        <w:rPr>
          <w:rFonts w:ascii="Times New Roman" w:hAnsi="Times New Roman" w:cs="Times New Roman"/>
          <w:color w:val="000000" w:themeColor="text1"/>
        </w:rPr>
        <w:br w:type="page"/>
      </w:r>
    </w:p>
    <w:p w14:paraId="6AE942DE" w14:textId="50408DAE" w:rsidR="003076CD" w:rsidRPr="005B2E9F" w:rsidRDefault="003F19BD" w:rsidP="005B2E9F">
      <w:pPr>
        <w:pStyle w:val="BodyText"/>
        <w:numPr>
          <w:ilvl w:val="0"/>
          <w:numId w:val="143"/>
        </w:numPr>
        <w:spacing w:before="188"/>
        <w:outlineLvl w:val="0"/>
        <w:rPr>
          <w:rFonts w:ascii="Times New Roman" w:hAnsi="Times New Roman" w:cs="Times New Roman"/>
          <w:b/>
          <w:bCs/>
          <w:color w:val="0070C0"/>
          <w:sz w:val="32"/>
          <w:szCs w:val="32"/>
        </w:rPr>
      </w:pPr>
      <w:bookmarkStart w:id="164" w:name="_Toc217297569"/>
      <w:r w:rsidRPr="001F7FF9">
        <w:rPr>
          <w:rFonts w:ascii="Times New Roman" w:hAnsi="Times New Roman" w:cs="Times New Roman"/>
          <w:b/>
          <w:bCs/>
          <w:color w:val="0070C0"/>
          <w:sz w:val="32"/>
          <w:szCs w:val="32"/>
        </w:rPr>
        <w:lastRenderedPageBreak/>
        <w:t>GOVERNANCE</w:t>
      </w:r>
      <w:r w:rsidR="005B2E9F">
        <w:rPr>
          <w:rFonts w:ascii="Times New Roman" w:hAnsi="Times New Roman" w:cs="Times New Roman"/>
          <w:b/>
          <w:bCs/>
          <w:color w:val="0070C0"/>
          <w:sz w:val="32"/>
          <w:szCs w:val="32"/>
        </w:rPr>
        <w:t xml:space="preserve">: </w:t>
      </w:r>
      <w:r w:rsidR="003076CD" w:rsidRPr="005B2E9F">
        <w:rPr>
          <w:rFonts w:ascii="Times New Roman" w:eastAsia="Times New Roman" w:hAnsi="Times New Roman" w:cs="Times New Roman"/>
          <w:b/>
          <w:bCs/>
          <w:color w:val="0070C0"/>
          <w:sz w:val="28"/>
          <w:szCs w:val="28"/>
          <w:lang w:val="en-ID"/>
        </w:rPr>
        <w:t>The governance of Indonesia water as part of the South China Sea</w:t>
      </w:r>
      <w:bookmarkEnd w:id="164"/>
    </w:p>
    <w:p w14:paraId="11B71D70" w14:textId="77777777" w:rsidR="003076CD" w:rsidRPr="00D84F7F" w:rsidRDefault="003076CD" w:rsidP="003076CD">
      <w:pPr>
        <w:rPr>
          <w:rFonts w:ascii="Times New Roman" w:eastAsia="Times New Roman" w:hAnsi="Times New Roman" w:cs="Times New Roman"/>
          <w:color w:val="0070C0"/>
          <w:sz w:val="28"/>
          <w:szCs w:val="28"/>
          <w:lang w:val="en-ID"/>
        </w:rPr>
      </w:pPr>
    </w:p>
    <w:p w14:paraId="38F0FC9F" w14:textId="77777777" w:rsidR="003076CD" w:rsidRPr="003076CD" w:rsidRDefault="003076CD" w:rsidP="003076CD">
      <w:pPr>
        <w:jc w:val="center"/>
        <w:rPr>
          <w:rFonts w:ascii="Times New Roman" w:eastAsia="Times New Roman" w:hAnsi="Times New Roman" w:cs="Times New Roman"/>
          <w:sz w:val="22"/>
          <w:szCs w:val="22"/>
          <w:lang w:val="en-ID"/>
        </w:rPr>
      </w:pPr>
      <w:r w:rsidRPr="003076CD">
        <w:rPr>
          <w:rFonts w:ascii="Times New Roman" w:eastAsia="Times New Roman" w:hAnsi="Times New Roman" w:cs="Times New Roman"/>
          <w:color w:val="000000"/>
          <w:sz w:val="22"/>
          <w:szCs w:val="22"/>
          <w:lang w:val="en-ID"/>
        </w:rPr>
        <w:t>Taryono Kodiran</w:t>
      </w:r>
      <w:r w:rsidRPr="003076CD">
        <w:rPr>
          <w:rFonts w:ascii="Times New Roman" w:eastAsia="Times New Roman" w:hAnsi="Times New Roman" w:cs="Times New Roman"/>
          <w:color w:val="000000"/>
          <w:sz w:val="22"/>
          <w:szCs w:val="22"/>
          <w:vertAlign w:val="superscript"/>
          <w:lang w:val="en-ID"/>
        </w:rPr>
        <w:t>1,2</w:t>
      </w:r>
      <w:r w:rsidRPr="003076CD">
        <w:rPr>
          <w:rFonts w:ascii="Times New Roman" w:eastAsia="Times New Roman" w:hAnsi="Times New Roman" w:cs="Times New Roman"/>
          <w:color w:val="000000"/>
          <w:sz w:val="22"/>
          <w:szCs w:val="22"/>
          <w:lang w:val="en-ID"/>
        </w:rPr>
        <w:t>, Retia Revany</w:t>
      </w:r>
      <w:r w:rsidRPr="003076CD">
        <w:rPr>
          <w:rFonts w:ascii="Times New Roman" w:eastAsia="Times New Roman" w:hAnsi="Times New Roman" w:cs="Times New Roman"/>
          <w:color w:val="000000"/>
          <w:sz w:val="22"/>
          <w:szCs w:val="22"/>
          <w:vertAlign w:val="superscript"/>
          <w:lang w:val="en-ID"/>
        </w:rPr>
        <w:t>1</w:t>
      </w:r>
      <w:r w:rsidRPr="003076CD">
        <w:rPr>
          <w:rFonts w:ascii="Times New Roman" w:eastAsia="Times New Roman" w:hAnsi="Times New Roman" w:cs="Times New Roman"/>
          <w:color w:val="000000"/>
          <w:sz w:val="22"/>
          <w:szCs w:val="22"/>
          <w:lang w:val="en-ID"/>
        </w:rPr>
        <w:t>, Isdahartati</w:t>
      </w:r>
      <w:r w:rsidRPr="003076CD">
        <w:rPr>
          <w:rFonts w:ascii="Times New Roman" w:eastAsia="Times New Roman" w:hAnsi="Times New Roman" w:cs="Times New Roman"/>
          <w:color w:val="000000"/>
          <w:sz w:val="22"/>
          <w:szCs w:val="22"/>
          <w:vertAlign w:val="superscript"/>
          <w:lang w:val="en-ID"/>
        </w:rPr>
        <w:t>1</w:t>
      </w:r>
    </w:p>
    <w:p w14:paraId="10183CAD" w14:textId="77777777" w:rsidR="003076CD" w:rsidRPr="003076CD" w:rsidRDefault="003076CD" w:rsidP="003076CD">
      <w:pPr>
        <w:rPr>
          <w:rFonts w:ascii="Times New Roman" w:eastAsia="Times New Roman" w:hAnsi="Times New Roman" w:cs="Times New Roman"/>
          <w:sz w:val="22"/>
          <w:szCs w:val="22"/>
          <w:lang w:val="en-ID"/>
        </w:rPr>
      </w:pPr>
    </w:p>
    <w:p w14:paraId="0CDC7551" w14:textId="77777777" w:rsidR="003076CD" w:rsidRPr="003076CD" w:rsidRDefault="003076CD" w:rsidP="003076CD">
      <w:pPr>
        <w:jc w:val="center"/>
        <w:rPr>
          <w:rFonts w:ascii="Times New Roman" w:eastAsia="Times New Roman" w:hAnsi="Times New Roman" w:cs="Times New Roman"/>
          <w:sz w:val="22"/>
          <w:szCs w:val="22"/>
          <w:lang w:val="en-ID"/>
        </w:rPr>
      </w:pPr>
      <w:r w:rsidRPr="003076CD">
        <w:rPr>
          <w:rFonts w:ascii="Times New Roman" w:eastAsia="Times New Roman" w:hAnsi="Times New Roman" w:cs="Times New Roman"/>
          <w:color w:val="000000"/>
          <w:sz w:val="22"/>
          <w:szCs w:val="22"/>
          <w:vertAlign w:val="superscript"/>
          <w:lang w:val="en-ID"/>
        </w:rPr>
        <w:t>1</w:t>
      </w:r>
      <w:r w:rsidRPr="003076CD">
        <w:rPr>
          <w:rFonts w:ascii="Times New Roman" w:eastAsia="Times New Roman" w:hAnsi="Times New Roman" w:cs="Times New Roman"/>
          <w:color w:val="000000"/>
          <w:sz w:val="22"/>
          <w:szCs w:val="22"/>
          <w:lang w:val="en-ID"/>
        </w:rPr>
        <w:t>Center for Coastal and Marine Resources Studies, IPB University</w:t>
      </w:r>
    </w:p>
    <w:p w14:paraId="008D6E4F" w14:textId="77777777" w:rsidR="003076CD" w:rsidRPr="003076CD" w:rsidRDefault="003076CD" w:rsidP="003076CD">
      <w:pPr>
        <w:jc w:val="center"/>
        <w:rPr>
          <w:rFonts w:ascii="Times New Roman" w:eastAsia="Times New Roman" w:hAnsi="Times New Roman" w:cs="Times New Roman"/>
          <w:sz w:val="22"/>
          <w:szCs w:val="22"/>
          <w:lang w:val="en-ID"/>
        </w:rPr>
      </w:pPr>
      <w:r w:rsidRPr="003076CD">
        <w:rPr>
          <w:rFonts w:ascii="Times New Roman" w:eastAsia="Times New Roman" w:hAnsi="Times New Roman" w:cs="Times New Roman"/>
          <w:color w:val="000000"/>
          <w:sz w:val="22"/>
          <w:szCs w:val="22"/>
          <w:vertAlign w:val="superscript"/>
          <w:lang w:val="en-ID"/>
        </w:rPr>
        <w:t>2</w:t>
      </w:r>
      <w:r w:rsidRPr="003076CD">
        <w:rPr>
          <w:rFonts w:ascii="Times New Roman" w:eastAsia="Times New Roman" w:hAnsi="Times New Roman" w:cs="Times New Roman"/>
          <w:color w:val="000000"/>
          <w:sz w:val="22"/>
          <w:szCs w:val="22"/>
          <w:lang w:val="en-ID"/>
        </w:rPr>
        <w:t>Department of Aquatic Resources Management, Faculty of Fisheries and Marine Sciences, IPB University</w:t>
      </w:r>
    </w:p>
    <w:p w14:paraId="4CCD83EC" w14:textId="77777777" w:rsidR="003076CD" w:rsidRPr="003076CD" w:rsidRDefault="003076CD" w:rsidP="003076CD">
      <w:pPr>
        <w:rPr>
          <w:rFonts w:ascii="Times New Roman" w:eastAsia="Times New Roman" w:hAnsi="Times New Roman" w:cs="Times New Roman"/>
          <w:sz w:val="22"/>
          <w:szCs w:val="22"/>
          <w:lang w:val="en-ID"/>
        </w:rPr>
      </w:pPr>
    </w:p>
    <w:p w14:paraId="034AC98F" w14:textId="77777777" w:rsidR="003076CD" w:rsidRPr="00D84F7F" w:rsidRDefault="003076CD" w:rsidP="003076CD">
      <w:pPr>
        <w:jc w:val="center"/>
        <w:rPr>
          <w:rFonts w:ascii="Times New Roman" w:eastAsia="Times New Roman" w:hAnsi="Times New Roman" w:cs="Times New Roman"/>
          <w:color w:val="0070C0"/>
          <w:sz w:val="22"/>
          <w:szCs w:val="22"/>
          <w:lang w:val="en-ID"/>
        </w:rPr>
      </w:pPr>
      <w:r w:rsidRPr="00D84F7F">
        <w:rPr>
          <w:rFonts w:ascii="Times New Roman" w:eastAsia="Times New Roman" w:hAnsi="Times New Roman" w:cs="Times New Roman"/>
          <w:color w:val="0070C0"/>
          <w:sz w:val="22"/>
          <w:szCs w:val="22"/>
          <w:lang w:val="en-ID"/>
        </w:rPr>
        <w:t>Abstract</w:t>
      </w:r>
    </w:p>
    <w:p w14:paraId="67232333" w14:textId="77777777" w:rsidR="003076CD" w:rsidRPr="003076CD" w:rsidRDefault="003076CD" w:rsidP="003076CD">
      <w:pPr>
        <w:rPr>
          <w:rFonts w:ascii="Times New Roman" w:eastAsia="Times New Roman" w:hAnsi="Times New Roman" w:cs="Times New Roman"/>
          <w:sz w:val="22"/>
          <w:szCs w:val="22"/>
          <w:lang w:val="en-ID"/>
        </w:rPr>
      </w:pPr>
    </w:p>
    <w:p w14:paraId="4A0A5AD5" w14:textId="77777777" w:rsidR="003076CD" w:rsidRPr="003076CD" w:rsidRDefault="003076CD" w:rsidP="003076CD">
      <w:pPr>
        <w:jc w:val="both"/>
        <w:rPr>
          <w:rFonts w:ascii="Times New Roman" w:eastAsia="Times New Roman" w:hAnsi="Times New Roman" w:cs="Times New Roman"/>
          <w:sz w:val="22"/>
          <w:szCs w:val="22"/>
          <w:lang w:val="en-ID"/>
        </w:rPr>
      </w:pPr>
      <w:r w:rsidRPr="003076CD">
        <w:rPr>
          <w:rFonts w:ascii="Times New Roman" w:eastAsia="Times New Roman" w:hAnsi="Times New Roman" w:cs="Times New Roman"/>
          <w:color w:val="000000"/>
          <w:sz w:val="22"/>
          <w:szCs w:val="22"/>
          <w:lang w:val="en-ID"/>
        </w:rPr>
        <w:t>The enhancement of governance in Indonesia's South China Sea (SCS) waters is critical for advancing both national and regional interests. Therefore, a comprehensive assessment is critical to be conducted. This analysis reveals low-to-medium governance effectiveness, which reflects the disparity between regulatory frameworks and their implementation. Risk governance analysis was conducted by assessing completeness policy cycle, stakeholder engagement and integration. Risk governance analysis uncovers the regulatory completeness scores low risk, stakeholder engagement and policy integration face medium risk, indicating that coordination challenges present a greater obstacle than regulatory gaps.</w:t>
      </w:r>
    </w:p>
    <w:p w14:paraId="0D5A234F" w14:textId="77777777" w:rsidR="003076CD" w:rsidRPr="003076CD" w:rsidRDefault="003076CD" w:rsidP="003076CD">
      <w:pPr>
        <w:spacing w:before="120"/>
        <w:jc w:val="both"/>
        <w:rPr>
          <w:rFonts w:ascii="Times New Roman" w:eastAsia="Times New Roman" w:hAnsi="Times New Roman" w:cs="Times New Roman"/>
          <w:sz w:val="22"/>
          <w:szCs w:val="22"/>
          <w:lang w:val="en-ID"/>
        </w:rPr>
      </w:pPr>
      <w:r w:rsidRPr="003076CD">
        <w:rPr>
          <w:rFonts w:ascii="Times New Roman" w:eastAsia="Times New Roman" w:hAnsi="Times New Roman" w:cs="Times New Roman"/>
          <w:color w:val="000000"/>
          <w:sz w:val="22"/>
          <w:szCs w:val="22"/>
          <w:lang w:val="en-ID"/>
        </w:rPr>
        <w:t>To address these shortcomings, this study emphasizes a dual pathway. Domestically, it is imperative to strengthen the multi-level governance platform that connects central, provincial, and regency/city administrations. Internationally, the existing regional SCS cooperation requires fortification, particularly marine pollution and expansion to encompass other transboundary issues such as ecosystem degradation, plastic waste, and Abandoned, Lost, or Discarded Fishing Gear (ALDFG). Ultimately, the establishment of an integrated land-sea collaboration platform across Indonesian jurisdictions is essential. This would directly tackle the land-based drivers of marine degradation while simultaneously strengthening Indonesia's strategic position within regional cooperation frameworks.</w:t>
      </w:r>
    </w:p>
    <w:p w14:paraId="56095840" w14:textId="77777777" w:rsidR="003076CD" w:rsidRPr="003076CD" w:rsidRDefault="003076CD" w:rsidP="003076CD">
      <w:pPr>
        <w:rPr>
          <w:rFonts w:ascii="Times New Roman" w:eastAsia="Times New Roman" w:hAnsi="Times New Roman" w:cs="Times New Roman"/>
          <w:sz w:val="22"/>
          <w:szCs w:val="22"/>
          <w:lang w:val="en-ID"/>
        </w:rPr>
      </w:pPr>
    </w:p>
    <w:p w14:paraId="3F8B8530" w14:textId="77777777" w:rsidR="003076CD" w:rsidRPr="003076CD" w:rsidRDefault="003076CD" w:rsidP="003076CD">
      <w:pPr>
        <w:jc w:val="both"/>
        <w:rPr>
          <w:rFonts w:ascii="Times New Roman" w:eastAsia="Times New Roman" w:hAnsi="Times New Roman" w:cs="Times New Roman"/>
          <w:sz w:val="22"/>
          <w:szCs w:val="22"/>
          <w:lang w:val="en-ID"/>
        </w:rPr>
      </w:pPr>
      <w:r w:rsidRPr="003076CD">
        <w:rPr>
          <w:rFonts w:ascii="Times New Roman" w:eastAsia="Times New Roman" w:hAnsi="Times New Roman" w:cs="Times New Roman"/>
          <w:color w:val="000000"/>
          <w:sz w:val="22"/>
          <w:szCs w:val="22"/>
          <w:lang w:val="en-ID"/>
        </w:rPr>
        <w:t>Keywords: governance, land-sea collaboration, regional SCS cooperation, risk analysis</w:t>
      </w:r>
    </w:p>
    <w:p w14:paraId="04752C93" w14:textId="2C025208" w:rsidR="003076CD" w:rsidRDefault="003076CD" w:rsidP="00B16E45">
      <w:pPr>
        <w:pStyle w:val="BodyText"/>
        <w:spacing w:before="188"/>
        <w:outlineLvl w:val="1"/>
        <w:rPr>
          <w:rFonts w:ascii="Times New Roman" w:hAnsi="Times New Roman" w:cs="Times New Roman"/>
          <w:b/>
          <w:bCs/>
          <w:color w:val="0070C0"/>
        </w:rPr>
      </w:pPr>
      <w:bookmarkStart w:id="165" w:name="_Toc217297570"/>
      <w:r>
        <w:rPr>
          <w:rFonts w:ascii="Times New Roman" w:hAnsi="Times New Roman" w:cs="Times New Roman"/>
          <w:b/>
          <w:bCs/>
          <w:color w:val="0070C0"/>
        </w:rPr>
        <w:t xml:space="preserve">6.1. </w:t>
      </w:r>
      <w:r w:rsidR="00AE7A71">
        <w:rPr>
          <w:rFonts w:ascii="Times New Roman" w:hAnsi="Times New Roman" w:cs="Times New Roman"/>
          <w:b/>
          <w:bCs/>
          <w:color w:val="0070C0"/>
        </w:rPr>
        <w:tab/>
      </w:r>
      <w:r w:rsidR="000B4226">
        <w:rPr>
          <w:rFonts w:ascii="Times New Roman" w:hAnsi="Times New Roman" w:cs="Times New Roman"/>
          <w:b/>
          <w:bCs/>
          <w:color w:val="0070C0"/>
        </w:rPr>
        <w:t>Introduction</w:t>
      </w:r>
      <w:bookmarkEnd w:id="165"/>
    </w:p>
    <w:p w14:paraId="78788448" w14:textId="77777777" w:rsidR="000B4226" w:rsidRPr="000118A3" w:rsidRDefault="000B4226" w:rsidP="000B4226">
      <w:pPr>
        <w:spacing w:before="120"/>
        <w:jc w:val="both"/>
        <w:rPr>
          <w:rFonts w:ascii="Times New Roman" w:hAnsi="Times New Roman" w:cs="Times New Roman"/>
          <w:sz w:val="22"/>
          <w:szCs w:val="22"/>
        </w:rPr>
      </w:pPr>
      <w:r w:rsidRPr="000118A3">
        <w:rPr>
          <w:rFonts w:ascii="Times New Roman" w:hAnsi="Times New Roman" w:cs="Times New Roman"/>
          <w:sz w:val="22"/>
          <w:szCs w:val="22"/>
        </w:rPr>
        <w:t>The South China Sea plays an important role in the development of the coastal states, the region and even the world by virtue of its rich biological and oil and gas resources and convenient shipping lanes. But in recent years, the ecological environment of the South China Sea has been facing increasingly severe impacts and challenges due to complex reasons (Wei and Zihao, 2024).</w:t>
      </w:r>
    </w:p>
    <w:p w14:paraId="03144C1C" w14:textId="77777777" w:rsidR="000B4226" w:rsidRPr="000118A3" w:rsidRDefault="000B4226" w:rsidP="000B4226">
      <w:pPr>
        <w:spacing w:before="120"/>
        <w:jc w:val="both"/>
        <w:rPr>
          <w:rFonts w:ascii="Times New Roman" w:hAnsi="Times New Roman" w:cs="Times New Roman"/>
          <w:sz w:val="22"/>
          <w:szCs w:val="22"/>
        </w:rPr>
      </w:pPr>
      <w:r w:rsidRPr="000118A3">
        <w:rPr>
          <w:rFonts w:ascii="Times New Roman" w:hAnsi="Times New Roman" w:cs="Times New Roman"/>
          <w:sz w:val="22"/>
          <w:szCs w:val="22"/>
        </w:rPr>
        <w:t>In 2023, the South China Sea (SCS) facilitated the transit of 10 billion barrels of petroleum and 6.7 trillion cubic feet of LNG, underscoring its rich resources and strategic significance (US Energy Information, 2024). Oceanographically, the SCS throughflow acts as a crucial heat and freshwater conveyor, regulating regional sea surface temperatures (Qu et al., 2009).</w:t>
      </w:r>
    </w:p>
    <w:p w14:paraId="0C5E39FA" w14:textId="77825D36" w:rsidR="000B4226" w:rsidRPr="000118A3" w:rsidRDefault="000B4226" w:rsidP="000B4226">
      <w:pPr>
        <w:spacing w:before="120"/>
        <w:jc w:val="both"/>
        <w:rPr>
          <w:rFonts w:ascii="Times New Roman" w:hAnsi="Times New Roman" w:cs="Times New Roman"/>
          <w:sz w:val="22"/>
          <w:szCs w:val="22"/>
        </w:rPr>
      </w:pPr>
      <w:r w:rsidRPr="000118A3">
        <w:rPr>
          <w:rFonts w:ascii="Times New Roman" w:hAnsi="Times New Roman" w:cs="Times New Roman"/>
          <w:sz w:val="22"/>
          <w:szCs w:val="22"/>
        </w:rPr>
        <w:t xml:space="preserve">The South China Sea (SCS) holds immense importance, not only due to its geopolitical significance but also because of its rich biodiversity and vital role in supporting livelihoods and ensuring food security through fishing activities (Sembiring, 2024). Then safeguarding the marine and coastal ecosystems of the South China Sea (SCS) is imperative, given escalating threats from pollution, biodiversity erosion, and climate change impacts. While transboundary environmental mechanisms exist at a regional level, advancing country-based collaboration among SCS nations is essential. Such cooperation is particularly critical for mitigating marine plastic debris, an issue intrinsically linked to human behavior, societal norms, and policy frameworks. This paper aims to analysis the status of governance of the Indonesia water as part of the South China Sea (SCS) region (Figure </w:t>
      </w:r>
      <w:r w:rsidR="00612A70">
        <w:rPr>
          <w:rFonts w:ascii="Times New Roman" w:hAnsi="Times New Roman" w:cs="Times New Roman"/>
          <w:sz w:val="22"/>
          <w:szCs w:val="22"/>
        </w:rPr>
        <w:t>52</w:t>
      </w:r>
      <w:r w:rsidRPr="000118A3">
        <w:rPr>
          <w:rFonts w:ascii="Times New Roman" w:hAnsi="Times New Roman" w:cs="Times New Roman"/>
          <w:sz w:val="22"/>
          <w:szCs w:val="22"/>
        </w:rPr>
        <w:t xml:space="preserve">). </w:t>
      </w:r>
    </w:p>
    <w:p w14:paraId="15E2D482" w14:textId="77777777" w:rsidR="000B4226" w:rsidRPr="000118A3" w:rsidRDefault="000B4226" w:rsidP="000B4226">
      <w:pPr>
        <w:pStyle w:val="ListParagraph"/>
        <w:ind w:left="440"/>
        <w:jc w:val="both"/>
        <w:rPr>
          <w:rFonts w:ascii="Times New Roman" w:hAnsi="Times New Roman" w:cs="Times New Roman"/>
          <w:sz w:val="22"/>
          <w:szCs w:val="22"/>
        </w:rPr>
      </w:pPr>
    </w:p>
    <w:p w14:paraId="39FF4AE8" w14:textId="77777777" w:rsidR="000B4226" w:rsidRPr="000118A3" w:rsidRDefault="000B4226" w:rsidP="000B4226">
      <w:pPr>
        <w:pStyle w:val="ListParagraph"/>
        <w:ind w:left="440"/>
        <w:jc w:val="center"/>
        <w:rPr>
          <w:rFonts w:ascii="Times New Roman" w:hAnsi="Times New Roman" w:cs="Times New Roman"/>
          <w:sz w:val="22"/>
          <w:szCs w:val="22"/>
        </w:rPr>
      </w:pPr>
      <w:r w:rsidRPr="000118A3">
        <w:rPr>
          <w:rFonts w:ascii="Times New Roman" w:hAnsi="Times New Roman" w:cs="Times New Roman"/>
          <w:noProof/>
          <w:sz w:val="22"/>
          <w:szCs w:val="22"/>
        </w:rPr>
        <w:lastRenderedPageBreak/>
        <w:drawing>
          <wp:inline distT="0" distB="0" distL="0" distR="0" wp14:anchorId="42C5DAE3" wp14:editId="3B6B0A9C">
            <wp:extent cx="4773386" cy="3377579"/>
            <wp:effectExtent l="0" t="0" r="8255" b="0"/>
            <wp:docPr id="584744749" name="Picture 1" descr="A map of the united st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744749" name="Picture 1" descr="A map of the united states&#10;&#10;AI-generated content may be incorrect."/>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4775726" cy="3379235"/>
                    </a:xfrm>
                    <a:prstGeom prst="rect">
                      <a:avLst/>
                    </a:prstGeom>
                    <a:noFill/>
                    <a:ln>
                      <a:noFill/>
                    </a:ln>
                  </pic:spPr>
                </pic:pic>
              </a:graphicData>
            </a:graphic>
          </wp:inline>
        </w:drawing>
      </w:r>
    </w:p>
    <w:p w14:paraId="11E96B4B" w14:textId="463F9CE4" w:rsidR="000B4226" w:rsidRPr="00612A70" w:rsidRDefault="00612A70" w:rsidP="00612A70">
      <w:pPr>
        <w:pStyle w:val="Caption"/>
        <w:jc w:val="center"/>
        <w:rPr>
          <w:rFonts w:ascii="Times New Roman" w:hAnsi="Times New Roman" w:cs="Times New Roman"/>
          <w:b/>
          <w:bCs/>
          <w:i w:val="0"/>
          <w:iCs w:val="0"/>
          <w:color w:val="000000" w:themeColor="text1"/>
          <w:sz w:val="22"/>
          <w:szCs w:val="22"/>
        </w:rPr>
      </w:pPr>
      <w:bookmarkStart w:id="166" w:name="_Toc217297639"/>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52</w:t>
      </w:r>
      <w:r w:rsidRPr="00612A70">
        <w:rPr>
          <w:rFonts w:ascii="Times New Roman" w:hAnsi="Times New Roman" w:cs="Times New Roman"/>
          <w:i w:val="0"/>
          <w:iCs w:val="0"/>
          <w:color w:val="000000" w:themeColor="text1"/>
          <w:sz w:val="22"/>
          <w:szCs w:val="22"/>
        </w:rPr>
        <w:fldChar w:fldCharType="end"/>
      </w:r>
      <w:r w:rsidR="000B4226" w:rsidRPr="00612A70">
        <w:rPr>
          <w:rFonts w:ascii="Times New Roman" w:hAnsi="Times New Roman" w:cs="Times New Roman"/>
          <w:i w:val="0"/>
          <w:iCs w:val="0"/>
          <w:color w:val="000000" w:themeColor="text1"/>
          <w:sz w:val="22"/>
          <w:szCs w:val="22"/>
        </w:rPr>
        <w:t xml:space="preserve">  Study Area Governance</w:t>
      </w:r>
      <w:bookmarkEnd w:id="166"/>
    </w:p>
    <w:p w14:paraId="6B0CE26B" w14:textId="7011C6A2" w:rsidR="00474BE2" w:rsidRPr="003076CD" w:rsidRDefault="000B4226" w:rsidP="00B16E45">
      <w:pPr>
        <w:pStyle w:val="BodyText"/>
        <w:spacing w:before="188"/>
        <w:outlineLvl w:val="1"/>
        <w:rPr>
          <w:rFonts w:ascii="Times New Roman" w:hAnsi="Times New Roman" w:cs="Times New Roman"/>
          <w:b/>
          <w:bCs/>
          <w:color w:val="0070C0"/>
        </w:rPr>
      </w:pPr>
      <w:bookmarkStart w:id="167" w:name="_Toc217297571"/>
      <w:r>
        <w:rPr>
          <w:rFonts w:ascii="Times New Roman" w:hAnsi="Times New Roman" w:cs="Times New Roman"/>
          <w:b/>
          <w:bCs/>
          <w:color w:val="0070C0"/>
        </w:rPr>
        <w:t xml:space="preserve">6.2. </w:t>
      </w:r>
      <w:r w:rsidR="00AE7A71">
        <w:rPr>
          <w:rFonts w:ascii="Times New Roman" w:hAnsi="Times New Roman" w:cs="Times New Roman"/>
          <w:b/>
          <w:bCs/>
          <w:color w:val="0070C0"/>
        </w:rPr>
        <w:tab/>
      </w:r>
      <w:r w:rsidR="008A7A10" w:rsidRPr="003076CD">
        <w:rPr>
          <w:rFonts w:ascii="Times New Roman" w:hAnsi="Times New Roman" w:cs="Times New Roman"/>
          <w:b/>
          <w:bCs/>
          <w:color w:val="0070C0"/>
        </w:rPr>
        <w:t>Key Governance Concern</w:t>
      </w:r>
      <w:bookmarkEnd w:id="167"/>
    </w:p>
    <w:p w14:paraId="58978666" w14:textId="77777777" w:rsidR="003076CD" w:rsidRDefault="008A7A10" w:rsidP="000B4226">
      <w:pPr>
        <w:pStyle w:val="BodyText"/>
        <w:spacing w:after="0" w:line="240" w:lineRule="auto"/>
        <w:jc w:val="both"/>
        <w:rPr>
          <w:rFonts w:ascii="Times New Roman" w:hAnsi="Times New Roman" w:cs="Times New Roman"/>
        </w:rPr>
      </w:pPr>
      <w:r w:rsidRPr="003076CD">
        <w:rPr>
          <w:rFonts w:ascii="Times New Roman" w:hAnsi="Times New Roman" w:cs="Times New Roman"/>
        </w:rPr>
        <w:t>The current situation is that the existing environmental governance mechanism in the South China Sea is currently characterized by predominantly bilateral governance, supplemented by 75 multilateral cooperation (Sichun, 2021). With poor of governance, it is possibly becoming a tragedy of common, so it is mandated to enhance transboundary partnership (Astuti, 2017).  Indonesia has established a national policy for marine resource management, which is implemented at the sub-national level. This includes the South China Sea region, which encompasses several provinces and regencies with diverse socio-economic conditions. While a cooperation platform exists, its effectiveness remains limited. An explicit policy foundation has been laid for fisheries management purpose, with this direction being reinforced in subsequent development plans including pollution control, ecosystem protection, and economic and climate development. Regarding regional disputes, Shaleh et al. (2021) recommend utilizing ASEAN-led platforms for dialogue and leveraging international partnerships. Although a working group for SCS and Gulf of Thailand management exists, it is ineffective in resolving transboundary issues</w:t>
      </w:r>
    </w:p>
    <w:p w14:paraId="14A5D699" w14:textId="77777777" w:rsidR="000B4226" w:rsidRDefault="000B4226" w:rsidP="000B4226">
      <w:pPr>
        <w:pStyle w:val="BodyText"/>
        <w:spacing w:after="0" w:line="240" w:lineRule="auto"/>
        <w:jc w:val="both"/>
        <w:rPr>
          <w:rFonts w:ascii="Times New Roman" w:hAnsi="Times New Roman" w:cs="Times New Roman"/>
          <w:b/>
          <w:bCs/>
          <w:color w:val="0070C0"/>
        </w:rPr>
      </w:pPr>
    </w:p>
    <w:p w14:paraId="3EF1C524" w14:textId="7E7F19AC" w:rsidR="00E0141C" w:rsidRPr="000118A3" w:rsidRDefault="000B4226" w:rsidP="00B16E45">
      <w:pPr>
        <w:pStyle w:val="BodyText"/>
        <w:numPr>
          <w:ilvl w:val="1"/>
          <w:numId w:val="145"/>
        </w:numPr>
        <w:spacing w:after="0" w:line="240" w:lineRule="auto"/>
        <w:outlineLvl w:val="1"/>
        <w:rPr>
          <w:rFonts w:ascii="Times New Roman" w:hAnsi="Times New Roman" w:cs="Times New Roman"/>
          <w:b/>
          <w:bCs/>
          <w:color w:val="0070C0"/>
        </w:rPr>
      </w:pPr>
      <w:bookmarkStart w:id="168" w:name="_Toc217297572"/>
      <w:r>
        <w:rPr>
          <w:rFonts w:ascii="Times New Roman" w:hAnsi="Times New Roman" w:cs="Times New Roman"/>
          <w:b/>
          <w:bCs/>
          <w:color w:val="0070C0"/>
        </w:rPr>
        <w:t>C</w:t>
      </w:r>
      <w:r w:rsidR="00E0141C" w:rsidRPr="000118A3">
        <w:rPr>
          <w:rFonts w:ascii="Times New Roman" w:hAnsi="Times New Roman" w:cs="Times New Roman"/>
          <w:b/>
          <w:bCs/>
          <w:color w:val="0070C0"/>
        </w:rPr>
        <w:t>urrent Status</w:t>
      </w:r>
      <w:bookmarkEnd w:id="168"/>
    </w:p>
    <w:p w14:paraId="772D29AA" w14:textId="5816E08E" w:rsidR="00E0141C" w:rsidRPr="000118A3" w:rsidRDefault="00E0141C" w:rsidP="000B4226">
      <w:pPr>
        <w:pStyle w:val="BodyText"/>
        <w:numPr>
          <w:ilvl w:val="2"/>
          <w:numId w:val="145"/>
        </w:numPr>
        <w:spacing w:after="0" w:line="240" w:lineRule="auto"/>
        <w:rPr>
          <w:rFonts w:ascii="Times New Roman" w:hAnsi="Times New Roman" w:cs="Times New Roman"/>
          <w:b/>
          <w:bCs/>
          <w:color w:val="0070C0"/>
        </w:rPr>
      </w:pPr>
      <w:r w:rsidRPr="000118A3">
        <w:rPr>
          <w:rFonts w:ascii="Times New Roman" w:hAnsi="Times New Roman" w:cs="Times New Roman"/>
          <w:b/>
          <w:bCs/>
          <w:color w:val="0070C0"/>
        </w:rPr>
        <w:t xml:space="preserve">Economic and policy driver </w:t>
      </w:r>
    </w:p>
    <w:p w14:paraId="4B2EC0AA" w14:textId="77777777" w:rsidR="00E0141C" w:rsidRPr="000B4226" w:rsidRDefault="00E0141C" w:rsidP="000B4226">
      <w:pPr>
        <w:pStyle w:val="ListParagraph"/>
        <w:spacing w:before="120"/>
        <w:ind w:left="0"/>
        <w:jc w:val="both"/>
        <w:rPr>
          <w:rFonts w:ascii="Times New Roman" w:hAnsi="Times New Roman" w:cs="Times New Roman"/>
          <w:b/>
          <w:bCs/>
          <w:i/>
          <w:iCs/>
          <w:sz w:val="22"/>
          <w:szCs w:val="22"/>
        </w:rPr>
      </w:pPr>
      <w:r w:rsidRPr="000B4226">
        <w:rPr>
          <w:rFonts w:ascii="Times New Roman" w:hAnsi="Times New Roman" w:cs="Times New Roman"/>
          <w:b/>
          <w:bCs/>
          <w:i/>
          <w:iCs/>
          <w:sz w:val="22"/>
          <w:szCs w:val="22"/>
        </w:rPr>
        <w:t xml:space="preserve">GDP and economic growth </w:t>
      </w:r>
    </w:p>
    <w:p w14:paraId="5BA227AD" w14:textId="58326BE1" w:rsidR="00E0141C" w:rsidRPr="000118A3" w:rsidRDefault="00E0141C" w:rsidP="000B4226">
      <w:pPr>
        <w:spacing w:before="120"/>
        <w:jc w:val="both"/>
        <w:rPr>
          <w:rFonts w:ascii="Times New Roman" w:hAnsi="Times New Roman" w:cs="Times New Roman"/>
          <w:sz w:val="22"/>
          <w:szCs w:val="22"/>
        </w:rPr>
      </w:pPr>
      <w:r w:rsidRPr="000118A3">
        <w:rPr>
          <w:rFonts w:ascii="Times New Roman" w:hAnsi="Times New Roman" w:cs="Times New Roman"/>
          <w:sz w:val="22"/>
          <w:szCs w:val="22"/>
        </w:rPr>
        <w:t xml:space="preserve">GDP at current prices demonstrated stable quarterly and annual growth from 2020 to 2023. However, it remained relatively stagnant when measured at constant 2010 prices (see </w:t>
      </w:r>
      <w:r w:rsidR="00600CEE">
        <w:rPr>
          <w:rFonts w:ascii="Times New Roman" w:hAnsi="Times New Roman" w:cs="Times New Roman"/>
          <w:sz w:val="22"/>
          <w:szCs w:val="22"/>
        </w:rPr>
        <w:t>Appendix</w:t>
      </w:r>
      <w:r w:rsidRPr="000118A3">
        <w:rPr>
          <w:rFonts w:ascii="Times New Roman" w:hAnsi="Times New Roman" w:cs="Times New Roman"/>
          <w:sz w:val="22"/>
          <w:szCs w:val="22"/>
        </w:rPr>
        <w:t xml:space="preserve"> </w:t>
      </w:r>
      <w:r w:rsidR="003E2C66">
        <w:rPr>
          <w:rFonts w:ascii="Times New Roman" w:hAnsi="Times New Roman" w:cs="Times New Roman"/>
          <w:sz w:val="22"/>
          <w:szCs w:val="22"/>
        </w:rPr>
        <w:t>6.</w:t>
      </w:r>
      <w:r w:rsidRPr="000118A3">
        <w:rPr>
          <w:rFonts w:ascii="Times New Roman" w:hAnsi="Times New Roman" w:cs="Times New Roman"/>
          <w:sz w:val="22"/>
          <w:szCs w:val="22"/>
        </w:rPr>
        <w:t xml:space="preserve">1).  </w:t>
      </w:r>
    </w:p>
    <w:p w14:paraId="76D90397" w14:textId="6C77DB8F" w:rsidR="00E0141C" w:rsidRPr="000118A3" w:rsidRDefault="00E0141C" w:rsidP="000B4226">
      <w:pPr>
        <w:spacing w:before="120"/>
        <w:jc w:val="both"/>
        <w:rPr>
          <w:rFonts w:ascii="Times New Roman" w:hAnsi="Times New Roman" w:cs="Times New Roman"/>
          <w:sz w:val="22"/>
          <w:szCs w:val="22"/>
        </w:rPr>
      </w:pPr>
      <w:r w:rsidRPr="000118A3">
        <w:rPr>
          <w:rFonts w:ascii="Times New Roman" w:hAnsi="Times New Roman" w:cs="Times New Roman"/>
          <w:sz w:val="22"/>
          <w:szCs w:val="22"/>
        </w:rPr>
        <w:t xml:space="preserve">During the period 2016–2023, Indonesia’s economy generally recorded growth. However, in 2019–2020, the economy contracted that was largely attributable to the outbreak of the COVID-19 pandemic, which led to economic stagnation and, in some sectors, a significant downturn. But, since 2021 the economy constantly growth up to 5.05% in 2023 (Figure </w:t>
      </w:r>
      <w:r w:rsidR="003E2C66">
        <w:rPr>
          <w:rFonts w:ascii="Times New Roman" w:hAnsi="Times New Roman" w:cs="Times New Roman"/>
          <w:sz w:val="22"/>
          <w:szCs w:val="22"/>
        </w:rPr>
        <w:t>53</w:t>
      </w:r>
      <w:r w:rsidRPr="000118A3">
        <w:rPr>
          <w:rFonts w:ascii="Times New Roman" w:hAnsi="Times New Roman" w:cs="Times New Roman"/>
          <w:sz w:val="22"/>
          <w:szCs w:val="22"/>
        </w:rPr>
        <w:t xml:space="preserve">) </w:t>
      </w:r>
    </w:p>
    <w:p w14:paraId="7E6BBFB2" w14:textId="77777777" w:rsidR="00E0141C" w:rsidRPr="000118A3" w:rsidRDefault="00E0141C" w:rsidP="000B4226">
      <w:pPr>
        <w:pStyle w:val="ListParagraph"/>
        <w:ind w:left="440"/>
        <w:jc w:val="both"/>
        <w:rPr>
          <w:rFonts w:ascii="Times New Roman" w:hAnsi="Times New Roman" w:cs="Times New Roman"/>
          <w:sz w:val="22"/>
          <w:szCs w:val="22"/>
        </w:rPr>
      </w:pPr>
    </w:p>
    <w:p w14:paraId="06A61C02" w14:textId="77777777" w:rsidR="00E0141C" w:rsidRPr="000118A3" w:rsidRDefault="00E0141C" w:rsidP="00E0141C">
      <w:pPr>
        <w:pStyle w:val="ListParagraph"/>
        <w:ind w:left="440"/>
        <w:jc w:val="both"/>
        <w:rPr>
          <w:rFonts w:ascii="Times New Roman" w:hAnsi="Times New Roman" w:cs="Times New Roman"/>
          <w:sz w:val="22"/>
          <w:szCs w:val="22"/>
        </w:rPr>
      </w:pPr>
      <w:r w:rsidRPr="000118A3">
        <w:rPr>
          <w:rFonts w:ascii="Times New Roman" w:hAnsi="Times New Roman" w:cs="Times New Roman"/>
          <w:noProof/>
          <w:sz w:val="22"/>
          <w:szCs w:val="22"/>
        </w:rPr>
        <w:lastRenderedPageBreak/>
        <w:drawing>
          <wp:inline distT="0" distB="0" distL="0" distR="0" wp14:anchorId="6ADDF346" wp14:editId="5FCAC5D4">
            <wp:extent cx="5943600" cy="2522855"/>
            <wp:effectExtent l="0" t="0" r="0" b="0"/>
            <wp:docPr id="1068504198" name="Chart 1">
              <a:extLst xmlns:a="http://schemas.openxmlformats.org/drawingml/2006/main">
                <a:ext uri="{FF2B5EF4-FFF2-40B4-BE49-F238E27FC236}">
                  <a16:creationId xmlns:a16="http://schemas.microsoft.com/office/drawing/2014/main" id="{2FC8CFE6-8F07-A96C-6AA8-922195FFA5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14:paraId="4E548D45" w14:textId="77777777" w:rsidR="00E0141C" w:rsidRPr="000B4226" w:rsidRDefault="00E0141C" w:rsidP="00E0141C">
      <w:pPr>
        <w:pStyle w:val="ListParagraph"/>
        <w:ind w:left="442"/>
        <w:rPr>
          <w:rFonts w:ascii="Times New Roman" w:hAnsi="Times New Roman" w:cs="Times New Roman"/>
          <w:i/>
          <w:iCs/>
          <w:sz w:val="20"/>
          <w:szCs w:val="20"/>
          <w:lang w:val="en-ID"/>
        </w:rPr>
      </w:pPr>
      <w:bookmarkStart w:id="169" w:name="_Ref215256680"/>
      <w:bookmarkStart w:id="170" w:name="_Toc212801514"/>
      <w:r w:rsidRPr="000B4226">
        <w:rPr>
          <w:rFonts w:ascii="Times New Roman" w:hAnsi="Times New Roman" w:cs="Times New Roman"/>
          <w:i/>
          <w:iCs/>
          <w:sz w:val="20"/>
          <w:szCs w:val="20"/>
          <w:lang w:val="en-ID"/>
        </w:rPr>
        <w:t>Source: BPS-Statistics Indonesia, 2020 and BPS-Statistics Indonesia, 2024</w:t>
      </w:r>
    </w:p>
    <w:p w14:paraId="75EE342D" w14:textId="77777777" w:rsidR="00E0141C" w:rsidRPr="000118A3" w:rsidRDefault="00E0141C" w:rsidP="00E0141C">
      <w:pPr>
        <w:pStyle w:val="Caption"/>
        <w:spacing w:after="0"/>
        <w:ind w:left="442"/>
        <w:rPr>
          <w:rFonts w:ascii="Times New Roman" w:hAnsi="Times New Roman" w:cs="Times New Roman"/>
          <w:color w:val="0070C0"/>
          <w:sz w:val="22"/>
          <w:szCs w:val="22"/>
        </w:rPr>
      </w:pPr>
    </w:p>
    <w:p w14:paraId="173241B5" w14:textId="6784DE68" w:rsidR="00E0141C" w:rsidRPr="00612A70" w:rsidRDefault="00612A70" w:rsidP="00612A70">
      <w:pPr>
        <w:pStyle w:val="Caption"/>
        <w:jc w:val="center"/>
        <w:rPr>
          <w:rFonts w:ascii="Times New Roman" w:hAnsi="Times New Roman" w:cs="Times New Roman"/>
          <w:i w:val="0"/>
          <w:iCs w:val="0"/>
          <w:color w:val="000000" w:themeColor="text1"/>
          <w:sz w:val="22"/>
          <w:szCs w:val="22"/>
          <w:lang w:val="en-ID"/>
        </w:rPr>
      </w:pPr>
      <w:bookmarkStart w:id="171" w:name="_Toc217297640"/>
      <w:bookmarkEnd w:id="169"/>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53</w:t>
      </w:r>
      <w:r w:rsidRPr="00612A70">
        <w:rPr>
          <w:rFonts w:ascii="Times New Roman" w:hAnsi="Times New Roman" w:cs="Times New Roman"/>
          <w:i w:val="0"/>
          <w:iCs w:val="0"/>
          <w:color w:val="000000" w:themeColor="text1"/>
          <w:sz w:val="22"/>
          <w:szCs w:val="22"/>
        </w:rPr>
        <w:fldChar w:fldCharType="end"/>
      </w:r>
      <w:r w:rsidR="00600CEE">
        <w:rPr>
          <w:rFonts w:ascii="Times New Roman" w:hAnsi="Times New Roman" w:cs="Times New Roman"/>
          <w:i w:val="0"/>
          <w:iCs w:val="0"/>
          <w:color w:val="000000" w:themeColor="text1"/>
          <w:sz w:val="22"/>
          <w:szCs w:val="22"/>
        </w:rPr>
        <w:t xml:space="preserve"> </w:t>
      </w:r>
      <w:r w:rsidR="00E0141C" w:rsidRPr="00612A70">
        <w:rPr>
          <w:rFonts w:ascii="Times New Roman" w:hAnsi="Times New Roman" w:cs="Times New Roman"/>
          <w:i w:val="0"/>
          <w:iCs w:val="0"/>
          <w:color w:val="000000" w:themeColor="text1"/>
          <w:sz w:val="22"/>
          <w:szCs w:val="22"/>
          <w:lang w:val="en-ID"/>
        </w:rPr>
        <w:t>The Economic Growth of Indonesia 2016-2023</w:t>
      </w:r>
      <w:bookmarkEnd w:id="170"/>
      <w:bookmarkEnd w:id="171"/>
    </w:p>
    <w:p w14:paraId="345C25AD" w14:textId="77777777" w:rsidR="00E0141C" w:rsidRPr="000118A3" w:rsidRDefault="00E0141C" w:rsidP="00E0141C">
      <w:pPr>
        <w:pStyle w:val="ListParagraph"/>
        <w:ind w:left="440"/>
        <w:rPr>
          <w:rFonts w:ascii="Times New Roman" w:hAnsi="Times New Roman" w:cs="Times New Roman"/>
          <w:sz w:val="22"/>
          <w:szCs w:val="22"/>
          <w:lang w:val="en-ID"/>
        </w:rPr>
      </w:pPr>
    </w:p>
    <w:p w14:paraId="4E1E2EEB" w14:textId="3C8E1C2A" w:rsidR="00E0141C" w:rsidRPr="000118A3" w:rsidRDefault="00E0141C" w:rsidP="00E0141C">
      <w:pPr>
        <w:pStyle w:val="ListParagraph"/>
        <w:ind w:left="440"/>
        <w:jc w:val="both"/>
        <w:rPr>
          <w:rFonts w:ascii="Times New Roman" w:hAnsi="Times New Roman" w:cs="Times New Roman"/>
          <w:sz w:val="22"/>
          <w:szCs w:val="22"/>
        </w:rPr>
      </w:pPr>
      <w:r w:rsidRPr="000118A3">
        <w:rPr>
          <w:rFonts w:ascii="Times New Roman" w:hAnsi="Times New Roman" w:cs="Times New Roman"/>
          <w:sz w:val="22"/>
          <w:szCs w:val="22"/>
        </w:rPr>
        <w:t xml:space="preserve">Indonesia’s poverty rate as of March 2023 was 9.36%, slightly decreasing to 9.03% in March 2024, with around 7.3% in urban and 12.2% in rural areas. Extreme poverty (those living on less than USD 2.15 per day) is much lower, at approximately 2% of the population. Poverty rate of each mainland Indonesia is in Figure </w:t>
      </w:r>
      <w:r w:rsidR="003E2C66">
        <w:rPr>
          <w:rFonts w:ascii="Times New Roman" w:hAnsi="Times New Roman" w:cs="Times New Roman"/>
          <w:sz w:val="22"/>
          <w:szCs w:val="22"/>
        </w:rPr>
        <w:t>54</w:t>
      </w:r>
      <w:r w:rsidRPr="000118A3">
        <w:rPr>
          <w:rFonts w:ascii="Times New Roman" w:hAnsi="Times New Roman" w:cs="Times New Roman"/>
          <w:sz w:val="22"/>
          <w:szCs w:val="22"/>
        </w:rPr>
        <w:t>.</w:t>
      </w:r>
    </w:p>
    <w:p w14:paraId="76FADBBD" w14:textId="77777777" w:rsidR="00E0141C" w:rsidRPr="000118A3" w:rsidRDefault="00E0141C" w:rsidP="00E0141C">
      <w:pPr>
        <w:pStyle w:val="ListParagraph"/>
        <w:ind w:left="440"/>
        <w:jc w:val="both"/>
        <w:rPr>
          <w:rFonts w:ascii="Times New Roman" w:hAnsi="Times New Roman" w:cs="Times New Roman"/>
          <w:sz w:val="22"/>
          <w:szCs w:val="22"/>
        </w:rPr>
      </w:pPr>
    </w:p>
    <w:p w14:paraId="10CCD0DB" w14:textId="77777777" w:rsidR="00E0141C" w:rsidRPr="000118A3" w:rsidRDefault="00E0141C" w:rsidP="00E0141C">
      <w:pPr>
        <w:pStyle w:val="ListParagraph"/>
        <w:ind w:left="440"/>
        <w:jc w:val="both"/>
        <w:rPr>
          <w:rFonts w:ascii="Times New Roman" w:hAnsi="Times New Roman" w:cs="Times New Roman"/>
          <w:sz w:val="22"/>
          <w:szCs w:val="22"/>
        </w:rPr>
      </w:pPr>
      <w:r w:rsidRPr="000118A3">
        <w:rPr>
          <w:rFonts w:ascii="Times New Roman" w:hAnsi="Times New Roman" w:cs="Times New Roman"/>
          <w:noProof/>
          <w:sz w:val="22"/>
          <w:szCs w:val="22"/>
        </w:rPr>
        <w:drawing>
          <wp:inline distT="0" distB="0" distL="0" distR="0" wp14:anchorId="01144A89" wp14:editId="027C0832">
            <wp:extent cx="5943600" cy="3277870"/>
            <wp:effectExtent l="0" t="0" r="0" b="0"/>
            <wp:docPr id="1208455704" name="Picture 1" descr="A graph showing the number of countries/regions in the worl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455704" name="Picture 1" descr="A graph showing the number of countries/regions in the world&#10;&#10;AI-generated content may be incorrect."/>
                    <pic:cNvPicPr/>
                  </pic:nvPicPr>
                  <pic:blipFill>
                    <a:blip r:embed="rId114"/>
                    <a:stretch>
                      <a:fillRect/>
                    </a:stretch>
                  </pic:blipFill>
                  <pic:spPr>
                    <a:xfrm>
                      <a:off x="0" y="0"/>
                      <a:ext cx="5943600" cy="3277870"/>
                    </a:xfrm>
                    <a:prstGeom prst="rect">
                      <a:avLst/>
                    </a:prstGeom>
                  </pic:spPr>
                </pic:pic>
              </a:graphicData>
            </a:graphic>
          </wp:inline>
        </w:drawing>
      </w:r>
    </w:p>
    <w:p w14:paraId="1C752A51" w14:textId="77777777" w:rsidR="00E0141C" w:rsidRPr="000118A3" w:rsidRDefault="00E0141C" w:rsidP="00E0141C">
      <w:pPr>
        <w:pStyle w:val="ListParagraph"/>
        <w:ind w:left="440"/>
        <w:jc w:val="both"/>
        <w:rPr>
          <w:rFonts w:ascii="Times New Roman" w:hAnsi="Times New Roman" w:cs="Times New Roman"/>
          <w:sz w:val="22"/>
          <w:szCs w:val="22"/>
        </w:rPr>
      </w:pPr>
    </w:p>
    <w:p w14:paraId="55E52736" w14:textId="77777777" w:rsidR="00E0141C" w:rsidRPr="000118A3" w:rsidRDefault="00E0141C" w:rsidP="00612A70">
      <w:pPr>
        <w:pStyle w:val="ListParagraph"/>
        <w:ind w:left="440"/>
        <w:jc w:val="center"/>
        <w:rPr>
          <w:rFonts w:ascii="Times New Roman" w:hAnsi="Times New Roman" w:cs="Times New Roman"/>
          <w:i/>
          <w:iCs/>
          <w:sz w:val="22"/>
          <w:szCs w:val="22"/>
        </w:rPr>
      </w:pPr>
      <w:r w:rsidRPr="000118A3">
        <w:rPr>
          <w:rFonts w:ascii="Times New Roman" w:hAnsi="Times New Roman" w:cs="Times New Roman"/>
          <w:i/>
          <w:iCs/>
          <w:sz w:val="22"/>
          <w:szCs w:val="22"/>
        </w:rPr>
        <w:t>Source: official statistics news, No.47/07/th xxvi, 17 Juli 2023</w:t>
      </w:r>
    </w:p>
    <w:p w14:paraId="531E2EE3" w14:textId="4B075BA1" w:rsidR="00E0141C" w:rsidRPr="00612A70" w:rsidRDefault="00612A70" w:rsidP="00612A70">
      <w:pPr>
        <w:pStyle w:val="Caption"/>
        <w:jc w:val="center"/>
        <w:rPr>
          <w:rFonts w:ascii="Times New Roman" w:hAnsi="Times New Roman" w:cs="Times New Roman"/>
          <w:i w:val="0"/>
          <w:iCs w:val="0"/>
          <w:color w:val="000000" w:themeColor="text1"/>
          <w:sz w:val="22"/>
          <w:szCs w:val="22"/>
        </w:rPr>
      </w:pPr>
      <w:bookmarkStart w:id="172" w:name="_Toc217297641"/>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54</w:t>
      </w:r>
      <w:r w:rsidRPr="00612A70">
        <w:rPr>
          <w:rFonts w:ascii="Times New Roman" w:hAnsi="Times New Roman" w:cs="Times New Roman"/>
          <w:i w:val="0"/>
          <w:iCs w:val="0"/>
          <w:color w:val="000000" w:themeColor="text1"/>
          <w:sz w:val="22"/>
          <w:szCs w:val="22"/>
        </w:rPr>
        <w:fldChar w:fldCharType="end"/>
      </w:r>
      <w:r w:rsidR="00E0141C" w:rsidRPr="00612A70">
        <w:rPr>
          <w:rFonts w:ascii="Times New Roman" w:hAnsi="Times New Roman" w:cs="Times New Roman"/>
          <w:i w:val="0"/>
          <w:iCs w:val="0"/>
          <w:color w:val="000000" w:themeColor="text1"/>
          <w:sz w:val="22"/>
          <w:szCs w:val="22"/>
        </w:rPr>
        <w:t xml:space="preserve"> </w:t>
      </w:r>
      <w:r w:rsidR="00E0141C" w:rsidRPr="00612A70">
        <w:rPr>
          <w:rFonts w:ascii="Times New Roman" w:hAnsi="Times New Roman" w:cs="Times New Roman"/>
          <w:i w:val="0"/>
          <w:iCs w:val="0"/>
          <w:color w:val="000000" w:themeColor="text1"/>
          <w:sz w:val="22"/>
          <w:szCs w:val="22"/>
          <w:lang w:val="en-ID"/>
        </w:rPr>
        <w:t>Number (Million people) and Percentage of Poor Population by Island, March 2023</w:t>
      </w:r>
      <w:bookmarkEnd w:id="172"/>
    </w:p>
    <w:p w14:paraId="47F9A65D" w14:textId="77777777" w:rsidR="00E0141C" w:rsidRPr="000118A3" w:rsidRDefault="00E0141C" w:rsidP="00E0141C">
      <w:pPr>
        <w:pStyle w:val="ListParagraph"/>
        <w:ind w:left="440"/>
        <w:jc w:val="both"/>
        <w:rPr>
          <w:rFonts w:ascii="Times New Roman" w:hAnsi="Times New Roman" w:cs="Times New Roman"/>
          <w:sz w:val="22"/>
          <w:szCs w:val="22"/>
        </w:rPr>
      </w:pPr>
    </w:p>
    <w:p w14:paraId="4F7006D7" w14:textId="012B9D55" w:rsidR="00E0141C" w:rsidRPr="000118A3" w:rsidRDefault="00E0141C" w:rsidP="00E0141C">
      <w:pPr>
        <w:pStyle w:val="ListParagraph"/>
        <w:ind w:left="440"/>
        <w:jc w:val="both"/>
        <w:rPr>
          <w:rFonts w:ascii="Times New Roman" w:hAnsi="Times New Roman" w:cs="Times New Roman"/>
          <w:sz w:val="22"/>
          <w:szCs w:val="22"/>
          <w:lang w:val="en-ID"/>
        </w:rPr>
      </w:pPr>
      <w:r w:rsidRPr="000118A3">
        <w:rPr>
          <w:rFonts w:ascii="Times New Roman" w:hAnsi="Times New Roman" w:cs="Times New Roman"/>
          <w:sz w:val="22"/>
          <w:szCs w:val="22"/>
          <w:lang w:val="en-ID"/>
        </w:rPr>
        <w:t xml:space="preserve">Inflation during the 2020–2024 period fluctuated, with vary monthly inflation movements.  The highest inflation occurred between the second quarter of 2022 and the second quarter of 2023, peaking in </w:t>
      </w:r>
      <w:r w:rsidRPr="000118A3">
        <w:rPr>
          <w:rFonts w:ascii="Times New Roman" w:hAnsi="Times New Roman" w:cs="Times New Roman"/>
          <w:sz w:val="22"/>
          <w:szCs w:val="22"/>
          <w:lang w:val="en-ID"/>
        </w:rPr>
        <w:lastRenderedPageBreak/>
        <w:t xml:space="preserve">September 2022. Thereafter, inflation began to decline, reaching its lowest point in February 2025 at 0.09% (see </w:t>
      </w:r>
      <w:r w:rsidR="00600CEE">
        <w:rPr>
          <w:rFonts w:ascii="Times New Roman" w:hAnsi="Times New Roman" w:cs="Times New Roman"/>
          <w:sz w:val="22"/>
          <w:szCs w:val="22"/>
          <w:lang w:val="en-ID"/>
        </w:rPr>
        <w:t>Appendix</w:t>
      </w:r>
      <w:r w:rsidRPr="000118A3">
        <w:rPr>
          <w:rFonts w:ascii="Times New Roman" w:hAnsi="Times New Roman" w:cs="Times New Roman"/>
          <w:sz w:val="22"/>
          <w:szCs w:val="22"/>
          <w:lang w:val="en-ID"/>
        </w:rPr>
        <w:t xml:space="preserve"> </w:t>
      </w:r>
      <w:r w:rsidR="00295B8A">
        <w:rPr>
          <w:rFonts w:ascii="Times New Roman" w:hAnsi="Times New Roman" w:cs="Times New Roman"/>
          <w:sz w:val="22"/>
          <w:szCs w:val="22"/>
          <w:lang w:val="en-ID"/>
        </w:rPr>
        <w:t>6.</w:t>
      </w:r>
      <w:r w:rsidRPr="000118A3">
        <w:rPr>
          <w:rFonts w:ascii="Times New Roman" w:hAnsi="Times New Roman" w:cs="Times New Roman"/>
          <w:sz w:val="22"/>
          <w:szCs w:val="22"/>
          <w:lang w:val="en-ID"/>
        </w:rPr>
        <w:t xml:space="preserve">2) </w:t>
      </w:r>
    </w:p>
    <w:p w14:paraId="17C343C5" w14:textId="77777777" w:rsidR="00E0141C" w:rsidRPr="000118A3" w:rsidRDefault="00E0141C" w:rsidP="00E0141C">
      <w:pPr>
        <w:pStyle w:val="ListParagraph"/>
        <w:ind w:left="440"/>
        <w:jc w:val="both"/>
        <w:rPr>
          <w:rFonts w:ascii="Times New Roman" w:hAnsi="Times New Roman" w:cs="Times New Roman"/>
          <w:sz w:val="22"/>
          <w:szCs w:val="22"/>
        </w:rPr>
      </w:pPr>
    </w:p>
    <w:p w14:paraId="390B91FE" w14:textId="77777777" w:rsidR="00E0141C" w:rsidRPr="000B4226" w:rsidRDefault="00E0141C" w:rsidP="00E0141C">
      <w:pPr>
        <w:pStyle w:val="ListParagraph"/>
        <w:ind w:left="440"/>
        <w:rPr>
          <w:rFonts w:ascii="Times New Roman" w:hAnsi="Times New Roman" w:cs="Times New Roman"/>
          <w:b/>
          <w:bCs/>
          <w:i/>
          <w:iCs/>
          <w:sz w:val="22"/>
          <w:szCs w:val="22"/>
          <w:lang w:val="en-ID"/>
        </w:rPr>
      </w:pPr>
      <w:r w:rsidRPr="000B4226">
        <w:rPr>
          <w:rFonts w:ascii="Times New Roman" w:hAnsi="Times New Roman" w:cs="Times New Roman"/>
          <w:b/>
          <w:bCs/>
          <w:i/>
          <w:iCs/>
          <w:sz w:val="22"/>
          <w:szCs w:val="22"/>
          <w:lang w:val="en-ID"/>
        </w:rPr>
        <w:t xml:space="preserve">Maritime GDP </w:t>
      </w:r>
    </w:p>
    <w:p w14:paraId="0BEC844F" w14:textId="7B5EA6E2" w:rsidR="00E0141C" w:rsidRPr="000118A3" w:rsidRDefault="00E0141C" w:rsidP="000B4226">
      <w:pPr>
        <w:pStyle w:val="ListParagraph"/>
        <w:spacing w:before="120"/>
        <w:ind w:left="442"/>
        <w:contextualSpacing w:val="0"/>
        <w:jc w:val="both"/>
        <w:rPr>
          <w:rFonts w:ascii="Times New Roman" w:hAnsi="Times New Roman" w:cs="Times New Roman"/>
          <w:sz w:val="22"/>
          <w:szCs w:val="22"/>
        </w:rPr>
      </w:pPr>
      <w:r w:rsidRPr="000118A3">
        <w:rPr>
          <w:rFonts w:ascii="Times New Roman" w:hAnsi="Times New Roman" w:cs="Times New Roman"/>
          <w:sz w:val="22"/>
          <w:szCs w:val="22"/>
        </w:rPr>
        <w:t>The contribution of the maritime sector’s GDP to Indonesia’s total GDP averaged 7.93% during the 2020–2024 period. Prior to the COVID-19 pandemic, the maritime sector’s contribution reached 8.14%. However, to date, in the post-COVID-19 period, the maritime sector’s GDP contribution has not yet returned to the 8% level (</w:t>
      </w:r>
      <w:r w:rsidR="00600CEE">
        <w:rPr>
          <w:rFonts w:ascii="Times New Roman" w:hAnsi="Times New Roman" w:cs="Times New Roman"/>
          <w:sz w:val="22"/>
          <w:szCs w:val="22"/>
        </w:rPr>
        <w:t>Appendix</w:t>
      </w:r>
      <w:r w:rsidRPr="000118A3">
        <w:rPr>
          <w:rFonts w:ascii="Times New Roman" w:hAnsi="Times New Roman" w:cs="Times New Roman"/>
          <w:sz w:val="22"/>
          <w:szCs w:val="22"/>
        </w:rPr>
        <w:t xml:space="preserve"> </w:t>
      </w:r>
      <w:r w:rsidR="00295B8A">
        <w:rPr>
          <w:rFonts w:ascii="Times New Roman" w:hAnsi="Times New Roman" w:cs="Times New Roman"/>
          <w:sz w:val="22"/>
          <w:szCs w:val="22"/>
        </w:rPr>
        <w:t>6.</w:t>
      </w:r>
      <w:r w:rsidRPr="000118A3">
        <w:rPr>
          <w:rFonts w:ascii="Times New Roman" w:hAnsi="Times New Roman" w:cs="Times New Roman"/>
          <w:sz w:val="22"/>
          <w:szCs w:val="22"/>
        </w:rPr>
        <w:t xml:space="preserve">3).  </w:t>
      </w:r>
    </w:p>
    <w:p w14:paraId="0EC0C917" w14:textId="32DB3C7E" w:rsidR="00E0141C" w:rsidRPr="000118A3" w:rsidRDefault="00E0141C" w:rsidP="000B4226">
      <w:pPr>
        <w:pStyle w:val="ListParagraph"/>
        <w:spacing w:before="120"/>
        <w:ind w:left="442"/>
        <w:contextualSpacing w:val="0"/>
        <w:jc w:val="both"/>
        <w:rPr>
          <w:rFonts w:ascii="Times New Roman" w:hAnsi="Times New Roman" w:cs="Times New Roman"/>
          <w:sz w:val="22"/>
          <w:szCs w:val="22"/>
        </w:rPr>
      </w:pPr>
      <w:r w:rsidRPr="000118A3">
        <w:rPr>
          <w:rFonts w:ascii="Times New Roman" w:hAnsi="Times New Roman" w:cs="Times New Roman"/>
          <w:sz w:val="22"/>
          <w:szCs w:val="22"/>
        </w:rPr>
        <w:t>In line with national GDP, the current price maritime GDP contracted more sharply than the national GDP in 2020 before returning to growth in the following years (</w:t>
      </w:r>
      <w:r w:rsidR="00612A70">
        <w:rPr>
          <w:rFonts w:ascii="Times New Roman" w:hAnsi="Times New Roman" w:cs="Times New Roman"/>
          <w:sz w:val="22"/>
          <w:szCs w:val="22"/>
        </w:rPr>
        <w:t>Figur</w:t>
      </w:r>
      <w:r w:rsidR="003E2C66">
        <w:rPr>
          <w:rFonts w:ascii="Times New Roman" w:hAnsi="Times New Roman" w:cs="Times New Roman"/>
          <w:sz w:val="22"/>
          <w:szCs w:val="22"/>
        </w:rPr>
        <w:t>e</w:t>
      </w:r>
      <w:r w:rsidR="00612A70">
        <w:rPr>
          <w:rFonts w:ascii="Times New Roman" w:hAnsi="Times New Roman" w:cs="Times New Roman"/>
          <w:sz w:val="22"/>
          <w:szCs w:val="22"/>
        </w:rPr>
        <w:t xml:space="preserve"> 55</w:t>
      </w:r>
      <w:r w:rsidRPr="000118A3">
        <w:rPr>
          <w:rFonts w:ascii="Times New Roman" w:hAnsi="Times New Roman" w:cs="Times New Roman"/>
          <w:sz w:val="22"/>
          <w:szCs w:val="22"/>
        </w:rPr>
        <w:t xml:space="preserve">). Of the 11 sectors within Maritime GDP, the five main contributors are Aquaculture and Marine Capture, Ocean Energy Resources, Other Maritime-related Industries, Maritime Transportation and Related Services, and Seaborne Trade. </w:t>
      </w:r>
    </w:p>
    <w:p w14:paraId="67BA3A11" w14:textId="7F8A5FE0" w:rsidR="00E0141C" w:rsidRPr="000118A3" w:rsidRDefault="00E0141C" w:rsidP="007B1305">
      <w:pPr>
        <w:rPr>
          <w:rFonts w:ascii="Times New Roman" w:hAnsi="Times New Roman" w:cs="Times New Roman"/>
          <w:sz w:val="22"/>
          <w:szCs w:val="22"/>
          <w:lang w:val="en-ID"/>
        </w:rPr>
      </w:pPr>
      <w:r w:rsidRPr="000118A3">
        <w:rPr>
          <w:rFonts w:ascii="Times New Roman" w:hAnsi="Times New Roman" w:cs="Times New Roman"/>
          <w:noProof/>
          <w:sz w:val="22"/>
          <w:szCs w:val="22"/>
        </w:rPr>
        <w:drawing>
          <wp:anchor distT="0" distB="0" distL="114300" distR="114300" simplePos="0" relativeHeight="251670528" behindDoc="1" locked="0" layoutInCell="1" allowOverlap="1" wp14:anchorId="6B530FE6" wp14:editId="00C31342">
            <wp:simplePos x="0" y="0"/>
            <wp:positionH relativeFrom="column">
              <wp:posOffset>727983</wp:posOffset>
            </wp:positionH>
            <wp:positionV relativeFrom="paragraph">
              <wp:posOffset>104140</wp:posOffset>
            </wp:positionV>
            <wp:extent cx="4908156" cy="2550722"/>
            <wp:effectExtent l="0" t="0" r="6985" b="2540"/>
            <wp:wrapNone/>
            <wp:docPr id="382753742" name="Picture 6"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753742" name="Picture 6" descr="A graph with numbers and lines&#10;&#10;AI-generated content may be incorrect."/>
                    <pic:cNvPicPr>
                      <a:picLocks noChangeAspect="1" noChangeArrowheads="1"/>
                    </pic:cNvPicPr>
                  </pic:nvPicPr>
                  <pic:blipFill rotWithShape="1">
                    <a:blip r:embed="rId115">
                      <a:extLst>
                        <a:ext uri="{28A0092B-C50C-407E-A947-70E740481C1C}">
                          <a14:useLocalDpi xmlns:a14="http://schemas.microsoft.com/office/drawing/2010/main" val="0"/>
                        </a:ext>
                      </a:extLst>
                    </a:blip>
                    <a:srcRect t="6410" r="2778" b="18519"/>
                    <a:stretch>
                      <a:fillRect/>
                    </a:stretch>
                  </pic:blipFill>
                  <pic:spPr bwMode="auto">
                    <a:xfrm>
                      <a:off x="0" y="0"/>
                      <a:ext cx="4908156" cy="255072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E5299CE" w14:textId="77777777" w:rsidR="00E0141C" w:rsidRPr="000118A3" w:rsidRDefault="00E0141C" w:rsidP="007B1305">
      <w:pPr>
        <w:pStyle w:val="ListParagraph"/>
        <w:ind w:left="440"/>
        <w:rPr>
          <w:rFonts w:ascii="Times New Roman" w:hAnsi="Times New Roman" w:cs="Times New Roman"/>
          <w:sz w:val="22"/>
          <w:szCs w:val="22"/>
          <w:lang w:val="en-ID"/>
        </w:rPr>
      </w:pPr>
    </w:p>
    <w:p w14:paraId="71E368CC" w14:textId="77777777" w:rsidR="00E0141C" w:rsidRPr="000118A3" w:rsidRDefault="00E0141C" w:rsidP="007B1305">
      <w:pPr>
        <w:pStyle w:val="ListParagraph"/>
        <w:ind w:left="440"/>
        <w:rPr>
          <w:rFonts w:ascii="Times New Roman" w:hAnsi="Times New Roman" w:cs="Times New Roman"/>
          <w:sz w:val="22"/>
          <w:szCs w:val="22"/>
          <w:lang w:val="en-ID"/>
        </w:rPr>
      </w:pPr>
    </w:p>
    <w:p w14:paraId="3C3848C7" w14:textId="77777777" w:rsidR="00E0141C" w:rsidRPr="000118A3" w:rsidRDefault="00E0141C" w:rsidP="007B1305">
      <w:pPr>
        <w:pStyle w:val="ListParagraph"/>
        <w:ind w:left="440"/>
        <w:rPr>
          <w:rFonts w:ascii="Times New Roman" w:hAnsi="Times New Roman" w:cs="Times New Roman"/>
          <w:sz w:val="22"/>
          <w:szCs w:val="22"/>
          <w:lang w:val="en-ID"/>
        </w:rPr>
      </w:pPr>
    </w:p>
    <w:p w14:paraId="564CDF12" w14:textId="77777777" w:rsidR="00E0141C" w:rsidRPr="000118A3" w:rsidRDefault="00E0141C" w:rsidP="007B1305">
      <w:pPr>
        <w:pStyle w:val="ListParagraph"/>
        <w:ind w:left="440"/>
        <w:rPr>
          <w:rFonts w:ascii="Times New Roman" w:hAnsi="Times New Roman" w:cs="Times New Roman"/>
          <w:sz w:val="22"/>
          <w:szCs w:val="22"/>
          <w:lang w:val="en-ID"/>
        </w:rPr>
      </w:pPr>
    </w:p>
    <w:p w14:paraId="5E169B24" w14:textId="77777777" w:rsidR="00E0141C" w:rsidRPr="000118A3" w:rsidRDefault="00E0141C" w:rsidP="007B1305">
      <w:pPr>
        <w:pStyle w:val="ListParagraph"/>
        <w:ind w:left="440"/>
        <w:rPr>
          <w:rFonts w:ascii="Times New Roman" w:hAnsi="Times New Roman" w:cs="Times New Roman"/>
          <w:sz w:val="22"/>
          <w:szCs w:val="22"/>
          <w:lang w:val="en-ID"/>
        </w:rPr>
      </w:pPr>
    </w:p>
    <w:p w14:paraId="244A999C" w14:textId="77777777" w:rsidR="00E0141C" w:rsidRPr="000118A3" w:rsidRDefault="00E0141C" w:rsidP="007B1305">
      <w:pPr>
        <w:pStyle w:val="ListParagraph"/>
        <w:ind w:left="440"/>
        <w:rPr>
          <w:rFonts w:ascii="Times New Roman" w:hAnsi="Times New Roman" w:cs="Times New Roman"/>
          <w:sz w:val="22"/>
          <w:szCs w:val="22"/>
          <w:lang w:val="en-ID"/>
        </w:rPr>
      </w:pPr>
    </w:p>
    <w:p w14:paraId="5CF3ADDE" w14:textId="77777777" w:rsidR="00E0141C" w:rsidRPr="000118A3" w:rsidRDefault="00E0141C" w:rsidP="007B1305">
      <w:pPr>
        <w:pStyle w:val="ListParagraph"/>
        <w:ind w:left="440"/>
        <w:rPr>
          <w:rFonts w:ascii="Times New Roman" w:hAnsi="Times New Roman" w:cs="Times New Roman"/>
          <w:sz w:val="22"/>
          <w:szCs w:val="22"/>
          <w:lang w:val="en-ID"/>
        </w:rPr>
      </w:pPr>
    </w:p>
    <w:p w14:paraId="0B620055" w14:textId="77777777" w:rsidR="00E0141C" w:rsidRPr="000118A3" w:rsidRDefault="00E0141C" w:rsidP="007B1305">
      <w:pPr>
        <w:pStyle w:val="ListParagraph"/>
        <w:ind w:left="440"/>
        <w:rPr>
          <w:rFonts w:ascii="Times New Roman" w:hAnsi="Times New Roman" w:cs="Times New Roman"/>
          <w:sz w:val="22"/>
          <w:szCs w:val="22"/>
          <w:lang w:val="en-ID"/>
        </w:rPr>
      </w:pPr>
    </w:p>
    <w:p w14:paraId="36AA1D99" w14:textId="77777777" w:rsidR="007B1305" w:rsidRPr="000118A3" w:rsidRDefault="007B1305" w:rsidP="007B1305">
      <w:pPr>
        <w:pStyle w:val="ListParagraph"/>
        <w:ind w:left="440"/>
        <w:rPr>
          <w:rFonts w:ascii="Times New Roman" w:hAnsi="Times New Roman" w:cs="Times New Roman"/>
          <w:sz w:val="22"/>
          <w:szCs w:val="22"/>
        </w:rPr>
      </w:pPr>
    </w:p>
    <w:p w14:paraId="68F13B53" w14:textId="77777777" w:rsidR="007B1305" w:rsidRPr="000118A3" w:rsidRDefault="007B1305" w:rsidP="007B1305">
      <w:pPr>
        <w:pStyle w:val="ListParagraph"/>
        <w:ind w:left="440"/>
        <w:rPr>
          <w:rFonts w:ascii="Times New Roman" w:hAnsi="Times New Roman" w:cs="Times New Roman"/>
          <w:sz w:val="22"/>
          <w:szCs w:val="22"/>
        </w:rPr>
      </w:pPr>
    </w:p>
    <w:p w14:paraId="38766B34" w14:textId="77777777" w:rsidR="007B1305" w:rsidRPr="000118A3" w:rsidRDefault="007B1305" w:rsidP="007B1305">
      <w:pPr>
        <w:pStyle w:val="ListParagraph"/>
        <w:ind w:left="440"/>
        <w:rPr>
          <w:rFonts w:ascii="Times New Roman" w:hAnsi="Times New Roman" w:cs="Times New Roman"/>
          <w:sz w:val="22"/>
          <w:szCs w:val="22"/>
        </w:rPr>
      </w:pPr>
    </w:p>
    <w:p w14:paraId="177DFFAE" w14:textId="77777777" w:rsidR="007B1305" w:rsidRPr="000118A3" w:rsidRDefault="007B1305" w:rsidP="007B1305">
      <w:pPr>
        <w:pStyle w:val="ListParagraph"/>
        <w:ind w:left="440"/>
        <w:rPr>
          <w:rFonts w:ascii="Times New Roman" w:hAnsi="Times New Roman" w:cs="Times New Roman"/>
          <w:sz w:val="22"/>
          <w:szCs w:val="22"/>
        </w:rPr>
      </w:pPr>
    </w:p>
    <w:p w14:paraId="72C88B7C" w14:textId="77777777" w:rsidR="007B1305" w:rsidRPr="000118A3" w:rsidRDefault="007B1305" w:rsidP="007B1305">
      <w:pPr>
        <w:pStyle w:val="ListParagraph"/>
        <w:ind w:left="440"/>
        <w:rPr>
          <w:rFonts w:ascii="Times New Roman" w:hAnsi="Times New Roman" w:cs="Times New Roman"/>
          <w:sz w:val="22"/>
          <w:szCs w:val="22"/>
        </w:rPr>
      </w:pPr>
    </w:p>
    <w:p w14:paraId="0751BD8E" w14:textId="77777777" w:rsidR="007B1305" w:rsidRPr="000118A3" w:rsidRDefault="007B1305" w:rsidP="007B1305">
      <w:pPr>
        <w:pStyle w:val="ListParagraph"/>
        <w:ind w:left="440"/>
        <w:rPr>
          <w:rFonts w:ascii="Times New Roman" w:hAnsi="Times New Roman" w:cs="Times New Roman"/>
          <w:sz w:val="22"/>
          <w:szCs w:val="22"/>
        </w:rPr>
      </w:pPr>
    </w:p>
    <w:p w14:paraId="1BE9F0CA" w14:textId="77777777" w:rsidR="007B1305" w:rsidRPr="000118A3" w:rsidRDefault="007B1305" w:rsidP="007B1305">
      <w:pPr>
        <w:pStyle w:val="ListParagraph"/>
        <w:ind w:left="440"/>
        <w:rPr>
          <w:rFonts w:ascii="Times New Roman" w:hAnsi="Times New Roman" w:cs="Times New Roman"/>
          <w:sz w:val="22"/>
          <w:szCs w:val="22"/>
        </w:rPr>
      </w:pPr>
    </w:p>
    <w:p w14:paraId="0DB9179A" w14:textId="77777777" w:rsidR="007B1305" w:rsidRPr="000118A3" w:rsidRDefault="007B1305" w:rsidP="007B1305">
      <w:pPr>
        <w:pStyle w:val="ListParagraph"/>
        <w:ind w:left="440"/>
        <w:rPr>
          <w:rFonts w:ascii="Times New Roman" w:hAnsi="Times New Roman" w:cs="Times New Roman"/>
          <w:sz w:val="22"/>
          <w:szCs w:val="22"/>
        </w:rPr>
      </w:pPr>
    </w:p>
    <w:p w14:paraId="49B378D2" w14:textId="78C737EA" w:rsidR="00E0141C" w:rsidRPr="000118A3" w:rsidRDefault="00E0141C" w:rsidP="007B1305">
      <w:pPr>
        <w:pStyle w:val="ListParagraph"/>
        <w:ind w:left="440"/>
        <w:rPr>
          <w:rFonts w:ascii="Times New Roman" w:hAnsi="Times New Roman" w:cs="Times New Roman"/>
          <w:sz w:val="22"/>
          <w:szCs w:val="22"/>
        </w:rPr>
      </w:pPr>
      <w:r w:rsidRPr="000118A3">
        <w:rPr>
          <w:rFonts w:ascii="Times New Roman" w:hAnsi="Times New Roman" w:cs="Times New Roman"/>
          <w:sz w:val="22"/>
          <w:szCs w:val="22"/>
        </w:rPr>
        <w:t xml:space="preserve">Source: </w:t>
      </w:r>
      <w:r w:rsidRPr="000118A3">
        <w:rPr>
          <w:rFonts w:ascii="Times New Roman" w:hAnsi="Times New Roman" w:cs="Times New Roman"/>
          <w:sz w:val="22"/>
          <w:szCs w:val="22"/>
          <w:lang w:val="en-ID"/>
        </w:rPr>
        <w:t>Statistic Indonesia (BPS) and Coordinating Ministry of Marine Affair and Investment, 2024</w:t>
      </w:r>
      <w:r w:rsidRPr="000118A3">
        <w:rPr>
          <w:rFonts w:ascii="Times New Roman" w:hAnsi="Times New Roman" w:cs="Times New Roman"/>
          <w:sz w:val="22"/>
          <w:szCs w:val="22"/>
        </w:rPr>
        <w:tab/>
      </w:r>
      <w:bookmarkStart w:id="173" w:name="_Ref212759153"/>
      <w:bookmarkStart w:id="174" w:name="_Toc212801518"/>
    </w:p>
    <w:p w14:paraId="052EF61F" w14:textId="2500EADB" w:rsidR="00E0141C" w:rsidRPr="00612A70" w:rsidRDefault="00612A70" w:rsidP="00612A70">
      <w:pPr>
        <w:pStyle w:val="Caption"/>
        <w:jc w:val="center"/>
        <w:rPr>
          <w:rFonts w:ascii="Times New Roman" w:hAnsi="Times New Roman" w:cs="Times New Roman"/>
          <w:i w:val="0"/>
          <w:iCs w:val="0"/>
          <w:color w:val="0070C0"/>
          <w:sz w:val="22"/>
          <w:szCs w:val="22"/>
        </w:rPr>
      </w:pPr>
      <w:bookmarkStart w:id="175" w:name="_Toc217297642"/>
      <w:bookmarkEnd w:id="173"/>
      <w:r w:rsidRPr="00612A70">
        <w:rPr>
          <w:rFonts w:ascii="Times New Roman" w:hAnsi="Times New Roman" w:cs="Times New Roman"/>
          <w:i w:val="0"/>
          <w:iCs w:val="0"/>
          <w:color w:val="000000" w:themeColor="text1"/>
          <w:sz w:val="22"/>
          <w:szCs w:val="22"/>
        </w:rPr>
        <w:t xml:space="preserve">Figure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Figure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55</w:t>
      </w:r>
      <w:r w:rsidRPr="00612A70">
        <w:rPr>
          <w:rFonts w:ascii="Times New Roman" w:hAnsi="Times New Roman" w:cs="Times New Roman"/>
          <w:i w:val="0"/>
          <w:iCs w:val="0"/>
          <w:color w:val="000000" w:themeColor="text1"/>
          <w:sz w:val="22"/>
          <w:szCs w:val="22"/>
        </w:rPr>
        <w:fldChar w:fldCharType="end"/>
      </w:r>
      <w:r w:rsidR="000B4226" w:rsidRPr="00612A70">
        <w:rPr>
          <w:rFonts w:ascii="Times New Roman" w:hAnsi="Times New Roman" w:cs="Times New Roman"/>
          <w:i w:val="0"/>
          <w:iCs w:val="0"/>
          <w:color w:val="000000" w:themeColor="text1"/>
          <w:sz w:val="22"/>
          <w:szCs w:val="22"/>
        </w:rPr>
        <w:t xml:space="preserve"> </w:t>
      </w:r>
      <w:r w:rsidR="00E0141C" w:rsidRPr="00612A70">
        <w:rPr>
          <w:rFonts w:ascii="Times New Roman" w:hAnsi="Times New Roman" w:cs="Times New Roman"/>
          <w:i w:val="0"/>
          <w:iCs w:val="0"/>
          <w:color w:val="000000" w:themeColor="text1"/>
          <w:sz w:val="22"/>
          <w:szCs w:val="22"/>
        </w:rPr>
        <w:t xml:space="preserve"> </w:t>
      </w:r>
      <w:r w:rsidR="00E0141C" w:rsidRPr="00612A70">
        <w:rPr>
          <w:rFonts w:ascii="Times New Roman" w:hAnsi="Times New Roman" w:cs="Times New Roman"/>
          <w:i w:val="0"/>
          <w:iCs w:val="0"/>
          <w:color w:val="000000" w:themeColor="text1"/>
          <w:sz w:val="22"/>
          <w:szCs w:val="22"/>
          <w:lang w:val="en-ID"/>
        </w:rPr>
        <w:t>Growth of National</w:t>
      </w:r>
      <w:r w:rsidR="00E0141C" w:rsidRPr="00612A70">
        <w:rPr>
          <w:rFonts w:ascii="Times New Roman" w:hAnsi="Times New Roman" w:cs="Times New Roman"/>
          <w:i w:val="0"/>
          <w:iCs w:val="0"/>
          <w:color w:val="000000" w:themeColor="text1"/>
          <w:sz w:val="22"/>
          <w:szCs w:val="22"/>
        </w:rPr>
        <w:t xml:space="preserve"> GDP and Maritime GDP Growth</w:t>
      </w:r>
      <w:bookmarkEnd w:id="174"/>
      <w:r w:rsidR="00E0141C" w:rsidRPr="00612A70">
        <w:rPr>
          <w:rFonts w:ascii="Times New Roman" w:hAnsi="Times New Roman" w:cs="Times New Roman"/>
          <w:i w:val="0"/>
          <w:iCs w:val="0"/>
          <w:color w:val="000000" w:themeColor="text1"/>
          <w:sz w:val="22"/>
          <w:szCs w:val="22"/>
        </w:rPr>
        <w:t xml:space="preserve"> at Current Price</w:t>
      </w:r>
      <w:bookmarkEnd w:id="175"/>
    </w:p>
    <w:p w14:paraId="5AEFD1C2" w14:textId="77777777" w:rsidR="007B1305" w:rsidRPr="000118A3" w:rsidRDefault="007B1305" w:rsidP="007B1305">
      <w:pPr>
        <w:pStyle w:val="ListParagraph"/>
        <w:ind w:left="440"/>
        <w:rPr>
          <w:rFonts w:ascii="Times New Roman" w:hAnsi="Times New Roman" w:cs="Times New Roman"/>
          <w:b/>
          <w:bCs/>
          <w:sz w:val="22"/>
          <w:szCs w:val="22"/>
        </w:rPr>
      </w:pPr>
    </w:p>
    <w:p w14:paraId="1D6B652F" w14:textId="77777777" w:rsidR="000B4226" w:rsidRDefault="00E0141C" w:rsidP="000B4226">
      <w:pPr>
        <w:pStyle w:val="ListParagraph"/>
        <w:ind w:left="440"/>
        <w:rPr>
          <w:rFonts w:ascii="Times New Roman" w:hAnsi="Times New Roman" w:cs="Times New Roman"/>
          <w:b/>
          <w:bCs/>
          <w:sz w:val="22"/>
          <w:szCs w:val="22"/>
        </w:rPr>
      </w:pPr>
      <w:r w:rsidRPr="000118A3">
        <w:rPr>
          <w:rFonts w:ascii="Times New Roman" w:hAnsi="Times New Roman" w:cs="Times New Roman"/>
          <w:b/>
          <w:bCs/>
          <w:sz w:val="22"/>
          <w:szCs w:val="22"/>
        </w:rPr>
        <w:t xml:space="preserve">National Debt </w:t>
      </w:r>
    </w:p>
    <w:p w14:paraId="2BE6B6C4" w14:textId="0782BC06" w:rsidR="00E0141C" w:rsidRPr="000B4226" w:rsidRDefault="00E0141C" w:rsidP="000B4226">
      <w:pPr>
        <w:pStyle w:val="ListParagraph"/>
        <w:ind w:left="440"/>
        <w:rPr>
          <w:rFonts w:ascii="Times New Roman" w:hAnsi="Times New Roman" w:cs="Times New Roman"/>
          <w:b/>
          <w:bCs/>
          <w:sz w:val="22"/>
          <w:szCs w:val="22"/>
        </w:rPr>
      </w:pPr>
      <w:r w:rsidRPr="000B4226">
        <w:rPr>
          <w:rFonts w:ascii="Times New Roman" w:hAnsi="Times New Roman" w:cs="Times New Roman"/>
          <w:sz w:val="22"/>
          <w:szCs w:val="22"/>
        </w:rPr>
        <w:t xml:space="preserve">Between 2000 and 2024, Indonesia's total debt grew from USD 141.2 billion to USD 426.1 billion. Public sector debt (government and central bank) constituted 51.35% of the total, while private sector debt accounted for 48.65%. Government debt represented the largest share (48.76%), substantially exceeding the central bank's contribution (2.59%). Within private debt, non-financial corporations held 37.83%, compared to 10.81% held by financial corporations. The annual debt trajectory is shown in </w:t>
      </w:r>
      <w:r w:rsidR="00600CEE">
        <w:rPr>
          <w:rFonts w:ascii="Times New Roman" w:hAnsi="Times New Roman" w:cs="Times New Roman"/>
          <w:sz w:val="22"/>
          <w:szCs w:val="22"/>
        </w:rPr>
        <w:t>Appendix</w:t>
      </w:r>
      <w:r w:rsidRPr="000B4226">
        <w:rPr>
          <w:rFonts w:ascii="Times New Roman" w:hAnsi="Times New Roman" w:cs="Times New Roman"/>
          <w:sz w:val="22"/>
          <w:szCs w:val="22"/>
        </w:rPr>
        <w:t xml:space="preserve"> </w:t>
      </w:r>
      <w:r w:rsidR="00295B8A">
        <w:rPr>
          <w:rFonts w:ascii="Times New Roman" w:hAnsi="Times New Roman" w:cs="Times New Roman"/>
          <w:sz w:val="22"/>
          <w:szCs w:val="22"/>
        </w:rPr>
        <w:t>6.</w:t>
      </w:r>
      <w:r w:rsidRPr="000B4226">
        <w:rPr>
          <w:rFonts w:ascii="Times New Roman" w:hAnsi="Times New Roman" w:cs="Times New Roman"/>
          <w:sz w:val="22"/>
          <w:szCs w:val="22"/>
        </w:rPr>
        <w:t xml:space="preserve">4. </w:t>
      </w:r>
    </w:p>
    <w:p w14:paraId="4CFE358C" w14:textId="77777777" w:rsidR="00E0141C" w:rsidRPr="000118A3" w:rsidRDefault="00E0141C" w:rsidP="007B1305">
      <w:pPr>
        <w:pStyle w:val="ListParagraph"/>
        <w:ind w:left="440"/>
        <w:jc w:val="both"/>
        <w:rPr>
          <w:rFonts w:ascii="Times New Roman" w:hAnsi="Times New Roman" w:cs="Times New Roman"/>
          <w:sz w:val="22"/>
          <w:szCs w:val="22"/>
        </w:rPr>
      </w:pPr>
    </w:p>
    <w:p w14:paraId="4F592C7A" w14:textId="77777777" w:rsidR="00E0141C" w:rsidRPr="000118A3" w:rsidRDefault="00E0141C" w:rsidP="007B1305">
      <w:pPr>
        <w:pStyle w:val="ListParagraph"/>
        <w:ind w:left="440"/>
        <w:jc w:val="both"/>
        <w:rPr>
          <w:rFonts w:ascii="Times New Roman" w:hAnsi="Times New Roman" w:cs="Times New Roman"/>
          <w:b/>
          <w:bCs/>
          <w:i/>
          <w:iCs/>
          <w:sz w:val="22"/>
          <w:szCs w:val="22"/>
          <w:lang w:val="en-ID"/>
        </w:rPr>
      </w:pPr>
      <w:r w:rsidRPr="000118A3">
        <w:rPr>
          <w:rFonts w:ascii="Times New Roman" w:hAnsi="Times New Roman" w:cs="Times New Roman"/>
          <w:b/>
          <w:bCs/>
          <w:i/>
          <w:iCs/>
          <w:sz w:val="22"/>
          <w:szCs w:val="22"/>
          <w:lang w:val="en-ID"/>
        </w:rPr>
        <w:t xml:space="preserve">Unemployment </w:t>
      </w:r>
    </w:p>
    <w:p w14:paraId="2B0C1E63" w14:textId="24D911B4" w:rsidR="00E0141C" w:rsidRPr="000118A3" w:rsidRDefault="00E0141C" w:rsidP="007B1305">
      <w:pPr>
        <w:pStyle w:val="ListParagraph"/>
        <w:ind w:left="440"/>
        <w:jc w:val="both"/>
        <w:rPr>
          <w:rFonts w:ascii="Times New Roman" w:hAnsi="Times New Roman" w:cs="Times New Roman"/>
          <w:sz w:val="22"/>
          <w:szCs w:val="22"/>
        </w:rPr>
      </w:pPr>
      <w:r w:rsidRPr="000118A3">
        <w:rPr>
          <w:rFonts w:ascii="Times New Roman" w:hAnsi="Times New Roman" w:cs="Times New Roman"/>
          <w:sz w:val="22"/>
          <w:szCs w:val="22"/>
        </w:rPr>
        <w:t xml:space="preserve">Indonesia’s open unemployment rate during the 2014–2024 period was dynamic, ranging from 4.9% to 7.1%. The lowest unemployment rate occurred in the third quarter of 2019, while the highest was recorded in the second quarter of 2021 (see </w:t>
      </w:r>
      <w:r w:rsidR="00600CEE">
        <w:rPr>
          <w:rFonts w:ascii="Times New Roman" w:hAnsi="Times New Roman" w:cs="Times New Roman"/>
          <w:sz w:val="22"/>
          <w:szCs w:val="22"/>
        </w:rPr>
        <w:t>Appendix</w:t>
      </w:r>
      <w:r w:rsidRPr="000118A3">
        <w:rPr>
          <w:rFonts w:ascii="Times New Roman" w:hAnsi="Times New Roman" w:cs="Times New Roman"/>
          <w:sz w:val="22"/>
          <w:szCs w:val="22"/>
        </w:rPr>
        <w:t xml:space="preserve"> </w:t>
      </w:r>
      <w:r w:rsidR="00295B8A">
        <w:rPr>
          <w:rFonts w:ascii="Times New Roman" w:hAnsi="Times New Roman" w:cs="Times New Roman"/>
          <w:sz w:val="22"/>
          <w:szCs w:val="22"/>
        </w:rPr>
        <w:t>6.</w:t>
      </w:r>
      <w:r w:rsidRPr="000118A3">
        <w:rPr>
          <w:rFonts w:ascii="Times New Roman" w:hAnsi="Times New Roman" w:cs="Times New Roman"/>
          <w:sz w:val="22"/>
          <w:szCs w:val="22"/>
        </w:rPr>
        <w:t>5).</w:t>
      </w:r>
    </w:p>
    <w:p w14:paraId="0AF67C2F" w14:textId="77777777" w:rsidR="00E0141C" w:rsidRPr="000118A3" w:rsidRDefault="00E0141C" w:rsidP="007B1305">
      <w:pPr>
        <w:pStyle w:val="ListParagraph"/>
        <w:ind w:left="440"/>
        <w:jc w:val="both"/>
        <w:rPr>
          <w:rFonts w:ascii="Times New Roman" w:hAnsi="Times New Roman" w:cs="Times New Roman"/>
          <w:sz w:val="22"/>
          <w:szCs w:val="22"/>
        </w:rPr>
      </w:pPr>
    </w:p>
    <w:p w14:paraId="2D06BDBD" w14:textId="77777777" w:rsidR="00E0141C" w:rsidRPr="000118A3" w:rsidRDefault="00E0141C" w:rsidP="007B1305">
      <w:pPr>
        <w:pStyle w:val="ListParagraph"/>
        <w:ind w:left="440"/>
        <w:jc w:val="both"/>
        <w:rPr>
          <w:rFonts w:ascii="Times New Roman" w:hAnsi="Times New Roman" w:cs="Times New Roman"/>
          <w:b/>
          <w:bCs/>
          <w:i/>
          <w:iCs/>
          <w:sz w:val="22"/>
          <w:szCs w:val="22"/>
        </w:rPr>
      </w:pPr>
      <w:r w:rsidRPr="000118A3">
        <w:rPr>
          <w:rFonts w:ascii="Times New Roman" w:hAnsi="Times New Roman" w:cs="Times New Roman"/>
          <w:b/>
          <w:bCs/>
          <w:i/>
          <w:iCs/>
          <w:sz w:val="22"/>
          <w:szCs w:val="22"/>
        </w:rPr>
        <w:t xml:space="preserve">Foreign Investment </w:t>
      </w:r>
    </w:p>
    <w:p w14:paraId="76A9CB02" w14:textId="3B7CA6EC" w:rsidR="00E0141C" w:rsidRPr="000118A3" w:rsidRDefault="00E0141C" w:rsidP="007B1305">
      <w:pPr>
        <w:pStyle w:val="ListParagraph"/>
        <w:ind w:left="440"/>
        <w:jc w:val="both"/>
        <w:rPr>
          <w:rFonts w:ascii="Times New Roman" w:hAnsi="Times New Roman" w:cs="Times New Roman"/>
          <w:sz w:val="22"/>
          <w:szCs w:val="22"/>
        </w:rPr>
      </w:pPr>
      <w:r w:rsidRPr="000118A3">
        <w:rPr>
          <w:rFonts w:ascii="Times New Roman" w:hAnsi="Times New Roman" w:cs="Times New Roman"/>
          <w:sz w:val="22"/>
          <w:szCs w:val="22"/>
        </w:rPr>
        <w:t xml:space="preserve">Foreign investment during the 2010–2023 period ranged from US$16.21 billion to US$50.27 billion, growing at an average annual rate of 9.96%. The highest growth was recorded in 2023 at 46.67%, while the lowest occurred in 2018 at 9.98%. The lowest investment value was in 2014 at US$16.21 billion, and the highest was in 2023 at US$50.27 billion (see </w:t>
      </w:r>
      <w:r w:rsidR="00600CEE">
        <w:rPr>
          <w:rFonts w:ascii="Times New Roman" w:hAnsi="Times New Roman" w:cs="Times New Roman"/>
          <w:sz w:val="22"/>
          <w:szCs w:val="22"/>
        </w:rPr>
        <w:t>Appendix</w:t>
      </w:r>
      <w:r w:rsidRPr="000118A3">
        <w:rPr>
          <w:rFonts w:ascii="Times New Roman" w:hAnsi="Times New Roman" w:cs="Times New Roman"/>
          <w:sz w:val="22"/>
          <w:szCs w:val="22"/>
        </w:rPr>
        <w:t xml:space="preserve"> </w:t>
      </w:r>
      <w:r w:rsidR="00295B8A">
        <w:rPr>
          <w:rFonts w:ascii="Times New Roman" w:hAnsi="Times New Roman" w:cs="Times New Roman"/>
          <w:sz w:val="22"/>
          <w:szCs w:val="22"/>
        </w:rPr>
        <w:t>6.</w:t>
      </w:r>
      <w:r w:rsidRPr="000118A3">
        <w:rPr>
          <w:rFonts w:ascii="Times New Roman" w:hAnsi="Times New Roman" w:cs="Times New Roman"/>
          <w:sz w:val="22"/>
          <w:szCs w:val="22"/>
        </w:rPr>
        <w:t>6).</w:t>
      </w:r>
    </w:p>
    <w:p w14:paraId="2D5840F1" w14:textId="45949741" w:rsidR="00E0141C" w:rsidRPr="000118A3" w:rsidRDefault="007B1305" w:rsidP="000B4226">
      <w:pPr>
        <w:pStyle w:val="BodyText"/>
        <w:numPr>
          <w:ilvl w:val="2"/>
          <w:numId w:val="145"/>
        </w:numPr>
        <w:spacing w:before="188"/>
        <w:rPr>
          <w:rFonts w:ascii="Times New Roman" w:hAnsi="Times New Roman" w:cs="Times New Roman"/>
          <w:b/>
          <w:bCs/>
          <w:color w:val="0070C0"/>
        </w:rPr>
      </w:pPr>
      <w:r w:rsidRPr="000118A3">
        <w:rPr>
          <w:rFonts w:ascii="Times New Roman" w:hAnsi="Times New Roman" w:cs="Times New Roman"/>
          <w:b/>
          <w:bCs/>
          <w:color w:val="0070C0"/>
        </w:rPr>
        <w:t>Institutional Setting</w:t>
      </w:r>
      <w:r w:rsidRPr="000118A3">
        <w:rPr>
          <w:rFonts w:ascii="Times New Roman" w:hAnsi="Times New Roman" w:cs="Times New Roman"/>
          <w:b/>
          <w:bCs/>
        </w:rPr>
        <w:t xml:space="preserve"> </w:t>
      </w:r>
    </w:p>
    <w:p w14:paraId="566FC8F5" w14:textId="214C342E" w:rsidR="007B1305" w:rsidRPr="000118A3" w:rsidRDefault="007B1305" w:rsidP="007B1305">
      <w:pPr>
        <w:jc w:val="both"/>
        <w:rPr>
          <w:rFonts w:ascii="Times New Roman" w:hAnsi="Times New Roman" w:cs="Times New Roman"/>
          <w:sz w:val="22"/>
          <w:szCs w:val="22"/>
        </w:rPr>
      </w:pPr>
      <w:r w:rsidRPr="000118A3">
        <w:rPr>
          <w:rFonts w:ascii="Times New Roman" w:hAnsi="Times New Roman" w:cs="Times New Roman"/>
          <w:sz w:val="22"/>
          <w:szCs w:val="22"/>
        </w:rPr>
        <w:lastRenderedPageBreak/>
        <w:t xml:space="preserve">At least 13 ministries and two ministerial-level institutions are involved in maritime governance in Indonesia, with their engagement varying across significant issues as shown in the Table </w:t>
      </w:r>
      <w:r w:rsidR="00295B8A">
        <w:rPr>
          <w:rFonts w:ascii="Times New Roman" w:hAnsi="Times New Roman" w:cs="Times New Roman"/>
          <w:sz w:val="22"/>
          <w:szCs w:val="22"/>
        </w:rPr>
        <w:t>18</w:t>
      </w:r>
      <w:r w:rsidRPr="000118A3">
        <w:rPr>
          <w:rFonts w:ascii="Times New Roman" w:hAnsi="Times New Roman" w:cs="Times New Roman"/>
          <w:sz w:val="22"/>
          <w:szCs w:val="22"/>
        </w:rPr>
        <w:t>.</w:t>
      </w:r>
    </w:p>
    <w:p w14:paraId="197D5372" w14:textId="77777777" w:rsidR="007B1305" w:rsidRPr="000118A3" w:rsidRDefault="007B1305" w:rsidP="007B1305">
      <w:pPr>
        <w:jc w:val="both"/>
        <w:rPr>
          <w:rFonts w:ascii="Times New Roman" w:hAnsi="Times New Roman" w:cs="Times New Roman"/>
          <w:sz w:val="22"/>
          <w:szCs w:val="22"/>
        </w:rPr>
      </w:pPr>
    </w:p>
    <w:p w14:paraId="77F6FA3A" w14:textId="6C8863AA" w:rsidR="007B1305" w:rsidRPr="000B4226" w:rsidRDefault="00612A70" w:rsidP="00612A70">
      <w:pPr>
        <w:pStyle w:val="Caption"/>
        <w:rPr>
          <w:rFonts w:ascii="Times New Roman" w:hAnsi="Times New Roman" w:cs="Times New Roman"/>
          <w:bCs/>
          <w:i w:val="0"/>
          <w:iCs w:val="0"/>
          <w:color w:val="auto"/>
          <w:sz w:val="22"/>
          <w:szCs w:val="22"/>
        </w:rPr>
      </w:pPr>
      <w:bookmarkStart w:id="176" w:name="_Toc217297663"/>
      <w:r w:rsidRPr="00612A70">
        <w:rPr>
          <w:rFonts w:ascii="Times New Roman" w:hAnsi="Times New Roman" w:cs="Times New Roman"/>
          <w:i w:val="0"/>
          <w:iCs w:val="0"/>
          <w:color w:val="000000" w:themeColor="text1"/>
          <w:sz w:val="22"/>
          <w:szCs w:val="22"/>
        </w:rPr>
        <w:t xml:space="preserve">Table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Table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18</w:t>
      </w:r>
      <w:r w:rsidRPr="00612A70">
        <w:rPr>
          <w:rFonts w:ascii="Times New Roman" w:hAnsi="Times New Roman" w:cs="Times New Roman"/>
          <w:i w:val="0"/>
          <w:iCs w:val="0"/>
          <w:color w:val="000000" w:themeColor="text1"/>
          <w:sz w:val="22"/>
          <w:szCs w:val="22"/>
        </w:rPr>
        <w:fldChar w:fldCharType="end"/>
      </w:r>
      <w:r w:rsidR="007B1305" w:rsidRPr="00612A70">
        <w:rPr>
          <w:rFonts w:ascii="Times New Roman" w:hAnsi="Times New Roman" w:cs="Times New Roman"/>
          <w:i w:val="0"/>
          <w:iCs w:val="0"/>
          <w:color w:val="000000" w:themeColor="text1"/>
          <w:sz w:val="22"/>
          <w:szCs w:val="22"/>
        </w:rPr>
        <w:t xml:space="preserve"> </w:t>
      </w:r>
      <w:r w:rsidR="007B1305" w:rsidRPr="000B4226">
        <w:rPr>
          <w:rFonts w:ascii="Times New Roman" w:hAnsi="Times New Roman" w:cs="Times New Roman"/>
          <w:bCs/>
          <w:i w:val="0"/>
          <w:iCs w:val="0"/>
          <w:color w:val="auto"/>
          <w:sz w:val="22"/>
          <w:szCs w:val="22"/>
        </w:rPr>
        <w:t>Legal and institutional mapping, and stakeholders related to coastal and marine management in the South China Sea and Gulf of Thailand</w:t>
      </w:r>
      <w:bookmarkEnd w:id="176"/>
    </w:p>
    <w:tbl>
      <w:tblPr>
        <w:tblStyle w:val="TableGrid"/>
        <w:tblW w:w="9450" w:type="dxa"/>
        <w:tblInd w:w="-5" w:type="dxa"/>
        <w:tblLayout w:type="fixed"/>
        <w:tblLook w:val="04A0" w:firstRow="1" w:lastRow="0" w:firstColumn="1" w:lastColumn="0" w:noHBand="0" w:noVBand="1"/>
      </w:tblPr>
      <w:tblGrid>
        <w:gridCol w:w="3150"/>
        <w:gridCol w:w="990"/>
        <w:gridCol w:w="1170"/>
        <w:gridCol w:w="900"/>
        <w:gridCol w:w="1080"/>
        <w:gridCol w:w="1170"/>
        <w:gridCol w:w="990"/>
      </w:tblGrid>
      <w:tr w:rsidR="007B1305" w:rsidRPr="000118A3" w14:paraId="6EF38116" w14:textId="77777777" w:rsidTr="00671D7D">
        <w:trPr>
          <w:tblHeader/>
        </w:trPr>
        <w:tc>
          <w:tcPr>
            <w:tcW w:w="3150" w:type="dxa"/>
            <w:shd w:val="clear" w:color="auto" w:fill="0070C0"/>
            <w:vAlign w:val="center"/>
          </w:tcPr>
          <w:p w14:paraId="58EA7DA7"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r w:rsidRPr="000118A3">
              <w:rPr>
                <w:rFonts w:ascii="Times New Roman" w:hAnsi="Times New Roman" w:cs="Times New Roman"/>
                <w:b/>
                <w:color w:val="FFFFFF" w:themeColor="background1"/>
                <w:sz w:val="22"/>
                <w:szCs w:val="22"/>
              </w:rPr>
              <w:t>Institution</w:t>
            </w:r>
          </w:p>
        </w:tc>
        <w:tc>
          <w:tcPr>
            <w:tcW w:w="990" w:type="dxa"/>
            <w:shd w:val="clear" w:color="auto" w:fill="0070C0"/>
            <w:vAlign w:val="center"/>
          </w:tcPr>
          <w:p w14:paraId="36E34FCD"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r w:rsidRPr="000118A3">
              <w:rPr>
                <w:rFonts w:ascii="Times New Roman" w:hAnsi="Times New Roman" w:cs="Times New Roman"/>
                <w:b/>
                <w:color w:val="FFFFFF" w:themeColor="background1"/>
                <w:sz w:val="22"/>
                <w:szCs w:val="22"/>
              </w:rPr>
              <w:t>Pollution</w:t>
            </w:r>
          </w:p>
          <w:p w14:paraId="49794709"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p>
        </w:tc>
        <w:tc>
          <w:tcPr>
            <w:tcW w:w="1170" w:type="dxa"/>
            <w:shd w:val="clear" w:color="auto" w:fill="0070C0"/>
            <w:vAlign w:val="center"/>
          </w:tcPr>
          <w:p w14:paraId="4CA6FCC2"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r w:rsidRPr="000118A3">
              <w:rPr>
                <w:rFonts w:ascii="Times New Roman" w:hAnsi="Times New Roman" w:cs="Times New Roman"/>
                <w:b/>
                <w:color w:val="FFFFFF" w:themeColor="background1"/>
                <w:sz w:val="22"/>
                <w:szCs w:val="22"/>
              </w:rPr>
              <w:t>Ecosystem Based Assessment</w:t>
            </w:r>
          </w:p>
        </w:tc>
        <w:tc>
          <w:tcPr>
            <w:tcW w:w="900" w:type="dxa"/>
            <w:shd w:val="clear" w:color="auto" w:fill="0070C0"/>
            <w:vAlign w:val="center"/>
          </w:tcPr>
          <w:p w14:paraId="3D3B8C2C"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r w:rsidRPr="000118A3">
              <w:rPr>
                <w:rFonts w:ascii="Times New Roman" w:hAnsi="Times New Roman" w:cs="Times New Roman"/>
                <w:b/>
                <w:color w:val="FFFFFF" w:themeColor="background1"/>
                <w:sz w:val="22"/>
                <w:szCs w:val="22"/>
              </w:rPr>
              <w:t>Climate Change</w:t>
            </w:r>
          </w:p>
          <w:p w14:paraId="307D4AD4"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p>
        </w:tc>
        <w:tc>
          <w:tcPr>
            <w:tcW w:w="1080" w:type="dxa"/>
            <w:shd w:val="clear" w:color="auto" w:fill="0070C0"/>
            <w:vAlign w:val="center"/>
          </w:tcPr>
          <w:p w14:paraId="51AC6E7F"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r w:rsidRPr="000118A3">
              <w:rPr>
                <w:rFonts w:ascii="Times New Roman" w:hAnsi="Times New Roman" w:cs="Times New Roman"/>
                <w:b/>
                <w:color w:val="FFFFFF" w:themeColor="background1"/>
                <w:sz w:val="22"/>
                <w:szCs w:val="22"/>
              </w:rPr>
              <w:t>Fisheries &amp; Livelihoods</w:t>
            </w:r>
          </w:p>
        </w:tc>
        <w:tc>
          <w:tcPr>
            <w:tcW w:w="1170" w:type="dxa"/>
            <w:shd w:val="clear" w:color="auto" w:fill="0070C0"/>
            <w:vAlign w:val="center"/>
          </w:tcPr>
          <w:p w14:paraId="5F17E2EA"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r w:rsidRPr="000118A3">
              <w:rPr>
                <w:rFonts w:ascii="Times New Roman" w:hAnsi="Times New Roman" w:cs="Times New Roman"/>
                <w:b/>
                <w:color w:val="FFFFFF" w:themeColor="background1"/>
                <w:sz w:val="22"/>
                <w:szCs w:val="22"/>
              </w:rPr>
              <w:t>Endangered Species</w:t>
            </w:r>
          </w:p>
        </w:tc>
        <w:tc>
          <w:tcPr>
            <w:tcW w:w="990" w:type="dxa"/>
            <w:shd w:val="clear" w:color="auto" w:fill="0070C0"/>
            <w:vAlign w:val="center"/>
          </w:tcPr>
          <w:p w14:paraId="3269109D"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r w:rsidRPr="000118A3">
              <w:rPr>
                <w:rFonts w:ascii="Times New Roman" w:hAnsi="Times New Roman" w:cs="Times New Roman"/>
                <w:b/>
                <w:color w:val="FFFFFF" w:themeColor="background1"/>
                <w:sz w:val="22"/>
                <w:szCs w:val="22"/>
              </w:rPr>
              <w:t>Marine Economy/</w:t>
            </w:r>
          </w:p>
          <w:p w14:paraId="03AF1634" w14:textId="77777777" w:rsidR="007B1305" w:rsidRPr="000118A3" w:rsidRDefault="007B1305" w:rsidP="00671D7D">
            <w:pPr>
              <w:contextualSpacing/>
              <w:jc w:val="center"/>
              <w:rPr>
                <w:rFonts w:ascii="Times New Roman" w:hAnsi="Times New Roman" w:cs="Times New Roman"/>
                <w:b/>
                <w:color w:val="FFFFFF" w:themeColor="background1"/>
                <w:sz w:val="22"/>
                <w:szCs w:val="22"/>
              </w:rPr>
            </w:pPr>
            <w:r w:rsidRPr="000118A3">
              <w:rPr>
                <w:rFonts w:ascii="Times New Roman" w:hAnsi="Times New Roman" w:cs="Times New Roman"/>
                <w:b/>
                <w:color w:val="FFFFFF" w:themeColor="background1"/>
                <w:sz w:val="22"/>
                <w:szCs w:val="22"/>
              </w:rPr>
              <w:t>Blue Economy</w:t>
            </w:r>
          </w:p>
        </w:tc>
      </w:tr>
      <w:tr w:rsidR="007B1305" w:rsidRPr="000118A3" w14:paraId="4206E929" w14:textId="77777777" w:rsidTr="00671D7D">
        <w:tc>
          <w:tcPr>
            <w:tcW w:w="3150" w:type="dxa"/>
          </w:tcPr>
          <w:p w14:paraId="0EAC0BAD"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Coordinating Ministry of Food Affairs (COMFA)</w:t>
            </w:r>
          </w:p>
        </w:tc>
        <w:tc>
          <w:tcPr>
            <w:tcW w:w="990" w:type="dxa"/>
            <w:vAlign w:val="center"/>
          </w:tcPr>
          <w:p w14:paraId="7948A7DD"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735CB614" w14:textId="77777777" w:rsidR="007B1305" w:rsidRPr="000118A3" w:rsidRDefault="007B1305" w:rsidP="00671D7D">
            <w:pPr>
              <w:contextualSpacing/>
              <w:jc w:val="center"/>
              <w:rPr>
                <w:rFonts w:ascii="Times New Roman" w:hAnsi="Times New Roman" w:cs="Times New Roman"/>
                <w:bCs/>
                <w:sz w:val="22"/>
                <w:szCs w:val="22"/>
              </w:rPr>
            </w:pPr>
          </w:p>
        </w:tc>
        <w:tc>
          <w:tcPr>
            <w:tcW w:w="900" w:type="dxa"/>
            <w:vAlign w:val="center"/>
          </w:tcPr>
          <w:p w14:paraId="46C21394"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1E75E76A"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2C3B8E66"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03D29E13"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r>
      <w:tr w:rsidR="007B1305" w:rsidRPr="000118A3" w14:paraId="1F01A24C" w14:textId="77777777" w:rsidTr="00671D7D">
        <w:tc>
          <w:tcPr>
            <w:tcW w:w="3150" w:type="dxa"/>
          </w:tcPr>
          <w:p w14:paraId="1E2BB4D2"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Environment (MOE)</w:t>
            </w:r>
          </w:p>
        </w:tc>
        <w:tc>
          <w:tcPr>
            <w:tcW w:w="990" w:type="dxa"/>
            <w:vAlign w:val="center"/>
          </w:tcPr>
          <w:p w14:paraId="0DC4977C"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49F4368E"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00" w:type="dxa"/>
            <w:vAlign w:val="center"/>
          </w:tcPr>
          <w:p w14:paraId="38DDBC81"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080" w:type="dxa"/>
            <w:vAlign w:val="center"/>
          </w:tcPr>
          <w:p w14:paraId="2D956F51"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58DC30B8"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90" w:type="dxa"/>
            <w:vAlign w:val="center"/>
          </w:tcPr>
          <w:p w14:paraId="1245E8D3" w14:textId="77777777" w:rsidR="007B1305" w:rsidRPr="000118A3" w:rsidRDefault="007B1305" w:rsidP="00671D7D">
            <w:pPr>
              <w:contextualSpacing/>
              <w:jc w:val="center"/>
              <w:rPr>
                <w:rFonts w:ascii="Times New Roman" w:hAnsi="Times New Roman" w:cs="Times New Roman"/>
                <w:bCs/>
                <w:sz w:val="22"/>
                <w:szCs w:val="22"/>
              </w:rPr>
            </w:pPr>
          </w:p>
        </w:tc>
      </w:tr>
      <w:tr w:rsidR="007B1305" w:rsidRPr="000118A3" w14:paraId="42C03A83" w14:textId="77777777" w:rsidTr="00671D7D">
        <w:tc>
          <w:tcPr>
            <w:tcW w:w="3150" w:type="dxa"/>
          </w:tcPr>
          <w:p w14:paraId="1CBC0791"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Forestry (MOF)</w:t>
            </w:r>
          </w:p>
        </w:tc>
        <w:tc>
          <w:tcPr>
            <w:tcW w:w="990" w:type="dxa"/>
            <w:vAlign w:val="center"/>
          </w:tcPr>
          <w:p w14:paraId="747B03DD"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2E502C59"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00" w:type="dxa"/>
            <w:vAlign w:val="center"/>
          </w:tcPr>
          <w:p w14:paraId="54C21DEF"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080" w:type="dxa"/>
            <w:vAlign w:val="center"/>
          </w:tcPr>
          <w:p w14:paraId="36033E3B"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35772032"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90" w:type="dxa"/>
            <w:vAlign w:val="center"/>
          </w:tcPr>
          <w:p w14:paraId="361AF1EF" w14:textId="77777777" w:rsidR="007B1305" w:rsidRPr="000118A3" w:rsidRDefault="007B1305" w:rsidP="00671D7D">
            <w:pPr>
              <w:contextualSpacing/>
              <w:jc w:val="center"/>
              <w:rPr>
                <w:rFonts w:ascii="Times New Roman" w:hAnsi="Times New Roman" w:cs="Times New Roman"/>
                <w:bCs/>
                <w:sz w:val="22"/>
                <w:szCs w:val="22"/>
              </w:rPr>
            </w:pPr>
          </w:p>
        </w:tc>
      </w:tr>
      <w:tr w:rsidR="007B1305" w:rsidRPr="000118A3" w14:paraId="25C952A8" w14:textId="77777777" w:rsidTr="00671D7D">
        <w:tc>
          <w:tcPr>
            <w:tcW w:w="3150" w:type="dxa"/>
          </w:tcPr>
          <w:p w14:paraId="63918183"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Marine Affair and Fisheries (MOMAF)</w:t>
            </w:r>
          </w:p>
        </w:tc>
        <w:tc>
          <w:tcPr>
            <w:tcW w:w="990" w:type="dxa"/>
            <w:vAlign w:val="center"/>
          </w:tcPr>
          <w:p w14:paraId="60227B32"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25DD09A1"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00" w:type="dxa"/>
            <w:vAlign w:val="center"/>
          </w:tcPr>
          <w:p w14:paraId="2BC71E83"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080" w:type="dxa"/>
            <w:vAlign w:val="center"/>
          </w:tcPr>
          <w:p w14:paraId="10EA43D6"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06391DB8"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90" w:type="dxa"/>
            <w:vAlign w:val="center"/>
          </w:tcPr>
          <w:p w14:paraId="5835DF6E"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r>
      <w:tr w:rsidR="007B1305" w:rsidRPr="000118A3" w14:paraId="791ED9CC" w14:textId="77777777" w:rsidTr="00671D7D">
        <w:tc>
          <w:tcPr>
            <w:tcW w:w="3150" w:type="dxa"/>
          </w:tcPr>
          <w:p w14:paraId="3774CCC0"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Home Affair (MHA)</w:t>
            </w:r>
          </w:p>
        </w:tc>
        <w:tc>
          <w:tcPr>
            <w:tcW w:w="990" w:type="dxa"/>
            <w:vAlign w:val="center"/>
          </w:tcPr>
          <w:p w14:paraId="16DFB3CD"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1F016EFB"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00" w:type="dxa"/>
            <w:vAlign w:val="center"/>
          </w:tcPr>
          <w:p w14:paraId="150B4CCE"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6D8E4876"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067EB79A"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4656559A"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r>
      <w:tr w:rsidR="007B1305" w:rsidRPr="000118A3" w14:paraId="4C321D45" w14:textId="77777777" w:rsidTr="00671D7D">
        <w:tc>
          <w:tcPr>
            <w:tcW w:w="3150" w:type="dxa"/>
          </w:tcPr>
          <w:p w14:paraId="2F9653AF"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Foreign Affair (MOFA)</w:t>
            </w:r>
          </w:p>
        </w:tc>
        <w:tc>
          <w:tcPr>
            <w:tcW w:w="990" w:type="dxa"/>
            <w:vAlign w:val="center"/>
          </w:tcPr>
          <w:p w14:paraId="35151BB2"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05D43B35" w14:textId="77777777" w:rsidR="007B1305" w:rsidRPr="000118A3" w:rsidRDefault="007B1305" w:rsidP="00671D7D">
            <w:pPr>
              <w:contextualSpacing/>
              <w:jc w:val="center"/>
              <w:rPr>
                <w:rFonts w:ascii="Times New Roman" w:hAnsi="Times New Roman" w:cs="Times New Roman"/>
                <w:bCs/>
                <w:sz w:val="22"/>
                <w:szCs w:val="22"/>
              </w:rPr>
            </w:pPr>
          </w:p>
        </w:tc>
        <w:tc>
          <w:tcPr>
            <w:tcW w:w="900" w:type="dxa"/>
            <w:vAlign w:val="center"/>
          </w:tcPr>
          <w:p w14:paraId="39F014EE"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080" w:type="dxa"/>
            <w:vAlign w:val="center"/>
          </w:tcPr>
          <w:p w14:paraId="4A5FBC89"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55D0B7F3"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90" w:type="dxa"/>
            <w:vAlign w:val="center"/>
          </w:tcPr>
          <w:p w14:paraId="432DB97F"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r>
      <w:tr w:rsidR="007B1305" w:rsidRPr="000118A3" w14:paraId="3AE06273" w14:textId="77777777" w:rsidTr="00671D7D">
        <w:tc>
          <w:tcPr>
            <w:tcW w:w="3150" w:type="dxa"/>
          </w:tcPr>
          <w:p w14:paraId="3999BBA1"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National Development Planning (MONDP)</w:t>
            </w:r>
          </w:p>
        </w:tc>
        <w:tc>
          <w:tcPr>
            <w:tcW w:w="990" w:type="dxa"/>
            <w:vAlign w:val="center"/>
          </w:tcPr>
          <w:p w14:paraId="59BFE7FA"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32334F84"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00" w:type="dxa"/>
            <w:vAlign w:val="center"/>
          </w:tcPr>
          <w:p w14:paraId="757E51CB"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080" w:type="dxa"/>
            <w:vAlign w:val="center"/>
          </w:tcPr>
          <w:p w14:paraId="0A14C698"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5A1373C8"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90" w:type="dxa"/>
            <w:vAlign w:val="center"/>
          </w:tcPr>
          <w:p w14:paraId="374DB332"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r>
      <w:tr w:rsidR="007B1305" w:rsidRPr="000118A3" w14:paraId="599E355C" w14:textId="77777777" w:rsidTr="00671D7D">
        <w:tc>
          <w:tcPr>
            <w:tcW w:w="3150" w:type="dxa"/>
          </w:tcPr>
          <w:p w14:paraId="4D2DB516"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Transportation (MOT)</w:t>
            </w:r>
          </w:p>
        </w:tc>
        <w:tc>
          <w:tcPr>
            <w:tcW w:w="990" w:type="dxa"/>
            <w:vAlign w:val="center"/>
          </w:tcPr>
          <w:p w14:paraId="6D88E8A1"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385147F3" w14:textId="77777777" w:rsidR="007B1305" w:rsidRPr="000118A3" w:rsidRDefault="007B1305" w:rsidP="00671D7D">
            <w:pPr>
              <w:contextualSpacing/>
              <w:jc w:val="center"/>
              <w:rPr>
                <w:rFonts w:ascii="Times New Roman" w:hAnsi="Times New Roman" w:cs="Times New Roman"/>
                <w:bCs/>
                <w:sz w:val="22"/>
                <w:szCs w:val="22"/>
              </w:rPr>
            </w:pPr>
          </w:p>
        </w:tc>
        <w:tc>
          <w:tcPr>
            <w:tcW w:w="900" w:type="dxa"/>
            <w:vAlign w:val="center"/>
          </w:tcPr>
          <w:p w14:paraId="2141F8A4"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7AEC6A5D"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5AB97A3A"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1892FA6F"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r>
      <w:tr w:rsidR="007B1305" w:rsidRPr="000118A3" w14:paraId="1F0A3DD6" w14:textId="77777777" w:rsidTr="00671D7D">
        <w:tc>
          <w:tcPr>
            <w:tcW w:w="3150" w:type="dxa"/>
          </w:tcPr>
          <w:p w14:paraId="2571FDBD"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Defense (MOD)</w:t>
            </w:r>
          </w:p>
        </w:tc>
        <w:tc>
          <w:tcPr>
            <w:tcW w:w="990" w:type="dxa"/>
            <w:vAlign w:val="center"/>
          </w:tcPr>
          <w:p w14:paraId="2120040B"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6447DF4E"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00" w:type="dxa"/>
            <w:vAlign w:val="center"/>
          </w:tcPr>
          <w:p w14:paraId="344E8DDA"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44A4A7DB"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7BC85738"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4FC6F74E" w14:textId="77777777" w:rsidR="007B1305" w:rsidRPr="000118A3" w:rsidRDefault="007B1305" w:rsidP="00671D7D">
            <w:pPr>
              <w:contextualSpacing/>
              <w:jc w:val="center"/>
              <w:rPr>
                <w:rFonts w:ascii="Times New Roman" w:hAnsi="Times New Roman" w:cs="Times New Roman"/>
                <w:bCs/>
                <w:sz w:val="22"/>
                <w:szCs w:val="22"/>
              </w:rPr>
            </w:pPr>
          </w:p>
        </w:tc>
      </w:tr>
      <w:tr w:rsidR="007B1305" w:rsidRPr="000118A3" w14:paraId="49F3458A" w14:textId="77777777" w:rsidTr="00671D7D">
        <w:tc>
          <w:tcPr>
            <w:tcW w:w="3150" w:type="dxa"/>
          </w:tcPr>
          <w:p w14:paraId="66F2EDB1"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Tourism and Creative Economy (MOTCE))</w:t>
            </w:r>
          </w:p>
        </w:tc>
        <w:tc>
          <w:tcPr>
            <w:tcW w:w="990" w:type="dxa"/>
            <w:vAlign w:val="center"/>
          </w:tcPr>
          <w:p w14:paraId="10958CED"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544C099B" w14:textId="77777777" w:rsidR="007B1305" w:rsidRPr="000118A3" w:rsidRDefault="007B1305" w:rsidP="00671D7D">
            <w:pPr>
              <w:contextualSpacing/>
              <w:jc w:val="center"/>
              <w:rPr>
                <w:rFonts w:ascii="Times New Roman" w:hAnsi="Times New Roman" w:cs="Times New Roman"/>
                <w:bCs/>
                <w:sz w:val="22"/>
                <w:szCs w:val="22"/>
              </w:rPr>
            </w:pPr>
          </w:p>
        </w:tc>
        <w:tc>
          <w:tcPr>
            <w:tcW w:w="900" w:type="dxa"/>
            <w:vAlign w:val="center"/>
          </w:tcPr>
          <w:p w14:paraId="04197147"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5F1B6ED5"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3A77CA81"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20A08AA3" w14:textId="77777777" w:rsidR="007B1305" w:rsidRPr="000118A3" w:rsidRDefault="007B1305" w:rsidP="00671D7D">
            <w:pPr>
              <w:contextualSpacing/>
              <w:jc w:val="center"/>
              <w:rPr>
                <w:rFonts w:ascii="Times New Roman" w:hAnsi="Times New Roman" w:cs="Times New Roman"/>
                <w:bCs/>
                <w:sz w:val="22"/>
                <w:szCs w:val="22"/>
              </w:rPr>
            </w:pPr>
          </w:p>
        </w:tc>
      </w:tr>
      <w:tr w:rsidR="007B1305" w:rsidRPr="000118A3" w14:paraId="6CA309EE" w14:textId="77777777" w:rsidTr="00671D7D">
        <w:tc>
          <w:tcPr>
            <w:tcW w:w="3150" w:type="dxa"/>
          </w:tcPr>
          <w:p w14:paraId="14BF8D10"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Agriculture (MOA)</w:t>
            </w:r>
          </w:p>
        </w:tc>
        <w:tc>
          <w:tcPr>
            <w:tcW w:w="990" w:type="dxa"/>
            <w:vAlign w:val="center"/>
          </w:tcPr>
          <w:p w14:paraId="13934EB2"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153EB8C4" w14:textId="77777777" w:rsidR="007B1305" w:rsidRPr="000118A3" w:rsidRDefault="007B1305" w:rsidP="00671D7D">
            <w:pPr>
              <w:contextualSpacing/>
              <w:jc w:val="center"/>
              <w:rPr>
                <w:rFonts w:ascii="Times New Roman" w:hAnsi="Times New Roman" w:cs="Times New Roman"/>
                <w:bCs/>
                <w:sz w:val="22"/>
                <w:szCs w:val="22"/>
              </w:rPr>
            </w:pPr>
          </w:p>
        </w:tc>
        <w:tc>
          <w:tcPr>
            <w:tcW w:w="900" w:type="dxa"/>
            <w:vAlign w:val="center"/>
          </w:tcPr>
          <w:p w14:paraId="2242F03A"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7D069D4F"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01CDE167"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524CF014" w14:textId="77777777" w:rsidR="007B1305" w:rsidRPr="000118A3" w:rsidRDefault="007B1305" w:rsidP="00671D7D">
            <w:pPr>
              <w:contextualSpacing/>
              <w:jc w:val="center"/>
              <w:rPr>
                <w:rFonts w:ascii="Times New Roman" w:hAnsi="Times New Roman" w:cs="Times New Roman"/>
                <w:bCs/>
                <w:sz w:val="22"/>
                <w:szCs w:val="22"/>
              </w:rPr>
            </w:pPr>
          </w:p>
        </w:tc>
      </w:tr>
      <w:tr w:rsidR="007B1305" w:rsidRPr="000118A3" w14:paraId="52BBD5C7" w14:textId="77777777" w:rsidTr="00671D7D">
        <w:tc>
          <w:tcPr>
            <w:tcW w:w="3150" w:type="dxa"/>
          </w:tcPr>
          <w:p w14:paraId="45C0D810"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Energy and Mineral Resources (MOEMR)</w:t>
            </w:r>
          </w:p>
        </w:tc>
        <w:tc>
          <w:tcPr>
            <w:tcW w:w="990" w:type="dxa"/>
            <w:vAlign w:val="center"/>
          </w:tcPr>
          <w:p w14:paraId="122DA72C"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7C72EFCA" w14:textId="77777777" w:rsidR="007B1305" w:rsidRPr="000118A3" w:rsidRDefault="007B1305" w:rsidP="00671D7D">
            <w:pPr>
              <w:contextualSpacing/>
              <w:jc w:val="center"/>
              <w:rPr>
                <w:rFonts w:ascii="Times New Roman" w:hAnsi="Times New Roman" w:cs="Times New Roman"/>
                <w:bCs/>
                <w:sz w:val="22"/>
                <w:szCs w:val="22"/>
              </w:rPr>
            </w:pPr>
          </w:p>
        </w:tc>
        <w:tc>
          <w:tcPr>
            <w:tcW w:w="900" w:type="dxa"/>
            <w:vAlign w:val="center"/>
          </w:tcPr>
          <w:p w14:paraId="60660A0C"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459C5D54"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1AB539BB"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35748916" w14:textId="77777777" w:rsidR="007B1305" w:rsidRPr="000118A3" w:rsidRDefault="007B1305" w:rsidP="00671D7D">
            <w:pPr>
              <w:contextualSpacing/>
              <w:jc w:val="center"/>
              <w:rPr>
                <w:rFonts w:ascii="Times New Roman" w:hAnsi="Times New Roman" w:cs="Times New Roman"/>
                <w:bCs/>
                <w:sz w:val="22"/>
                <w:szCs w:val="22"/>
              </w:rPr>
            </w:pPr>
          </w:p>
        </w:tc>
      </w:tr>
      <w:tr w:rsidR="007B1305" w:rsidRPr="000118A3" w14:paraId="3571EF31" w14:textId="77777777" w:rsidTr="00671D7D">
        <w:tc>
          <w:tcPr>
            <w:tcW w:w="3150" w:type="dxa"/>
          </w:tcPr>
          <w:p w14:paraId="0B050365"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Ministry of Investment and Downstream Industry/Indonesia Coordinating Investment Board (MOIDI)</w:t>
            </w:r>
          </w:p>
        </w:tc>
        <w:tc>
          <w:tcPr>
            <w:tcW w:w="990" w:type="dxa"/>
            <w:vAlign w:val="center"/>
          </w:tcPr>
          <w:p w14:paraId="5A5FF3D6"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2E1A30C9" w14:textId="77777777" w:rsidR="007B1305" w:rsidRPr="000118A3" w:rsidRDefault="007B1305" w:rsidP="00671D7D">
            <w:pPr>
              <w:contextualSpacing/>
              <w:jc w:val="center"/>
              <w:rPr>
                <w:rFonts w:ascii="Times New Roman" w:hAnsi="Times New Roman" w:cs="Times New Roman"/>
                <w:bCs/>
                <w:sz w:val="22"/>
                <w:szCs w:val="22"/>
              </w:rPr>
            </w:pPr>
          </w:p>
        </w:tc>
        <w:tc>
          <w:tcPr>
            <w:tcW w:w="900" w:type="dxa"/>
            <w:vAlign w:val="center"/>
          </w:tcPr>
          <w:p w14:paraId="3DCE52E8"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2F4F577D"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11DC1BA6"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441D5C7D"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r>
      <w:tr w:rsidR="007B1305" w:rsidRPr="000118A3" w14:paraId="7B974F66" w14:textId="77777777" w:rsidTr="00671D7D">
        <w:tc>
          <w:tcPr>
            <w:tcW w:w="3150" w:type="dxa"/>
          </w:tcPr>
          <w:p w14:paraId="6EF20516"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 xml:space="preserve">Peatland and Mangrove Restoration Agency of the Republic of Indonesia (BRGM) </w:t>
            </w:r>
          </w:p>
        </w:tc>
        <w:tc>
          <w:tcPr>
            <w:tcW w:w="990" w:type="dxa"/>
            <w:vAlign w:val="center"/>
          </w:tcPr>
          <w:p w14:paraId="55BA1879"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5F49C0FB"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00" w:type="dxa"/>
            <w:vAlign w:val="center"/>
          </w:tcPr>
          <w:p w14:paraId="2B7D5405"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020D20CE"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4CB04245"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20EB3D31" w14:textId="77777777" w:rsidR="007B1305" w:rsidRPr="000118A3" w:rsidRDefault="007B1305" w:rsidP="00671D7D">
            <w:pPr>
              <w:contextualSpacing/>
              <w:jc w:val="center"/>
              <w:rPr>
                <w:rFonts w:ascii="Times New Roman" w:hAnsi="Times New Roman" w:cs="Times New Roman"/>
                <w:bCs/>
                <w:sz w:val="22"/>
                <w:szCs w:val="22"/>
              </w:rPr>
            </w:pPr>
          </w:p>
        </w:tc>
      </w:tr>
      <w:tr w:rsidR="007B1305" w:rsidRPr="000118A3" w14:paraId="44496334" w14:textId="77777777" w:rsidTr="00671D7D">
        <w:tc>
          <w:tcPr>
            <w:tcW w:w="3150" w:type="dxa"/>
          </w:tcPr>
          <w:p w14:paraId="76CDEAA5" w14:textId="77777777" w:rsidR="007B1305" w:rsidRPr="000118A3" w:rsidRDefault="007B1305" w:rsidP="007B1305">
            <w:pPr>
              <w:pStyle w:val="ListParagraph"/>
              <w:numPr>
                <w:ilvl w:val="0"/>
                <w:numId w:val="124"/>
              </w:numPr>
              <w:ind w:left="346" w:right="150"/>
              <w:rPr>
                <w:rFonts w:ascii="Times New Roman" w:hAnsi="Times New Roman" w:cs="Times New Roman"/>
                <w:sz w:val="22"/>
                <w:szCs w:val="22"/>
              </w:rPr>
            </w:pPr>
            <w:r w:rsidRPr="000118A3">
              <w:rPr>
                <w:rFonts w:ascii="Times New Roman" w:hAnsi="Times New Roman" w:cs="Times New Roman"/>
                <w:sz w:val="22"/>
                <w:szCs w:val="22"/>
              </w:rPr>
              <w:t xml:space="preserve">Indonesian Maritime Security Agency (BAKAMLA) </w:t>
            </w:r>
          </w:p>
        </w:tc>
        <w:tc>
          <w:tcPr>
            <w:tcW w:w="990" w:type="dxa"/>
            <w:vAlign w:val="center"/>
          </w:tcPr>
          <w:p w14:paraId="54AFC00A"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1170" w:type="dxa"/>
            <w:vAlign w:val="center"/>
          </w:tcPr>
          <w:p w14:paraId="75672276"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c>
          <w:tcPr>
            <w:tcW w:w="900" w:type="dxa"/>
            <w:vAlign w:val="center"/>
          </w:tcPr>
          <w:p w14:paraId="10A1F91D" w14:textId="77777777" w:rsidR="007B1305" w:rsidRPr="000118A3" w:rsidRDefault="007B1305" w:rsidP="00671D7D">
            <w:pPr>
              <w:contextualSpacing/>
              <w:jc w:val="center"/>
              <w:rPr>
                <w:rFonts w:ascii="Times New Roman" w:hAnsi="Times New Roman" w:cs="Times New Roman"/>
                <w:bCs/>
                <w:sz w:val="22"/>
                <w:szCs w:val="22"/>
              </w:rPr>
            </w:pPr>
          </w:p>
        </w:tc>
        <w:tc>
          <w:tcPr>
            <w:tcW w:w="1080" w:type="dxa"/>
            <w:vAlign w:val="center"/>
          </w:tcPr>
          <w:p w14:paraId="30DE84E9" w14:textId="77777777" w:rsidR="007B1305" w:rsidRPr="000118A3" w:rsidRDefault="007B1305" w:rsidP="00671D7D">
            <w:pPr>
              <w:contextualSpacing/>
              <w:jc w:val="center"/>
              <w:rPr>
                <w:rFonts w:ascii="Times New Roman" w:hAnsi="Times New Roman" w:cs="Times New Roman"/>
                <w:bCs/>
                <w:sz w:val="22"/>
                <w:szCs w:val="22"/>
              </w:rPr>
            </w:pPr>
          </w:p>
        </w:tc>
        <w:tc>
          <w:tcPr>
            <w:tcW w:w="1170" w:type="dxa"/>
            <w:vAlign w:val="center"/>
          </w:tcPr>
          <w:p w14:paraId="639D9B09" w14:textId="77777777" w:rsidR="007B1305" w:rsidRPr="000118A3" w:rsidRDefault="007B1305" w:rsidP="00671D7D">
            <w:pPr>
              <w:contextualSpacing/>
              <w:jc w:val="center"/>
              <w:rPr>
                <w:rFonts w:ascii="Times New Roman" w:hAnsi="Times New Roman" w:cs="Times New Roman"/>
                <w:bCs/>
                <w:sz w:val="22"/>
                <w:szCs w:val="22"/>
              </w:rPr>
            </w:pPr>
          </w:p>
        </w:tc>
        <w:tc>
          <w:tcPr>
            <w:tcW w:w="990" w:type="dxa"/>
            <w:vAlign w:val="center"/>
          </w:tcPr>
          <w:p w14:paraId="3051918C" w14:textId="77777777" w:rsidR="007B1305" w:rsidRPr="000118A3" w:rsidRDefault="007B1305" w:rsidP="00671D7D">
            <w:pPr>
              <w:contextualSpacing/>
              <w:jc w:val="center"/>
              <w:rPr>
                <w:rFonts w:ascii="Times New Roman" w:hAnsi="Times New Roman" w:cs="Times New Roman"/>
                <w:bCs/>
                <w:sz w:val="22"/>
                <w:szCs w:val="22"/>
              </w:rPr>
            </w:pPr>
            <w:r w:rsidRPr="000118A3">
              <w:rPr>
                <w:rFonts w:ascii="Times New Roman" w:hAnsi="Times New Roman" w:cs="Times New Roman"/>
                <w:bCs/>
                <w:sz w:val="22"/>
                <w:szCs w:val="22"/>
              </w:rPr>
              <w:t>V</w:t>
            </w:r>
          </w:p>
        </w:tc>
      </w:tr>
    </w:tbl>
    <w:p w14:paraId="4E622BA2" w14:textId="64343319" w:rsidR="007B1305" w:rsidRPr="000118A3" w:rsidRDefault="007B1305" w:rsidP="007B1305">
      <w:pPr>
        <w:pStyle w:val="BodyText"/>
        <w:spacing w:before="188"/>
        <w:rPr>
          <w:rFonts w:ascii="Times New Roman" w:hAnsi="Times New Roman" w:cs="Times New Roman"/>
          <w:b/>
          <w:bCs/>
          <w:color w:val="0070C0"/>
        </w:rPr>
      </w:pPr>
      <w:r w:rsidRPr="000118A3">
        <w:rPr>
          <w:rFonts w:ascii="Times New Roman" w:hAnsi="Times New Roman" w:cs="Times New Roman"/>
        </w:rPr>
        <w:lastRenderedPageBreak/>
        <w:t xml:space="preserve">Three provinces (Kepulauan Riau Province, Bengka Belitung Province, West Kalimantan Province) and twenty regencies/cities in Indonesia share borders with the South China Sea (SCS) waters (see </w:t>
      </w:r>
      <w:r w:rsidR="00600CEE">
        <w:rPr>
          <w:rFonts w:ascii="Times New Roman" w:hAnsi="Times New Roman" w:cs="Times New Roman"/>
        </w:rPr>
        <w:t>Appendix</w:t>
      </w:r>
      <w:r w:rsidRPr="000118A3">
        <w:rPr>
          <w:rFonts w:ascii="Times New Roman" w:hAnsi="Times New Roman" w:cs="Times New Roman"/>
        </w:rPr>
        <w:t xml:space="preserve"> </w:t>
      </w:r>
      <w:r w:rsidR="00295B8A">
        <w:rPr>
          <w:rFonts w:ascii="Times New Roman" w:hAnsi="Times New Roman" w:cs="Times New Roman"/>
        </w:rPr>
        <w:t>6.</w:t>
      </w:r>
      <w:r w:rsidRPr="000118A3">
        <w:rPr>
          <w:rFonts w:ascii="Times New Roman" w:hAnsi="Times New Roman" w:cs="Times New Roman"/>
        </w:rPr>
        <w:t>7).</w:t>
      </w:r>
    </w:p>
    <w:p w14:paraId="4C4CE485" w14:textId="3734575A" w:rsidR="007B1305" w:rsidRPr="000118A3" w:rsidRDefault="007B1305" w:rsidP="000B4226">
      <w:pPr>
        <w:pStyle w:val="BodyText"/>
        <w:numPr>
          <w:ilvl w:val="2"/>
          <w:numId w:val="145"/>
        </w:numPr>
        <w:spacing w:before="188"/>
        <w:rPr>
          <w:rFonts w:ascii="Times New Roman" w:hAnsi="Times New Roman" w:cs="Times New Roman"/>
          <w:b/>
          <w:bCs/>
          <w:color w:val="0070C0"/>
        </w:rPr>
      </w:pPr>
      <w:r w:rsidRPr="000118A3">
        <w:rPr>
          <w:rFonts w:ascii="Times New Roman" w:hAnsi="Times New Roman" w:cs="Times New Roman"/>
          <w:b/>
          <w:bCs/>
          <w:color w:val="0070C0"/>
        </w:rPr>
        <w:t xml:space="preserve">Legal Policy Setting </w:t>
      </w:r>
    </w:p>
    <w:p w14:paraId="5F2D579D" w14:textId="321A682A" w:rsidR="007B1305" w:rsidRDefault="007B1305" w:rsidP="007B1305">
      <w:pPr>
        <w:pBdr>
          <w:top w:val="nil"/>
          <w:left w:val="nil"/>
          <w:bottom w:val="nil"/>
          <w:right w:val="nil"/>
          <w:between w:val="nil"/>
        </w:pBdr>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The governance of Indonesia's coastal and marine waters in the South China Sea (SCS) is framed by a combination of international agreements and domestic legal hierarchy comprising laws, government regulations, presidential regulations, and ministerial regulations.  These instruments collectively address various management concerns in the region, as detailed in </w:t>
      </w:r>
      <w:r w:rsidR="00D84F7F" w:rsidRPr="000118A3">
        <w:rPr>
          <w:rFonts w:ascii="Times New Roman" w:hAnsi="Times New Roman" w:cs="Times New Roman"/>
          <w:color w:val="000000"/>
          <w:sz w:val="22"/>
          <w:szCs w:val="22"/>
        </w:rPr>
        <w:t>Table</w:t>
      </w:r>
      <w:r w:rsidRPr="000118A3">
        <w:rPr>
          <w:rFonts w:ascii="Times New Roman" w:hAnsi="Times New Roman" w:cs="Times New Roman"/>
          <w:color w:val="000000"/>
          <w:sz w:val="22"/>
          <w:szCs w:val="22"/>
        </w:rPr>
        <w:t xml:space="preserve"> </w:t>
      </w:r>
      <w:r w:rsidR="00612A70">
        <w:rPr>
          <w:rFonts w:ascii="Times New Roman" w:hAnsi="Times New Roman" w:cs="Times New Roman"/>
          <w:color w:val="000000"/>
          <w:sz w:val="22"/>
          <w:szCs w:val="22"/>
        </w:rPr>
        <w:t>19.</w:t>
      </w:r>
    </w:p>
    <w:p w14:paraId="09EF8E25" w14:textId="77777777" w:rsidR="00612A70" w:rsidRPr="000118A3" w:rsidRDefault="00612A70" w:rsidP="007B1305">
      <w:pPr>
        <w:pBdr>
          <w:top w:val="nil"/>
          <w:left w:val="nil"/>
          <w:bottom w:val="nil"/>
          <w:right w:val="nil"/>
          <w:between w:val="nil"/>
        </w:pBdr>
        <w:jc w:val="both"/>
        <w:rPr>
          <w:rFonts w:ascii="Times New Roman" w:hAnsi="Times New Roman" w:cs="Times New Roman"/>
          <w:color w:val="000000"/>
          <w:sz w:val="22"/>
          <w:szCs w:val="22"/>
        </w:rPr>
      </w:pPr>
    </w:p>
    <w:p w14:paraId="7A5433BA" w14:textId="3B15E6E8" w:rsidR="007B1305" w:rsidRPr="000B4226" w:rsidRDefault="00612A70" w:rsidP="00612A70">
      <w:pPr>
        <w:pStyle w:val="Caption"/>
        <w:rPr>
          <w:rFonts w:ascii="Times New Roman" w:hAnsi="Times New Roman" w:cs="Times New Roman"/>
          <w:i w:val="0"/>
          <w:iCs w:val="0"/>
          <w:color w:val="auto"/>
          <w:sz w:val="22"/>
          <w:szCs w:val="22"/>
        </w:rPr>
      </w:pPr>
      <w:bookmarkStart w:id="177" w:name="_Toc217297664"/>
      <w:r w:rsidRPr="00612A70">
        <w:rPr>
          <w:rFonts w:ascii="Times New Roman" w:hAnsi="Times New Roman" w:cs="Times New Roman"/>
          <w:i w:val="0"/>
          <w:iCs w:val="0"/>
          <w:color w:val="000000" w:themeColor="text1"/>
          <w:sz w:val="22"/>
          <w:szCs w:val="22"/>
        </w:rPr>
        <w:t xml:space="preserve">Table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Table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19</w:t>
      </w:r>
      <w:r w:rsidRPr="00612A70">
        <w:rPr>
          <w:rFonts w:ascii="Times New Roman" w:hAnsi="Times New Roman" w:cs="Times New Roman"/>
          <w:i w:val="0"/>
          <w:iCs w:val="0"/>
          <w:color w:val="000000" w:themeColor="text1"/>
          <w:sz w:val="22"/>
          <w:szCs w:val="22"/>
        </w:rPr>
        <w:fldChar w:fldCharType="end"/>
      </w:r>
      <w:r w:rsidRPr="00612A70">
        <w:rPr>
          <w:rFonts w:ascii="Times New Roman" w:hAnsi="Times New Roman" w:cs="Times New Roman"/>
          <w:i w:val="0"/>
          <w:iCs w:val="0"/>
          <w:color w:val="000000" w:themeColor="text1"/>
          <w:sz w:val="22"/>
          <w:szCs w:val="22"/>
        </w:rPr>
        <w:t xml:space="preserve"> </w:t>
      </w:r>
      <w:r w:rsidR="007B1305" w:rsidRPr="000B4226">
        <w:rPr>
          <w:rFonts w:ascii="Times New Roman" w:hAnsi="Times New Roman" w:cs="Times New Roman"/>
          <w:i w:val="0"/>
          <w:iCs w:val="0"/>
          <w:color w:val="auto"/>
          <w:sz w:val="22"/>
          <w:szCs w:val="22"/>
        </w:rPr>
        <w:t>Legal Basis of International and Indonesia Regulation concerning to South China Sea waters</w:t>
      </w:r>
      <w:bookmarkEnd w:id="177"/>
    </w:p>
    <w:tbl>
      <w:tblPr>
        <w:tblStyle w:val="GridTable1Light"/>
        <w:tblW w:w="9355" w:type="dxa"/>
        <w:tblLook w:val="04A0" w:firstRow="1" w:lastRow="0" w:firstColumn="1" w:lastColumn="0" w:noHBand="0" w:noVBand="1"/>
      </w:tblPr>
      <w:tblGrid>
        <w:gridCol w:w="540"/>
        <w:gridCol w:w="1895"/>
        <w:gridCol w:w="1398"/>
        <w:gridCol w:w="5522"/>
      </w:tblGrid>
      <w:tr w:rsidR="007B1305" w:rsidRPr="000118A3" w14:paraId="41F9DF1D" w14:textId="77777777" w:rsidTr="00671D7D">
        <w:trPr>
          <w:cnfStyle w:val="100000000000" w:firstRow="1" w:lastRow="0" w:firstColumn="0" w:lastColumn="0" w:oddVBand="0" w:evenVBand="0" w:oddHBand="0" w:evenHBand="0" w:firstRowFirstColumn="0" w:firstRowLastColumn="0" w:lastRowFirstColumn="0" w:lastRowLastColumn="0"/>
          <w:trHeight w:val="315"/>
          <w:tblHeader/>
        </w:trPr>
        <w:tc>
          <w:tcPr>
            <w:cnfStyle w:val="001000000000" w:firstRow="0" w:lastRow="0" w:firstColumn="1" w:lastColumn="0" w:oddVBand="0" w:evenVBand="0" w:oddHBand="0" w:evenHBand="0" w:firstRowFirstColumn="0" w:firstRowLastColumn="0" w:lastRowFirstColumn="0" w:lastRowLastColumn="0"/>
            <w:tcW w:w="0" w:type="auto"/>
            <w:shd w:val="clear" w:color="auto" w:fill="EAEDF1" w:themeFill="text2" w:themeFillTint="1A"/>
            <w:vAlign w:val="center"/>
            <w:hideMark/>
          </w:tcPr>
          <w:p w14:paraId="0B514F2C" w14:textId="77777777" w:rsidR="007B1305" w:rsidRPr="000118A3" w:rsidRDefault="007B1305" w:rsidP="00671D7D">
            <w:pPr>
              <w:contextualSpacing/>
              <w:jc w:val="center"/>
              <w:rPr>
                <w:rFonts w:ascii="Times New Roman" w:hAnsi="Times New Roman" w:cs="Times New Roman"/>
                <w:sz w:val="22"/>
                <w:szCs w:val="22"/>
              </w:rPr>
            </w:pPr>
            <w:r w:rsidRPr="000118A3">
              <w:rPr>
                <w:rFonts w:ascii="Times New Roman" w:hAnsi="Times New Roman" w:cs="Times New Roman"/>
                <w:sz w:val="22"/>
                <w:szCs w:val="22"/>
              </w:rPr>
              <w:t>No.</w:t>
            </w:r>
          </w:p>
        </w:tc>
        <w:tc>
          <w:tcPr>
            <w:tcW w:w="1742" w:type="dxa"/>
            <w:shd w:val="clear" w:color="auto" w:fill="EAEDF1" w:themeFill="text2" w:themeFillTint="1A"/>
            <w:vAlign w:val="center"/>
            <w:hideMark/>
          </w:tcPr>
          <w:p w14:paraId="49571457" w14:textId="77777777" w:rsidR="007B1305" w:rsidRPr="000118A3" w:rsidRDefault="007B1305" w:rsidP="00671D7D">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Level</w:t>
            </w:r>
          </w:p>
        </w:tc>
        <w:tc>
          <w:tcPr>
            <w:tcW w:w="0" w:type="auto"/>
            <w:shd w:val="clear" w:color="auto" w:fill="EAEDF1" w:themeFill="text2" w:themeFillTint="1A"/>
            <w:vAlign w:val="center"/>
            <w:hideMark/>
          </w:tcPr>
          <w:p w14:paraId="2CB420C7" w14:textId="77777777" w:rsidR="007B1305" w:rsidRPr="000118A3" w:rsidRDefault="007B1305" w:rsidP="00671D7D">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Concern Issue</w:t>
            </w:r>
          </w:p>
        </w:tc>
        <w:tc>
          <w:tcPr>
            <w:tcW w:w="5568" w:type="dxa"/>
            <w:shd w:val="clear" w:color="auto" w:fill="EAEDF1" w:themeFill="text2" w:themeFillTint="1A"/>
            <w:vAlign w:val="center"/>
            <w:hideMark/>
          </w:tcPr>
          <w:p w14:paraId="155A3D99" w14:textId="77777777" w:rsidR="007B1305" w:rsidRPr="000118A3" w:rsidRDefault="007B1305" w:rsidP="00671D7D">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Contents Related to SCS</w:t>
            </w:r>
          </w:p>
        </w:tc>
      </w:tr>
      <w:tr w:rsidR="007B1305" w:rsidRPr="000118A3" w14:paraId="7F707999"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29F12EC8" w14:textId="77777777" w:rsidR="007B1305" w:rsidRPr="000118A3" w:rsidRDefault="007B1305" w:rsidP="00671D7D">
            <w:pPr>
              <w:contextualSpacing/>
              <w:rPr>
                <w:rFonts w:ascii="Times New Roman" w:hAnsi="Times New Roman" w:cs="Times New Roman"/>
                <w:sz w:val="22"/>
                <w:szCs w:val="22"/>
              </w:rPr>
            </w:pPr>
            <w:r w:rsidRPr="000118A3">
              <w:rPr>
                <w:rFonts w:ascii="Times New Roman" w:hAnsi="Times New Roman" w:cs="Times New Roman"/>
                <w:sz w:val="22"/>
                <w:szCs w:val="22"/>
              </w:rPr>
              <w:t>1</w:t>
            </w:r>
          </w:p>
        </w:tc>
        <w:tc>
          <w:tcPr>
            <w:tcW w:w="1742" w:type="dxa"/>
            <w:vMerge w:val="restart"/>
            <w:hideMark/>
          </w:tcPr>
          <w:p w14:paraId="249C80EE"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International Agreement</w:t>
            </w:r>
          </w:p>
        </w:tc>
        <w:tc>
          <w:tcPr>
            <w:tcW w:w="0" w:type="auto"/>
            <w:vMerge w:val="restart"/>
            <w:hideMark/>
          </w:tcPr>
          <w:p w14:paraId="230AEEDF"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Socio economic and climate threat</w:t>
            </w:r>
          </w:p>
        </w:tc>
        <w:tc>
          <w:tcPr>
            <w:tcW w:w="5568" w:type="dxa"/>
            <w:hideMark/>
          </w:tcPr>
          <w:p w14:paraId="757AB4A1"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UNCLOS 1982 (ZEE Indonesia)</w:t>
            </w:r>
          </w:p>
        </w:tc>
      </w:tr>
      <w:tr w:rsidR="007B1305" w:rsidRPr="000118A3" w14:paraId="4A15425C"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18F5DF31"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2B8010F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6B1806CF"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13CA11B0"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The Kyoto Protocol (Climate Change)</w:t>
            </w:r>
          </w:p>
        </w:tc>
      </w:tr>
      <w:tr w:rsidR="007B1305" w:rsidRPr="000118A3" w14:paraId="1AC53AB5"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2C9FB0D2"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054F234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480872F1"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072E6AD6"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Paris Agreement (Climate change)</w:t>
            </w:r>
          </w:p>
        </w:tc>
      </w:tr>
      <w:tr w:rsidR="007B1305" w:rsidRPr="000118A3" w14:paraId="6BA65E78"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1B69F69E"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4B26BC1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280B0DD5"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4B1E7CCB"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UN Framework Convention on Climate Change (Climate change)</w:t>
            </w:r>
          </w:p>
        </w:tc>
      </w:tr>
      <w:tr w:rsidR="007B1305" w:rsidRPr="000118A3" w14:paraId="5F81392F"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688322EB"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09DF7EFF"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val="restart"/>
          </w:tcPr>
          <w:p w14:paraId="5E17A625"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Pollution</w:t>
            </w:r>
          </w:p>
        </w:tc>
        <w:tc>
          <w:tcPr>
            <w:tcW w:w="5568" w:type="dxa"/>
          </w:tcPr>
          <w:p w14:paraId="4C4DCB6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IMO Regulation (Transportation)</w:t>
            </w:r>
          </w:p>
        </w:tc>
      </w:tr>
      <w:tr w:rsidR="007B1305" w:rsidRPr="000118A3" w14:paraId="72228FCA"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B7BA932"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5216DD4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52348972"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4489B647"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The Basel Convention No.22/1989 (Pollution)</w:t>
            </w:r>
          </w:p>
        </w:tc>
      </w:tr>
      <w:tr w:rsidR="007B1305" w:rsidRPr="000118A3" w14:paraId="2CAFB6D7"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32F33BF5"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384FFE5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6FDD55B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192E9FA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Rotterdam Convention (Pollution)</w:t>
            </w:r>
          </w:p>
        </w:tc>
      </w:tr>
      <w:tr w:rsidR="007B1305" w:rsidRPr="000118A3" w14:paraId="41BBA41C"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6C062288"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42679FB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1C67D18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55DE06E7"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Stockholm Convention (Pollution)</w:t>
            </w:r>
          </w:p>
        </w:tc>
      </w:tr>
      <w:tr w:rsidR="007B1305" w:rsidRPr="000118A3" w14:paraId="38E6E168"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569397FE"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773AD29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26AE23EE"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01A52E1E"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UN Convention to Combat Desertification (Land based pollution)</w:t>
            </w:r>
          </w:p>
        </w:tc>
      </w:tr>
      <w:tr w:rsidR="007B1305" w:rsidRPr="000118A3" w14:paraId="1A7D369B"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C622894"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2CBB73E2"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val="restart"/>
          </w:tcPr>
          <w:p w14:paraId="2E596ED5"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Ecosystem</w:t>
            </w:r>
          </w:p>
        </w:tc>
        <w:tc>
          <w:tcPr>
            <w:tcW w:w="5568" w:type="dxa"/>
          </w:tcPr>
          <w:p w14:paraId="37FDB107"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CBD-Global Biodiversity Framework (Marine Conservation)</w:t>
            </w:r>
          </w:p>
        </w:tc>
      </w:tr>
      <w:tr w:rsidR="007B1305" w:rsidRPr="000118A3" w14:paraId="4CC9BBB5"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50A4A2B6"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5703081E"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2A5B453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0A7BDC9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The Ramsar Convention on Wetlands of International Importance (Ramsar Convention) (Mangrove)</w:t>
            </w:r>
          </w:p>
        </w:tc>
      </w:tr>
      <w:tr w:rsidR="007B1305" w:rsidRPr="000118A3" w14:paraId="25D9C130"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232F374"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27B2AE24"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val="restart"/>
          </w:tcPr>
          <w:p w14:paraId="0CCF5E71"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Fisheries and Aquaculture</w:t>
            </w:r>
          </w:p>
        </w:tc>
        <w:tc>
          <w:tcPr>
            <w:tcW w:w="5568" w:type="dxa"/>
          </w:tcPr>
          <w:p w14:paraId="0A66D3D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The Convention on International Trade in Endangered Species of Wild Fauna and Flora (CITES) (Fisheries)</w:t>
            </w:r>
          </w:p>
        </w:tc>
      </w:tr>
      <w:tr w:rsidR="007B1305" w:rsidRPr="000118A3" w14:paraId="0E2AA4C1"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2DD51F5D"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6420ECD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5E2B5EA1"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40DA34D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The Convention on the Conservation of Migratory Species of Wild Animals (CMS), also known as the Bonn Convention (Fisheries)</w:t>
            </w:r>
          </w:p>
        </w:tc>
      </w:tr>
      <w:tr w:rsidR="007B1305" w:rsidRPr="000118A3" w14:paraId="333E1AC6"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14FF48DF" w14:textId="77777777" w:rsidR="007B1305" w:rsidRPr="000118A3" w:rsidRDefault="007B1305" w:rsidP="00671D7D">
            <w:pPr>
              <w:contextualSpacing/>
              <w:rPr>
                <w:rFonts w:ascii="Times New Roman" w:hAnsi="Times New Roman" w:cs="Times New Roman"/>
                <w:sz w:val="22"/>
                <w:szCs w:val="22"/>
              </w:rPr>
            </w:pPr>
            <w:r w:rsidRPr="000118A3">
              <w:rPr>
                <w:rFonts w:ascii="Times New Roman" w:hAnsi="Times New Roman" w:cs="Times New Roman"/>
                <w:sz w:val="22"/>
                <w:szCs w:val="22"/>
              </w:rPr>
              <w:t>2</w:t>
            </w:r>
          </w:p>
        </w:tc>
        <w:tc>
          <w:tcPr>
            <w:tcW w:w="1742" w:type="dxa"/>
            <w:vMerge w:val="restart"/>
            <w:hideMark/>
          </w:tcPr>
          <w:p w14:paraId="209B54CD"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Laws (Undang-Undang/UU)</w:t>
            </w:r>
          </w:p>
        </w:tc>
        <w:tc>
          <w:tcPr>
            <w:tcW w:w="0" w:type="auto"/>
            <w:vMerge w:val="restart"/>
            <w:hideMark/>
          </w:tcPr>
          <w:p w14:paraId="0211026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Socio economic and climate threat</w:t>
            </w:r>
          </w:p>
        </w:tc>
        <w:tc>
          <w:tcPr>
            <w:tcW w:w="5568" w:type="dxa"/>
            <w:hideMark/>
          </w:tcPr>
          <w:p w14:paraId="61952F22"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 xml:space="preserve">Law 22/2019 on Sustainable Agriculture (Feed, fertilizer) </w:t>
            </w:r>
          </w:p>
        </w:tc>
      </w:tr>
      <w:tr w:rsidR="007B1305" w:rsidRPr="000118A3" w14:paraId="37D24AB5"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095EC3A"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4294662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hideMark/>
          </w:tcPr>
          <w:p w14:paraId="521FD46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hideMark/>
          </w:tcPr>
          <w:p w14:paraId="2A23BB3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 xml:space="preserve">Law 32/2014 on Maritime (Maritime zones, underwater cable, maritime safety and sovereignty) </w:t>
            </w:r>
          </w:p>
        </w:tc>
      </w:tr>
      <w:tr w:rsidR="007B1305" w:rsidRPr="000118A3" w14:paraId="767346A7"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1988C2CB"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2EA5B2B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hideMark/>
          </w:tcPr>
          <w:p w14:paraId="25C5456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1C049275"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Law 59/2024 on National Long Term Development Plan 2025-2045 (Blue Economy)</w:t>
            </w:r>
          </w:p>
        </w:tc>
      </w:tr>
      <w:tr w:rsidR="007B1305" w:rsidRPr="000118A3" w14:paraId="07FC7C7B"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3F6A5EB1"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6EBF870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val="restart"/>
            <w:hideMark/>
          </w:tcPr>
          <w:p w14:paraId="44AC633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Pollution</w:t>
            </w:r>
          </w:p>
        </w:tc>
        <w:tc>
          <w:tcPr>
            <w:tcW w:w="5568" w:type="dxa"/>
            <w:hideMark/>
          </w:tcPr>
          <w:p w14:paraId="246669FB"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Law No. 32/2024 on Natural Resource Conservation (Pollution)</w:t>
            </w:r>
          </w:p>
        </w:tc>
      </w:tr>
      <w:tr w:rsidR="007B1305" w:rsidRPr="000118A3" w14:paraId="46B4C6F3"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C403A4B"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4709579E"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hideMark/>
          </w:tcPr>
          <w:p w14:paraId="4C73125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7593EB3F"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sz w:val="22"/>
                <w:szCs w:val="22"/>
              </w:rPr>
              <w:t>Law 66/2024 Third Amendment to Law Number 17 of 2008 concerning Shipping</w:t>
            </w:r>
            <w:r w:rsidRPr="000118A3">
              <w:rPr>
                <w:rFonts w:ascii="Times New Roman" w:hAnsi="Times New Roman" w:cs="Times New Roman"/>
                <w:b/>
                <w:bCs/>
                <w:sz w:val="22"/>
                <w:szCs w:val="22"/>
              </w:rPr>
              <w:t xml:space="preserve"> </w:t>
            </w:r>
            <w:r w:rsidRPr="000118A3">
              <w:rPr>
                <w:rFonts w:ascii="Times New Roman" w:hAnsi="Times New Roman" w:cs="Times New Roman"/>
                <w:sz w:val="22"/>
                <w:szCs w:val="22"/>
              </w:rPr>
              <w:t>(Sea Transportation)</w:t>
            </w:r>
          </w:p>
        </w:tc>
      </w:tr>
      <w:tr w:rsidR="007B1305" w:rsidRPr="000118A3" w14:paraId="681B5306"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tcPr>
          <w:p w14:paraId="204123E2" w14:textId="77777777" w:rsidR="007B1305" w:rsidRPr="000118A3" w:rsidRDefault="007B1305" w:rsidP="00671D7D">
            <w:pPr>
              <w:contextualSpacing/>
              <w:rPr>
                <w:rFonts w:ascii="Times New Roman" w:hAnsi="Times New Roman" w:cs="Times New Roman"/>
                <w:sz w:val="22"/>
                <w:szCs w:val="22"/>
              </w:rPr>
            </w:pPr>
          </w:p>
        </w:tc>
        <w:tc>
          <w:tcPr>
            <w:tcW w:w="1742" w:type="dxa"/>
            <w:vMerge/>
          </w:tcPr>
          <w:p w14:paraId="7E0A5324"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6D24753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2AB11FBD"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 xml:space="preserve">Law No.  32/2024 on Natural Resource Conservation  </w:t>
            </w:r>
          </w:p>
        </w:tc>
      </w:tr>
      <w:tr w:rsidR="007B1305" w:rsidRPr="000118A3" w14:paraId="241F47F3"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B4D0450"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54AB69E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val="restart"/>
            <w:hideMark/>
          </w:tcPr>
          <w:p w14:paraId="4F0B5C20"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Ecosystem</w:t>
            </w:r>
          </w:p>
        </w:tc>
        <w:tc>
          <w:tcPr>
            <w:tcW w:w="5568" w:type="dxa"/>
            <w:hideMark/>
          </w:tcPr>
          <w:p w14:paraId="01DA05DB"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Law No. 32/2024 on Natural Resource Conservation (Mangrove)</w:t>
            </w:r>
          </w:p>
        </w:tc>
      </w:tr>
      <w:tr w:rsidR="007B1305" w:rsidRPr="000118A3" w14:paraId="5E164353"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tcPr>
          <w:p w14:paraId="5F180141" w14:textId="77777777" w:rsidR="007B1305" w:rsidRPr="000118A3" w:rsidRDefault="007B1305" w:rsidP="00671D7D">
            <w:pPr>
              <w:contextualSpacing/>
              <w:rPr>
                <w:rFonts w:ascii="Times New Roman" w:hAnsi="Times New Roman" w:cs="Times New Roman"/>
                <w:sz w:val="22"/>
                <w:szCs w:val="22"/>
              </w:rPr>
            </w:pPr>
          </w:p>
        </w:tc>
        <w:tc>
          <w:tcPr>
            <w:tcW w:w="1742" w:type="dxa"/>
            <w:vMerge/>
          </w:tcPr>
          <w:p w14:paraId="36F51280"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tcPr>
          <w:p w14:paraId="72D383F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3779FE1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 xml:space="preserve">Law 41/1999 on Forestry  </w:t>
            </w:r>
          </w:p>
        </w:tc>
      </w:tr>
      <w:tr w:rsidR="007B1305" w:rsidRPr="000118A3" w14:paraId="6EFEE795"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1721A81D"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013B15A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val="restart"/>
            <w:hideMark/>
          </w:tcPr>
          <w:p w14:paraId="52BAC5E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Fisheries and Aquaculture</w:t>
            </w:r>
          </w:p>
        </w:tc>
        <w:tc>
          <w:tcPr>
            <w:tcW w:w="5568" w:type="dxa"/>
            <w:hideMark/>
          </w:tcPr>
          <w:p w14:paraId="624793D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Law 11/2020 on Job Creation (fisheries)</w:t>
            </w:r>
          </w:p>
        </w:tc>
      </w:tr>
      <w:tr w:rsidR="007B1305" w:rsidRPr="000118A3" w14:paraId="42D23EF4"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4407287A"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61A8B925"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hideMark/>
          </w:tcPr>
          <w:p w14:paraId="20D39EB4"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717C2632"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Law 45/2014 on Fisheries (Fisheries (capture and aquaculture))</w:t>
            </w:r>
          </w:p>
        </w:tc>
      </w:tr>
      <w:tr w:rsidR="007B1305" w:rsidRPr="000118A3" w14:paraId="5084E7C6"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16C5FAF9"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4439DE40"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hideMark/>
          </w:tcPr>
          <w:p w14:paraId="7B10152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3307E264"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Law 23/2014 on Local Government Autonomy (12 nm water authority)</w:t>
            </w:r>
          </w:p>
        </w:tc>
      </w:tr>
      <w:tr w:rsidR="007B1305" w:rsidRPr="000118A3" w14:paraId="044A9B4C"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15BC81C8"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7BCB89E1"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hideMark/>
          </w:tcPr>
          <w:p w14:paraId="4A756DBB"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15FF757B"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Law 5/1983 on Indonesia Economic Exclusive Zone (Fisheries)</w:t>
            </w:r>
          </w:p>
        </w:tc>
      </w:tr>
      <w:tr w:rsidR="007B1305" w:rsidRPr="000118A3" w14:paraId="4333ACC9"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3D345B25" w14:textId="77777777" w:rsidR="007B1305" w:rsidRPr="000118A3" w:rsidRDefault="007B1305" w:rsidP="00671D7D">
            <w:pPr>
              <w:contextualSpacing/>
              <w:rPr>
                <w:rFonts w:ascii="Times New Roman" w:hAnsi="Times New Roman" w:cs="Times New Roman"/>
                <w:sz w:val="22"/>
                <w:szCs w:val="22"/>
              </w:rPr>
            </w:pPr>
            <w:r w:rsidRPr="000118A3">
              <w:rPr>
                <w:rFonts w:ascii="Times New Roman" w:hAnsi="Times New Roman" w:cs="Times New Roman"/>
                <w:sz w:val="22"/>
                <w:szCs w:val="22"/>
              </w:rPr>
              <w:t>3</w:t>
            </w:r>
          </w:p>
        </w:tc>
        <w:tc>
          <w:tcPr>
            <w:tcW w:w="1742" w:type="dxa"/>
            <w:vMerge w:val="restart"/>
            <w:hideMark/>
          </w:tcPr>
          <w:p w14:paraId="1C997E8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Government Regulation/GR (Peraturan Pemerintah/PP)</w:t>
            </w:r>
          </w:p>
        </w:tc>
        <w:tc>
          <w:tcPr>
            <w:tcW w:w="0" w:type="auto"/>
            <w:hideMark/>
          </w:tcPr>
          <w:p w14:paraId="47988E1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Socio economic and climate threat</w:t>
            </w:r>
          </w:p>
        </w:tc>
        <w:tc>
          <w:tcPr>
            <w:tcW w:w="5568" w:type="dxa"/>
            <w:hideMark/>
          </w:tcPr>
          <w:p w14:paraId="4290AC6D"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GR 13/2022 on Implementation of the Implementation of Safety, Security, and Law Enforcement in the Indonesian Waters and Jurisdictional Waters of Indonesia (Sea safety and security)</w:t>
            </w:r>
          </w:p>
        </w:tc>
      </w:tr>
      <w:tr w:rsidR="007B1305" w:rsidRPr="000118A3" w14:paraId="1368A003"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30787708"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187B49D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hideMark/>
          </w:tcPr>
          <w:p w14:paraId="4CCCB870"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Pollution</w:t>
            </w:r>
          </w:p>
        </w:tc>
        <w:tc>
          <w:tcPr>
            <w:tcW w:w="5568" w:type="dxa"/>
            <w:hideMark/>
          </w:tcPr>
          <w:p w14:paraId="64CC79C6"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GR  22/2021 on the Implementation of Environmental Protection and Management</w:t>
            </w:r>
          </w:p>
        </w:tc>
      </w:tr>
      <w:tr w:rsidR="007B1305" w:rsidRPr="000118A3" w14:paraId="14AC2DE3" w14:textId="77777777" w:rsidTr="00671D7D">
        <w:trPr>
          <w:trHeight w:val="566"/>
        </w:trPr>
        <w:tc>
          <w:tcPr>
            <w:cnfStyle w:val="001000000000" w:firstRow="0" w:lastRow="0" w:firstColumn="1" w:lastColumn="0" w:oddVBand="0" w:evenVBand="0" w:oddHBand="0" w:evenHBand="0" w:firstRowFirstColumn="0" w:firstRowLastColumn="0" w:lastRowFirstColumn="0" w:lastRowLastColumn="0"/>
            <w:tcW w:w="0" w:type="auto"/>
            <w:vMerge/>
            <w:hideMark/>
          </w:tcPr>
          <w:p w14:paraId="2FCF48F7"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3E2EF636"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hideMark/>
          </w:tcPr>
          <w:p w14:paraId="2AA83E3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Ecosystem</w:t>
            </w:r>
          </w:p>
        </w:tc>
        <w:tc>
          <w:tcPr>
            <w:tcW w:w="5568" w:type="dxa"/>
            <w:hideMark/>
          </w:tcPr>
          <w:p w14:paraId="1367EAE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GR 27/2025 on Management and Conservation of Mangrove Ecosystem (Mangrove)</w:t>
            </w:r>
          </w:p>
        </w:tc>
      </w:tr>
      <w:tr w:rsidR="007B1305" w:rsidRPr="000118A3" w14:paraId="51AE70B0"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2C692240"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5853C15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val="restart"/>
            <w:hideMark/>
          </w:tcPr>
          <w:p w14:paraId="202D53D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Fisheries and Aquaculture</w:t>
            </w:r>
          </w:p>
        </w:tc>
        <w:tc>
          <w:tcPr>
            <w:tcW w:w="5568" w:type="dxa"/>
            <w:hideMark/>
          </w:tcPr>
          <w:p w14:paraId="05F63726"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GR 27/2021 on the Implementation of Marine Affair and Fisheries</w:t>
            </w:r>
          </w:p>
        </w:tc>
      </w:tr>
      <w:tr w:rsidR="007B1305" w:rsidRPr="000118A3" w14:paraId="32EB342C"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2C25FF82"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48C7E376"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hideMark/>
          </w:tcPr>
          <w:p w14:paraId="376DF96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hideMark/>
          </w:tcPr>
          <w:p w14:paraId="11061F4B"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 xml:space="preserve">GR 11/2023 on Quota Based Fisheries Management </w:t>
            </w:r>
          </w:p>
        </w:tc>
      </w:tr>
      <w:tr w:rsidR="007B1305" w:rsidRPr="000118A3" w14:paraId="0E3A44CB"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043D511B"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3F5D397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hideMark/>
          </w:tcPr>
          <w:p w14:paraId="7672A76D"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hideMark/>
          </w:tcPr>
          <w:p w14:paraId="278E03F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 xml:space="preserve">GR 50/2015 on Fisheries Management Area </w:t>
            </w:r>
          </w:p>
        </w:tc>
      </w:tr>
      <w:tr w:rsidR="007B1305" w:rsidRPr="000118A3" w14:paraId="17ECDF8D"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6C6DC61B" w14:textId="77777777" w:rsidR="007B1305" w:rsidRPr="000118A3" w:rsidRDefault="007B1305" w:rsidP="00671D7D">
            <w:pPr>
              <w:contextualSpacing/>
              <w:rPr>
                <w:rFonts w:ascii="Times New Roman" w:hAnsi="Times New Roman" w:cs="Times New Roman"/>
                <w:sz w:val="22"/>
                <w:szCs w:val="22"/>
              </w:rPr>
            </w:pPr>
            <w:r w:rsidRPr="000118A3">
              <w:rPr>
                <w:rFonts w:ascii="Times New Roman" w:hAnsi="Times New Roman" w:cs="Times New Roman"/>
                <w:sz w:val="22"/>
                <w:szCs w:val="22"/>
              </w:rPr>
              <w:t>4</w:t>
            </w:r>
          </w:p>
        </w:tc>
        <w:tc>
          <w:tcPr>
            <w:tcW w:w="1742" w:type="dxa"/>
            <w:vMerge w:val="restart"/>
            <w:hideMark/>
          </w:tcPr>
          <w:p w14:paraId="4A55FA03"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Presidential Regulation/PR (Peraturan Presiden/Perpres)</w:t>
            </w:r>
          </w:p>
        </w:tc>
        <w:tc>
          <w:tcPr>
            <w:tcW w:w="0" w:type="auto"/>
            <w:hideMark/>
          </w:tcPr>
          <w:p w14:paraId="5F6516D6"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Socio economic and climate threat</w:t>
            </w:r>
          </w:p>
        </w:tc>
        <w:tc>
          <w:tcPr>
            <w:tcW w:w="5568" w:type="dxa"/>
          </w:tcPr>
          <w:p w14:paraId="4429F01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PR 12/2025 on National Medium-Term Development Plan 2025-2029 (Blue economy)</w:t>
            </w:r>
          </w:p>
        </w:tc>
      </w:tr>
      <w:tr w:rsidR="007B1305" w:rsidRPr="000118A3" w14:paraId="3A709F20"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7548F059"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0A39752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hideMark/>
          </w:tcPr>
          <w:p w14:paraId="59502585"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Ecosystem</w:t>
            </w:r>
          </w:p>
        </w:tc>
        <w:tc>
          <w:tcPr>
            <w:tcW w:w="5568" w:type="dxa"/>
            <w:hideMark/>
          </w:tcPr>
          <w:p w14:paraId="72BC3CAD"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PR 98/2021 on the Implementation of Carbon Economic Value for NDC Achievement and GHG Emission Control in National Development (Mangrove, seagrass)</w:t>
            </w:r>
          </w:p>
        </w:tc>
      </w:tr>
      <w:tr w:rsidR="007B1305" w:rsidRPr="000118A3" w14:paraId="7FDD3BC7"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val="restart"/>
            <w:hideMark/>
          </w:tcPr>
          <w:p w14:paraId="0D956638" w14:textId="77777777" w:rsidR="007B1305" w:rsidRPr="000118A3" w:rsidRDefault="007B1305" w:rsidP="00671D7D">
            <w:pPr>
              <w:contextualSpacing/>
              <w:rPr>
                <w:rFonts w:ascii="Times New Roman" w:hAnsi="Times New Roman" w:cs="Times New Roman"/>
                <w:sz w:val="22"/>
                <w:szCs w:val="22"/>
              </w:rPr>
            </w:pPr>
            <w:r w:rsidRPr="000118A3">
              <w:rPr>
                <w:rFonts w:ascii="Times New Roman" w:hAnsi="Times New Roman" w:cs="Times New Roman"/>
                <w:sz w:val="22"/>
                <w:szCs w:val="22"/>
              </w:rPr>
              <w:t>5</w:t>
            </w:r>
          </w:p>
        </w:tc>
        <w:tc>
          <w:tcPr>
            <w:tcW w:w="1742" w:type="dxa"/>
            <w:vMerge w:val="restart"/>
            <w:hideMark/>
          </w:tcPr>
          <w:p w14:paraId="377F32C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Ministerial Regulation/MR</w:t>
            </w:r>
          </w:p>
        </w:tc>
        <w:tc>
          <w:tcPr>
            <w:tcW w:w="0" w:type="auto"/>
            <w:hideMark/>
          </w:tcPr>
          <w:p w14:paraId="25CC0497"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Ecosystem</w:t>
            </w:r>
          </w:p>
        </w:tc>
        <w:tc>
          <w:tcPr>
            <w:tcW w:w="5568" w:type="dxa"/>
            <w:hideMark/>
          </w:tcPr>
          <w:p w14:paraId="1ED8D7D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MR Marine Affair and Fisheries 1/2025 on Procedures for the Implementation of Carbon Economic Value in the Marine Sector (Mangrove, seagrass)</w:t>
            </w:r>
          </w:p>
        </w:tc>
      </w:tr>
      <w:tr w:rsidR="007B1305" w:rsidRPr="000118A3" w14:paraId="27B40885"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654B37FA"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11AF673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val="restart"/>
            <w:hideMark/>
          </w:tcPr>
          <w:p w14:paraId="1118347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r w:rsidRPr="000118A3">
              <w:rPr>
                <w:rFonts w:ascii="Times New Roman" w:hAnsi="Times New Roman" w:cs="Times New Roman"/>
                <w:b/>
                <w:bCs/>
                <w:sz w:val="22"/>
                <w:szCs w:val="22"/>
              </w:rPr>
              <w:t>Fisheries and Aquaculture</w:t>
            </w:r>
          </w:p>
        </w:tc>
        <w:tc>
          <w:tcPr>
            <w:tcW w:w="5568" w:type="dxa"/>
            <w:hideMark/>
          </w:tcPr>
          <w:p w14:paraId="68A1F154"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MR Marine Affair and Fisheries 1/2009 on Fisheries Management Area (FMA 711)</w:t>
            </w:r>
          </w:p>
        </w:tc>
      </w:tr>
      <w:tr w:rsidR="007B1305" w:rsidRPr="000118A3" w14:paraId="3F6B4750"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40B7AA76"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61134A08"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0" w:type="auto"/>
            <w:vMerge/>
            <w:hideMark/>
          </w:tcPr>
          <w:p w14:paraId="3C0BF497"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2"/>
                <w:szCs w:val="22"/>
              </w:rPr>
            </w:pPr>
          </w:p>
        </w:tc>
        <w:tc>
          <w:tcPr>
            <w:tcW w:w="5568" w:type="dxa"/>
          </w:tcPr>
          <w:p w14:paraId="31B31CF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MR Marine Affair and Fisheries 36/2023 on the Placement of Fishing Gear and Fishing Aid in Measured Fishing Zones and Fisheries Management Areas of Indonesia (Capture Fisheries)</w:t>
            </w:r>
          </w:p>
        </w:tc>
      </w:tr>
      <w:tr w:rsidR="007B1305" w:rsidRPr="000118A3" w14:paraId="4ADE6413"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119B8D26"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1782B06A"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0" w:type="auto"/>
            <w:vMerge/>
            <w:hideMark/>
          </w:tcPr>
          <w:p w14:paraId="0BB6A289"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5568" w:type="dxa"/>
          </w:tcPr>
          <w:p w14:paraId="788614F1"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MR Marine Affair and Fisheries 51/2017 on the Fisheries Management Plan in Fisheries Management Area (Capture Fisheries)</w:t>
            </w:r>
          </w:p>
        </w:tc>
      </w:tr>
      <w:tr w:rsidR="007B1305" w:rsidRPr="000118A3" w14:paraId="40D7F985" w14:textId="77777777" w:rsidTr="00671D7D">
        <w:trPr>
          <w:trHeight w:val="315"/>
        </w:trPr>
        <w:tc>
          <w:tcPr>
            <w:cnfStyle w:val="001000000000" w:firstRow="0" w:lastRow="0" w:firstColumn="1" w:lastColumn="0" w:oddVBand="0" w:evenVBand="0" w:oddHBand="0" w:evenHBand="0" w:firstRowFirstColumn="0" w:firstRowLastColumn="0" w:lastRowFirstColumn="0" w:lastRowLastColumn="0"/>
            <w:tcW w:w="0" w:type="auto"/>
            <w:vMerge/>
            <w:hideMark/>
          </w:tcPr>
          <w:p w14:paraId="50B216ED" w14:textId="77777777" w:rsidR="007B1305" w:rsidRPr="000118A3" w:rsidRDefault="007B1305" w:rsidP="00671D7D">
            <w:pPr>
              <w:contextualSpacing/>
              <w:rPr>
                <w:rFonts w:ascii="Times New Roman" w:hAnsi="Times New Roman" w:cs="Times New Roman"/>
                <w:sz w:val="22"/>
                <w:szCs w:val="22"/>
              </w:rPr>
            </w:pPr>
          </w:p>
        </w:tc>
        <w:tc>
          <w:tcPr>
            <w:tcW w:w="1742" w:type="dxa"/>
            <w:vMerge/>
            <w:hideMark/>
          </w:tcPr>
          <w:p w14:paraId="5B265CC2"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0" w:type="auto"/>
            <w:vMerge/>
            <w:hideMark/>
          </w:tcPr>
          <w:p w14:paraId="69C1766F"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p>
        </w:tc>
        <w:tc>
          <w:tcPr>
            <w:tcW w:w="5568" w:type="dxa"/>
          </w:tcPr>
          <w:p w14:paraId="3DE9791C" w14:textId="77777777" w:rsidR="007B1305" w:rsidRPr="000118A3" w:rsidRDefault="007B1305" w:rsidP="00671D7D">
            <w:pPr>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0118A3">
              <w:rPr>
                <w:rFonts w:ascii="Times New Roman" w:hAnsi="Times New Roman" w:cs="Times New Roman"/>
                <w:sz w:val="22"/>
                <w:szCs w:val="22"/>
              </w:rPr>
              <w:t>MR Marine Affair and Fisheries 55/2020 on Procedures, Requirements, and Determination of Aquaculture Areas (Aquaculture)</w:t>
            </w:r>
          </w:p>
        </w:tc>
      </w:tr>
    </w:tbl>
    <w:p w14:paraId="2C6CA61C" w14:textId="74E83229" w:rsidR="007B1305" w:rsidRPr="000118A3" w:rsidRDefault="007B1305" w:rsidP="007B1305">
      <w:pPr>
        <w:pStyle w:val="BodyText"/>
        <w:spacing w:before="188"/>
        <w:rPr>
          <w:rFonts w:ascii="Times New Roman" w:hAnsi="Times New Roman" w:cs="Times New Roman"/>
          <w:b/>
          <w:bCs/>
          <w:color w:val="0070C0"/>
        </w:rPr>
      </w:pPr>
      <w:r w:rsidRPr="000118A3">
        <w:rPr>
          <w:rFonts w:ascii="Times New Roman" w:eastAsia="Aptos" w:hAnsi="Times New Roman" w:cs="Times New Roman"/>
          <w:iCs/>
        </w:rPr>
        <w:t>Regarding the management of specific ecosystems, multiple regulations and policies may coexist in a manner that complement and reinforces each other. For instance, Razak et al. (2022) identified 17 regulations that explicitly stipulate provisions related to the management of coral reef restoration in Indonesia</w:t>
      </w:r>
    </w:p>
    <w:p w14:paraId="42931D64" w14:textId="4DCAC5D4" w:rsidR="007B1305" w:rsidRPr="000118A3" w:rsidRDefault="007B1305" w:rsidP="000B4226">
      <w:pPr>
        <w:pStyle w:val="BodyText"/>
        <w:numPr>
          <w:ilvl w:val="2"/>
          <w:numId w:val="145"/>
        </w:numPr>
        <w:spacing w:before="188"/>
        <w:rPr>
          <w:rFonts w:ascii="Times New Roman" w:hAnsi="Times New Roman" w:cs="Times New Roman"/>
          <w:b/>
          <w:bCs/>
          <w:color w:val="0070C0"/>
        </w:rPr>
      </w:pPr>
      <w:r w:rsidRPr="000118A3">
        <w:rPr>
          <w:rFonts w:ascii="Times New Roman" w:hAnsi="Times New Roman" w:cs="Times New Roman"/>
          <w:b/>
          <w:bCs/>
          <w:color w:val="0070C0"/>
        </w:rPr>
        <w:t xml:space="preserve">Civil Society, Stakeholders and Participation </w:t>
      </w:r>
    </w:p>
    <w:p w14:paraId="5BB49DDE" w14:textId="77777777" w:rsidR="007B1305" w:rsidRPr="000118A3" w:rsidRDefault="007B1305" w:rsidP="000B4226">
      <w:pPr>
        <w:jc w:val="both"/>
        <w:rPr>
          <w:rFonts w:ascii="Times New Roman" w:hAnsi="Times New Roman" w:cs="Times New Roman"/>
          <w:i/>
          <w:iCs/>
          <w:sz w:val="22"/>
          <w:szCs w:val="22"/>
        </w:rPr>
      </w:pPr>
      <w:r w:rsidRPr="000118A3">
        <w:rPr>
          <w:rFonts w:ascii="Times New Roman" w:hAnsi="Times New Roman" w:cs="Times New Roman"/>
          <w:i/>
          <w:iCs/>
          <w:sz w:val="22"/>
          <w:szCs w:val="22"/>
        </w:rPr>
        <w:t xml:space="preserve">Key NGOs and special interest group </w:t>
      </w:r>
    </w:p>
    <w:p w14:paraId="70C73641" w14:textId="2DE86A30" w:rsidR="000B4226" w:rsidRPr="000118A3" w:rsidRDefault="007B1305" w:rsidP="007B1305">
      <w:pPr>
        <w:jc w:val="both"/>
        <w:rPr>
          <w:rFonts w:ascii="Times New Roman" w:hAnsi="Times New Roman" w:cs="Times New Roman"/>
          <w:sz w:val="22"/>
          <w:szCs w:val="22"/>
        </w:rPr>
      </w:pPr>
      <w:r w:rsidRPr="000118A3">
        <w:rPr>
          <w:rFonts w:ascii="Times New Roman" w:hAnsi="Times New Roman" w:cs="Times New Roman"/>
          <w:sz w:val="22"/>
          <w:szCs w:val="22"/>
        </w:rPr>
        <w:t xml:space="preserve">Numerous NGOs and local interest groups engage in South China Sea (SCS) governance, focusing on socio-economic, pollution, ecosystem, and fisheries issues. Their scope ranges from nationwide organizations with local branches to purely local groups, and their interests vary from multi-issue to specialized. While most prioritize coastal/marine pollution, ecosystems, and socio-economic matters, fewer focus on aquaculture and marine capture fisheries. Their specific interests are detailed in </w:t>
      </w:r>
      <w:r w:rsidR="00600CEE">
        <w:rPr>
          <w:rFonts w:ascii="Times New Roman" w:hAnsi="Times New Roman" w:cs="Times New Roman"/>
          <w:sz w:val="22"/>
          <w:szCs w:val="22"/>
        </w:rPr>
        <w:t>Appendix</w:t>
      </w:r>
      <w:r w:rsidRPr="000118A3">
        <w:rPr>
          <w:rFonts w:ascii="Times New Roman" w:hAnsi="Times New Roman" w:cs="Times New Roman"/>
          <w:sz w:val="22"/>
          <w:szCs w:val="22"/>
        </w:rPr>
        <w:t xml:space="preserve"> </w:t>
      </w:r>
      <w:r w:rsidR="00295B8A">
        <w:rPr>
          <w:rFonts w:ascii="Times New Roman" w:hAnsi="Times New Roman" w:cs="Times New Roman"/>
          <w:sz w:val="22"/>
          <w:szCs w:val="22"/>
        </w:rPr>
        <w:t>6.</w:t>
      </w:r>
      <w:r w:rsidRPr="000118A3">
        <w:rPr>
          <w:rFonts w:ascii="Times New Roman" w:hAnsi="Times New Roman" w:cs="Times New Roman"/>
          <w:sz w:val="22"/>
          <w:szCs w:val="22"/>
        </w:rPr>
        <w:t>8.</w:t>
      </w:r>
    </w:p>
    <w:p w14:paraId="4EADDC59" w14:textId="77777777" w:rsidR="007B1305" w:rsidRPr="000118A3" w:rsidRDefault="007B1305" w:rsidP="007B1305">
      <w:pPr>
        <w:jc w:val="both"/>
        <w:rPr>
          <w:rFonts w:ascii="Times New Roman" w:hAnsi="Times New Roman" w:cs="Times New Roman"/>
          <w:sz w:val="22"/>
          <w:szCs w:val="22"/>
        </w:rPr>
      </w:pPr>
    </w:p>
    <w:p w14:paraId="7EEB309F" w14:textId="77777777" w:rsidR="007B1305" w:rsidRPr="000118A3" w:rsidRDefault="007B1305" w:rsidP="007B1305">
      <w:pPr>
        <w:jc w:val="both"/>
        <w:rPr>
          <w:rFonts w:ascii="Times New Roman" w:hAnsi="Times New Roman" w:cs="Times New Roman"/>
          <w:i/>
          <w:iCs/>
          <w:sz w:val="22"/>
          <w:szCs w:val="22"/>
        </w:rPr>
      </w:pPr>
      <w:r w:rsidRPr="000118A3">
        <w:rPr>
          <w:rFonts w:ascii="Times New Roman" w:hAnsi="Times New Roman" w:cs="Times New Roman"/>
          <w:i/>
          <w:iCs/>
          <w:sz w:val="22"/>
          <w:szCs w:val="22"/>
        </w:rPr>
        <w:t xml:space="preserve">Trade Associations and Business Group </w:t>
      </w:r>
    </w:p>
    <w:p w14:paraId="1FB5525A" w14:textId="2054AA46" w:rsidR="007B1305" w:rsidRPr="000118A3" w:rsidRDefault="007B1305" w:rsidP="007B1305">
      <w:pPr>
        <w:jc w:val="both"/>
        <w:rPr>
          <w:rFonts w:ascii="Times New Roman" w:hAnsi="Times New Roman" w:cs="Times New Roman"/>
          <w:sz w:val="22"/>
          <w:szCs w:val="22"/>
        </w:rPr>
      </w:pPr>
      <w:r w:rsidRPr="000118A3">
        <w:rPr>
          <w:rFonts w:ascii="Times New Roman" w:hAnsi="Times New Roman" w:cs="Times New Roman"/>
          <w:sz w:val="22"/>
          <w:szCs w:val="22"/>
        </w:rPr>
        <w:t xml:space="preserve">Trade associations and business groups exhibit diverse, province-specific interests. While most engage with socio-economic and coastal ecosystem issues, few focus on marine capture fisheries and aquaculture. Their interests range from single-issue to multi-sectoral engagement, as detailed in </w:t>
      </w:r>
      <w:r w:rsidR="00600CEE">
        <w:rPr>
          <w:rFonts w:ascii="Times New Roman" w:hAnsi="Times New Roman" w:cs="Times New Roman"/>
          <w:sz w:val="22"/>
          <w:szCs w:val="22"/>
        </w:rPr>
        <w:t>Appendix</w:t>
      </w:r>
      <w:r w:rsidRPr="000118A3">
        <w:rPr>
          <w:rFonts w:ascii="Times New Roman" w:hAnsi="Times New Roman" w:cs="Times New Roman"/>
          <w:sz w:val="22"/>
          <w:szCs w:val="22"/>
        </w:rPr>
        <w:t xml:space="preserve"> </w:t>
      </w:r>
      <w:r w:rsidR="00295B8A">
        <w:rPr>
          <w:rFonts w:ascii="Times New Roman" w:hAnsi="Times New Roman" w:cs="Times New Roman"/>
          <w:sz w:val="22"/>
          <w:szCs w:val="22"/>
        </w:rPr>
        <w:t>6.</w:t>
      </w:r>
      <w:r w:rsidRPr="000118A3">
        <w:rPr>
          <w:rFonts w:ascii="Times New Roman" w:hAnsi="Times New Roman" w:cs="Times New Roman"/>
          <w:sz w:val="22"/>
          <w:szCs w:val="22"/>
        </w:rPr>
        <w:t xml:space="preserve">9. </w:t>
      </w:r>
    </w:p>
    <w:p w14:paraId="0A2513A6" w14:textId="77777777" w:rsidR="007B1305" w:rsidRPr="000118A3" w:rsidRDefault="007B1305" w:rsidP="007B1305">
      <w:pPr>
        <w:jc w:val="both"/>
        <w:rPr>
          <w:rFonts w:ascii="Times New Roman" w:hAnsi="Times New Roman" w:cs="Times New Roman"/>
          <w:sz w:val="22"/>
          <w:szCs w:val="22"/>
        </w:rPr>
      </w:pPr>
    </w:p>
    <w:p w14:paraId="4B6F8FAF" w14:textId="77777777" w:rsidR="007B1305" w:rsidRPr="000118A3" w:rsidRDefault="007B1305" w:rsidP="007B1305">
      <w:pPr>
        <w:jc w:val="both"/>
        <w:rPr>
          <w:rFonts w:ascii="Times New Roman" w:eastAsia="Aptos" w:hAnsi="Times New Roman" w:cs="Times New Roman"/>
          <w:i/>
          <w:iCs/>
          <w:sz w:val="22"/>
          <w:szCs w:val="22"/>
        </w:rPr>
      </w:pPr>
      <w:r w:rsidRPr="000118A3">
        <w:rPr>
          <w:rFonts w:ascii="Times New Roman" w:eastAsia="Aptos" w:hAnsi="Times New Roman" w:cs="Times New Roman"/>
          <w:i/>
          <w:iCs/>
          <w:sz w:val="22"/>
          <w:szCs w:val="22"/>
        </w:rPr>
        <w:t>Co-Management, Traditional Systems and Customary Rights</w:t>
      </w:r>
    </w:p>
    <w:p w14:paraId="11E81840" w14:textId="1E331A65" w:rsidR="007B1305" w:rsidRPr="000118A3" w:rsidRDefault="007B1305" w:rsidP="007B1305">
      <w:pPr>
        <w:jc w:val="both"/>
        <w:rPr>
          <w:rFonts w:ascii="Times New Roman" w:hAnsi="Times New Roman" w:cs="Times New Roman"/>
          <w:sz w:val="22"/>
          <w:szCs w:val="22"/>
        </w:rPr>
      </w:pPr>
      <w:r w:rsidRPr="000118A3">
        <w:rPr>
          <w:rFonts w:ascii="Times New Roman" w:hAnsi="Times New Roman" w:cs="Times New Roman"/>
          <w:sz w:val="22"/>
          <w:szCs w:val="22"/>
        </w:rPr>
        <w:t xml:space="preserve">Numerous community-based organizations in South China Sea border provinces employ co-management, traditional systems, and customary rights. While primarily focused on socio-economic, coastal ecosystem, and fisheries issues, they largely neglect coastal pollution. This gap is attributed to the issue's sensitivity and the groups' limited technical capacity. Predominantly culturally based, these groups are listed in </w:t>
      </w:r>
      <w:r w:rsidR="00600CEE">
        <w:rPr>
          <w:rFonts w:ascii="Times New Roman" w:hAnsi="Times New Roman" w:cs="Times New Roman"/>
          <w:sz w:val="22"/>
          <w:szCs w:val="22"/>
        </w:rPr>
        <w:t>Appendix</w:t>
      </w:r>
      <w:r w:rsidRPr="000118A3">
        <w:rPr>
          <w:rFonts w:ascii="Times New Roman" w:hAnsi="Times New Roman" w:cs="Times New Roman"/>
          <w:sz w:val="22"/>
          <w:szCs w:val="22"/>
        </w:rPr>
        <w:t xml:space="preserve"> </w:t>
      </w:r>
      <w:r w:rsidR="00295B8A">
        <w:rPr>
          <w:rFonts w:ascii="Times New Roman" w:hAnsi="Times New Roman" w:cs="Times New Roman"/>
          <w:sz w:val="22"/>
          <w:szCs w:val="22"/>
        </w:rPr>
        <w:t>6.</w:t>
      </w:r>
      <w:r w:rsidRPr="000118A3">
        <w:rPr>
          <w:rFonts w:ascii="Times New Roman" w:hAnsi="Times New Roman" w:cs="Times New Roman"/>
          <w:sz w:val="22"/>
          <w:szCs w:val="22"/>
        </w:rPr>
        <w:t xml:space="preserve">10. </w:t>
      </w:r>
    </w:p>
    <w:p w14:paraId="0FF70367" w14:textId="77777777" w:rsidR="007B1305" w:rsidRPr="000118A3" w:rsidRDefault="007B1305" w:rsidP="007B1305">
      <w:pPr>
        <w:jc w:val="both"/>
        <w:rPr>
          <w:rFonts w:ascii="Times New Roman" w:hAnsi="Times New Roman" w:cs="Times New Roman"/>
          <w:sz w:val="22"/>
          <w:szCs w:val="22"/>
        </w:rPr>
      </w:pPr>
    </w:p>
    <w:p w14:paraId="124A4A15" w14:textId="77777777" w:rsidR="007B1305" w:rsidRPr="000118A3" w:rsidRDefault="007B1305" w:rsidP="007B1305">
      <w:pPr>
        <w:jc w:val="both"/>
        <w:rPr>
          <w:rFonts w:ascii="Times New Roman" w:eastAsia="Aptos" w:hAnsi="Times New Roman" w:cs="Times New Roman"/>
          <w:i/>
          <w:iCs/>
          <w:sz w:val="22"/>
          <w:szCs w:val="22"/>
        </w:rPr>
      </w:pPr>
      <w:r w:rsidRPr="000118A3">
        <w:rPr>
          <w:rFonts w:ascii="Times New Roman" w:eastAsia="Aptos" w:hAnsi="Times New Roman" w:cs="Times New Roman"/>
          <w:i/>
          <w:iCs/>
          <w:sz w:val="22"/>
          <w:szCs w:val="22"/>
        </w:rPr>
        <w:t>Decentralized Governance and Coastal Governance</w:t>
      </w:r>
    </w:p>
    <w:p w14:paraId="4708BBEE" w14:textId="6E6792B8" w:rsidR="007B1305" w:rsidRPr="000118A3" w:rsidRDefault="007B1305" w:rsidP="007B1305">
      <w:pPr>
        <w:jc w:val="both"/>
        <w:rPr>
          <w:rFonts w:ascii="Times New Roman" w:eastAsia="Aptos" w:hAnsi="Times New Roman" w:cs="Times New Roman"/>
          <w:sz w:val="22"/>
          <w:szCs w:val="22"/>
        </w:rPr>
      </w:pPr>
      <w:r w:rsidRPr="000118A3">
        <w:rPr>
          <w:rFonts w:ascii="Times New Roman" w:eastAsia="Aptos" w:hAnsi="Times New Roman" w:cs="Times New Roman"/>
          <w:sz w:val="22"/>
          <w:szCs w:val="22"/>
        </w:rPr>
        <w:t xml:space="preserve">Under Indonesia's decentralization policy, the management of marine resources is delegated solely to the provincial level. Consequently, the relevant marine management institutions are decentralized provincial bodies. These institutions have distinct focus areas, as defined by their core mandates and functions established by the provincial governor. A complete list of these institutions is provided in </w:t>
      </w:r>
      <w:r w:rsidR="00600CEE">
        <w:rPr>
          <w:rFonts w:ascii="Times New Roman" w:eastAsia="Aptos" w:hAnsi="Times New Roman" w:cs="Times New Roman"/>
          <w:sz w:val="22"/>
          <w:szCs w:val="22"/>
        </w:rPr>
        <w:t>Appendix</w:t>
      </w:r>
      <w:r w:rsidRPr="000118A3">
        <w:rPr>
          <w:rFonts w:ascii="Times New Roman" w:eastAsia="Aptos" w:hAnsi="Times New Roman" w:cs="Times New Roman"/>
          <w:sz w:val="22"/>
          <w:szCs w:val="22"/>
        </w:rPr>
        <w:t xml:space="preserve"> </w:t>
      </w:r>
      <w:r w:rsidR="00295B8A">
        <w:rPr>
          <w:rFonts w:ascii="Times New Roman" w:eastAsia="Aptos" w:hAnsi="Times New Roman" w:cs="Times New Roman"/>
          <w:sz w:val="22"/>
          <w:szCs w:val="22"/>
        </w:rPr>
        <w:t>6.</w:t>
      </w:r>
      <w:r w:rsidRPr="000118A3">
        <w:rPr>
          <w:rFonts w:ascii="Times New Roman" w:eastAsia="Aptos" w:hAnsi="Times New Roman" w:cs="Times New Roman"/>
          <w:sz w:val="22"/>
          <w:szCs w:val="22"/>
        </w:rPr>
        <w:t>11.</w:t>
      </w:r>
    </w:p>
    <w:p w14:paraId="351E6B0F" w14:textId="77777777" w:rsidR="007B1305" w:rsidRPr="000118A3" w:rsidRDefault="007B1305" w:rsidP="007B1305">
      <w:pPr>
        <w:jc w:val="both"/>
        <w:rPr>
          <w:rFonts w:ascii="Times New Roman" w:hAnsi="Times New Roman" w:cs="Times New Roman"/>
          <w:sz w:val="22"/>
          <w:szCs w:val="22"/>
        </w:rPr>
      </w:pPr>
    </w:p>
    <w:p w14:paraId="6AFDF0DE" w14:textId="5133126B" w:rsidR="007B1305" w:rsidRPr="000B4226" w:rsidRDefault="007B1305" w:rsidP="000B4226">
      <w:pPr>
        <w:pStyle w:val="ListParagraph"/>
        <w:numPr>
          <w:ilvl w:val="2"/>
          <w:numId w:val="145"/>
        </w:numPr>
        <w:jc w:val="both"/>
        <w:rPr>
          <w:rFonts w:ascii="Times New Roman" w:eastAsiaTheme="minorEastAsia" w:hAnsi="Times New Roman" w:cs="Times New Roman"/>
          <w:b/>
          <w:bCs/>
          <w:color w:val="0070C0"/>
          <w:sz w:val="22"/>
          <w:szCs w:val="22"/>
        </w:rPr>
      </w:pPr>
      <w:r w:rsidRPr="000B4226">
        <w:rPr>
          <w:rFonts w:ascii="Times New Roman" w:eastAsiaTheme="minorEastAsia" w:hAnsi="Times New Roman" w:cs="Times New Roman"/>
          <w:b/>
          <w:bCs/>
          <w:color w:val="0070C0"/>
          <w:sz w:val="22"/>
          <w:szCs w:val="22"/>
        </w:rPr>
        <w:t>Governance Performance and Effectiveness</w:t>
      </w:r>
    </w:p>
    <w:p w14:paraId="2B0E6D5C" w14:textId="77777777" w:rsidR="007B1305" w:rsidRPr="000118A3" w:rsidRDefault="007B1305" w:rsidP="000B4226">
      <w:pPr>
        <w:pStyle w:val="ListParagraph"/>
        <w:spacing w:before="120"/>
        <w:ind w:left="0"/>
        <w:contextualSpacing w:val="0"/>
        <w:jc w:val="both"/>
        <w:rPr>
          <w:rFonts w:ascii="Times New Roman" w:eastAsia="Aptos" w:hAnsi="Times New Roman" w:cs="Times New Roman"/>
          <w:iCs/>
          <w:sz w:val="22"/>
          <w:szCs w:val="22"/>
        </w:rPr>
      </w:pPr>
      <w:r w:rsidRPr="000118A3">
        <w:rPr>
          <w:rFonts w:ascii="Times New Roman" w:eastAsia="Aptos" w:hAnsi="Times New Roman" w:cs="Times New Roman"/>
          <w:iCs/>
          <w:sz w:val="22"/>
          <w:szCs w:val="22"/>
        </w:rPr>
        <w:t>Governance performance and effectiveness will be assessed against key issues, categorized as: Socio-economic and climate-related threats; Pollution; Ecosystems; and Fish, Fisheries, and Aquaculture. The assessment will utilize a three-tier ordinal scale : high, medium and low. The analysis for each issue follows in the subsequent sections.</w:t>
      </w:r>
    </w:p>
    <w:p w14:paraId="2D9AC0D8" w14:textId="77777777" w:rsidR="007B1305" w:rsidRPr="000118A3" w:rsidRDefault="007B1305" w:rsidP="00482FFD">
      <w:pPr>
        <w:pStyle w:val="ListParagraph"/>
        <w:spacing w:before="120"/>
        <w:ind w:left="0"/>
        <w:contextualSpacing w:val="0"/>
        <w:jc w:val="both"/>
        <w:rPr>
          <w:rFonts w:ascii="Times New Roman" w:eastAsia="Aptos" w:hAnsi="Times New Roman" w:cs="Times New Roman"/>
          <w:i/>
          <w:iCs/>
          <w:sz w:val="22"/>
          <w:szCs w:val="22"/>
        </w:rPr>
      </w:pPr>
      <w:r w:rsidRPr="000118A3">
        <w:rPr>
          <w:rFonts w:ascii="Times New Roman" w:eastAsia="Aptos" w:hAnsi="Times New Roman" w:cs="Times New Roman"/>
          <w:i/>
          <w:iCs/>
          <w:sz w:val="22"/>
          <w:szCs w:val="22"/>
        </w:rPr>
        <w:t>Socio-economic and Climate Related Threat</w:t>
      </w:r>
    </w:p>
    <w:p w14:paraId="24E4E979" w14:textId="77777777" w:rsidR="007B1305" w:rsidRPr="000118A3" w:rsidRDefault="007B1305" w:rsidP="007B1305">
      <w:pPr>
        <w:pStyle w:val="ds-markdown-paragraph"/>
        <w:shd w:val="clear" w:color="auto" w:fill="FFFFFF"/>
        <w:spacing w:before="0" w:beforeAutospacing="0" w:after="240" w:afterAutospacing="0"/>
        <w:contextualSpacing/>
        <w:jc w:val="both"/>
        <w:rPr>
          <w:b/>
          <w:bCs/>
          <w:i/>
          <w:iCs/>
          <w:color w:val="0F1115"/>
          <w:sz w:val="22"/>
          <w:szCs w:val="22"/>
        </w:rPr>
      </w:pPr>
      <w:r w:rsidRPr="000118A3">
        <w:rPr>
          <w:rStyle w:val="Strong"/>
          <w:i/>
          <w:iCs/>
          <w:color w:val="0F1115"/>
          <w:sz w:val="22"/>
          <w:szCs w:val="22"/>
        </w:rPr>
        <w:t>a. Decline in Food Production, Fisheries, and Tourism due to Mangrove and Coral Reef Degradation Caused by Tin Mining</w:t>
      </w:r>
    </w:p>
    <w:p w14:paraId="7CDD99F9" w14:textId="093B54CA" w:rsidR="007B1305" w:rsidRPr="000118A3" w:rsidRDefault="007B1305" w:rsidP="007B1305">
      <w:pPr>
        <w:pStyle w:val="ds-markdown-paragraph"/>
        <w:shd w:val="clear" w:color="auto" w:fill="FFFFFF"/>
        <w:spacing w:before="0" w:beforeAutospacing="0" w:after="0" w:afterAutospacing="0"/>
        <w:contextualSpacing/>
        <w:jc w:val="both"/>
        <w:rPr>
          <w:color w:val="0F1115"/>
          <w:sz w:val="22"/>
          <w:szCs w:val="22"/>
        </w:rPr>
      </w:pPr>
      <w:r w:rsidRPr="000118A3">
        <w:rPr>
          <w:color w:val="0F1115"/>
          <w:sz w:val="22"/>
          <w:szCs w:val="22"/>
        </w:rPr>
        <w:t>The institutions involved in this governance are MOE, MOF, MOMAF, MOA, MOTCE, Coordinating Ministry for Economic Affairs (CMFEA</w:t>
      </w:r>
      <w:r w:rsidR="00542015" w:rsidRPr="000118A3">
        <w:rPr>
          <w:color w:val="0F1115"/>
          <w:sz w:val="22"/>
          <w:szCs w:val="22"/>
        </w:rPr>
        <w:t>), and</w:t>
      </w:r>
      <w:r w:rsidRPr="000118A3">
        <w:rPr>
          <w:color w:val="0F1115"/>
          <w:sz w:val="22"/>
          <w:szCs w:val="22"/>
        </w:rPr>
        <w:t xml:space="preserve"> Local Governments.</w:t>
      </w:r>
    </w:p>
    <w:p w14:paraId="40BAC512" w14:textId="77777777" w:rsidR="007B1305" w:rsidRPr="000118A3" w:rsidRDefault="007B1305" w:rsidP="00482FFD">
      <w:pPr>
        <w:pStyle w:val="ds-markdown-paragraph"/>
        <w:shd w:val="clear" w:color="auto" w:fill="FFFFFF"/>
        <w:spacing w:before="120" w:beforeAutospacing="0" w:after="0" w:afterAutospacing="0"/>
        <w:jc w:val="both"/>
        <w:rPr>
          <w:color w:val="0F1115"/>
          <w:sz w:val="22"/>
          <w:szCs w:val="22"/>
        </w:rPr>
      </w:pPr>
      <w:r w:rsidRPr="000118A3">
        <w:rPr>
          <w:color w:val="0F1115"/>
          <w:sz w:val="22"/>
          <w:szCs w:val="22"/>
        </w:rPr>
        <w:t>Tin mining in Bangka Belitung has a long historical legacy, with operations conducted by both corporate entities and illegal artisanal miners across terrestrial and marine areas. While governance measures exist covering permits, pollution control, mangrove protection, and coastal zoning—regulatory enforcement remains inadequate. Consequently, non-compliant mining practices persist, resulting in low governance effectiveness.</w:t>
      </w:r>
    </w:p>
    <w:p w14:paraId="58271D01" w14:textId="77777777" w:rsidR="007B1305" w:rsidRPr="000118A3" w:rsidRDefault="007B1305" w:rsidP="007B1305">
      <w:pPr>
        <w:pStyle w:val="ds-markdown-paragraph"/>
        <w:shd w:val="clear" w:color="auto" w:fill="FFFFFF"/>
        <w:spacing w:before="0" w:beforeAutospacing="0" w:after="0" w:afterAutospacing="0"/>
        <w:contextualSpacing/>
        <w:jc w:val="both"/>
        <w:rPr>
          <w:b/>
          <w:bCs/>
          <w:color w:val="0F1115"/>
          <w:sz w:val="22"/>
          <w:szCs w:val="22"/>
        </w:rPr>
      </w:pPr>
    </w:p>
    <w:p w14:paraId="6F90848E" w14:textId="77777777" w:rsidR="007B1305" w:rsidRPr="000118A3" w:rsidRDefault="007B1305" w:rsidP="007B1305">
      <w:pPr>
        <w:pStyle w:val="ds-markdown-paragraph"/>
        <w:shd w:val="clear" w:color="auto" w:fill="FFFFFF"/>
        <w:spacing w:before="0" w:beforeAutospacing="0" w:after="0" w:afterAutospacing="0"/>
        <w:contextualSpacing/>
        <w:jc w:val="both"/>
        <w:rPr>
          <w:b/>
          <w:bCs/>
          <w:i/>
          <w:iCs/>
          <w:color w:val="0F1115"/>
          <w:sz w:val="22"/>
          <w:szCs w:val="22"/>
        </w:rPr>
      </w:pPr>
      <w:r w:rsidRPr="000118A3">
        <w:rPr>
          <w:rStyle w:val="Strong"/>
          <w:i/>
          <w:iCs/>
          <w:color w:val="0F1115"/>
          <w:sz w:val="22"/>
          <w:szCs w:val="22"/>
        </w:rPr>
        <w:t>b. Decline in Land Productivity and Fisheries Supply Chain Management due to sea level rise (SLR), Tidal Flooding, Coastal Erosion, and Environmental Degradation.</w:t>
      </w:r>
    </w:p>
    <w:p w14:paraId="163A2995" w14:textId="77777777" w:rsidR="007B1305" w:rsidRPr="000118A3" w:rsidRDefault="007B1305" w:rsidP="00482FFD">
      <w:pPr>
        <w:pStyle w:val="ListParagraph"/>
        <w:ind w:left="0"/>
        <w:contextualSpacing w:val="0"/>
        <w:jc w:val="both"/>
        <w:rPr>
          <w:rFonts w:ascii="Times New Roman" w:eastAsia="Times New Roman" w:hAnsi="Times New Roman" w:cs="Times New Roman"/>
          <w:color w:val="0F1115"/>
          <w:sz w:val="22"/>
          <w:szCs w:val="22"/>
        </w:rPr>
      </w:pPr>
      <w:r w:rsidRPr="000118A3">
        <w:rPr>
          <w:rFonts w:ascii="Times New Roman" w:eastAsia="Times New Roman" w:hAnsi="Times New Roman" w:cs="Times New Roman"/>
          <w:color w:val="0F1115"/>
          <w:sz w:val="22"/>
          <w:szCs w:val="22"/>
        </w:rPr>
        <w:t>The institutions involved in this governance include MOE, MOF, MOMAF, MOA, and sub-national governments. Implemented governance measures encompass national and sub-national regulations, such as those for coastal ecosystem protection and integrated spatial planning. Other efforts include public awareness campaigns, environmental degradation prohibitions, sea level rise (SLR) impact mitigation, and monitoring by central and provincial authorities. However, coastal erosion, environmental degradation, and flooding persist with no significant improvement. It can therefore be concluded that the governance performance and effectiveness in addressing declining land productivity and disruptions to the fish supply chain remain low.</w:t>
      </w:r>
    </w:p>
    <w:p w14:paraId="505A057B" w14:textId="77777777" w:rsidR="007B1305" w:rsidRPr="000118A3" w:rsidRDefault="007B1305" w:rsidP="007B1305">
      <w:pPr>
        <w:pStyle w:val="ListParagraph"/>
        <w:ind w:left="0"/>
        <w:jc w:val="both"/>
        <w:rPr>
          <w:rFonts w:ascii="Times New Roman" w:hAnsi="Times New Roman" w:cs="Times New Roman"/>
          <w:sz w:val="22"/>
          <w:szCs w:val="22"/>
        </w:rPr>
      </w:pPr>
    </w:p>
    <w:p w14:paraId="62141545" w14:textId="77777777" w:rsidR="007B1305" w:rsidRPr="000118A3" w:rsidRDefault="007B1305" w:rsidP="007B1305">
      <w:pPr>
        <w:pStyle w:val="ListParagraph"/>
        <w:ind w:left="0"/>
        <w:jc w:val="both"/>
        <w:rPr>
          <w:rFonts w:ascii="Times New Roman" w:hAnsi="Times New Roman" w:cs="Times New Roman"/>
          <w:i/>
          <w:iCs/>
          <w:sz w:val="22"/>
          <w:szCs w:val="22"/>
        </w:rPr>
      </w:pPr>
      <w:r w:rsidRPr="000118A3">
        <w:rPr>
          <w:rFonts w:ascii="Times New Roman" w:hAnsi="Times New Roman" w:cs="Times New Roman"/>
          <w:i/>
          <w:iCs/>
          <w:sz w:val="22"/>
          <w:szCs w:val="22"/>
        </w:rPr>
        <w:t xml:space="preserve">Marine Pollution </w:t>
      </w:r>
    </w:p>
    <w:p w14:paraId="3780F5F2" w14:textId="77777777" w:rsidR="007B1305" w:rsidRPr="000118A3" w:rsidRDefault="007B1305" w:rsidP="007B1305">
      <w:pPr>
        <w:pStyle w:val="ds-markdown-paragraph"/>
        <w:numPr>
          <w:ilvl w:val="0"/>
          <w:numId w:val="127"/>
        </w:numPr>
        <w:spacing w:before="0" w:beforeAutospacing="0" w:after="0" w:afterAutospacing="0"/>
        <w:ind w:left="270" w:hanging="270"/>
        <w:jc w:val="both"/>
        <w:rPr>
          <w:rStyle w:val="Strong"/>
          <w:b w:val="0"/>
          <w:bCs w:val="0"/>
          <w:i/>
          <w:iCs/>
          <w:color w:val="0F1115"/>
          <w:sz w:val="22"/>
          <w:szCs w:val="22"/>
        </w:rPr>
      </w:pPr>
      <w:r w:rsidRPr="000118A3">
        <w:rPr>
          <w:rStyle w:val="Strong"/>
          <w:i/>
          <w:iCs/>
          <w:color w:val="0F1115"/>
          <w:sz w:val="22"/>
          <w:szCs w:val="22"/>
        </w:rPr>
        <w:t>Plastic Pollution</w:t>
      </w:r>
    </w:p>
    <w:p w14:paraId="696824BF" w14:textId="77777777" w:rsidR="007B1305" w:rsidRPr="000118A3" w:rsidRDefault="007B1305" w:rsidP="007B1305">
      <w:pPr>
        <w:pStyle w:val="ds-markdown-paragraph"/>
        <w:spacing w:before="0" w:beforeAutospacing="0" w:after="0" w:afterAutospacing="0"/>
        <w:jc w:val="both"/>
        <w:rPr>
          <w:b/>
          <w:bCs/>
          <w:color w:val="0F1115"/>
          <w:sz w:val="22"/>
          <w:szCs w:val="22"/>
        </w:rPr>
      </w:pPr>
      <w:r w:rsidRPr="000118A3">
        <w:rPr>
          <w:color w:val="0F1115"/>
          <w:sz w:val="22"/>
          <w:szCs w:val="22"/>
        </w:rPr>
        <w:t>Plastic pollution, comprising items like bottles, sachets and food containers is pervasive in the waters of Bintan, a key tourism area. This has raised local community concerns and poses a potential transboundary risk. Multiple institutions are involved in governance, led by the MOE, following the National Action Plan on Marine Debris (PR No. 83/2018). Sectoral ministries, including MOMAF, MOT, MOI, and</w:t>
      </w:r>
      <w:r w:rsidRPr="000118A3">
        <w:rPr>
          <w:sz w:val="22"/>
          <w:szCs w:val="22"/>
        </w:rPr>
        <w:t xml:space="preserve"> MOEMR</w:t>
      </w:r>
      <w:r w:rsidRPr="000118A3">
        <w:rPr>
          <w:color w:val="0F1115"/>
          <w:sz w:val="22"/>
          <w:szCs w:val="22"/>
        </w:rPr>
        <w:t xml:space="preserve"> along with sub-national/local governments, have specific mandates for waste reduction, regulation, and technological development. Governance measures include the national action plan, local initiatives like plastic bag bans, and specific regulations such as MOMAF's PERMEN-KP No. 26/2021, which prohibits the disposal of fishing gear </w:t>
      </w:r>
      <w:r w:rsidRPr="000118A3">
        <w:rPr>
          <w:color w:val="0F1115"/>
          <w:sz w:val="22"/>
          <w:szCs w:val="22"/>
        </w:rPr>
        <w:lastRenderedPageBreak/>
        <w:t>at sea and Abandoned, Lost, or Discarded Fishing Gear (ALDFG). Despite these efforts, plastic waste continues to accumulate, particularly in populated coastal zones. Consequently, governance performance and effectiveness are assessed as low.</w:t>
      </w:r>
    </w:p>
    <w:p w14:paraId="5B569970" w14:textId="77777777" w:rsidR="007B1305" w:rsidRPr="000118A3" w:rsidRDefault="007B1305" w:rsidP="007B1305">
      <w:pPr>
        <w:pStyle w:val="ds-markdown-paragraph"/>
        <w:spacing w:before="0" w:beforeAutospacing="0" w:after="0" w:afterAutospacing="0"/>
        <w:jc w:val="both"/>
        <w:rPr>
          <w:color w:val="0F1115"/>
          <w:sz w:val="22"/>
          <w:szCs w:val="22"/>
        </w:rPr>
      </w:pPr>
      <w:bookmarkStart w:id="178" w:name="_Hlk215150807"/>
    </w:p>
    <w:bookmarkEnd w:id="178"/>
    <w:p w14:paraId="244946AA" w14:textId="77777777" w:rsidR="007B1305" w:rsidRPr="000118A3" w:rsidRDefault="007B1305" w:rsidP="007B1305">
      <w:pPr>
        <w:pStyle w:val="ds-markdown-paragraph"/>
        <w:spacing w:before="0" w:beforeAutospacing="0" w:after="0" w:afterAutospacing="0"/>
        <w:jc w:val="both"/>
        <w:rPr>
          <w:b/>
          <w:bCs/>
          <w:i/>
          <w:iCs/>
          <w:color w:val="0F1115"/>
          <w:sz w:val="22"/>
          <w:szCs w:val="22"/>
        </w:rPr>
      </w:pPr>
      <w:r w:rsidRPr="000118A3">
        <w:rPr>
          <w:rStyle w:val="Strong"/>
          <w:i/>
          <w:iCs/>
          <w:color w:val="0F1115"/>
          <w:sz w:val="22"/>
          <w:szCs w:val="22"/>
        </w:rPr>
        <w:t>b. Oil Spills</w:t>
      </w:r>
    </w:p>
    <w:p w14:paraId="2A28AD98" w14:textId="77777777" w:rsidR="007B1305" w:rsidRPr="000118A3" w:rsidRDefault="007B1305" w:rsidP="00482FFD">
      <w:pPr>
        <w:pStyle w:val="ds-markdown-paragraph"/>
        <w:spacing w:before="120" w:beforeAutospacing="0" w:after="0" w:afterAutospacing="0"/>
        <w:jc w:val="both"/>
        <w:rPr>
          <w:color w:val="0F1115"/>
          <w:sz w:val="22"/>
          <w:szCs w:val="22"/>
        </w:rPr>
      </w:pPr>
      <w:r w:rsidRPr="000118A3">
        <w:rPr>
          <w:color w:val="0F1115"/>
          <w:sz w:val="22"/>
          <w:szCs w:val="22"/>
        </w:rPr>
        <w:t>Oil spills, particularly stranded oil spills, occur on the islands of Batam and Bintan, washing ashore on their northern coastlines. These spills consist of oil discharges from ship tank cleaning operations for all vessel types, conducted in the international waters of the South China Sea (SCS). This oil spill pollution is most acutely observed during the west monsoon season (November to March) each year.</w:t>
      </w:r>
    </w:p>
    <w:p w14:paraId="75985EC8" w14:textId="6DED805A" w:rsidR="007B1305" w:rsidRPr="000118A3" w:rsidRDefault="007B1305" w:rsidP="00482FFD">
      <w:pPr>
        <w:pStyle w:val="ds-markdown-paragraph"/>
        <w:spacing w:before="120" w:beforeAutospacing="0" w:after="0" w:afterAutospacing="0"/>
        <w:jc w:val="both"/>
        <w:rPr>
          <w:color w:val="0F1115"/>
          <w:sz w:val="22"/>
          <w:szCs w:val="22"/>
        </w:rPr>
      </w:pPr>
      <w:r w:rsidRPr="000118A3">
        <w:rPr>
          <w:color w:val="0F1115"/>
          <w:sz w:val="22"/>
          <w:szCs w:val="22"/>
        </w:rPr>
        <w:t>To address oil spills, the involved institutions include the ASEAN Working Group on Oil Spill, the ASEAN Secretariat, MOE, MOT, Ministry of Foreign Affairs (MOFA), Indonesian Coast Guard (ICG/Bakamla), MOEMR, Special Task Force for Upstream Oil and Gas Business Activities (SKK Migas), and local Governments, particularly those in the Riau Islands Province (Batam and Bintan). The Indonesian government has established policies for regional and national coordination on oil spills, with Ministry of Transportation (</w:t>
      </w:r>
      <w:r w:rsidR="00542015" w:rsidRPr="000118A3">
        <w:rPr>
          <w:color w:val="0F1115"/>
          <w:sz w:val="22"/>
          <w:szCs w:val="22"/>
        </w:rPr>
        <w:t>MOT) as</w:t>
      </w:r>
      <w:r w:rsidRPr="000118A3">
        <w:rPr>
          <w:color w:val="0F1115"/>
          <w:sz w:val="22"/>
          <w:szCs w:val="22"/>
        </w:rPr>
        <w:t xml:space="preserve"> the lead coordinator. Local governments (Bintan Regency and Batam City) coordinate clean-up efforts for stranded oil sludge management.</w:t>
      </w:r>
    </w:p>
    <w:p w14:paraId="4CBBE599" w14:textId="77777777" w:rsidR="007B1305" w:rsidRPr="000118A3" w:rsidRDefault="007B1305" w:rsidP="00482FFD">
      <w:pPr>
        <w:pStyle w:val="ds-markdown-paragraph"/>
        <w:spacing w:before="120" w:beforeAutospacing="0" w:after="0" w:afterAutospacing="0"/>
        <w:jc w:val="both"/>
        <w:rPr>
          <w:rStyle w:val="Strong"/>
          <w:color w:val="0F1115"/>
          <w:sz w:val="22"/>
          <w:szCs w:val="22"/>
        </w:rPr>
      </w:pPr>
      <w:r w:rsidRPr="000118A3">
        <w:rPr>
          <w:color w:val="0F1115"/>
          <w:sz w:val="22"/>
          <w:szCs w:val="22"/>
        </w:rPr>
        <w:t xml:space="preserve">Factually, oil spills occur annually and remain a persistent public complaint. The government's capacity to control these incidents is limited, as the pollution originates from international waters. This indicates that the governance performance and </w:t>
      </w:r>
      <w:r w:rsidRPr="000118A3">
        <w:rPr>
          <w:rStyle w:val="Strong"/>
          <w:color w:val="0F1115"/>
          <w:sz w:val="22"/>
          <w:szCs w:val="22"/>
        </w:rPr>
        <w:t>effectiveness is low.</w:t>
      </w:r>
    </w:p>
    <w:p w14:paraId="5F640BE7" w14:textId="77777777" w:rsidR="007B1305" w:rsidRPr="000118A3" w:rsidRDefault="007B1305" w:rsidP="007B1305">
      <w:pPr>
        <w:pStyle w:val="ds-markdown-paragraph"/>
        <w:spacing w:before="0" w:beforeAutospacing="0" w:after="0" w:afterAutospacing="0"/>
        <w:jc w:val="both"/>
        <w:rPr>
          <w:rStyle w:val="Strong"/>
          <w:color w:val="0F1115"/>
          <w:sz w:val="22"/>
          <w:szCs w:val="22"/>
        </w:rPr>
      </w:pPr>
    </w:p>
    <w:p w14:paraId="1C297749" w14:textId="77777777" w:rsidR="007B1305" w:rsidRPr="00D84F7F" w:rsidRDefault="007B1305" w:rsidP="007B1305">
      <w:pPr>
        <w:pStyle w:val="ds-markdown-paragraph"/>
        <w:spacing w:before="0" w:beforeAutospacing="0" w:after="0" w:afterAutospacing="0"/>
        <w:jc w:val="both"/>
        <w:rPr>
          <w:rFonts w:eastAsia="Aptos"/>
          <w:b/>
          <w:bCs/>
          <w:i/>
          <w:iCs/>
          <w:sz w:val="22"/>
          <w:szCs w:val="22"/>
        </w:rPr>
      </w:pPr>
      <w:r w:rsidRPr="00D84F7F">
        <w:rPr>
          <w:rFonts w:eastAsia="Aptos"/>
          <w:b/>
          <w:bCs/>
          <w:i/>
          <w:iCs/>
          <w:sz w:val="22"/>
          <w:szCs w:val="22"/>
        </w:rPr>
        <w:t>Ecosystems</w:t>
      </w:r>
    </w:p>
    <w:p w14:paraId="77BAEA6D" w14:textId="77777777" w:rsidR="007B1305" w:rsidRPr="000118A3" w:rsidRDefault="007B1305" w:rsidP="007B1305">
      <w:pPr>
        <w:pStyle w:val="ds-markdown-paragraph"/>
        <w:numPr>
          <w:ilvl w:val="0"/>
          <w:numId w:val="126"/>
        </w:numPr>
        <w:shd w:val="clear" w:color="auto" w:fill="FFFFFF"/>
        <w:spacing w:before="0" w:beforeAutospacing="0" w:after="0" w:afterAutospacing="0"/>
        <w:ind w:left="270" w:hanging="270"/>
        <w:jc w:val="both"/>
        <w:rPr>
          <w:rStyle w:val="Strong"/>
          <w:b w:val="0"/>
          <w:bCs w:val="0"/>
          <w:i/>
          <w:iCs/>
          <w:color w:val="0F1115"/>
          <w:sz w:val="22"/>
          <w:szCs w:val="22"/>
        </w:rPr>
      </w:pPr>
      <w:r w:rsidRPr="000118A3">
        <w:rPr>
          <w:rStyle w:val="Strong"/>
          <w:i/>
          <w:iCs/>
          <w:color w:val="0F1115"/>
          <w:sz w:val="22"/>
          <w:szCs w:val="22"/>
        </w:rPr>
        <w:t>Habitat Destruction</w:t>
      </w:r>
    </w:p>
    <w:p w14:paraId="58C04ECF" w14:textId="77777777" w:rsidR="007B1305" w:rsidRPr="000118A3" w:rsidRDefault="007B1305" w:rsidP="007B1305">
      <w:pPr>
        <w:pStyle w:val="ds-markdown-paragraph"/>
        <w:spacing w:before="0" w:beforeAutospacing="0" w:after="0" w:afterAutospacing="0"/>
        <w:jc w:val="both"/>
        <w:rPr>
          <w:color w:val="0F1115"/>
          <w:sz w:val="22"/>
          <w:szCs w:val="22"/>
        </w:rPr>
      </w:pPr>
      <w:r w:rsidRPr="000118A3">
        <w:rPr>
          <w:color w:val="0F1115"/>
          <w:sz w:val="22"/>
          <w:szCs w:val="22"/>
        </w:rPr>
        <w:t>Habitat destruction involves the permanent loss of a habitat, driven by land conversion, reclamation, illegal mangrove logging, and mining-induced sedimentation. Mangrove ecosystems are frequently converted for aquaculture and settlements, while illegal logging for livelihoods like charcoal (in West Kalimantan) production persists. Coastal mining (e.g., tin, bauxite, coal) in coastal of Bangka Belitung, Bintan-Riau Kepulauan and Kalimantan often artisanal yet cumulatively significant, causes further habitat loss and sedimentation.</w:t>
      </w:r>
    </w:p>
    <w:p w14:paraId="649C34BD" w14:textId="61935592" w:rsidR="007B1305" w:rsidRPr="000118A3" w:rsidRDefault="007B1305" w:rsidP="007B1305">
      <w:pPr>
        <w:pStyle w:val="ds-markdown-paragraph"/>
        <w:shd w:val="clear" w:color="auto" w:fill="FFFFFF"/>
        <w:spacing w:before="0" w:beforeAutospacing="0" w:after="0" w:afterAutospacing="0"/>
        <w:jc w:val="both"/>
        <w:rPr>
          <w:color w:val="0F1115"/>
          <w:sz w:val="22"/>
          <w:szCs w:val="22"/>
        </w:rPr>
      </w:pPr>
      <w:r w:rsidRPr="000118A3">
        <w:rPr>
          <w:color w:val="0F1115"/>
          <w:sz w:val="22"/>
          <w:szCs w:val="22"/>
        </w:rPr>
        <w:t xml:space="preserve">Multiple institutions govern this issue, including MOE, MOF, MOMAF, </w:t>
      </w:r>
      <w:r w:rsidR="00542015" w:rsidRPr="000118A3">
        <w:rPr>
          <w:color w:val="0F1115"/>
          <w:sz w:val="22"/>
          <w:szCs w:val="22"/>
        </w:rPr>
        <w:t>MOEMR, and</w:t>
      </w:r>
      <w:r w:rsidRPr="000118A3">
        <w:rPr>
          <w:color w:val="0F1115"/>
          <w:sz w:val="22"/>
          <w:szCs w:val="22"/>
        </w:rPr>
        <w:t xml:space="preserve"> Local Governments. Key measures include policy development (e.g., integrated spatial planning), regulatory enforcement, inter-governmental cooperation, and public education. Regulations concerning illegal mangrove logging have been issued by the government. Inter sub-national governmental collaboration has been developed for consolidating some issues related to habitat destruction.  However, enforcement is challenging, and despite these efforts, governance performance and effectiveness remain low.</w:t>
      </w:r>
    </w:p>
    <w:p w14:paraId="57A012D2" w14:textId="77777777" w:rsidR="007B1305" w:rsidRPr="000118A3" w:rsidRDefault="007B1305" w:rsidP="007B1305">
      <w:pPr>
        <w:pStyle w:val="ds-markdown-paragraph"/>
        <w:spacing w:before="0" w:beforeAutospacing="0" w:after="0" w:afterAutospacing="0"/>
        <w:jc w:val="both"/>
        <w:rPr>
          <w:color w:val="0F1115"/>
          <w:sz w:val="22"/>
          <w:szCs w:val="22"/>
        </w:rPr>
      </w:pPr>
    </w:p>
    <w:p w14:paraId="32FEEC2A" w14:textId="77777777" w:rsidR="007B1305" w:rsidRPr="000118A3" w:rsidRDefault="007B1305" w:rsidP="007B1305">
      <w:pPr>
        <w:pStyle w:val="ds-markdown-paragraph"/>
        <w:numPr>
          <w:ilvl w:val="0"/>
          <w:numId w:val="126"/>
        </w:numPr>
        <w:shd w:val="clear" w:color="auto" w:fill="FFFFFF"/>
        <w:spacing w:before="0" w:beforeAutospacing="0" w:after="0" w:afterAutospacing="0"/>
        <w:ind w:left="360"/>
        <w:contextualSpacing/>
        <w:jc w:val="both"/>
        <w:rPr>
          <w:b/>
          <w:bCs/>
          <w:i/>
          <w:iCs/>
          <w:color w:val="0F1115"/>
          <w:sz w:val="22"/>
          <w:szCs w:val="22"/>
        </w:rPr>
      </w:pPr>
      <w:r w:rsidRPr="000118A3">
        <w:rPr>
          <w:rStyle w:val="Strong"/>
          <w:i/>
          <w:iCs/>
          <w:color w:val="0F1115"/>
          <w:sz w:val="22"/>
          <w:szCs w:val="22"/>
        </w:rPr>
        <w:t>Habitat Quality Degradation</w:t>
      </w:r>
    </w:p>
    <w:p w14:paraId="78B6D3FB" w14:textId="77777777" w:rsidR="007B1305" w:rsidRPr="000118A3" w:rsidRDefault="007B1305" w:rsidP="007B1305">
      <w:pPr>
        <w:pStyle w:val="ListParagraph"/>
        <w:ind w:left="0"/>
        <w:jc w:val="both"/>
        <w:rPr>
          <w:rFonts w:ascii="Times New Roman" w:eastAsia="Times New Roman" w:hAnsi="Times New Roman" w:cs="Times New Roman"/>
          <w:color w:val="0F1115"/>
          <w:sz w:val="22"/>
          <w:szCs w:val="22"/>
        </w:rPr>
      </w:pPr>
      <w:r w:rsidRPr="000118A3">
        <w:rPr>
          <w:rFonts w:ascii="Times New Roman" w:eastAsia="Times New Roman" w:hAnsi="Times New Roman" w:cs="Times New Roman"/>
          <w:color w:val="0F1115"/>
          <w:sz w:val="22"/>
          <w:szCs w:val="22"/>
        </w:rPr>
        <w:t>Habitat quality degradation, the deterioration of environmental conditions that reduces a habitat's capacity to support life, is primarily driven by pollution and climate change. Coastal mining causes sedimentation, polluting water and impairing habitat function. Concurrently, climate change raises sea temperatures and levels, leading to coral bleaching.</w:t>
      </w:r>
    </w:p>
    <w:p w14:paraId="18EF4463" w14:textId="77777777" w:rsidR="007B1305" w:rsidRPr="000118A3" w:rsidRDefault="007B1305" w:rsidP="007B1305">
      <w:pPr>
        <w:pStyle w:val="ListParagraph"/>
        <w:ind w:left="0"/>
        <w:jc w:val="both"/>
        <w:rPr>
          <w:rFonts w:ascii="Times New Roman" w:eastAsia="Times New Roman" w:hAnsi="Times New Roman" w:cs="Times New Roman"/>
          <w:color w:val="0F1115"/>
          <w:sz w:val="22"/>
          <w:szCs w:val="22"/>
        </w:rPr>
      </w:pPr>
    </w:p>
    <w:p w14:paraId="2E1F5BB7" w14:textId="2AE062A1" w:rsidR="007B1305" w:rsidRDefault="007B1305" w:rsidP="007B1305">
      <w:pPr>
        <w:pStyle w:val="ListParagraph"/>
        <w:ind w:left="0"/>
        <w:jc w:val="both"/>
        <w:rPr>
          <w:rFonts w:ascii="Times New Roman" w:eastAsia="Times New Roman" w:hAnsi="Times New Roman" w:cs="Times New Roman"/>
          <w:color w:val="0F1115"/>
          <w:sz w:val="22"/>
          <w:szCs w:val="22"/>
        </w:rPr>
      </w:pPr>
      <w:r w:rsidRPr="000118A3">
        <w:rPr>
          <w:rFonts w:ascii="Times New Roman" w:eastAsia="Times New Roman" w:hAnsi="Times New Roman" w:cs="Times New Roman"/>
          <w:color w:val="0F1115"/>
          <w:sz w:val="22"/>
          <w:szCs w:val="22"/>
        </w:rPr>
        <w:t xml:space="preserve">Governance involves multiple institutions, including MOE, MOMAF, MOEMR </w:t>
      </w:r>
      <w:r w:rsidR="00542015" w:rsidRPr="000118A3">
        <w:rPr>
          <w:rFonts w:ascii="Times New Roman" w:eastAsia="Times New Roman" w:hAnsi="Times New Roman" w:cs="Times New Roman"/>
          <w:color w:val="0F1115"/>
          <w:sz w:val="22"/>
          <w:szCs w:val="22"/>
        </w:rPr>
        <w:t>and Local</w:t>
      </w:r>
      <w:r w:rsidRPr="000118A3">
        <w:rPr>
          <w:rFonts w:ascii="Times New Roman" w:eastAsia="Times New Roman" w:hAnsi="Times New Roman" w:cs="Times New Roman"/>
          <w:color w:val="0F1115"/>
          <w:sz w:val="22"/>
          <w:szCs w:val="22"/>
        </w:rPr>
        <w:t xml:space="preserve"> Governments. Implemented measures include policy development, regulatory enforcement, inter-governmental cooperation, and public education. Key regulations govern waste management of Hazardous and Toxic Waste (HTW/B3). A critical challenge in B3 management is the lack of treatment facilities in all regions, requiring costly inter-provincial transport for disposal. Despite initiatives like cooperation on land-based waste and public outreach, governance effectiveness remains low.</w:t>
      </w:r>
    </w:p>
    <w:p w14:paraId="56D090FD" w14:textId="77777777" w:rsidR="00C248E7" w:rsidRPr="000118A3" w:rsidRDefault="00C248E7" w:rsidP="007B1305">
      <w:pPr>
        <w:pStyle w:val="ListParagraph"/>
        <w:ind w:left="0"/>
        <w:jc w:val="both"/>
        <w:rPr>
          <w:rFonts w:ascii="Times New Roman" w:eastAsia="Times New Roman" w:hAnsi="Times New Roman" w:cs="Times New Roman"/>
          <w:color w:val="0F1115"/>
          <w:sz w:val="22"/>
          <w:szCs w:val="22"/>
        </w:rPr>
      </w:pPr>
    </w:p>
    <w:p w14:paraId="040E357B" w14:textId="77777777" w:rsidR="007B1305" w:rsidRPr="00D84F7F" w:rsidRDefault="007B1305" w:rsidP="007B1305">
      <w:pPr>
        <w:pStyle w:val="ListParagraph"/>
        <w:ind w:left="0"/>
        <w:jc w:val="both"/>
        <w:rPr>
          <w:rFonts w:ascii="Times New Roman" w:hAnsi="Times New Roman" w:cs="Times New Roman"/>
          <w:b/>
          <w:bCs/>
          <w:sz w:val="22"/>
          <w:szCs w:val="22"/>
        </w:rPr>
      </w:pPr>
    </w:p>
    <w:p w14:paraId="3026536D" w14:textId="77777777" w:rsidR="007B1305" w:rsidRPr="00D84F7F" w:rsidRDefault="007B1305" w:rsidP="007B1305">
      <w:pPr>
        <w:pStyle w:val="ListParagraph"/>
        <w:ind w:left="0"/>
        <w:jc w:val="both"/>
        <w:rPr>
          <w:rFonts w:ascii="Times New Roman" w:eastAsia="Aptos" w:hAnsi="Times New Roman" w:cs="Times New Roman"/>
          <w:b/>
          <w:bCs/>
          <w:i/>
          <w:iCs/>
          <w:sz w:val="22"/>
          <w:szCs w:val="22"/>
        </w:rPr>
      </w:pPr>
      <w:r w:rsidRPr="00D84F7F">
        <w:rPr>
          <w:rFonts w:ascii="Times New Roman" w:eastAsia="Aptos" w:hAnsi="Times New Roman" w:cs="Times New Roman"/>
          <w:b/>
          <w:bCs/>
          <w:i/>
          <w:iCs/>
          <w:sz w:val="22"/>
          <w:szCs w:val="22"/>
        </w:rPr>
        <w:t>Fish, Fisheries and Aquaculture</w:t>
      </w:r>
    </w:p>
    <w:p w14:paraId="495B48B9" w14:textId="77777777" w:rsidR="007B1305" w:rsidRPr="000118A3" w:rsidRDefault="007B1305" w:rsidP="007B1305">
      <w:pPr>
        <w:pStyle w:val="ds-markdown-paragraph"/>
        <w:shd w:val="clear" w:color="auto" w:fill="FFFFFF"/>
        <w:spacing w:before="0" w:beforeAutospacing="0" w:after="240" w:afterAutospacing="0"/>
        <w:contextualSpacing/>
        <w:jc w:val="both"/>
        <w:rPr>
          <w:b/>
          <w:bCs/>
          <w:i/>
          <w:iCs/>
          <w:color w:val="0F1115"/>
          <w:sz w:val="22"/>
          <w:szCs w:val="22"/>
        </w:rPr>
      </w:pPr>
      <w:r w:rsidRPr="000118A3">
        <w:rPr>
          <w:rStyle w:val="Strong"/>
          <w:i/>
          <w:iCs/>
          <w:color w:val="0F1115"/>
          <w:sz w:val="22"/>
          <w:szCs w:val="22"/>
        </w:rPr>
        <w:t>a. Illegal Fishing</w:t>
      </w:r>
      <w:r w:rsidRPr="000118A3">
        <w:rPr>
          <w:b/>
          <w:bCs/>
          <w:i/>
          <w:iCs/>
          <w:color w:val="0F1115"/>
          <w:sz w:val="22"/>
          <w:szCs w:val="22"/>
        </w:rPr>
        <w:t> </w:t>
      </w:r>
    </w:p>
    <w:p w14:paraId="4E01D007" w14:textId="77777777" w:rsidR="007B1305" w:rsidRPr="000118A3" w:rsidRDefault="007B1305" w:rsidP="007B1305">
      <w:pPr>
        <w:pStyle w:val="ds-markdown-paragraph"/>
        <w:shd w:val="clear" w:color="auto" w:fill="FFFFFF"/>
        <w:spacing w:before="0" w:beforeAutospacing="0" w:after="0" w:afterAutospacing="0"/>
        <w:contextualSpacing/>
        <w:jc w:val="both"/>
        <w:rPr>
          <w:color w:val="0F1115"/>
          <w:sz w:val="22"/>
          <w:szCs w:val="22"/>
        </w:rPr>
      </w:pPr>
      <w:r w:rsidRPr="000118A3">
        <w:rPr>
          <w:color w:val="0F1115"/>
          <w:sz w:val="22"/>
          <w:szCs w:val="22"/>
        </w:rPr>
        <w:t xml:space="preserve">Illegal fishing encompasses several issues, including incursion of foreign fishing vessels, improper placement of FADs, the use of destructive fishing gear, and transshipment activities. The improper deployment of FADs </w:t>
      </w:r>
      <w:r w:rsidRPr="000118A3">
        <w:rPr>
          <w:color w:val="0F1115"/>
          <w:sz w:val="22"/>
          <w:szCs w:val="22"/>
        </w:rPr>
        <w:lastRenderedPageBreak/>
        <w:t>occurs frequently in the waters of Natuna. Destructive fishing includes the use of cyanide, unregulated fishing gear, and prohibited fishing gear.</w:t>
      </w:r>
    </w:p>
    <w:p w14:paraId="369668D2" w14:textId="77777777" w:rsidR="007B1305" w:rsidRPr="000118A3" w:rsidRDefault="007B1305" w:rsidP="007B1305">
      <w:pPr>
        <w:pStyle w:val="ds-markdown-paragraph"/>
        <w:shd w:val="clear" w:color="auto" w:fill="FFFFFF"/>
        <w:spacing w:before="0" w:beforeAutospacing="0" w:after="0" w:afterAutospacing="0"/>
        <w:contextualSpacing/>
        <w:jc w:val="both"/>
        <w:rPr>
          <w:color w:val="0F1115"/>
          <w:sz w:val="22"/>
          <w:szCs w:val="22"/>
        </w:rPr>
      </w:pPr>
    </w:p>
    <w:p w14:paraId="434016AE" w14:textId="77777777" w:rsidR="007B1305" w:rsidRPr="000118A3" w:rsidRDefault="007B1305" w:rsidP="007B1305">
      <w:pPr>
        <w:pStyle w:val="ds-markdown-paragraph"/>
        <w:shd w:val="clear" w:color="auto" w:fill="FFFFFF"/>
        <w:spacing w:before="0" w:beforeAutospacing="0" w:after="0" w:afterAutospacing="0"/>
        <w:contextualSpacing/>
        <w:jc w:val="both"/>
        <w:rPr>
          <w:color w:val="0F1115"/>
          <w:sz w:val="22"/>
          <w:szCs w:val="22"/>
        </w:rPr>
      </w:pPr>
      <w:r w:rsidRPr="000118A3">
        <w:rPr>
          <w:color w:val="0F1115"/>
          <w:sz w:val="22"/>
          <w:szCs w:val="22"/>
        </w:rPr>
        <w:t>Institutions involved in managing illegal fishing are MOMAF, ICG, MOFA, and Provincial Marine and Fisheries Services (DKP). Management actions include outreach on permitted and prohibited fishing gear, enforcement actions by MOMAF as part of its mandate to combat illegal fishing, and patrols conducted by MOMAF and ICG/Bakamla.</w:t>
      </w:r>
    </w:p>
    <w:p w14:paraId="0CB2FB9D" w14:textId="77777777" w:rsidR="007B1305" w:rsidRPr="000118A3" w:rsidRDefault="007B1305" w:rsidP="007B1305">
      <w:pPr>
        <w:pStyle w:val="ds-markdown-paragraph"/>
        <w:shd w:val="clear" w:color="auto" w:fill="FFFFFF"/>
        <w:spacing w:before="0" w:beforeAutospacing="0" w:after="0" w:afterAutospacing="0"/>
        <w:contextualSpacing/>
        <w:jc w:val="both"/>
        <w:rPr>
          <w:color w:val="0F1115"/>
          <w:sz w:val="22"/>
          <w:szCs w:val="22"/>
        </w:rPr>
      </w:pPr>
    </w:p>
    <w:p w14:paraId="496B66D0" w14:textId="77777777" w:rsidR="007B1305" w:rsidRPr="000118A3" w:rsidRDefault="007B1305" w:rsidP="007B1305">
      <w:pPr>
        <w:pStyle w:val="ds-markdown-paragraph"/>
        <w:shd w:val="clear" w:color="auto" w:fill="FFFFFF"/>
        <w:spacing w:before="0" w:beforeAutospacing="0" w:after="0" w:afterAutospacing="0"/>
        <w:contextualSpacing/>
        <w:jc w:val="both"/>
        <w:rPr>
          <w:rStyle w:val="Strong"/>
          <w:color w:val="0F1115"/>
          <w:sz w:val="22"/>
          <w:szCs w:val="22"/>
        </w:rPr>
      </w:pPr>
      <w:r w:rsidRPr="000118A3">
        <w:rPr>
          <w:color w:val="0F1115"/>
          <w:sz w:val="22"/>
          <w:szCs w:val="22"/>
        </w:rPr>
        <w:t>Illegal fishing is perpetrated by both foreign vessels entering Indonesian waters and local fishers. Factually, violations and incidents of illegal fishing remain frequent. Consequently, overall </w:t>
      </w:r>
      <w:r w:rsidRPr="000118A3">
        <w:rPr>
          <w:rStyle w:val="Strong"/>
          <w:color w:val="0F1115"/>
          <w:sz w:val="22"/>
          <w:szCs w:val="22"/>
        </w:rPr>
        <w:t>governance effectiveness is assessed are low.</w:t>
      </w:r>
    </w:p>
    <w:p w14:paraId="38541CEB" w14:textId="77777777" w:rsidR="007B1305" w:rsidRPr="000118A3" w:rsidRDefault="007B1305" w:rsidP="007B1305">
      <w:pPr>
        <w:pStyle w:val="ds-markdown-paragraph"/>
        <w:shd w:val="clear" w:color="auto" w:fill="FFFFFF"/>
        <w:spacing w:before="0" w:beforeAutospacing="0" w:after="0" w:afterAutospacing="0"/>
        <w:contextualSpacing/>
        <w:jc w:val="both"/>
        <w:rPr>
          <w:color w:val="0F1115"/>
          <w:sz w:val="22"/>
          <w:szCs w:val="22"/>
        </w:rPr>
      </w:pPr>
    </w:p>
    <w:p w14:paraId="0DE637AB" w14:textId="77777777" w:rsidR="007B1305" w:rsidRPr="000118A3" w:rsidRDefault="007B1305" w:rsidP="007B1305">
      <w:pPr>
        <w:pStyle w:val="ds-markdown-paragraph"/>
        <w:numPr>
          <w:ilvl w:val="0"/>
          <w:numId w:val="127"/>
        </w:numPr>
        <w:shd w:val="clear" w:color="auto" w:fill="FFFFFF"/>
        <w:spacing w:before="0" w:beforeAutospacing="0" w:after="0" w:afterAutospacing="0"/>
        <w:ind w:left="270" w:hanging="270"/>
        <w:contextualSpacing/>
        <w:jc w:val="both"/>
        <w:rPr>
          <w:rStyle w:val="Strong"/>
          <w:b w:val="0"/>
          <w:bCs w:val="0"/>
          <w:i/>
          <w:iCs/>
          <w:color w:val="0F1115"/>
          <w:sz w:val="22"/>
          <w:szCs w:val="22"/>
        </w:rPr>
      </w:pPr>
      <w:r w:rsidRPr="000118A3">
        <w:rPr>
          <w:rStyle w:val="Strong"/>
          <w:i/>
          <w:iCs/>
          <w:color w:val="0F1115"/>
          <w:sz w:val="22"/>
          <w:szCs w:val="22"/>
        </w:rPr>
        <w:t>Overfishing in Fisheries Management Area (WPP) 711</w:t>
      </w:r>
    </w:p>
    <w:p w14:paraId="53F25BDC" w14:textId="77777777" w:rsidR="007B1305" w:rsidRPr="000118A3" w:rsidRDefault="007B1305" w:rsidP="00482FFD">
      <w:pPr>
        <w:pStyle w:val="ds-markdown-paragraph"/>
        <w:spacing w:before="120" w:beforeAutospacing="0" w:after="0" w:afterAutospacing="0"/>
        <w:contextualSpacing/>
        <w:jc w:val="both"/>
        <w:rPr>
          <w:color w:val="0F1115"/>
          <w:sz w:val="22"/>
          <w:szCs w:val="22"/>
        </w:rPr>
      </w:pPr>
      <w:r w:rsidRPr="000118A3">
        <w:rPr>
          <w:color w:val="0F1115"/>
          <w:sz w:val="22"/>
          <w:szCs w:val="22"/>
        </w:rPr>
        <w:t>Fishery resources in the South China Sea (Fishing Management Area 711) are officially classified as overexploited (Ministry Decree KP No.19/2022), with an exploitation rate exceeding 1 for key species like small pelagic, squid, cuttlefish and octopus. This overfishing is driven by excessive effort from local, inter-regional, and foreign fishers, compounded by complex multi-level governance.</w:t>
      </w:r>
    </w:p>
    <w:p w14:paraId="02F16EA7" w14:textId="24D505B6" w:rsidR="007B1305" w:rsidRPr="000118A3" w:rsidRDefault="007B1305" w:rsidP="00482FFD">
      <w:pPr>
        <w:pStyle w:val="ds-markdown-paragraph"/>
        <w:spacing w:before="120" w:beforeAutospacing="0" w:after="0" w:afterAutospacing="0"/>
        <w:jc w:val="both"/>
        <w:rPr>
          <w:color w:val="0F1115"/>
          <w:sz w:val="22"/>
          <w:szCs w:val="22"/>
        </w:rPr>
      </w:pPr>
      <w:r w:rsidRPr="000118A3">
        <w:rPr>
          <w:color w:val="0F1115"/>
          <w:sz w:val="22"/>
          <w:szCs w:val="22"/>
        </w:rPr>
        <w:t>The Ministry of Marine Affairs and Fisheries (</w:t>
      </w:r>
      <w:r w:rsidR="00040AE4" w:rsidRPr="000118A3">
        <w:rPr>
          <w:color w:val="0F1115"/>
          <w:sz w:val="22"/>
          <w:szCs w:val="22"/>
        </w:rPr>
        <w:t>MOMAF) and</w:t>
      </w:r>
      <w:r w:rsidRPr="000118A3">
        <w:rPr>
          <w:color w:val="0F1115"/>
          <w:sz w:val="22"/>
          <w:szCs w:val="22"/>
        </w:rPr>
        <w:t xml:space="preserve"> related institutions (ICG/Bakamla, and Provincial fisheries office) govern this through measures such as national catch quotas, vessel licensing, and Monitoring, Control, and Surveillance (MCS). Government established National Commission for Fish Stock Assessment (PERMEN-KP No. 20/2021). According to PERMEN-KP No. 19/2022, three of nine species groups are overexploited. While quota management has faced challenges, active MCS and a stock status where six species groups remain under-exploited lead to an overall governance assessment of medium effectiveness.</w:t>
      </w:r>
    </w:p>
    <w:p w14:paraId="032EC07B" w14:textId="77777777" w:rsidR="007B1305" w:rsidRPr="000118A3" w:rsidRDefault="007B1305" w:rsidP="007B1305">
      <w:pPr>
        <w:pStyle w:val="ds-markdown-paragraph"/>
        <w:shd w:val="clear" w:color="auto" w:fill="FFFFFF"/>
        <w:spacing w:before="0" w:beforeAutospacing="0" w:after="0" w:afterAutospacing="0"/>
        <w:contextualSpacing/>
        <w:jc w:val="both"/>
        <w:rPr>
          <w:color w:val="0F1115"/>
          <w:sz w:val="22"/>
          <w:szCs w:val="22"/>
        </w:rPr>
      </w:pPr>
    </w:p>
    <w:p w14:paraId="5A196E16" w14:textId="77777777" w:rsidR="007B1305" w:rsidRPr="000118A3" w:rsidRDefault="007B1305" w:rsidP="007B1305">
      <w:pPr>
        <w:pStyle w:val="ds-markdown-paragraph"/>
        <w:numPr>
          <w:ilvl w:val="0"/>
          <w:numId w:val="127"/>
        </w:numPr>
        <w:shd w:val="clear" w:color="auto" w:fill="FFFFFF"/>
        <w:spacing w:before="0" w:beforeAutospacing="0" w:after="0" w:afterAutospacing="0"/>
        <w:ind w:left="180" w:hanging="180"/>
        <w:jc w:val="both"/>
        <w:rPr>
          <w:rStyle w:val="Strong"/>
          <w:b w:val="0"/>
          <w:bCs w:val="0"/>
          <w:i/>
          <w:iCs/>
          <w:color w:val="0F1115"/>
          <w:sz w:val="22"/>
          <w:szCs w:val="22"/>
        </w:rPr>
      </w:pPr>
      <w:r w:rsidRPr="000118A3">
        <w:rPr>
          <w:rStyle w:val="Strong"/>
          <w:i/>
          <w:iCs/>
          <w:color w:val="0F1115"/>
          <w:sz w:val="22"/>
          <w:szCs w:val="22"/>
        </w:rPr>
        <w:t>Conflicts over Fishing Grounds</w:t>
      </w:r>
    </w:p>
    <w:p w14:paraId="1CA12AD2" w14:textId="77777777" w:rsidR="007B1305" w:rsidRPr="000118A3" w:rsidRDefault="007B1305" w:rsidP="00482FFD">
      <w:pPr>
        <w:pStyle w:val="ds-markdown-paragraph"/>
        <w:shd w:val="clear" w:color="auto" w:fill="FFFFFF"/>
        <w:spacing w:before="120" w:beforeAutospacing="0" w:after="0" w:afterAutospacing="0"/>
        <w:jc w:val="both"/>
        <w:rPr>
          <w:color w:val="0F1115"/>
          <w:sz w:val="22"/>
          <w:szCs w:val="22"/>
        </w:rPr>
      </w:pPr>
      <w:r w:rsidRPr="000118A3">
        <w:rPr>
          <w:color w:val="0F1115"/>
          <w:sz w:val="22"/>
          <w:szCs w:val="22"/>
        </w:rPr>
        <w:t>Indonesia has established regulated fishing lanes (Lanes I-IV and High Seas) under PERMEN-KP No. 36/2023 to segregate vessel sizes and gear types, aiming to reduce conflicts. However, disputes persist due to lane incursions by larger vessels and overlapping use of active and passive gears, particularly around Fish Aggregating Devices (FADs).</w:t>
      </w:r>
    </w:p>
    <w:p w14:paraId="6DF4722F" w14:textId="77777777" w:rsidR="007B1305" w:rsidRPr="000118A3" w:rsidRDefault="007B1305" w:rsidP="00482FFD">
      <w:pPr>
        <w:pStyle w:val="ds-markdown-paragraph"/>
        <w:shd w:val="clear" w:color="auto" w:fill="FFFFFF"/>
        <w:spacing w:before="120" w:beforeAutospacing="0" w:after="0" w:afterAutospacing="0"/>
        <w:jc w:val="both"/>
        <w:rPr>
          <w:color w:val="0F1115"/>
          <w:sz w:val="22"/>
          <w:szCs w:val="22"/>
        </w:rPr>
      </w:pPr>
      <w:r w:rsidRPr="000118A3">
        <w:rPr>
          <w:color w:val="0F1115"/>
          <w:sz w:val="22"/>
          <w:szCs w:val="22"/>
        </w:rPr>
        <w:t>Governance involves MOMAF and provincial agencies through regulations. Governance measures include establishment Fisheries Management Area Institutions (FMAI/LPP) (as per PERMEN-KP No. 22/2021), and community surveillance groups (Pokmaswas). Despite these measures, governance effectiveness remains low.</w:t>
      </w:r>
    </w:p>
    <w:p w14:paraId="55CD623E" w14:textId="77777777" w:rsidR="007B1305" w:rsidRPr="000118A3" w:rsidRDefault="007B1305" w:rsidP="007B1305">
      <w:pPr>
        <w:pStyle w:val="ds-markdown-paragraph"/>
        <w:shd w:val="clear" w:color="auto" w:fill="FFFFFF"/>
        <w:spacing w:before="0" w:beforeAutospacing="0" w:after="0" w:afterAutospacing="0"/>
        <w:jc w:val="both"/>
        <w:rPr>
          <w:color w:val="0F1115"/>
          <w:sz w:val="22"/>
          <w:szCs w:val="22"/>
        </w:rPr>
      </w:pPr>
    </w:p>
    <w:p w14:paraId="433ED763" w14:textId="77777777" w:rsidR="007B1305" w:rsidRPr="000118A3" w:rsidRDefault="007B1305" w:rsidP="007B1305">
      <w:pPr>
        <w:pStyle w:val="ds-markdown-paragraph"/>
        <w:shd w:val="clear" w:color="auto" w:fill="FFFFFF"/>
        <w:spacing w:before="0" w:beforeAutospacing="0" w:after="0" w:afterAutospacing="0"/>
        <w:jc w:val="both"/>
        <w:rPr>
          <w:b/>
          <w:bCs/>
          <w:i/>
          <w:iCs/>
          <w:color w:val="0F1115"/>
          <w:sz w:val="22"/>
          <w:szCs w:val="22"/>
        </w:rPr>
      </w:pPr>
      <w:r w:rsidRPr="000118A3">
        <w:rPr>
          <w:rStyle w:val="Strong"/>
          <w:i/>
          <w:iCs/>
          <w:color w:val="0F1115"/>
          <w:sz w:val="22"/>
          <w:szCs w:val="22"/>
        </w:rPr>
        <w:t>d. Abandoned, Lost, or Otherwise Discarded Fishing Gear (ALDFG)</w:t>
      </w:r>
    </w:p>
    <w:p w14:paraId="5CD9DC43" w14:textId="77777777" w:rsidR="007B1305" w:rsidRPr="000118A3" w:rsidRDefault="007B1305" w:rsidP="00482FFD">
      <w:pPr>
        <w:pStyle w:val="ds-markdown-paragraph"/>
        <w:shd w:val="clear" w:color="auto" w:fill="FFFFFF"/>
        <w:spacing w:before="120" w:beforeAutospacing="0" w:after="0" w:afterAutospacing="0"/>
        <w:jc w:val="both"/>
        <w:rPr>
          <w:color w:val="0F1115"/>
          <w:sz w:val="22"/>
          <w:szCs w:val="22"/>
          <w:lang w:val="fi-FI"/>
        </w:rPr>
      </w:pPr>
      <w:r w:rsidRPr="000118A3">
        <w:rPr>
          <w:color w:val="0F1115"/>
          <w:sz w:val="22"/>
          <w:szCs w:val="22"/>
        </w:rPr>
        <w:t xml:space="preserve">The ALDFG issue in Indonesia arises.  Available studies are sporadic, with more comprehensive research in eastern waters (e.g., Arafura Sea) compared to the western regions (South China Sea and Gulf of Thailand). Including the work of Buttler et al. (2013), Richardson et al. </w:t>
      </w:r>
      <w:r w:rsidRPr="000118A3">
        <w:rPr>
          <w:color w:val="0F1115"/>
          <w:sz w:val="22"/>
          <w:szCs w:val="22"/>
          <w:lang w:val="fi-FI"/>
        </w:rPr>
        <w:t xml:space="preserve">(2018), Riyanto et al. (2025), Maya et al., (2024), and Tumulyadi et al., (2024). </w:t>
      </w:r>
    </w:p>
    <w:p w14:paraId="3B573F24" w14:textId="05ACE205" w:rsidR="007B1305" w:rsidRPr="000118A3" w:rsidRDefault="007B1305" w:rsidP="00482FFD">
      <w:pPr>
        <w:pStyle w:val="ds-markdown-paragraph"/>
        <w:shd w:val="clear" w:color="auto" w:fill="FFFFFF"/>
        <w:spacing w:before="120" w:beforeAutospacing="0" w:after="0" w:afterAutospacing="0"/>
        <w:jc w:val="both"/>
        <w:rPr>
          <w:color w:val="0F1115"/>
          <w:sz w:val="22"/>
          <w:szCs w:val="22"/>
        </w:rPr>
      </w:pPr>
      <w:r w:rsidRPr="000118A3">
        <w:rPr>
          <w:color w:val="0F1115"/>
          <w:sz w:val="22"/>
          <w:szCs w:val="22"/>
        </w:rPr>
        <w:t>Main instiutions involved in managing ALDFG include MOMAF, MOE, MOI, Ministry of Trade (</w:t>
      </w:r>
      <w:r w:rsidR="00040AE4" w:rsidRPr="000118A3">
        <w:rPr>
          <w:color w:val="0F1115"/>
          <w:sz w:val="22"/>
          <w:szCs w:val="22"/>
        </w:rPr>
        <w:t xml:space="preserve">MOT)  </w:t>
      </w:r>
      <w:r w:rsidRPr="000118A3">
        <w:rPr>
          <w:color w:val="0F1115"/>
          <w:sz w:val="22"/>
          <w:szCs w:val="22"/>
        </w:rPr>
        <w:t>and DKP. Key policy measures include the National Action Plan on Marine Debris (PR No. 83/2018) and sectoral regulations such as PERMEN-KP No. 26/2021 prohibiting gear disposal at sea. The other technical regulations include KEPMEN-KP No. 130/2023, PERMEN-KP No. 36/2023, PERMEN-KP No. 33/2021, PERMEN-KP No. 3/2013 which covers some prevention efforts focus on gear management standards, vessel inspections, and awareness campaigns.</w:t>
      </w:r>
    </w:p>
    <w:p w14:paraId="1D1E20DF" w14:textId="77777777" w:rsidR="007B1305" w:rsidRPr="000118A3" w:rsidRDefault="007B1305" w:rsidP="00482FFD">
      <w:pPr>
        <w:pStyle w:val="ds-markdown-paragraph"/>
        <w:spacing w:before="120" w:beforeAutospacing="0" w:after="0" w:afterAutospacing="0"/>
        <w:jc w:val="both"/>
        <w:rPr>
          <w:color w:val="0F1115"/>
          <w:sz w:val="22"/>
          <w:szCs w:val="22"/>
        </w:rPr>
      </w:pPr>
      <w:r w:rsidRPr="000118A3">
        <w:rPr>
          <w:color w:val="0F1115"/>
          <w:sz w:val="22"/>
          <w:szCs w:val="22"/>
        </w:rPr>
        <w:t>However, implementation faces significant challenges, including weak coordination, inadequate port reception facilities, and limited cleanup operations and governance effectiveness remains low due to the gap between policy and practice.</w:t>
      </w:r>
    </w:p>
    <w:p w14:paraId="27DFC7DB" w14:textId="5DCB998C" w:rsidR="007B1305" w:rsidRPr="000118A3" w:rsidRDefault="007B1305" w:rsidP="00D84F7F">
      <w:pPr>
        <w:pStyle w:val="ds-markdown-paragraph"/>
        <w:numPr>
          <w:ilvl w:val="0"/>
          <w:numId w:val="147"/>
        </w:numPr>
        <w:shd w:val="clear" w:color="auto" w:fill="FFFFFF"/>
        <w:spacing w:before="120" w:beforeAutospacing="0" w:after="0" w:afterAutospacing="0"/>
        <w:ind w:left="426"/>
        <w:jc w:val="both"/>
        <w:rPr>
          <w:rStyle w:val="Strong"/>
          <w:b w:val="0"/>
          <w:bCs w:val="0"/>
          <w:i/>
          <w:iCs/>
          <w:color w:val="0F1115"/>
          <w:sz w:val="22"/>
          <w:szCs w:val="22"/>
        </w:rPr>
      </w:pPr>
      <w:r w:rsidRPr="000118A3">
        <w:rPr>
          <w:rStyle w:val="Strong"/>
          <w:i/>
          <w:iCs/>
          <w:color w:val="0F1115"/>
          <w:sz w:val="22"/>
          <w:szCs w:val="22"/>
        </w:rPr>
        <w:t>Incidental Capture of Endangered, Threatened, and Protected (ETP) Species</w:t>
      </w:r>
    </w:p>
    <w:p w14:paraId="4F02E2EA" w14:textId="6CB26282" w:rsidR="007B1305" w:rsidRPr="000118A3" w:rsidRDefault="007B1305" w:rsidP="00482FFD">
      <w:pPr>
        <w:pStyle w:val="ds-markdown-paragraph"/>
        <w:shd w:val="clear" w:color="auto" w:fill="FFFFFF"/>
        <w:spacing w:before="120" w:beforeAutospacing="0" w:after="0" w:afterAutospacing="0"/>
        <w:jc w:val="both"/>
        <w:rPr>
          <w:color w:val="0F1115"/>
          <w:sz w:val="22"/>
          <w:szCs w:val="22"/>
        </w:rPr>
      </w:pPr>
      <w:r w:rsidRPr="000118A3">
        <w:rPr>
          <w:color w:val="0F1115"/>
          <w:sz w:val="22"/>
          <w:szCs w:val="22"/>
        </w:rPr>
        <w:t xml:space="preserve">Sea turtle is Endangered, Threatened, and Protected (ETP) species, in Indonesian waters of the SCS face ongoing pressure from both intentional and unintentional capture. Key institutions, including </w:t>
      </w:r>
      <w:r w:rsidR="00681220" w:rsidRPr="000118A3">
        <w:rPr>
          <w:color w:val="0F1115"/>
          <w:sz w:val="22"/>
          <w:szCs w:val="22"/>
        </w:rPr>
        <w:t>KKP) and</w:t>
      </w:r>
      <w:r w:rsidRPr="000118A3">
        <w:rPr>
          <w:color w:val="0F1115"/>
          <w:sz w:val="22"/>
          <w:szCs w:val="22"/>
        </w:rPr>
        <w:t xml:space="preserve"> KLH, </w:t>
      </w:r>
      <w:r w:rsidRPr="000118A3">
        <w:rPr>
          <w:color w:val="0F1115"/>
          <w:sz w:val="22"/>
          <w:szCs w:val="22"/>
        </w:rPr>
        <w:lastRenderedPageBreak/>
        <w:t>govern ETP species through a regulatory framework (e.g., PERMEN-KP No. 20/2022 on CITES-listed species and PERMEN-KP No. 49/2016, on Procedures for Determining the Protected Status of Fish Species) and widespread awareness campaigns in collaboration with NGOs. Current governance performance is assessed as medium, reflecting a decreasing trend in ETP issues.</w:t>
      </w:r>
    </w:p>
    <w:p w14:paraId="3CC81A5A" w14:textId="0F242C35" w:rsidR="007B1305" w:rsidRPr="000118A3" w:rsidRDefault="007B1305" w:rsidP="00482FFD">
      <w:pPr>
        <w:pStyle w:val="ds-markdown-paragraph"/>
        <w:shd w:val="clear" w:color="auto" w:fill="FFFFFF"/>
        <w:spacing w:before="120" w:beforeAutospacing="0" w:after="0" w:afterAutospacing="0"/>
        <w:jc w:val="both"/>
        <w:rPr>
          <w:color w:val="0F1115"/>
          <w:sz w:val="22"/>
          <w:szCs w:val="22"/>
        </w:rPr>
      </w:pPr>
      <w:r w:rsidRPr="000118A3">
        <w:rPr>
          <w:color w:val="0F1115"/>
          <w:sz w:val="22"/>
          <w:szCs w:val="22"/>
        </w:rPr>
        <w:t xml:space="preserve">The of performance and effectiveness of governance for the transboundary threats are summarized in Table </w:t>
      </w:r>
      <w:r w:rsidR="00612A70">
        <w:rPr>
          <w:color w:val="0F1115"/>
          <w:sz w:val="22"/>
          <w:szCs w:val="22"/>
        </w:rPr>
        <w:t>20</w:t>
      </w:r>
      <w:r w:rsidR="00482FFD">
        <w:rPr>
          <w:color w:val="0F1115"/>
          <w:sz w:val="22"/>
          <w:szCs w:val="22"/>
        </w:rPr>
        <w:t xml:space="preserve"> </w:t>
      </w:r>
    </w:p>
    <w:p w14:paraId="3714DD99" w14:textId="77777777" w:rsidR="00612A70" w:rsidRDefault="00612A70" w:rsidP="007B1305">
      <w:pPr>
        <w:pStyle w:val="Caption"/>
        <w:rPr>
          <w:rFonts w:ascii="Times New Roman" w:eastAsia="Times New Roman" w:hAnsi="Times New Roman" w:cs="Times New Roman"/>
          <w:i w:val="0"/>
          <w:iCs w:val="0"/>
          <w:color w:val="0F1115"/>
          <w:kern w:val="0"/>
          <w:sz w:val="22"/>
          <w:szCs w:val="22"/>
          <w14:ligatures w14:val="none"/>
        </w:rPr>
      </w:pPr>
    </w:p>
    <w:p w14:paraId="364C46E0" w14:textId="35AED431" w:rsidR="007B1305" w:rsidRPr="00482FFD" w:rsidRDefault="00612A70" w:rsidP="00612A70">
      <w:pPr>
        <w:pStyle w:val="Caption"/>
        <w:rPr>
          <w:rFonts w:ascii="Times New Roman" w:eastAsia="Times New Roman" w:hAnsi="Times New Roman" w:cs="Times New Roman"/>
          <w:i w:val="0"/>
          <w:iCs w:val="0"/>
          <w:color w:val="0F1115"/>
          <w:kern w:val="0"/>
          <w:sz w:val="22"/>
          <w:szCs w:val="22"/>
          <w14:ligatures w14:val="none"/>
        </w:rPr>
      </w:pPr>
      <w:bookmarkStart w:id="179" w:name="_Toc217297665"/>
      <w:r w:rsidRPr="00612A70">
        <w:rPr>
          <w:rFonts w:ascii="Times New Roman" w:hAnsi="Times New Roman" w:cs="Times New Roman"/>
          <w:i w:val="0"/>
          <w:iCs w:val="0"/>
          <w:color w:val="000000" w:themeColor="text1"/>
          <w:sz w:val="22"/>
          <w:szCs w:val="22"/>
        </w:rPr>
        <w:t xml:space="preserve">Table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Table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20</w:t>
      </w:r>
      <w:r w:rsidRPr="00612A70">
        <w:rPr>
          <w:rFonts w:ascii="Times New Roman" w:hAnsi="Times New Roman" w:cs="Times New Roman"/>
          <w:i w:val="0"/>
          <w:iCs w:val="0"/>
          <w:color w:val="000000" w:themeColor="text1"/>
          <w:sz w:val="22"/>
          <w:szCs w:val="22"/>
        </w:rPr>
        <w:fldChar w:fldCharType="end"/>
      </w:r>
      <w:r w:rsidR="00482FFD" w:rsidRPr="00612A70">
        <w:rPr>
          <w:rFonts w:ascii="Times New Roman" w:eastAsia="Times New Roman" w:hAnsi="Times New Roman" w:cs="Times New Roman"/>
          <w:i w:val="0"/>
          <w:iCs w:val="0"/>
          <w:color w:val="000000" w:themeColor="text1"/>
          <w:kern w:val="0"/>
          <w:sz w:val="22"/>
          <w:szCs w:val="22"/>
          <w14:ligatures w14:val="none"/>
        </w:rPr>
        <w:t xml:space="preserve"> </w:t>
      </w:r>
      <w:r w:rsidR="007B1305" w:rsidRPr="00482FFD">
        <w:rPr>
          <w:rFonts w:ascii="Times New Roman" w:eastAsia="Times New Roman" w:hAnsi="Times New Roman" w:cs="Times New Roman"/>
          <w:i w:val="0"/>
          <w:iCs w:val="0"/>
          <w:color w:val="0F1115"/>
          <w:kern w:val="0"/>
          <w:sz w:val="22"/>
          <w:szCs w:val="22"/>
          <w14:ligatures w14:val="none"/>
        </w:rPr>
        <w:t>Governance Performance and Effectiveness of Indonesia for South China Sea Waters</w:t>
      </w:r>
      <w:bookmarkEnd w:id="179"/>
    </w:p>
    <w:tbl>
      <w:tblPr>
        <w:tblStyle w:val="TableGrid"/>
        <w:tblW w:w="9355" w:type="dxa"/>
        <w:tblLook w:val="04A0" w:firstRow="1" w:lastRow="0" w:firstColumn="1" w:lastColumn="0" w:noHBand="0" w:noVBand="1"/>
      </w:tblPr>
      <w:tblGrid>
        <w:gridCol w:w="540"/>
        <w:gridCol w:w="7015"/>
        <w:gridCol w:w="1800"/>
      </w:tblGrid>
      <w:tr w:rsidR="007B1305" w:rsidRPr="000118A3" w14:paraId="0C4C3DC5" w14:textId="77777777" w:rsidTr="000E7449">
        <w:tc>
          <w:tcPr>
            <w:tcW w:w="540" w:type="dxa"/>
            <w:shd w:val="clear" w:color="auto" w:fill="BDD6EE" w:themeFill="accent5" w:themeFillTint="66"/>
            <w:vAlign w:val="center"/>
          </w:tcPr>
          <w:p w14:paraId="2747C609" w14:textId="77777777" w:rsidR="007B1305" w:rsidRPr="000118A3" w:rsidRDefault="007B1305" w:rsidP="00671D7D">
            <w:pPr>
              <w:pStyle w:val="ds-markdown-paragraph"/>
              <w:spacing w:before="0" w:beforeAutospacing="0" w:after="0" w:afterAutospacing="0"/>
              <w:contextualSpacing/>
              <w:jc w:val="center"/>
              <w:rPr>
                <w:b/>
                <w:bCs/>
                <w:color w:val="0F1115"/>
                <w:sz w:val="22"/>
                <w:szCs w:val="22"/>
              </w:rPr>
            </w:pPr>
            <w:r w:rsidRPr="000118A3">
              <w:rPr>
                <w:b/>
                <w:bCs/>
                <w:color w:val="0F1115"/>
                <w:sz w:val="22"/>
                <w:szCs w:val="22"/>
              </w:rPr>
              <w:t>No.</w:t>
            </w:r>
          </w:p>
        </w:tc>
        <w:tc>
          <w:tcPr>
            <w:tcW w:w="7015" w:type="dxa"/>
            <w:shd w:val="clear" w:color="auto" w:fill="BDD6EE" w:themeFill="accent5" w:themeFillTint="66"/>
            <w:vAlign w:val="center"/>
          </w:tcPr>
          <w:p w14:paraId="078505C3" w14:textId="77777777" w:rsidR="007B1305" w:rsidRPr="000118A3" w:rsidRDefault="007B1305" w:rsidP="00671D7D">
            <w:pPr>
              <w:pStyle w:val="ds-markdown-paragraph"/>
              <w:spacing w:before="0" w:beforeAutospacing="0" w:after="0" w:afterAutospacing="0"/>
              <w:contextualSpacing/>
              <w:jc w:val="center"/>
              <w:rPr>
                <w:b/>
                <w:bCs/>
                <w:color w:val="0F1115"/>
                <w:sz w:val="22"/>
                <w:szCs w:val="22"/>
              </w:rPr>
            </w:pPr>
            <w:r w:rsidRPr="000118A3">
              <w:rPr>
                <w:b/>
                <w:bCs/>
                <w:color w:val="0F1115"/>
                <w:sz w:val="22"/>
                <w:szCs w:val="22"/>
              </w:rPr>
              <w:t>Threat</w:t>
            </w:r>
          </w:p>
        </w:tc>
        <w:tc>
          <w:tcPr>
            <w:tcW w:w="1800" w:type="dxa"/>
            <w:shd w:val="clear" w:color="auto" w:fill="BDD6EE" w:themeFill="accent5" w:themeFillTint="66"/>
            <w:vAlign w:val="center"/>
          </w:tcPr>
          <w:p w14:paraId="153AD00D" w14:textId="77777777" w:rsidR="007B1305" w:rsidRPr="000118A3" w:rsidRDefault="007B1305" w:rsidP="00671D7D">
            <w:pPr>
              <w:pStyle w:val="ds-markdown-paragraph"/>
              <w:spacing w:before="0" w:beforeAutospacing="0" w:after="0" w:afterAutospacing="0"/>
              <w:contextualSpacing/>
              <w:jc w:val="center"/>
              <w:rPr>
                <w:b/>
                <w:bCs/>
                <w:color w:val="0F1115"/>
                <w:sz w:val="22"/>
                <w:szCs w:val="22"/>
              </w:rPr>
            </w:pPr>
            <w:r w:rsidRPr="000118A3">
              <w:rPr>
                <w:b/>
                <w:bCs/>
                <w:color w:val="0F1115"/>
                <w:sz w:val="22"/>
                <w:szCs w:val="22"/>
              </w:rPr>
              <w:t>Performance and effectiveness</w:t>
            </w:r>
          </w:p>
        </w:tc>
      </w:tr>
      <w:tr w:rsidR="007B1305" w:rsidRPr="000118A3" w14:paraId="19B00B9B" w14:textId="77777777" w:rsidTr="00671D7D">
        <w:tc>
          <w:tcPr>
            <w:tcW w:w="540" w:type="dxa"/>
            <w:vMerge w:val="restart"/>
          </w:tcPr>
          <w:p w14:paraId="63EA6723"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r w:rsidRPr="000118A3">
              <w:rPr>
                <w:color w:val="0F1115"/>
                <w:sz w:val="22"/>
                <w:szCs w:val="22"/>
              </w:rPr>
              <w:t>1.</w:t>
            </w:r>
          </w:p>
        </w:tc>
        <w:tc>
          <w:tcPr>
            <w:tcW w:w="7015" w:type="dxa"/>
          </w:tcPr>
          <w:p w14:paraId="328388E0"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r w:rsidRPr="000118A3">
              <w:rPr>
                <w:color w:val="0F1115"/>
                <w:sz w:val="22"/>
                <w:szCs w:val="22"/>
              </w:rPr>
              <w:t>Socio-economic and climate threat</w:t>
            </w:r>
          </w:p>
        </w:tc>
        <w:tc>
          <w:tcPr>
            <w:tcW w:w="1800" w:type="dxa"/>
          </w:tcPr>
          <w:p w14:paraId="7B26C713"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r>
      <w:tr w:rsidR="007B1305" w:rsidRPr="000118A3" w14:paraId="19158C15" w14:textId="77777777" w:rsidTr="00671D7D">
        <w:tc>
          <w:tcPr>
            <w:tcW w:w="540" w:type="dxa"/>
            <w:vMerge/>
          </w:tcPr>
          <w:p w14:paraId="11B9FBC6"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26FC92D4" w14:textId="77777777" w:rsidR="007B1305" w:rsidRPr="000118A3" w:rsidRDefault="007B1305" w:rsidP="00671D7D">
            <w:pPr>
              <w:pStyle w:val="ds-markdown-paragraph"/>
              <w:spacing w:before="0" w:beforeAutospacing="0" w:after="0" w:afterAutospacing="0"/>
              <w:ind w:firstLine="254"/>
              <w:contextualSpacing/>
              <w:jc w:val="both"/>
              <w:rPr>
                <w:b/>
                <w:bCs/>
                <w:color w:val="0F1115"/>
                <w:sz w:val="22"/>
                <w:szCs w:val="22"/>
              </w:rPr>
            </w:pPr>
            <w:r w:rsidRPr="000118A3">
              <w:rPr>
                <w:rStyle w:val="Strong"/>
                <w:color w:val="0F1115"/>
                <w:sz w:val="22"/>
                <w:szCs w:val="22"/>
              </w:rPr>
              <w:t xml:space="preserve">Decline in Food Production, Fisheries, and Tourism </w:t>
            </w:r>
          </w:p>
        </w:tc>
        <w:tc>
          <w:tcPr>
            <w:tcW w:w="1800" w:type="dxa"/>
          </w:tcPr>
          <w:p w14:paraId="429995D3"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Low</w:t>
            </w:r>
          </w:p>
        </w:tc>
      </w:tr>
      <w:tr w:rsidR="007B1305" w:rsidRPr="000118A3" w14:paraId="6801B983" w14:textId="77777777" w:rsidTr="00671D7D">
        <w:tc>
          <w:tcPr>
            <w:tcW w:w="540" w:type="dxa"/>
            <w:vMerge/>
          </w:tcPr>
          <w:p w14:paraId="6AABBF98"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59E20C60" w14:textId="77777777" w:rsidR="007B1305" w:rsidRPr="000118A3" w:rsidRDefault="007B1305" w:rsidP="00671D7D">
            <w:pPr>
              <w:pStyle w:val="ds-markdown-paragraph"/>
              <w:spacing w:before="0" w:beforeAutospacing="0" w:after="0" w:afterAutospacing="0"/>
              <w:ind w:left="254"/>
              <w:contextualSpacing/>
              <w:jc w:val="both"/>
              <w:rPr>
                <w:b/>
                <w:bCs/>
                <w:color w:val="0F1115"/>
                <w:sz w:val="22"/>
                <w:szCs w:val="22"/>
              </w:rPr>
            </w:pPr>
            <w:r w:rsidRPr="000118A3">
              <w:rPr>
                <w:rStyle w:val="Strong"/>
                <w:color w:val="0F1115"/>
                <w:sz w:val="22"/>
                <w:szCs w:val="22"/>
              </w:rPr>
              <w:t xml:space="preserve">Decline in Land Productivity and Fisheries Supply Chain Management </w:t>
            </w:r>
          </w:p>
        </w:tc>
        <w:tc>
          <w:tcPr>
            <w:tcW w:w="1800" w:type="dxa"/>
          </w:tcPr>
          <w:p w14:paraId="500196C4"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Low</w:t>
            </w:r>
          </w:p>
        </w:tc>
      </w:tr>
      <w:tr w:rsidR="007B1305" w:rsidRPr="000118A3" w14:paraId="03FBEEDC" w14:textId="77777777" w:rsidTr="00671D7D">
        <w:tc>
          <w:tcPr>
            <w:tcW w:w="540" w:type="dxa"/>
            <w:vMerge w:val="restart"/>
          </w:tcPr>
          <w:p w14:paraId="2536CE67"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r w:rsidRPr="000118A3">
              <w:rPr>
                <w:color w:val="0F1115"/>
                <w:sz w:val="22"/>
                <w:szCs w:val="22"/>
              </w:rPr>
              <w:t>2</w:t>
            </w:r>
          </w:p>
        </w:tc>
        <w:tc>
          <w:tcPr>
            <w:tcW w:w="7015" w:type="dxa"/>
          </w:tcPr>
          <w:p w14:paraId="429909E7" w14:textId="77777777" w:rsidR="007B1305" w:rsidRPr="000118A3" w:rsidRDefault="007B1305" w:rsidP="00671D7D">
            <w:pPr>
              <w:pStyle w:val="ds-markdown-paragraph"/>
              <w:spacing w:before="0" w:beforeAutospacing="0" w:after="0" w:afterAutospacing="0"/>
              <w:ind w:hanging="16"/>
              <w:contextualSpacing/>
              <w:jc w:val="both"/>
              <w:rPr>
                <w:color w:val="0F1115"/>
                <w:sz w:val="22"/>
                <w:szCs w:val="22"/>
              </w:rPr>
            </w:pPr>
            <w:r w:rsidRPr="000118A3">
              <w:rPr>
                <w:color w:val="0F1115"/>
                <w:sz w:val="22"/>
                <w:szCs w:val="22"/>
              </w:rPr>
              <w:t>Marine Pollution</w:t>
            </w:r>
          </w:p>
        </w:tc>
        <w:tc>
          <w:tcPr>
            <w:tcW w:w="1800" w:type="dxa"/>
          </w:tcPr>
          <w:p w14:paraId="041DBD83"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p>
        </w:tc>
      </w:tr>
      <w:tr w:rsidR="007B1305" w:rsidRPr="000118A3" w14:paraId="6562897C" w14:textId="77777777" w:rsidTr="00671D7D">
        <w:trPr>
          <w:trHeight w:val="224"/>
        </w:trPr>
        <w:tc>
          <w:tcPr>
            <w:tcW w:w="540" w:type="dxa"/>
            <w:vMerge/>
          </w:tcPr>
          <w:p w14:paraId="73071E19"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731A9D6A" w14:textId="77777777" w:rsidR="007B1305" w:rsidRPr="000118A3" w:rsidRDefault="007B1305" w:rsidP="00671D7D">
            <w:pPr>
              <w:pStyle w:val="ds-markdown-paragraph"/>
              <w:spacing w:before="0" w:beforeAutospacing="0" w:after="0" w:afterAutospacing="0"/>
              <w:ind w:firstLine="254"/>
              <w:jc w:val="both"/>
              <w:rPr>
                <w:b/>
                <w:bCs/>
                <w:color w:val="0F1115"/>
                <w:sz w:val="22"/>
                <w:szCs w:val="22"/>
              </w:rPr>
            </w:pPr>
            <w:r w:rsidRPr="000118A3">
              <w:rPr>
                <w:rStyle w:val="Strong"/>
                <w:color w:val="0F1115"/>
                <w:sz w:val="22"/>
                <w:szCs w:val="22"/>
              </w:rPr>
              <w:t>Plastic Pollution</w:t>
            </w:r>
          </w:p>
        </w:tc>
        <w:tc>
          <w:tcPr>
            <w:tcW w:w="1800" w:type="dxa"/>
          </w:tcPr>
          <w:p w14:paraId="5F15E0EB"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Low</w:t>
            </w:r>
          </w:p>
        </w:tc>
      </w:tr>
      <w:tr w:rsidR="007B1305" w:rsidRPr="000118A3" w14:paraId="36900957" w14:textId="77777777" w:rsidTr="00671D7D">
        <w:tc>
          <w:tcPr>
            <w:tcW w:w="540" w:type="dxa"/>
            <w:vMerge/>
          </w:tcPr>
          <w:p w14:paraId="10414C64"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341C52D9" w14:textId="77777777" w:rsidR="007B1305" w:rsidRPr="000118A3" w:rsidRDefault="007B1305" w:rsidP="00671D7D">
            <w:pPr>
              <w:pStyle w:val="ds-markdown-paragraph"/>
              <w:spacing w:before="0" w:beforeAutospacing="0" w:after="0" w:afterAutospacing="0"/>
              <w:ind w:firstLine="254"/>
              <w:contextualSpacing/>
              <w:jc w:val="both"/>
              <w:rPr>
                <w:color w:val="0F1115"/>
                <w:sz w:val="22"/>
                <w:szCs w:val="22"/>
              </w:rPr>
            </w:pPr>
            <w:r w:rsidRPr="000118A3">
              <w:rPr>
                <w:color w:val="0F1115"/>
                <w:sz w:val="22"/>
                <w:szCs w:val="22"/>
              </w:rPr>
              <w:t xml:space="preserve">Oil Spill </w:t>
            </w:r>
          </w:p>
        </w:tc>
        <w:tc>
          <w:tcPr>
            <w:tcW w:w="1800" w:type="dxa"/>
          </w:tcPr>
          <w:p w14:paraId="3DA3235A"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Low</w:t>
            </w:r>
          </w:p>
        </w:tc>
      </w:tr>
      <w:tr w:rsidR="007B1305" w:rsidRPr="000118A3" w14:paraId="7BD25DE1" w14:textId="77777777" w:rsidTr="00671D7D">
        <w:tc>
          <w:tcPr>
            <w:tcW w:w="540" w:type="dxa"/>
            <w:vMerge w:val="restart"/>
          </w:tcPr>
          <w:p w14:paraId="4EC319AF"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r w:rsidRPr="000118A3">
              <w:rPr>
                <w:color w:val="0F1115"/>
                <w:sz w:val="22"/>
                <w:szCs w:val="22"/>
              </w:rPr>
              <w:t>3</w:t>
            </w:r>
          </w:p>
        </w:tc>
        <w:tc>
          <w:tcPr>
            <w:tcW w:w="7015" w:type="dxa"/>
          </w:tcPr>
          <w:p w14:paraId="2DBD2891"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r w:rsidRPr="000118A3">
              <w:rPr>
                <w:color w:val="0F1115"/>
                <w:sz w:val="22"/>
                <w:szCs w:val="22"/>
              </w:rPr>
              <w:t>Ecosystem Stress</w:t>
            </w:r>
          </w:p>
        </w:tc>
        <w:tc>
          <w:tcPr>
            <w:tcW w:w="1800" w:type="dxa"/>
          </w:tcPr>
          <w:p w14:paraId="4CC9FBEC"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p>
        </w:tc>
      </w:tr>
      <w:tr w:rsidR="007B1305" w:rsidRPr="000118A3" w14:paraId="1DEA6EB1" w14:textId="77777777" w:rsidTr="00671D7D">
        <w:tc>
          <w:tcPr>
            <w:tcW w:w="540" w:type="dxa"/>
            <w:vMerge/>
          </w:tcPr>
          <w:p w14:paraId="50687613"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5286A220" w14:textId="77777777" w:rsidR="007B1305" w:rsidRPr="000118A3" w:rsidRDefault="007B1305" w:rsidP="00671D7D">
            <w:pPr>
              <w:pStyle w:val="ds-markdown-paragraph"/>
              <w:shd w:val="clear" w:color="auto" w:fill="FFFFFF"/>
              <w:spacing w:before="0" w:beforeAutospacing="0" w:after="0" w:afterAutospacing="0"/>
              <w:ind w:firstLine="254"/>
              <w:jc w:val="both"/>
              <w:rPr>
                <w:b/>
                <w:bCs/>
                <w:color w:val="0F1115"/>
                <w:sz w:val="22"/>
                <w:szCs w:val="22"/>
              </w:rPr>
            </w:pPr>
            <w:r w:rsidRPr="000118A3">
              <w:rPr>
                <w:rStyle w:val="Strong"/>
                <w:color w:val="0F1115"/>
                <w:sz w:val="22"/>
                <w:szCs w:val="22"/>
              </w:rPr>
              <w:t>Habitat Destruction</w:t>
            </w:r>
          </w:p>
        </w:tc>
        <w:tc>
          <w:tcPr>
            <w:tcW w:w="1800" w:type="dxa"/>
          </w:tcPr>
          <w:p w14:paraId="12067CB2"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Low</w:t>
            </w:r>
          </w:p>
        </w:tc>
      </w:tr>
      <w:tr w:rsidR="007B1305" w:rsidRPr="000118A3" w14:paraId="3615AEC9" w14:textId="77777777" w:rsidTr="00671D7D">
        <w:tc>
          <w:tcPr>
            <w:tcW w:w="540" w:type="dxa"/>
            <w:vMerge/>
          </w:tcPr>
          <w:p w14:paraId="45A52E5A"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6CF0196B" w14:textId="77777777" w:rsidR="007B1305" w:rsidRPr="000118A3" w:rsidRDefault="007B1305" w:rsidP="00671D7D">
            <w:pPr>
              <w:pStyle w:val="ds-markdown-paragraph"/>
              <w:shd w:val="clear" w:color="auto" w:fill="FFFFFF"/>
              <w:spacing w:before="0" w:beforeAutospacing="0" w:after="0" w:afterAutospacing="0"/>
              <w:ind w:firstLine="254"/>
              <w:contextualSpacing/>
              <w:jc w:val="both"/>
              <w:rPr>
                <w:color w:val="0F1115"/>
                <w:sz w:val="22"/>
                <w:szCs w:val="22"/>
              </w:rPr>
            </w:pPr>
            <w:r w:rsidRPr="000118A3">
              <w:rPr>
                <w:rStyle w:val="Strong"/>
                <w:color w:val="0F1115"/>
                <w:sz w:val="22"/>
                <w:szCs w:val="22"/>
              </w:rPr>
              <w:t>Habitat Quality Degradation</w:t>
            </w:r>
          </w:p>
        </w:tc>
        <w:tc>
          <w:tcPr>
            <w:tcW w:w="1800" w:type="dxa"/>
          </w:tcPr>
          <w:p w14:paraId="520C1F32"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Low</w:t>
            </w:r>
          </w:p>
        </w:tc>
      </w:tr>
      <w:tr w:rsidR="007B1305" w:rsidRPr="000118A3" w14:paraId="47D63ACD" w14:textId="77777777" w:rsidTr="00671D7D">
        <w:tc>
          <w:tcPr>
            <w:tcW w:w="540" w:type="dxa"/>
            <w:vMerge w:val="restart"/>
          </w:tcPr>
          <w:p w14:paraId="78DF24E4"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r w:rsidRPr="000118A3">
              <w:rPr>
                <w:color w:val="0F1115"/>
                <w:sz w:val="22"/>
                <w:szCs w:val="22"/>
              </w:rPr>
              <w:t>4</w:t>
            </w:r>
          </w:p>
        </w:tc>
        <w:tc>
          <w:tcPr>
            <w:tcW w:w="7015" w:type="dxa"/>
          </w:tcPr>
          <w:p w14:paraId="239730CC"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r w:rsidRPr="000118A3">
              <w:rPr>
                <w:color w:val="0F1115"/>
                <w:sz w:val="22"/>
                <w:szCs w:val="22"/>
              </w:rPr>
              <w:t>Marine capture fisheries and aquaculture</w:t>
            </w:r>
          </w:p>
        </w:tc>
        <w:tc>
          <w:tcPr>
            <w:tcW w:w="1800" w:type="dxa"/>
          </w:tcPr>
          <w:p w14:paraId="7A37C039"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p>
        </w:tc>
      </w:tr>
      <w:tr w:rsidR="007B1305" w:rsidRPr="000118A3" w14:paraId="16F6610E" w14:textId="77777777" w:rsidTr="00671D7D">
        <w:tc>
          <w:tcPr>
            <w:tcW w:w="540" w:type="dxa"/>
            <w:vMerge/>
          </w:tcPr>
          <w:p w14:paraId="009A9A20"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46177453" w14:textId="77777777" w:rsidR="007B1305" w:rsidRPr="000118A3" w:rsidRDefault="007B1305" w:rsidP="00671D7D">
            <w:pPr>
              <w:pStyle w:val="ds-markdown-paragraph"/>
              <w:spacing w:before="0" w:beforeAutospacing="0" w:after="0" w:afterAutospacing="0"/>
              <w:ind w:left="254"/>
              <w:contextualSpacing/>
              <w:jc w:val="both"/>
              <w:rPr>
                <w:b/>
                <w:bCs/>
                <w:color w:val="0F1115"/>
                <w:sz w:val="22"/>
                <w:szCs w:val="22"/>
              </w:rPr>
            </w:pPr>
            <w:r w:rsidRPr="000118A3">
              <w:rPr>
                <w:rStyle w:val="Strong"/>
                <w:color w:val="0F1115"/>
                <w:sz w:val="22"/>
                <w:szCs w:val="22"/>
              </w:rPr>
              <w:t>Illegal Fishing</w:t>
            </w:r>
          </w:p>
        </w:tc>
        <w:tc>
          <w:tcPr>
            <w:tcW w:w="1800" w:type="dxa"/>
          </w:tcPr>
          <w:p w14:paraId="0CD65E90"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Low</w:t>
            </w:r>
          </w:p>
        </w:tc>
      </w:tr>
      <w:tr w:rsidR="007B1305" w:rsidRPr="000118A3" w14:paraId="2D213209" w14:textId="77777777" w:rsidTr="00671D7D">
        <w:tc>
          <w:tcPr>
            <w:tcW w:w="540" w:type="dxa"/>
            <w:vMerge/>
          </w:tcPr>
          <w:p w14:paraId="04F6060B"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6D52910F" w14:textId="77777777" w:rsidR="007B1305" w:rsidRPr="000118A3" w:rsidRDefault="007B1305" w:rsidP="00671D7D">
            <w:pPr>
              <w:pStyle w:val="ds-markdown-paragraph"/>
              <w:shd w:val="clear" w:color="auto" w:fill="FFFFFF"/>
              <w:spacing w:before="0" w:beforeAutospacing="0" w:after="0" w:afterAutospacing="0"/>
              <w:ind w:left="254"/>
              <w:contextualSpacing/>
              <w:jc w:val="both"/>
              <w:rPr>
                <w:b/>
                <w:bCs/>
                <w:color w:val="0F1115"/>
                <w:sz w:val="22"/>
                <w:szCs w:val="22"/>
              </w:rPr>
            </w:pPr>
            <w:r w:rsidRPr="000118A3">
              <w:rPr>
                <w:rStyle w:val="Strong"/>
                <w:color w:val="0F1115"/>
                <w:sz w:val="22"/>
                <w:szCs w:val="22"/>
              </w:rPr>
              <w:t>Overfishing in Fisheries Management Area (WPP) 711</w:t>
            </w:r>
          </w:p>
        </w:tc>
        <w:tc>
          <w:tcPr>
            <w:tcW w:w="1800" w:type="dxa"/>
          </w:tcPr>
          <w:p w14:paraId="1393EE14"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Medium</w:t>
            </w:r>
          </w:p>
        </w:tc>
      </w:tr>
      <w:tr w:rsidR="007B1305" w:rsidRPr="000118A3" w14:paraId="4C763571" w14:textId="77777777" w:rsidTr="00671D7D">
        <w:tc>
          <w:tcPr>
            <w:tcW w:w="540" w:type="dxa"/>
            <w:vMerge/>
          </w:tcPr>
          <w:p w14:paraId="6D8942A8"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45CF1A7F" w14:textId="77777777" w:rsidR="007B1305" w:rsidRPr="000118A3" w:rsidRDefault="007B1305" w:rsidP="00671D7D">
            <w:pPr>
              <w:pStyle w:val="ds-markdown-paragraph"/>
              <w:shd w:val="clear" w:color="auto" w:fill="FFFFFF"/>
              <w:spacing w:before="0" w:beforeAutospacing="0" w:after="0" w:afterAutospacing="0"/>
              <w:ind w:left="254"/>
              <w:jc w:val="both"/>
              <w:rPr>
                <w:b/>
                <w:bCs/>
                <w:color w:val="0F1115"/>
                <w:sz w:val="22"/>
                <w:szCs w:val="22"/>
              </w:rPr>
            </w:pPr>
            <w:r w:rsidRPr="000118A3">
              <w:rPr>
                <w:rStyle w:val="Strong"/>
                <w:color w:val="0F1115"/>
                <w:sz w:val="22"/>
                <w:szCs w:val="22"/>
              </w:rPr>
              <w:t>Conflicts over Fishing Grounds</w:t>
            </w:r>
          </w:p>
        </w:tc>
        <w:tc>
          <w:tcPr>
            <w:tcW w:w="1800" w:type="dxa"/>
          </w:tcPr>
          <w:p w14:paraId="35385088"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Low</w:t>
            </w:r>
          </w:p>
        </w:tc>
      </w:tr>
      <w:tr w:rsidR="007B1305" w:rsidRPr="000118A3" w14:paraId="0BBF0580" w14:textId="77777777" w:rsidTr="00671D7D">
        <w:tc>
          <w:tcPr>
            <w:tcW w:w="540" w:type="dxa"/>
            <w:vMerge/>
          </w:tcPr>
          <w:p w14:paraId="6DED0731"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3939C628" w14:textId="77777777" w:rsidR="007B1305" w:rsidRPr="000118A3" w:rsidRDefault="007B1305" w:rsidP="00671D7D">
            <w:pPr>
              <w:pStyle w:val="ds-markdown-paragraph"/>
              <w:spacing w:before="0" w:beforeAutospacing="0" w:after="0" w:afterAutospacing="0"/>
              <w:ind w:left="254"/>
              <w:contextualSpacing/>
              <w:jc w:val="both"/>
              <w:rPr>
                <w:b/>
                <w:bCs/>
                <w:color w:val="0F1115"/>
                <w:sz w:val="22"/>
                <w:szCs w:val="22"/>
              </w:rPr>
            </w:pPr>
            <w:r w:rsidRPr="000118A3">
              <w:rPr>
                <w:rStyle w:val="Strong"/>
                <w:color w:val="0F1115"/>
                <w:sz w:val="22"/>
                <w:szCs w:val="22"/>
              </w:rPr>
              <w:t>Abandoned, Lost, or Otherwise Discarded Fishing Gear (ALDFG)</w:t>
            </w:r>
          </w:p>
        </w:tc>
        <w:tc>
          <w:tcPr>
            <w:tcW w:w="1800" w:type="dxa"/>
          </w:tcPr>
          <w:p w14:paraId="7873C0F9"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Low</w:t>
            </w:r>
          </w:p>
        </w:tc>
      </w:tr>
      <w:tr w:rsidR="007B1305" w:rsidRPr="000118A3" w14:paraId="03A02E1A" w14:textId="77777777" w:rsidTr="00671D7D">
        <w:tc>
          <w:tcPr>
            <w:tcW w:w="540" w:type="dxa"/>
            <w:vMerge/>
          </w:tcPr>
          <w:p w14:paraId="3A42A87D" w14:textId="77777777" w:rsidR="007B1305" w:rsidRPr="000118A3" w:rsidRDefault="007B1305" w:rsidP="00671D7D">
            <w:pPr>
              <w:pStyle w:val="ds-markdown-paragraph"/>
              <w:spacing w:before="0" w:beforeAutospacing="0" w:after="0" w:afterAutospacing="0"/>
              <w:contextualSpacing/>
              <w:jc w:val="both"/>
              <w:rPr>
                <w:color w:val="0F1115"/>
                <w:sz w:val="22"/>
                <w:szCs w:val="22"/>
              </w:rPr>
            </w:pPr>
          </w:p>
        </w:tc>
        <w:tc>
          <w:tcPr>
            <w:tcW w:w="7015" w:type="dxa"/>
          </w:tcPr>
          <w:p w14:paraId="2A468499" w14:textId="77777777" w:rsidR="007B1305" w:rsidRPr="000118A3" w:rsidRDefault="007B1305" w:rsidP="00671D7D">
            <w:pPr>
              <w:pStyle w:val="ds-markdown-paragraph"/>
              <w:spacing w:before="0" w:beforeAutospacing="0" w:after="0" w:afterAutospacing="0"/>
              <w:ind w:left="254"/>
              <w:contextualSpacing/>
              <w:jc w:val="both"/>
              <w:rPr>
                <w:b/>
                <w:bCs/>
                <w:color w:val="0F1115"/>
                <w:sz w:val="22"/>
                <w:szCs w:val="22"/>
              </w:rPr>
            </w:pPr>
            <w:r w:rsidRPr="000118A3">
              <w:rPr>
                <w:rStyle w:val="Strong"/>
                <w:color w:val="0F1115"/>
                <w:sz w:val="22"/>
                <w:szCs w:val="22"/>
              </w:rPr>
              <w:t>Incidental Capture of Endangered, Threatened, and Protected (ETP) Species</w:t>
            </w:r>
          </w:p>
        </w:tc>
        <w:tc>
          <w:tcPr>
            <w:tcW w:w="1800" w:type="dxa"/>
          </w:tcPr>
          <w:p w14:paraId="6E59BC78" w14:textId="77777777" w:rsidR="007B1305" w:rsidRPr="000118A3" w:rsidRDefault="007B1305" w:rsidP="00671D7D">
            <w:pPr>
              <w:pStyle w:val="ds-markdown-paragraph"/>
              <w:spacing w:before="0" w:beforeAutospacing="0" w:after="0" w:afterAutospacing="0"/>
              <w:contextualSpacing/>
              <w:jc w:val="center"/>
              <w:rPr>
                <w:color w:val="0F1115"/>
                <w:sz w:val="22"/>
                <w:szCs w:val="22"/>
              </w:rPr>
            </w:pPr>
            <w:r w:rsidRPr="000118A3">
              <w:rPr>
                <w:color w:val="0F1115"/>
                <w:sz w:val="22"/>
                <w:szCs w:val="22"/>
              </w:rPr>
              <w:t>Medium</w:t>
            </w:r>
          </w:p>
        </w:tc>
      </w:tr>
    </w:tbl>
    <w:p w14:paraId="508AA78C" w14:textId="6F1F3F84" w:rsidR="007B1305" w:rsidRPr="000118A3" w:rsidRDefault="007B1305" w:rsidP="00482FFD">
      <w:pPr>
        <w:pStyle w:val="ListParagraph"/>
        <w:spacing w:before="120"/>
        <w:ind w:left="0"/>
        <w:contextualSpacing w:val="0"/>
        <w:jc w:val="both"/>
        <w:rPr>
          <w:rFonts w:ascii="Times New Roman" w:hAnsi="Times New Roman" w:cs="Times New Roman"/>
          <w:sz w:val="22"/>
          <w:szCs w:val="22"/>
        </w:rPr>
      </w:pPr>
      <w:r w:rsidRPr="000118A3">
        <w:rPr>
          <w:rFonts w:ascii="Times New Roman" w:hAnsi="Times New Roman" w:cs="Times New Roman"/>
          <w:sz w:val="22"/>
          <w:szCs w:val="22"/>
        </w:rPr>
        <w:t xml:space="preserve">This analysis results a lower level than general Indonesia governance effectiveness of </w:t>
      </w:r>
      <w:r w:rsidR="00681220" w:rsidRPr="000118A3">
        <w:rPr>
          <w:rFonts w:ascii="Times New Roman" w:hAnsi="Times New Roman" w:cs="Times New Roman"/>
          <w:sz w:val="22"/>
          <w:szCs w:val="22"/>
        </w:rPr>
        <w:t>the World</w:t>
      </w:r>
      <w:r w:rsidRPr="000118A3">
        <w:rPr>
          <w:rFonts w:ascii="Times New Roman" w:hAnsi="Times New Roman" w:cs="Times New Roman"/>
          <w:sz w:val="22"/>
          <w:szCs w:val="22"/>
        </w:rPr>
        <w:t xml:space="preserve"> Bank reports (medium to high), primarily due to weak enforcement despite established regulatory frameworks. The enforcement deficit stems from inconsistent implementation and is influenced by insufficient commitment, integrity issues, and socioeconomic constraints. These findings correlate with the World Bank's reported low corruption control percentile ranks of Indonesia over recent decades.</w:t>
      </w:r>
    </w:p>
    <w:p w14:paraId="4349B8B1" w14:textId="70D33898" w:rsidR="00E0141C" w:rsidRPr="000118A3" w:rsidRDefault="007B1305" w:rsidP="00B16E45">
      <w:pPr>
        <w:pStyle w:val="BodyText"/>
        <w:numPr>
          <w:ilvl w:val="1"/>
          <w:numId w:val="145"/>
        </w:numPr>
        <w:spacing w:before="120" w:after="0" w:line="240" w:lineRule="auto"/>
        <w:outlineLvl w:val="1"/>
        <w:rPr>
          <w:rFonts w:ascii="Times New Roman" w:hAnsi="Times New Roman" w:cs="Times New Roman"/>
          <w:b/>
          <w:bCs/>
          <w:color w:val="0070C0"/>
        </w:rPr>
      </w:pPr>
      <w:bookmarkStart w:id="180" w:name="_Toc217297573"/>
      <w:r w:rsidRPr="000118A3">
        <w:rPr>
          <w:rFonts w:ascii="Times New Roman" w:hAnsi="Times New Roman" w:cs="Times New Roman"/>
          <w:b/>
          <w:bCs/>
          <w:color w:val="0070C0"/>
        </w:rPr>
        <w:t>Discussion and Conclusion</w:t>
      </w:r>
      <w:bookmarkEnd w:id="180"/>
      <w:r w:rsidRPr="000118A3">
        <w:rPr>
          <w:rFonts w:ascii="Times New Roman" w:hAnsi="Times New Roman" w:cs="Times New Roman"/>
          <w:b/>
          <w:bCs/>
        </w:rPr>
        <w:t xml:space="preserve"> </w:t>
      </w:r>
    </w:p>
    <w:p w14:paraId="14316B6E" w14:textId="77890931" w:rsidR="007B1305" w:rsidRPr="000118A3" w:rsidRDefault="007B1305" w:rsidP="00482FFD">
      <w:pPr>
        <w:pStyle w:val="BodyText"/>
        <w:numPr>
          <w:ilvl w:val="2"/>
          <w:numId w:val="145"/>
        </w:numPr>
        <w:spacing w:before="120" w:after="0" w:line="240" w:lineRule="auto"/>
        <w:rPr>
          <w:rFonts w:ascii="Times New Roman" w:hAnsi="Times New Roman" w:cs="Times New Roman"/>
          <w:b/>
          <w:bCs/>
          <w:color w:val="0070C0"/>
        </w:rPr>
      </w:pPr>
      <w:r w:rsidRPr="000118A3">
        <w:rPr>
          <w:rFonts w:ascii="Times New Roman" w:hAnsi="Times New Roman" w:cs="Times New Roman"/>
          <w:b/>
          <w:bCs/>
          <w:color w:val="0070C0"/>
        </w:rPr>
        <w:t>Risk assessment: Current governance capacity to engage stakeholders, reduce ecosystem stresses, improve or protect ecosystems, achieve socially just outcomes, and improve human well-being</w:t>
      </w:r>
    </w:p>
    <w:p w14:paraId="1F18904B" w14:textId="104CC30B" w:rsidR="008E3D29" w:rsidRPr="000118A3" w:rsidRDefault="008E3D29" w:rsidP="00482FFD">
      <w:pPr>
        <w:spacing w:before="120"/>
        <w:jc w:val="both"/>
        <w:rPr>
          <w:rFonts w:ascii="Times New Roman" w:hAnsi="Times New Roman" w:cs="Times New Roman"/>
          <w:sz w:val="22"/>
          <w:szCs w:val="22"/>
        </w:rPr>
      </w:pPr>
      <w:r w:rsidRPr="000118A3">
        <w:rPr>
          <w:rFonts w:ascii="Times New Roman" w:hAnsi="Times New Roman" w:cs="Times New Roman"/>
          <w:sz w:val="22"/>
          <w:szCs w:val="22"/>
        </w:rPr>
        <w:t xml:space="preserve">Following Fanning et al. (2017), governance capacity in the Indonesian SCS region is assessed through three elements: completeness, integration, and engagement. The method of governance risk assessment is provided in </w:t>
      </w:r>
      <w:r w:rsidR="00600CEE">
        <w:rPr>
          <w:rFonts w:ascii="Times New Roman" w:hAnsi="Times New Roman" w:cs="Times New Roman"/>
          <w:sz w:val="22"/>
          <w:szCs w:val="22"/>
        </w:rPr>
        <w:t>Appendix</w:t>
      </w:r>
      <w:r w:rsidRPr="000118A3">
        <w:rPr>
          <w:rFonts w:ascii="Times New Roman" w:hAnsi="Times New Roman" w:cs="Times New Roman"/>
          <w:sz w:val="22"/>
          <w:szCs w:val="22"/>
        </w:rPr>
        <w:t xml:space="preserve"> </w:t>
      </w:r>
      <w:r w:rsidR="00295B8A">
        <w:rPr>
          <w:rFonts w:ascii="Times New Roman" w:hAnsi="Times New Roman" w:cs="Times New Roman"/>
          <w:sz w:val="22"/>
          <w:szCs w:val="22"/>
        </w:rPr>
        <w:t>6.</w:t>
      </w:r>
      <w:r w:rsidRPr="000118A3">
        <w:rPr>
          <w:rFonts w:ascii="Times New Roman" w:hAnsi="Times New Roman" w:cs="Times New Roman"/>
          <w:sz w:val="22"/>
          <w:szCs w:val="22"/>
        </w:rPr>
        <w:t xml:space="preserve">12. </w:t>
      </w:r>
    </w:p>
    <w:p w14:paraId="31B64622" w14:textId="77777777" w:rsidR="00482FFD" w:rsidRDefault="008E3D29" w:rsidP="00482FFD">
      <w:pPr>
        <w:spacing w:before="120"/>
        <w:jc w:val="both"/>
        <w:rPr>
          <w:rFonts w:ascii="Times New Roman" w:hAnsi="Times New Roman" w:cs="Times New Roman"/>
          <w:i/>
          <w:iCs/>
          <w:sz w:val="22"/>
          <w:szCs w:val="22"/>
        </w:rPr>
      </w:pPr>
      <w:r w:rsidRPr="000118A3">
        <w:rPr>
          <w:rFonts w:ascii="Times New Roman" w:hAnsi="Times New Roman" w:cs="Times New Roman"/>
          <w:i/>
          <w:iCs/>
          <w:sz w:val="22"/>
          <w:szCs w:val="22"/>
        </w:rPr>
        <w:t xml:space="preserve">Completeness </w:t>
      </w:r>
    </w:p>
    <w:p w14:paraId="61A87571" w14:textId="14E509D1" w:rsidR="008E3D29" w:rsidRPr="00482FFD" w:rsidRDefault="008E3D29" w:rsidP="00482FFD">
      <w:pPr>
        <w:jc w:val="both"/>
        <w:rPr>
          <w:rFonts w:ascii="Times New Roman" w:hAnsi="Times New Roman" w:cs="Times New Roman"/>
          <w:i/>
          <w:iCs/>
          <w:sz w:val="22"/>
          <w:szCs w:val="22"/>
        </w:rPr>
      </w:pPr>
      <w:r w:rsidRPr="000118A3">
        <w:rPr>
          <w:rFonts w:ascii="Times New Roman" w:hAnsi="Times New Roman" w:cs="Times New Roman"/>
          <w:sz w:val="22"/>
          <w:szCs w:val="22"/>
        </w:rPr>
        <w:t xml:space="preserve">Completeness evaluates how thoroughly formal policy arrangements address key governance objectives, including stakeholder engagement, ecosystem protection, and social equity. It reflected in the policy cycle step </w:t>
      </w:r>
      <w:bookmarkStart w:id="181" w:name="_Hlk215210981"/>
      <w:r w:rsidRPr="000118A3">
        <w:rPr>
          <w:rFonts w:ascii="Times New Roman" w:hAnsi="Times New Roman" w:cs="Times New Roman"/>
          <w:sz w:val="22"/>
          <w:szCs w:val="22"/>
        </w:rPr>
        <w:t>include policy</w:t>
      </w:r>
      <w:r w:rsidRPr="000118A3">
        <w:rPr>
          <w:rFonts w:ascii="Times New Roman" w:hAnsi="Times New Roman" w:cs="Times New Roman"/>
          <w:color w:val="000000"/>
          <w:sz w:val="22"/>
          <w:szCs w:val="22"/>
        </w:rPr>
        <w:t xml:space="preserve"> analysis and advice</w:t>
      </w:r>
      <w:r w:rsidRPr="000118A3">
        <w:rPr>
          <w:rFonts w:ascii="Times New Roman" w:hAnsi="Times New Roman" w:cs="Times New Roman"/>
          <w:sz w:val="22"/>
          <w:szCs w:val="22"/>
        </w:rPr>
        <w:t xml:space="preserve">, </w:t>
      </w:r>
      <w:r w:rsidRPr="000118A3">
        <w:rPr>
          <w:rFonts w:ascii="Times New Roman" w:hAnsi="Times New Roman" w:cs="Times New Roman"/>
          <w:color w:val="000000"/>
          <w:sz w:val="22"/>
          <w:szCs w:val="22"/>
        </w:rPr>
        <w:t>policy decision-making</w:t>
      </w:r>
      <w:r w:rsidRPr="000118A3">
        <w:rPr>
          <w:rFonts w:ascii="Times New Roman" w:hAnsi="Times New Roman" w:cs="Times New Roman"/>
          <w:sz w:val="22"/>
          <w:szCs w:val="22"/>
        </w:rPr>
        <w:t xml:space="preserve">, </w:t>
      </w:r>
      <w:r w:rsidRPr="000118A3">
        <w:rPr>
          <w:rFonts w:ascii="Times New Roman" w:hAnsi="Times New Roman" w:cs="Times New Roman"/>
          <w:color w:val="000000"/>
          <w:sz w:val="22"/>
          <w:szCs w:val="22"/>
        </w:rPr>
        <w:t>planning analysis and advice</w:t>
      </w:r>
      <w:r w:rsidRPr="000118A3">
        <w:rPr>
          <w:rFonts w:ascii="Times New Roman" w:hAnsi="Times New Roman" w:cs="Times New Roman"/>
          <w:sz w:val="22"/>
          <w:szCs w:val="22"/>
        </w:rPr>
        <w:t xml:space="preserve">, </w:t>
      </w:r>
      <w:r w:rsidRPr="000118A3">
        <w:rPr>
          <w:rFonts w:ascii="Times New Roman" w:hAnsi="Times New Roman" w:cs="Times New Roman"/>
          <w:color w:val="000000"/>
          <w:sz w:val="22"/>
          <w:szCs w:val="22"/>
        </w:rPr>
        <w:t>planning decision-making</w:t>
      </w:r>
      <w:r w:rsidRPr="000118A3">
        <w:rPr>
          <w:rFonts w:ascii="Times New Roman" w:hAnsi="Times New Roman" w:cs="Times New Roman"/>
          <w:sz w:val="22"/>
          <w:szCs w:val="22"/>
        </w:rPr>
        <w:t xml:space="preserve">, </w:t>
      </w:r>
      <w:r w:rsidRPr="000118A3">
        <w:rPr>
          <w:rFonts w:ascii="Times New Roman" w:hAnsi="Times New Roman" w:cs="Times New Roman"/>
          <w:color w:val="000000"/>
          <w:sz w:val="22"/>
          <w:szCs w:val="22"/>
        </w:rPr>
        <w:t>implementation, review and evaluation and data and information</w:t>
      </w:r>
      <w:bookmarkEnd w:id="181"/>
    </w:p>
    <w:p w14:paraId="388633CB" w14:textId="07EC6AEE" w:rsidR="008E3D29" w:rsidRPr="000118A3" w:rsidRDefault="008E3D29" w:rsidP="00482FFD">
      <w:pPr>
        <w:spacing w:before="120"/>
        <w:jc w:val="both"/>
        <w:rPr>
          <w:rFonts w:ascii="Times New Roman" w:hAnsi="Times New Roman" w:cs="Times New Roman"/>
          <w:sz w:val="22"/>
          <w:szCs w:val="22"/>
        </w:rPr>
      </w:pPr>
      <w:r w:rsidRPr="000118A3">
        <w:rPr>
          <w:rFonts w:ascii="Times New Roman" w:hAnsi="Times New Roman" w:cs="Times New Roman"/>
          <w:sz w:val="22"/>
          <w:szCs w:val="22"/>
        </w:rPr>
        <w:t xml:space="preserve">These arrangements are categorized into four types: (1) national development for inclusive governance, (2) marine pollution control, (3) coastal ecosystem protection, and (4) community economic improvement through fisheries and aquaculture. Each category is scored (0-100) based on its coverage of the policy cycle stages from analysis and decision-making to implementation and evaluation. The completeness score for each formal </w:t>
      </w:r>
      <w:r w:rsidRPr="000118A3">
        <w:rPr>
          <w:rFonts w:ascii="Times New Roman" w:hAnsi="Times New Roman" w:cs="Times New Roman"/>
          <w:sz w:val="22"/>
          <w:szCs w:val="22"/>
        </w:rPr>
        <w:lastRenderedPageBreak/>
        <w:t xml:space="preserve">arrangement is in </w:t>
      </w:r>
      <w:r w:rsidR="00600CEE">
        <w:rPr>
          <w:rFonts w:ascii="Times New Roman" w:hAnsi="Times New Roman" w:cs="Times New Roman"/>
          <w:sz w:val="22"/>
          <w:szCs w:val="22"/>
        </w:rPr>
        <w:t>Appendix</w:t>
      </w:r>
      <w:r w:rsidRPr="000118A3">
        <w:rPr>
          <w:rFonts w:ascii="Times New Roman" w:hAnsi="Times New Roman" w:cs="Times New Roman"/>
          <w:sz w:val="22"/>
          <w:szCs w:val="22"/>
        </w:rPr>
        <w:t xml:space="preserve"> </w:t>
      </w:r>
      <w:r w:rsidR="00295B8A">
        <w:rPr>
          <w:rFonts w:ascii="Times New Roman" w:hAnsi="Times New Roman" w:cs="Times New Roman"/>
          <w:sz w:val="22"/>
          <w:szCs w:val="22"/>
        </w:rPr>
        <w:t>6.</w:t>
      </w:r>
      <w:r w:rsidRPr="000118A3">
        <w:rPr>
          <w:rFonts w:ascii="Times New Roman" w:hAnsi="Times New Roman" w:cs="Times New Roman"/>
          <w:sz w:val="22"/>
          <w:szCs w:val="22"/>
        </w:rPr>
        <w:t xml:space="preserve">13. The summary of completeness scores for these arrangements for each type of arrangement is in Table </w:t>
      </w:r>
      <w:r w:rsidR="00612A70">
        <w:rPr>
          <w:rFonts w:ascii="Times New Roman" w:hAnsi="Times New Roman" w:cs="Times New Roman"/>
          <w:sz w:val="22"/>
          <w:szCs w:val="22"/>
        </w:rPr>
        <w:t>21</w:t>
      </w:r>
      <w:r w:rsidRPr="000118A3">
        <w:rPr>
          <w:rFonts w:ascii="Times New Roman" w:hAnsi="Times New Roman" w:cs="Times New Roman"/>
          <w:sz w:val="22"/>
          <w:szCs w:val="22"/>
        </w:rPr>
        <w:t xml:space="preserve">. </w:t>
      </w:r>
    </w:p>
    <w:p w14:paraId="0F7DBD4E" w14:textId="77777777" w:rsidR="008E3D29" w:rsidRPr="000118A3" w:rsidRDefault="008E3D29" w:rsidP="00482FFD">
      <w:pPr>
        <w:pStyle w:val="ListParagraph"/>
        <w:spacing w:before="120"/>
        <w:ind w:left="440"/>
        <w:jc w:val="both"/>
        <w:rPr>
          <w:rFonts w:ascii="Times New Roman" w:hAnsi="Times New Roman" w:cs="Times New Roman"/>
          <w:sz w:val="22"/>
          <w:szCs w:val="22"/>
        </w:rPr>
      </w:pPr>
    </w:p>
    <w:p w14:paraId="65D4028B" w14:textId="3D55AD55" w:rsidR="008E3D29" w:rsidRPr="00482FFD" w:rsidRDefault="00612A70" w:rsidP="00612A70">
      <w:pPr>
        <w:pStyle w:val="Caption"/>
        <w:rPr>
          <w:rFonts w:ascii="Times New Roman" w:eastAsia="Calibri" w:hAnsi="Times New Roman" w:cs="Times New Roman"/>
          <w:i w:val="0"/>
          <w:iCs w:val="0"/>
          <w:color w:val="auto"/>
          <w:kern w:val="0"/>
          <w:sz w:val="22"/>
          <w:szCs w:val="22"/>
          <w:lang w:val="en" w:eastAsia="en-ID"/>
          <w14:ligatures w14:val="none"/>
        </w:rPr>
      </w:pPr>
      <w:bookmarkStart w:id="182" w:name="_Toc217297666"/>
      <w:r w:rsidRPr="00612A70">
        <w:rPr>
          <w:rFonts w:ascii="Times New Roman" w:hAnsi="Times New Roman" w:cs="Times New Roman"/>
          <w:i w:val="0"/>
          <w:iCs w:val="0"/>
          <w:color w:val="000000" w:themeColor="text1"/>
          <w:sz w:val="22"/>
          <w:szCs w:val="22"/>
        </w:rPr>
        <w:t xml:space="preserve">Table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Table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21</w:t>
      </w:r>
      <w:r w:rsidRPr="00612A70">
        <w:rPr>
          <w:rFonts w:ascii="Times New Roman" w:hAnsi="Times New Roman" w:cs="Times New Roman"/>
          <w:i w:val="0"/>
          <w:iCs w:val="0"/>
          <w:color w:val="000000" w:themeColor="text1"/>
          <w:sz w:val="22"/>
          <w:szCs w:val="22"/>
        </w:rPr>
        <w:fldChar w:fldCharType="end"/>
      </w:r>
      <w:r w:rsidRPr="00612A70">
        <w:rPr>
          <w:rFonts w:ascii="Times New Roman" w:eastAsia="Calibri" w:hAnsi="Times New Roman" w:cs="Times New Roman"/>
          <w:i w:val="0"/>
          <w:iCs w:val="0"/>
          <w:color w:val="000000" w:themeColor="text1"/>
          <w:kern w:val="0"/>
          <w:sz w:val="22"/>
          <w:szCs w:val="22"/>
          <w:lang w:val="en" w:eastAsia="en-ID"/>
          <w14:ligatures w14:val="none"/>
        </w:rPr>
        <w:t xml:space="preserve"> </w:t>
      </w:r>
      <w:r w:rsidR="008E3D29" w:rsidRPr="00482FFD">
        <w:rPr>
          <w:rFonts w:ascii="Times New Roman" w:eastAsia="Calibri" w:hAnsi="Times New Roman" w:cs="Times New Roman"/>
          <w:i w:val="0"/>
          <w:iCs w:val="0"/>
          <w:color w:val="auto"/>
          <w:kern w:val="0"/>
          <w:sz w:val="22"/>
          <w:szCs w:val="22"/>
          <w:lang w:val="en" w:eastAsia="en-ID"/>
          <w14:ligatures w14:val="none"/>
        </w:rPr>
        <w:t>Average Score level of Formal Arrangement Completeness for Governance of SCS</w:t>
      </w:r>
      <w:bookmarkEnd w:id="182"/>
      <w:r w:rsidR="008E3D29" w:rsidRPr="00482FFD">
        <w:rPr>
          <w:rFonts w:ascii="Times New Roman" w:eastAsia="Calibri" w:hAnsi="Times New Roman" w:cs="Times New Roman"/>
          <w:i w:val="0"/>
          <w:iCs w:val="0"/>
          <w:color w:val="auto"/>
          <w:kern w:val="0"/>
          <w:sz w:val="22"/>
          <w:szCs w:val="22"/>
          <w:lang w:val="en" w:eastAsia="en-ID"/>
          <w14:ligatures w14:val="none"/>
        </w:rPr>
        <w:t xml:space="preserve"> </w:t>
      </w:r>
    </w:p>
    <w:tbl>
      <w:tblPr>
        <w:tblStyle w:val="TableGrid"/>
        <w:tblW w:w="0" w:type="auto"/>
        <w:tblInd w:w="-5" w:type="dxa"/>
        <w:tblLook w:val="04A0" w:firstRow="1" w:lastRow="0" w:firstColumn="1" w:lastColumn="0" w:noHBand="0" w:noVBand="1"/>
      </w:tblPr>
      <w:tblGrid>
        <w:gridCol w:w="625"/>
        <w:gridCol w:w="5130"/>
        <w:gridCol w:w="2070"/>
      </w:tblGrid>
      <w:tr w:rsidR="008E3D29" w:rsidRPr="000118A3" w14:paraId="09873309" w14:textId="77777777" w:rsidTr="00671D7D">
        <w:tc>
          <w:tcPr>
            <w:tcW w:w="625" w:type="dxa"/>
          </w:tcPr>
          <w:p w14:paraId="11728AF5" w14:textId="77777777" w:rsidR="008E3D29" w:rsidRPr="000118A3" w:rsidRDefault="008E3D29" w:rsidP="00671D7D">
            <w:pPr>
              <w:pStyle w:val="ListParagraph"/>
              <w:ind w:left="0"/>
              <w:jc w:val="center"/>
              <w:rPr>
                <w:rFonts w:ascii="Times New Roman" w:hAnsi="Times New Roman" w:cs="Times New Roman"/>
                <w:b/>
                <w:bCs/>
                <w:color w:val="000000"/>
                <w:sz w:val="22"/>
                <w:szCs w:val="22"/>
              </w:rPr>
            </w:pPr>
            <w:r w:rsidRPr="000118A3">
              <w:rPr>
                <w:rFonts w:ascii="Times New Roman" w:hAnsi="Times New Roman" w:cs="Times New Roman"/>
                <w:b/>
                <w:bCs/>
                <w:color w:val="000000"/>
                <w:sz w:val="22"/>
                <w:szCs w:val="22"/>
              </w:rPr>
              <w:t>No.</w:t>
            </w:r>
          </w:p>
        </w:tc>
        <w:tc>
          <w:tcPr>
            <w:tcW w:w="5130" w:type="dxa"/>
          </w:tcPr>
          <w:p w14:paraId="7249812A" w14:textId="77777777" w:rsidR="008E3D29" w:rsidRPr="000118A3" w:rsidRDefault="008E3D29" w:rsidP="00671D7D">
            <w:pPr>
              <w:pStyle w:val="ListParagraph"/>
              <w:ind w:left="0"/>
              <w:jc w:val="center"/>
              <w:rPr>
                <w:rFonts w:ascii="Times New Roman" w:hAnsi="Times New Roman" w:cs="Times New Roman"/>
                <w:b/>
                <w:bCs/>
                <w:color w:val="000000"/>
                <w:sz w:val="22"/>
                <w:szCs w:val="22"/>
              </w:rPr>
            </w:pPr>
            <w:r w:rsidRPr="000118A3">
              <w:rPr>
                <w:rFonts w:ascii="Times New Roman" w:hAnsi="Times New Roman" w:cs="Times New Roman"/>
                <w:b/>
                <w:bCs/>
                <w:color w:val="000000"/>
                <w:sz w:val="22"/>
                <w:szCs w:val="22"/>
              </w:rPr>
              <w:t>Formal Arrangement</w:t>
            </w:r>
          </w:p>
        </w:tc>
        <w:tc>
          <w:tcPr>
            <w:tcW w:w="2070" w:type="dxa"/>
          </w:tcPr>
          <w:p w14:paraId="08ED0FE3" w14:textId="77777777" w:rsidR="008E3D29" w:rsidRPr="000118A3" w:rsidRDefault="008E3D29" w:rsidP="00671D7D">
            <w:pPr>
              <w:pStyle w:val="ListParagraph"/>
              <w:ind w:left="0"/>
              <w:jc w:val="center"/>
              <w:rPr>
                <w:rFonts w:ascii="Times New Roman" w:hAnsi="Times New Roman" w:cs="Times New Roman"/>
                <w:b/>
                <w:bCs/>
                <w:color w:val="000000"/>
                <w:sz w:val="22"/>
                <w:szCs w:val="22"/>
              </w:rPr>
            </w:pPr>
            <w:r w:rsidRPr="000118A3">
              <w:rPr>
                <w:rFonts w:ascii="Times New Roman" w:hAnsi="Times New Roman" w:cs="Times New Roman"/>
                <w:b/>
                <w:bCs/>
                <w:color w:val="000000"/>
                <w:sz w:val="22"/>
                <w:szCs w:val="22"/>
              </w:rPr>
              <w:t>Score (%)</w:t>
            </w:r>
          </w:p>
        </w:tc>
      </w:tr>
      <w:tr w:rsidR="008E3D29" w:rsidRPr="000118A3" w14:paraId="0470304F" w14:textId="77777777" w:rsidTr="00671D7D">
        <w:tc>
          <w:tcPr>
            <w:tcW w:w="625" w:type="dxa"/>
          </w:tcPr>
          <w:p w14:paraId="22BDA342" w14:textId="77777777" w:rsidR="008E3D29" w:rsidRPr="000118A3" w:rsidRDefault="008E3D29" w:rsidP="00671D7D">
            <w:pPr>
              <w:pStyle w:val="ListParagraph"/>
              <w:ind w:left="0"/>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1</w:t>
            </w:r>
          </w:p>
        </w:tc>
        <w:tc>
          <w:tcPr>
            <w:tcW w:w="5130" w:type="dxa"/>
          </w:tcPr>
          <w:p w14:paraId="602CDD49" w14:textId="77777777" w:rsidR="008E3D29" w:rsidRPr="000118A3" w:rsidRDefault="008E3D29" w:rsidP="00671D7D">
            <w:pPr>
              <w:pStyle w:val="ListParagraph"/>
              <w:ind w:left="0"/>
              <w:jc w:val="both"/>
              <w:rPr>
                <w:rFonts w:ascii="Times New Roman" w:hAnsi="Times New Roman" w:cs="Times New Roman"/>
                <w:b/>
                <w:bCs/>
                <w:color w:val="000000"/>
                <w:sz w:val="22"/>
                <w:szCs w:val="22"/>
              </w:rPr>
            </w:pPr>
            <w:r w:rsidRPr="000118A3">
              <w:rPr>
                <w:rFonts w:ascii="Times New Roman" w:hAnsi="Times New Roman" w:cs="Times New Roman"/>
                <w:color w:val="000000"/>
                <w:sz w:val="22"/>
                <w:szCs w:val="22"/>
              </w:rPr>
              <w:t xml:space="preserve">Inclusive governance </w:t>
            </w:r>
          </w:p>
        </w:tc>
        <w:tc>
          <w:tcPr>
            <w:tcW w:w="2070" w:type="dxa"/>
          </w:tcPr>
          <w:p w14:paraId="34323035" w14:textId="77777777" w:rsidR="008E3D29" w:rsidRPr="000118A3" w:rsidRDefault="008E3D29" w:rsidP="00671D7D">
            <w:pPr>
              <w:pStyle w:val="ListParagraph"/>
              <w:ind w:left="0"/>
              <w:jc w:val="right"/>
              <w:rPr>
                <w:rFonts w:ascii="Times New Roman" w:hAnsi="Times New Roman" w:cs="Times New Roman"/>
                <w:b/>
                <w:bCs/>
                <w:color w:val="000000"/>
                <w:sz w:val="22"/>
                <w:szCs w:val="22"/>
              </w:rPr>
            </w:pPr>
            <w:r w:rsidRPr="000118A3">
              <w:rPr>
                <w:rFonts w:ascii="Times New Roman" w:hAnsi="Times New Roman" w:cs="Times New Roman"/>
                <w:color w:val="000000"/>
                <w:sz w:val="22"/>
                <w:szCs w:val="22"/>
              </w:rPr>
              <w:t>95.20</w:t>
            </w:r>
          </w:p>
        </w:tc>
      </w:tr>
      <w:tr w:rsidR="008E3D29" w:rsidRPr="000118A3" w14:paraId="5C421028" w14:textId="77777777" w:rsidTr="00671D7D">
        <w:tc>
          <w:tcPr>
            <w:tcW w:w="625" w:type="dxa"/>
          </w:tcPr>
          <w:p w14:paraId="5EF9EC03" w14:textId="77777777" w:rsidR="008E3D29" w:rsidRPr="000118A3" w:rsidRDefault="008E3D29" w:rsidP="00671D7D">
            <w:pPr>
              <w:pStyle w:val="ListParagraph"/>
              <w:ind w:left="0"/>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2</w:t>
            </w:r>
          </w:p>
        </w:tc>
        <w:tc>
          <w:tcPr>
            <w:tcW w:w="5130" w:type="dxa"/>
          </w:tcPr>
          <w:p w14:paraId="34E01A77" w14:textId="77777777" w:rsidR="008E3D29" w:rsidRPr="000118A3" w:rsidRDefault="008E3D29" w:rsidP="00671D7D">
            <w:pPr>
              <w:pStyle w:val="ListParagraph"/>
              <w:ind w:left="0"/>
              <w:jc w:val="both"/>
              <w:rPr>
                <w:rFonts w:ascii="Times New Roman" w:hAnsi="Times New Roman" w:cs="Times New Roman"/>
                <w:b/>
                <w:bCs/>
                <w:color w:val="000000"/>
                <w:sz w:val="22"/>
                <w:szCs w:val="22"/>
              </w:rPr>
            </w:pPr>
            <w:r w:rsidRPr="000118A3">
              <w:rPr>
                <w:rFonts w:ascii="Times New Roman" w:hAnsi="Times New Roman" w:cs="Times New Roman"/>
                <w:color w:val="000000"/>
                <w:sz w:val="22"/>
                <w:szCs w:val="22"/>
              </w:rPr>
              <w:t xml:space="preserve">Marine Pollution Control </w:t>
            </w:r>
          </w:p>
        </w:tc>
        <w:tc>
          <w:tcPr>
            <w:tcW w:w="2070" w:type="dxa"/>
          </w:tcPr>
          <w:p w14:paraId="146405E0" w14:textId="77777777" w:rsidR="008E3D29" w:rsidRPr="000118A3" w:rsidRDefault="008E3D29" w:rsidP="00671D7D">
            <w:pPr>
              <w:pStyle w:val="ListParagraph"/>
              <w:ind w:left="0"/>
              <w:jc w:val="right"/>
              <w:rPr>
                <w:rFonts w:ascii="Times New Roman" w:hAnsi="Times New Roman" w:cs="Times New Roman"/>
                <w:b/>
                <w:bCs/>
                <w:color w:val="000000"/>
                <w:sz w:val="22"/>
                <w:szCs w:val="22"/>
              </w:rPr>
            </w:pPr>
            <w:r w:rsidRPr="000118A3">
              <w:rPr>
                <w:rFonts w:ascii="Times New Roman" w:hAnsi="Times New Roman" w:cs="Times New Roman"/>
                <w:color w:val="000000"/>
                <w:sz w:val="22"/>
                <w:szCs w:val="22"/>
              </w:rPr>
              <w:t>80.95</w:t>
            </w:r>
          </w:p>
        </w:tc>
      </w:tr>
      <w:tr w:rsidR="008E3D29" w:rsidRPr="000118A3" w14:paraId="2995CB81" w14:textId="77777777" w:rsidTr="00671D7D">
        <w:tc>
          <w:tcPr>
            <w:tcW w:w="625" w:type="dxa"/>
          </w:tcPr>
          <w:p w14:paraId="6D72A7B2" w14:textId="77777777" w:rsidR="008E3D29" w:rsidRPr="000118A3" w:rsidRDefault="008E3D29" w:rsidP="00671D7D">
            <w:pPr>
              <w:pStyle w:val="ListParagraph"/>
              <w:ind w:left="0"/>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3</w:t>
            </w:r>
          </w:p>
        </w:tc>
        <w:tc>
          <w:tcPr>
            <w:tcW w:w="5130" w:type="dxa"/>
          </w:tcPr>
          <w:p w14:paraId="62983759" w14:textId="77777777" w:rsidR="008E3D29" w:rsidRPr="000118A3" w:rsidRDefault="008E3D29" w:rsidP="00671D7D">
            <w:pPr>
              <w:pStyle w:val="ListParagraph"/>
              <w:pBdr>
                <w:top w:val="nil"/>
                <w:left w:val="nil"/>
                <w:bottom w:val="nil"/>
                <w:right w:val="nil"/>
                <w:between w:val="nil"/>
              </w:pBdr>
              <w:ind w:left="74" w:hanging="74"/>
              <w:jc w:val="both"/>
              <w:rPr>
                <w:rFonts w:ascii="Times New Roman" w:hAnsi="Times New Roman" w:cs="Times New Roman"/>
                <w:b/>
                <w:bCs/>
                <w:color w:val="000000"/>
                <w:sz w:val="22"/>
                <w:szCs w:val="22"/>
              </w:rPr>
            </w:pPr>
            <w:r w:rsidRPr="000118A3">
              <w:rPr>
                <w:rFonts w:ascii="Times New Roman" w:hAnsi="Times New Roman" w:cs="Times New Roman"/>
                <w:color w:val="000000"/>
                <w:sz w:val="22"/>
                <w:szCs w:val="22"/>
              </w:rPr>
              <w:t xml:space="preserve">Coastal ecosystem protection </w:t>
            </w:r>
          </w:p>
        </w:tc>
        <w:tc>
          <w:tcPr>
            <w:tcW w:w="2070" w:type="dxa"/>
          </w:tcPr>
          <w:p w14:paraId="04902987" w14:textId="77777777" w:rsidR="008E3D29" w:rsidRPr="000118A3" w:rsidRDefault="008E3D29" w:rsidP="00671D7D">
            <w:pPr>
              <w:pStyle w:val="ListParagraph"/>
              <w:ind w:left="0"/>
              <w:jc w:val="right"/>
              <w:rPr>
                <w:rFonts w:ascii="Times New Roman" w:hAnsi="Times New Roman" w:cs="Times New Roman"/>
                <w:b/>
                <w:bCs/>
                <w:color w:val="000000"/>
                <w:sz w:val="22"/>
                <w:szCs w:val="22"/>
              </w:rPr>
            </w:pPr>
            <w:r w:rsidRPr="000118A3">
              <w:rPr>
                <w:rFonts w:ascii="Times New Roman" w:hAnsi="Times New Roman" w:cs="Times New Roman"/>
                <w:color w:val="000000"/>
                <w:sz w:val="22"/>
                <w:szCs w:val="22"/>
              </w:rPr>
              <w:t>80.95</w:t>
            </w:r>
          </w:p>
        </w:tc>
      </w:tr>
      <w:tr w:rsidR="008E3D29" w:rsidRPr="000118A3" w14:paraId="41AC3C9D" w14:textId="77777777" w:rsidTr="00671D7D">
        <w:tc>
          <w:tcPr>
            <w:tcW w:w="625" w:type="dxa"/>
          </w:tcPr>
          <w:p w14:paraId="72ACD4D3" w14:textId="77777777" w:rsidR="008E3D29" w:rsidRPr="000118A3" w:rsidRDefault="008E3D29" w:rsidP="00671D7D">
            <w:pPr>
              <w:pStyle w:val="ListParagraph"/>
              <w:ind w:left="0"/>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4</w:t>
            </w:r>
          </w:p>
        </w:tc>
        <w:tc>
          <w:tcPr>
            <w:tcW w:w="5130" w:type="dxa"/>
          </w:tcPr>
          <w:p w14:paraId="6B6D8EFF" w14:textId="77777777" w:rsidR="008E3D29" w:rsidRPr="000118A3" w:rsidRDefault="008E3D29" w:rsidP="00671D7D">
            <w:pPr>
              <w:pBdr>
                <w:top w:val="nil"/>
                <w:left w:val="nil"/>
                <w:bottom w:val="nil"/>
                <w:right w:val="nil"/>
                <w:between w:val="nil"/>
              </w:pBdr>
              <w:jc w:val="both"/>
              <w:rPr>
                <w:rFonts w:ascii="Times New Roman" w:hAnsi="Times New Roman" w:cs="Times New Roman"/>
                <w:b/>
                <w:bCs/>
                <w:color w:val="000000"/>
                <w:sz w:val="22"/>
                <w:szCs w:val="22"/>
              </w:rPr>
            </w:pPr>
            <w:r w:rsidRPr="000118A3">
              <w:rPr>
                <w:rFonts w:ascii="Times New Roman" w:hAnsi="Times New Roman" w:cs="Times New Roman"/>
                <w:color w:val="000000"/>
                <w:sz w:val="22"/>
                <w:szCs w:val="22"/>
              </w:rPr>
              <w:t>Capture Fisheries and Aquaculture Development</w:t>
            </w:r>
          </w:p>
        </w:tc>
        <w:tc>
          <w:tcPr>
            <w:tcW w:w="2070" w:type="dxa"/>
          </w:tcPr>
          <w:p w14:paraId="6513BFA6" w14:textId="77777777" w:rsidR="008E3D29" w:rsidRPr="000118A3" w:rsidRDefault="008E3D29" w:rsidP="00671D7D">
            <w:pPr>
              <w:pStyle w:val="ListParagraph"/>
              <w:ind w:left="0"/>
              <w:jc w:val="right"/>
              <w:rPr>
                <w:rFonts w:ascii="Times New Roman" w:hAnsi="Times New Roman" w:cs="Times New Roman"/>
                <w:b/>
                <w:bCs/>
                <w:color w:val="000000"/>
                <w:sz w:val="22"/>
                <w:szCs w:val="22"/>
              </w:rPr>
            </w:pPr>
            <w:r w:rsidRPr="000118A3">
              <w:rPr>
                <w:rFonts w:ascii="Times New Roman" w:hAnsi="Times New Roman" w:cs="Times New Roman"/>
                <w:color w:val="000000"/>
                <w:sz w:val="22"/>
                <w:szCs w:val="22"/>
              </w:rPr>
              <w:t>80.95</w:t>
            </w:r>
          </w:p>
        </w:tc>
      </w:tr>
      <w:tr w:rsidR="008E3D29" w:rsidRPr="000118A3" w14:paraId="0C9353E3" w14:textId="77777777" w:rsidTr="00671D7D">
        <w:tc>
          <w:tcPr>
            <w:tcW w:w="625" w:type="dxa"/>
          </w:tcPr>
          <w:p w14:paraId="079E2FCD" w14:textId="77777777" w:rsidR="008E3D29" w:rsidRPr="000118A3" w:rsidRDefault="008E3D29" w:rsidP="00671D7D">
            <w:pPr>
              <w:pStyle w:val="ListParagraph"/>
              <w:ind w:left="0"/>
              <w:jc w:val="both"/>
              <w:rPr>
                <w:rFonts w:ascii="Times New Roman" w:hAnsi="Times New Roman" w:cs="Times New Roman"/>
                <w:b/>
                <w:bCs/>
                <w:color w:val="000000"/>
                <w:sz w:val="22"/>
                <w:szCs w:val="22"/>
              </w:rPr>
            </w:pPr>
          </w:p>
        </w:tc>
        <w:tc>
          <w:tcPr>
            <w:tcW w:w="5130" w:type="dxa"/>
          </w:tcPr>
          <w:p w14:paraId="5A9C7A00" w14:textId="77777777" w:rsidR="008E3D29" w:rsidRPr="000118A3" w:rsidRDefault="008E3D29" w:rsidP="00671D7D">
            <w:pPr>
              <w:pBdr>
                <w:top w:val="nil"/>
                <w:left w:val="nil"/>
                <w:bottom w:val="nil"/>
                <w:right w:val="nil"/>
                <w:between w:val="nil"/>
              </w:pBdr>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Average </w:t>
            </w:r>
          </w:p>
        </w:tc>
        <w:tc>
          <w:tcPr>
            <w:tcW w:w="2070" w:type="dxa"/>
          </w:tcPr>
          <w:p w14:paraId="40014A7C" w14:textId="77777777" w:rsidR="008E3D29" w:rsidRPr="000118A3" w:rsidRDefault="008E3D29" w:rsidP="00671D7D">
            <w:pPr>
              <w:pStyle w:val="ListParagraph"/>
              <w:ind w:left="0"/>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84.51</w:t>
            </w:r>
          </w:p>
        </w:tc>
      </w:tr>
    </w:tbl>
    <w:p w14:paraId="0B05E0F8" w14:textId="77777777" w:rsidR="008E3D29" w:rsidRPr="000118A3" w:rsidRDefault="008E3D29" w:rsidP="008E3D29">
      <w:pPr>
        <w:pStyle w:val="ListParagraph"/>
        <w:ind w:left="440"/>
        <w:jc w:val="both"/>
        <w:rPr>
          <w:rFonts w:ascii="Times New Roman" w:hAnsi="Times New Roman" w:cs="Times New Roman"/>
          <w:sz w:val="22"/>
          <w:szCs w:val="22"/>
        </w:rPr>
      </w:pPr>
    </w:p>
    <w:p w14:paraId="7B9431BA" w14:textId="77777777" w:rsidR="008E3D29" w:rsidRPr="00D84F7F" w:rsidRDefault="008E3D29" w:rsidP="008E3D29">
      <w:pPr>
        <w:jc w:val="both"/>
        <w:rPr>
          <w:rFonts w:ascii="Times New Roman" w:hAnsi="Times New Roman" w:cs="Times New Roman"/>
          <w:b/>
          <w:bCs/>
          <w:i/>
          <w:iCs/>
          <w:sz w:val="22"/>
          <w:szCs w:val="22"/>
        </w:rPr>
      </w:pPr>
      <w:r w:rsidRPr="00D84F7F">
        <w:rPr>
          <w:rFonts w:ascii="Times New Roman" w:hAnsi="Times New Roman" w:cs="Times New Roman"/>
          <w:b/>
          <w:bCs/>
          <w:i/>
          <w:iCs/>
          <w:sz w:val="22"/>
          <w:szCs w:val="22"/>
        </w:rPr>
        <w:t xml:space="preserve">Integration </w:t>
      </w:r>
    </w:p>
    <w:p w14:paraId="092653C9" w14:textId="05296C91" w:rsidR="008E3D29" w:rsidRDefault="008E3D29" w:rsidP="00D84F7F">
      <w:pPr>
        <w:spacing w:before="120"/>
        <w:jc w:val="both"/>
        <w:rPr>
          <w:rFonts w:ascii="Times New Roman" w:hAnsi="Times New Roman" w:cs="Times New Roman"/>
          <w:color w:val="000000" w:themeColor="text1"/>
          <w:sz w:val="22"/>
          <w:szCs w:val="22"/>
        </w:rPr>
      </w:pPr>
      <w:r w:rsidRPr="000118A3">
        <w:rPr>
          <w:rFonts w:ascii="Times New Roman" w:hAnsi="Times New Roman" w:cs="Times New Roman"/>
          <w:color w:val="000000"/>
          <w:sz w:val="22"/>
          <w:szCs w:val="22"/>
        </w:rPr>
        <w:t xml:space="preserve">The level of integration among stakeholders indicates the extent to which stakeholders within each of 4 formal arrangements can integrate the policies generated across each policy cycle to address cross-stakeholder issues. Integration among stakeholders for each formal arrangement is scored on a scale of 0-1. A score of 0 indicates no integration, while a score of 1 indicates full integration. The complete score of integration among stakeholders for each formal arrangement is provided in </w:t>
      </w:r>
      <w:r w:rsidR="00600CEE">
        <w:rPr>
          <w:rFonts w:ascii="Times New Roman" w:hAnsi="Times New Roman" w:cs="Times New Roman"/>
          <w:color w:val="000000"/>
          <w:sz w:val="22"/>
          <w:szCs w:val="22"/>
        </w:rPr>
        <w:t>Appendix</w:t>
      </w:r>
      <w:r w:rsidRPr="000118A3">
        <w:rPr>
          <w:rFonts w:ascii="Times New Roman" w:hAnsi="Times New Roman" w:cs="Times New Roman"/>
          <w:color w:val="000000"/>
          <w:sz w:val="22"/>
          <w:szCs w:val="22"/>
        </w:rPr>
        <w:t xml:space="preserve"> </w:t>
      </w:r>
      <w:r w:rsidR="00295B8A">
        <w:rPr>
          <w:rFonts w:ascii="Times New Roman" w:hAnsi="Times New Roman" w:cs="Times New Roman"/>
          <w:color w:val="000000"/>
          <w:sz w:val="22"/>
          <w:szCs w:val="22"/>
        </w:rPr>
        <w:t>6.</w:t>
      </w:r>
      <w:r w:rsidRPr="000118A3">
        <w:rPr>
          <w:rFonts w:ascii="Times New Roman" w:hAnsi="Times New Roman" w:cs="Times New Roman"/>
          <w:color w:val="000000"/>
          <w:sz w:val="22"/>
          <w:szCs w:val="22"/>
        </w:rPr>
        <w:t xml:space="preserve">14. The score of integration among the stakeholders is in the following table </w:t>
      </w:r>
      <w:r w:rsidR="00612A70">
        <w:rPr>
          <w:rFonts w:ascii="Times New Roman" w:hAnsi="Times New Roman" w:cs="Times New Roman"/>
          <w:color w:val="000000" w:themeColor="text1"/>
          <w:sz w:val="22"/>
          <w:szCs w:val="22"/>
        </w:rPr>
        <w:t>22</w:t>
      </w:r>
      <w:r w:rsidR="00482FFD">
        <w:rPr>
          <w:rFonts w:ascii="Times New Roman" w:hAnsi="Times New Roman" w:cs="Times New Roman"/>
          <w:color w:val="000000" w:themeColor="text1"/>
          <w:sz w:val="22"/>
          <w:szCs w:val="22"/>
        </w:rPr>
        <w:t>.</w:t>
      </w:r>
    </w:p>
    <w:p w14:paraId="169D6BC3" w14:textId="77777777" w:rsidR="00612A70" w:rsidRDefault="00612A70" w:rsidP="00D84F7F">
      <w:pPr>
        <w:spacing w:before="120"/>
        <w:jc w:val="both"/>
        <w:rPr>
          <w:rFonts w:ascii="Times New Roman" w:hAnsi="Times New Roman" w:cs="Times New Roman"/>
          <w:color w:val="000000" w:themeColor="text1"/>
          <w:sz w:val="22"/>
          <w:szCs w:val="22"/>
        </w:rPr>
      </w:pPr>
    </w:p>
    <w:p w14:paraId="1E68FF7E" w14:textId="5D569B62" w:rsidR="008E3D29" w:rsidRPr="00482FFD" w:rsidRDefault="00612A70" w:rsidP="00612A70">
      <w:pPr>
        <w:pStyle w:val="Caption"/>
        <w:rPr>
          <w:rFonts w:ascii="Times New Roman" w:hAnsi="Times New Roman" w:cs="Times New Roman"/>
          <w:color w:val="000000"/>
          <w:sz w:val="22"/>
          <w:szCs w:val="22"/>
        </w:rPr>
      </w:pPr>
      <w:bookmarkStart w:id="183" w:name="_Toc217297667"/>
      <w:r w:rsidRPr="00612A70">
        <w:rPr>
          <w:rFonts w:ascii="Times New Roman" w:hAnsi="Times New Roman" w:cs="Times New Roman"/>
          <w:i w:val="0"/>
          <w:iCs w:val="0"/>
          <w:color w:val="000000" w:themeColor="text1"/>
          <w:sz w:val="22"/>
          <w:szCs w:val="22"/>
        </w:rPr>
        <w:t xml:space="preserve">Table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Table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22</w:t>
      </w:r>
      <w:r w:rsidRPr="00612A70">
        <w:rPr>
          <w:rFonts w:ascii="Times New Roman" w:hAnsi="Times New Roman" w:cs="Times New Roman"/>
          <w:i w:val="0"/>
          <w:iCs w:val="0"/>
          <w:color w:val="000000" w:themeColor="text1"/>
          <w:sz w:val="22"/>
          <w:szCs w:val="22"/>
        </w:rPr>
        <w:fldChar w:fldCharType="end"/>
      </w:r>
      <w:r w:rsidR="00482FFD" w:rsidRPr="00612A70">
        <w:rPr>
          <w:rFonts w:ascii="Times New Roman" w:hAnsi="Times New Roman" w:cs="Times New Roman"/>
          <w:i w:val="0"/>
          <w:iCs w:val="0"/>
          <w:color w:val="000000" w:themeColor="text1"/>
          <w:sz w:val="22"/>
          <w:szCs w:val="22"/>
        </w:rPr>
        <w:t xml:space="preserve"> </w:t>
      </w:r>
      <w:r w:rsidR="008E3D29" w:rsidRPr="00482FFD">
        <w:rPr>
          <w:rFonts w:ascii="Times New Roman" w:hAnsi="Times New Roman" w:cs="Times New Roman"/>
          <w:color w:val="000000"/>
          <w:sz w:val="22"/>
          <w:szCs w:val="22"/>
        </w:rPr>
        <w:t xml:space="preserve"> Integration between key stakeholders on transboundary issues formal arrangement</w:t>
      </w:r>
      <w:bookmarkEnd w:id="183"/>
      <w:r w:rsidR="008E3D29" w:rsidRPr="00482FFD">
        <w:rPr>
          <w:rFonts w:ascii="Times New Roman" w:hAnsi="Times New Roman" w:cs="Times New Roman"/>
          <w:color w:val="000000"/>
          <w:sz w:val="22"/>
          <w:szCs w:val="22"/>
        </w:rPr>
        <w:t xml:space="preserve"> </w:t>
      </w:r>
    </w:p>
    <w:tbl>
      <w:tblPr>
        <w:tblStyle w:val="TableGrid"/>
        <w:tblW w:w="7188" w:type="dxa"/>
        <w:tblInd w:w="-5" w:type="dxa"/>
        <w:tblLook w:val="04A0" w:firstRow="1" w:lastRow="0" w:firstColumn="1" w:lastColumn="0" w:noHBand="0" w:noVBand="1"/>
      </w:tblPr>
      <w:tblGrid>
        <w:gridCol w:w="540"/>
        <w:gridCol w:w="4225"/>
        <w:gridCol w:w="2423"/>
      </w:tblGrid>
      <w:tr w:rsidR="008E3D29" w:rsidRPr="000118A3" w14:paraId="1A0D65E7" w14:textId="77777777" w:rsidTr="00671D7D">
        <w:tc>
          <w:tcPr>
            <w:tcW w:w="540" w:type="dxa"/>
          </w:tcPr>
          <w:p w14:paraId="3D1E4477" w14:textId="77777777" w:rsidR="008E3D29" w:rsidRPr="000118A3" w:rsidRDefault="008E3D29" w:rsidP="00671D7D">
            <w:pPr>
              <w:pStyle w:val="ListParagraph"/>
              <w:ind w:left="0"/>
              <w:rPr>
                <w:rFonts w:ascii="Times New Roman" w:hAnsi="Times New Roman" w:cs="Times New Roman"/>
                <w:b/>
                <w:bCs/>
                <w:color w:val="000000"/>
                <w:sz w:val="22"/>
                <w:szCs w:val="22"/>
              </w:rPr>
            </w:pPr>
            <w:r w:rsidRPr="000118A3">
              <w:rPr>
                <w:rFonts w:ascii="Times New Roman" w:hAnsi="Times New Roman" w:cs="Times New Roman"/>
                <w:b/>
                <w:bCs/>
                <w:color w:val="000000"/>
                <w:sz w:val="22"/>
                <w:szCs w:val="22"/>
              </w:rPr>
              <w:t>No.</w:t>
            </w:r>
          </w:p>
        </w:tc>
        <w:tc>
          <w:tcPr>
            <w:tcW w:w="4225" w:type="dxa"/>
            <w:vAlign w:val="center"/>
          </w:tcPr>
          <w:p w14:paraId="4D354BD7" w14:textId="77777777" w:rsidR="008E3D29" w:rsidRPr="000118A3" w:rsidRDefault="008E3D29" w:rsidP="00671D7D">
            <w:pPr>
              <w:pStyle w:val="ListParagraph"/>
              <w:ind w:left="0"/>
              <w:jc w:val="center"/>
              <w:rPr>
                <w:rFonts w:ascii="Times New Roman" w:hAnsi="Times New Roman" w:cs="Times New Roman"/>
                <w:b/>
                <w:bCs/>
                <w:color w:val="000000"/>
                <w:sz w:val="22"/>
                <w:szCs w:val="22"/>
              </w:rPr>
            </w:pPr>
            <w:bookmarkStart w:id="184" w:name="_Hlk215157537"/>
            <w:r w:rsidRPr="000118A3">
              <w:rPr>
                <w:rFonts w:ascii="Times New Roman" w:hAnsi="Times New Roman" w:cs="Times New Roman"/>
                <w:b/>
                <w:bCs/>
                <w:color w:val="000000"/>
                <w:sz w:val="22"/>
                <w:szCs w:val="22"/>
              </w:rPr>
              <w:t>Policy cycle stage</w:t>
            </w:r>
          </w:p>
        </w:tc>
        <w:tc>
          <w:tcPr>
            <w:tcW w:w="2423" w:type="dxa"/>
            <w:vAlign w:val="center"/>
          </w:tcPr>
          <w:p w14:paraId="10AB634E" w14:textId="77777777" w:rsidR="008E3D29" w:rsidRPr="000118A3" w:rsidRDefault="008E3D29" w:rsidP="00671D7D">
            <w:pPr>
              <w:pStyle w:val="ListParagraph"/>
              <w:ind w:left="0"/>
              <w:jc w:val="center"/>
              <w:rPr>
                <w:rFonts w:ascii="Times New Roman" w:hAnsi="Times New Roman" w:cs="Times New Roman"/>
                <w:b/>
                <w:bCs/>
                <w:color w:val="000000"/>
                <w:sz w:val="22"/>
                <w:szCs w:val="22"/>
              </w:rPr>
            </w:pPr>
            <w:r w:rsidRPr="000118A3">
              <w:rPr>
                <w:rFonts w:ascii="Times New Roman" w:hAnsi="Times New Roman" w:cs="Times New Roman"/>
                <w:b/>
                <w:bCs/>
                <w:color w:val="000000"/>
                <w:sz w:val="22"/>
                <w:szCs w:val="22"/>
              </w:rPr>
              <w:t>Integration score (%)</w:t>
            </w:r>
          </w:p>
        </w:tc>
      </w:tr>
      <w:tr w:rsidR="008E3D29" w:rsidRPr="000118A3" w14:paraId="5BC1A51F" w14:textId="77777777" w:rsidTr="00671D7D">
        <w:tc>
          <w:tcPr>
            <w:tcW w:w="540" w:type="dxa"/>
          </w:tcPr>
          <w:p w14:paraId="0F0B1C19"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1</w:t>
            </w:r>
          </w:p>
        </w:tc>
        <w:tc>
          <w:tcPr>
            <w:tcW w:w="4225" w:type="dxa"/>
          </w:tcPr>
          <w:p w14:paraId="3841A201"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Policy analysis and advice</w:t>
            </w:r>
          </w:p>
        </w:tc>
        <w:tc>
          <w:tcPr>
            <w:tcW w:w="2423" w:type="dxa"/>
          </w:tcPr>
          <w:p w14:paraId="48F0DFAC" w14:textId="77777777" w:rsidR="008E3D29" w:rsidRPr="000118A3" w:rsidRDefault="008E3D29" w:rsidP="00671D7D">
            <w:pPr>
              <w:pStyle w:val="ListParagraph"/>
              <w:ind w:left="0"/>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50.00</w:t>
            </w:r>
          </w:p>
        </w:tc>
      </w:tr>
      <w:tr w:rsidR="008E3D29" w:rsidRPr="000118A3" w14:paraId="6D153B50" w14:textId="77777777" w:rsidTr="00671D7D">
        <w:tc>
          <w:tcPr>
            <w:tcW w:w="540" w:type="dxa"/>
          </w:tcPr>
          <w:p w14:paraId="2EE875B9"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2</w:t>
            </w:r>
          </w:p>
        </w:tc>
        <w:tc>
          <w:tcPr>
            <w:tcW w:w="4225" w:type="dxa"/>
          </w:tcPr>
          <w:p w14:paraId="26F8FD6B"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Policy decision-making</w:t>
            </w:r>
          </w:p>
        </w:tc>
        <w:tc>
          <w:tcPr>
            <w:tcW w:w="2423" w:type="dxa"/>
          </w:tcPr>
          <w:p w14:paraId="391EC917" w14:textId="77777777" w:rsidR="008E3D29" w:rsidRPr="000118A3" w:rsidRDefault="008E3D29" w:rsidP="00671D7D">
            <w:pPr>
              <w:pStyle w:val="ListParagraph"/>
              <w:ind w:left="0"/>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33.33</w:t>
            </w:r>
          </w:p>
        </w:tc>
      </w:tr>
      <w:tr w:rsidR="008E3D29" w:rsidRPr="000118A3" w14:paraId="7EBDE2B3" w14:textId="77777777" w:rsidTr="00671D7D">
        <w:tc>
          <w:tcPr>
            <w:tcW w:w="540" w:type="dxa"/>
          </w:tcPr>
          <w:p w14:paraId="62916299"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3</w:t>
            </w:r>
          </w:p>
        </w:tc>
        <w:tc>
          <w:tcPr>
            <w:tcW w:w="4225" w:type="dxa"/>
          </w:tcPr>
          <w:p w14:paraId="7E806F34"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Planning analysis and advice</w:t>
            </w:r>
          </w:p>
        </w:tc>
        <w:tc>
          <w:tcPr>
            <w:tcW w:w="2423" w:type="dxa"/>
          </w:tcPr>
          <w:p w14:paraId="2037261D" w14:textId="77777777" w:rsidR="008E3D29" w:rsidRPr="000118A3" w:rsidRDefault="008E3D29" w:rsidP="00671D7D">
            <w:pPr>
              <w:pStyle w:val="ListParagraph"/>
              <w:ind w:left="0"/>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50.00</w:t>
            </w:r>
          </w:p>
        </w:tc>
      </w:tr>
      <w:tr w:rsidR="008E3D29" w:rsidRPr="000118A3" w14:paraId="6358EABB" w14:textId="77777777" w:rsidTr="00671D7D">
        <w:tc>
          <w:tcPr>
            <w:tcW w:w="540" w:type="dxa"/>
          </w:tcPr>
          <w:p w14:paraId="55AEE7C2"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4</w:t>
            </w:r>
          </w:p>
        </w:tc>
        <w:tc>
          <w:tcPr>
            <w:tcW w:w="4225" w:type="dxa"/>
          </w:tcPr>
          <w:p w14:paraId="31FDEBB2"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Planning decision-making</w:t>
            </w:r>
          </w:p>
        </w:tc>
        <w:tc>
          <w:tcPr>
            <w:tcW w:w="2423" w:type="dxa"/>
          </w:tcPr>
          <w:p w14:paraId="7547ECEB" w14:textId="77777777" w:rsidR="008E3D29" w:rsidRPr="000118A3" w:rsidRDefault="008E3D29" w:rsidP="00671D7D">
            <w:pPr>
              <w:pStyle w:val="ListParagraph"/>
              <w:ind w:left="0"/>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33.33</w:t>
            </w:r>
          </w:p>
        </w:tc>
      </w:tr>
      <w:tr w:rsidR="008E3D29" w:rsidRPr="000118A3" w14:paraId="7EFC595E" w14:textId="77777777" w:rsidTr="00671D7D">
        <w:tc>
          <w:tcPr>
            <w:tcW w:w="540" w:type="dxa"/>
          </w:tcPr>
          <w:p w14:paraId="6531EF68"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5</w:t>
            </w:r>
          </w:p>
        </w:tc>
        <w:tc>
          <w:tcPr>
            <w:tcW w:w="4225" w:type="dxa"/>
          </w:tcPr>
          <w:p w14:paraId="47BA6310"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Implementation</w:t>
            </w:r>
          </w:p>
        </w:tc>
        <w:tc>
          <w:tcPr>
            <w:tcW w:w="2423" w:type="dxa"/>
          </w:tcPr>
          <w:p w14:paraId="5477476F" w14:textId="77777777" w:rsidR="008E3D29" w:rsidRPr="000118A3" w:rsidRDefault="008E3D29" w:rsidP="00671D7D">
            <w:pPr>
              <w:pStyle w:val="ListParagraph"/>
              <w:ind w:left="0"/>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83.33</w:t>
            </w:r>
          </w:p>
        </w:tc>
      </w:tr>
      <w:tr w:rsidR="008E3D29" w:rsidRPr="000118A3" w14:paraId="701F268A" w14:textId="77777777" w:rsidTr="00671D7D">
        <w:tc>
          <w:tcPr>
            <w:tcW w:w="540" w:type="dxa"/>
          </w:tcPr>
          <w:p w14:paraId="31FD6881"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6</w:t>
            </w:r>
          </w:p>
        </w:tc>
        <w:tc>
          <w:tcPr>
            <w:tcW w:w="4225" w:type="dxa"/>
          </w:tcPr>
          <w:p w14:paraId="619EF25B"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Review and evaluation</w:t>
            </w:r>
          </w:p>
        </w:tc>
        <w:tc>
          <w:tcPr>
            <w:tcW w:w="2423" w:type="dxa"/>
          </w:tcPr>
          <w:p w14:paraId="29C47091" w14:textId="77777777" w:rsidR="008E3D29" w:rsidRPr="000118A3" w:rsidRDefault="008E3D29" w:rsidP="00671D7D">
            <w:pPr>
              <w:pStyle w:val="ListParagraph"/>
              <w:ind w:left="0"/>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83.33</w:t>
            </w:r>
          </w:p>
        </w:tc>
      </w:tr>
      <w:tr w:rsidR="008E3D29" w:rsidRPr="000118A3" w14:paraId="722B8A84" w14:textId="77777777" w:rsidTr="00671D7D">
        <w:tc>
          <w:tcPr>
            <w:tcW w:w="540" w:type="dxa"/>
          </w:tcPr>
          <w:p w14:paraId="7616815A"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7</w:t>
            </w:r>
          </w:p>
        </w:tc>
        <w:tc>
          <w:tcPr>
            <w:tcW w:w="4225" w:type="dxa"/>
          </w:tcPr>
          <w:p w14:paraId="586D5866"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Data and information</w:t>
            </w:r>
          </w:p>
        </w:tc>
        <w:tc>
          <w:tcPr>
            <w:tcW w:w="2423" w:type="dxa"/>
          </w:tcPr>
          <w:p w14:paraId="75E520E3" w14:textId="77777777" w:rsidR="008E3D29" w:rsidRPr="000118A3" w:rsidRDefault="008E3D29" w:rsidP="00671D7D">
            <w:pPr>
              <w:pStyle w:val="ListParagraph"/>
              <w:ind w:left="0"/>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67.67</w:t>
            </w:r>
          </w:p>
        </w:tc>
      </w:tr>
      <w:tr w:rsidR="008E3D29" w:rsidRPr="000118A3" w14:paraId="43AFF9D2" w14:textId="77777777" w:rsidTr="00671D7D">
        <w:tc>
          <w:tcPr>
            <w:tcW w:w="540" w:type="dxa"/>
          </w:tcPr>
          <w:p w14:paraId="0B6DD315" w14:textId="77777777" w:rsidR="008E3D29" w:rsidRPr="000118A3" w:rsidRDefault="008E3D29" w:rsidP="00671D7D">
            <w:pPr>
              <w:pStyle w:val="ListParagraph"/>
              <w:ind w:left="0"/>
              <w:rPr>
                <w:rFonts w:ascii="Times New Roman" w:hAnsi="Times New Roman" w:cs="Times New Roman"/>
                <w:color w:val="000000"/>
                <w:sz w:val="22"/>
                <w:szCs w:val="22"/>
              </w:rPr>
            </w:pPr>
          </w:p>
        </w:tc>
        <w:tc>
          <w:tcPr>
            <w:tcW w:w="4225" w:type="dxa"/>
          </w:tcPr>
          <w:p w14:paraId="0F477A1D" w14:textId="77777777" w:rsidR="008E3D29" w:rsidRPr="000118A3" w:rsidRDefault="008E3D29" w:rsidP="00671D7D">
            <w:pPr>
              <w:pStyle w:val="ListParagraph"/>
              <w:ind w:left="0"/>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Average </w:t>
            </w:r>
          </w:p>
        </w:tc>
        <w:tc>
          <w:tcPr>
            <w:tcW w:w="2423" w:type="dxa"/>
          </w:tcPr>
          <w:p w14:paraId="442467D4" w14:textId="77777777" w:rsidR="008E3D29" w:rsidRPr="000118A3" w:rsidRDefault="008E3D29" w:rsidP="00671D7D">
            <w:pPr>
              <w:pStyle w:val="ListParagraph"/>
              <w:ind w:left="0"/>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57.22</w:t>
            </w:r>
          </w:p>
        </w:tc>
      </w:tr>
      <w:bookmarkEnd w:id="184"/>
    </w:tbl>
    <w:p w14:paraId="510FC3E8" w14:textId="77777777" w:rsidR="008E3D29" w:rsidRPr="000118A3" w:rsidRDefault="008E3D29" w:rsidP="008E3D29">
      <w:pPr>
        <w:pStyle w:val="ListParagraph"/>
        <w:ind w:left="440"/>
        <w:jc w:val="both"/>
        <w:rPr>
          <w:rFonts w:ascii="Times New Roman" w:hAnsi="Times New Roman" w:cs="Times New Roman"/>
          <w:sz w:val="22"/>
          <w:szCs w:val="22"/>
        </w:rPr>
      </w:pPr>
    </w:p>
    <w:p w14:paraId="64DB7438" w14:textId="77777777" w:rsidR="008E3D29" w:rsidRPr="00D84F7F" w:rsidRDefault="008E3D29" w:rsidP="008E3D29">
      <w:pPr>
        <w:pBdr>
          <w:top w:val="nil"/>
          <w:left w:val="nil"/>
          <w:bottom w:val="nil"/>
          <w:right w:val="nil"/>
          <w:between w:val="nil"/>
        </w:pBdr>
        <w:jc w:val="both"/>
        <w:rPr>
          <w:rFonts w:ascii="Times New Roman" w:hAnsi="Times New Roman" w:cs="Times New Roman"/>
          <w:b/>
          <w:bCs/>
          <w:i/>
          <w:iCs/>
          <w:color w:val="000000"/>
          <w:sz w:val="22"/>
          <w:szCs w:val="22"/>
        </w:rPr>
      </w:pPr>
      <w:r w:rsidRPr="00D84F7F">
        <w:rPr>
          <w:rFonts w:ascii="Times New Roman" w:hAnsi="Times New Roman" w:cs="Times New Roman"/>
          <w:b/>
          <w:bCs/>
          <w:i/>
          <w:iCs/>
          <w:color w:val="000000"/>
          <w:sz w:val="22"/>
          <w:szCs w:val="22"/>
        </w:rPr>
        <w:t xml:space="preserve">Engagement </w:t>
      </w:r>
    </w:p>
    <w:p w14:paraId="5206797C" w14:textId="491EEC5B" w:rsidR="008E3D29" w:rsidRPr="000118A3" w:rsidRDefault="008E3D29" w:rsidP="00D84F7F">
      <w:pPr>
        <w:pBdr>
          <w:top w:val="nil"/>
          <w:left w:val="nil"/>
          <w:bottom w:val="nil"/>
          <w:right w:val="nil"/>
          <w:between w:val="nil"/>
        </w:pBdr>
        <w:spacing w:before="120"/>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Engagement illustrates the level of involvement of key stakeholders in addressing several transboundary issues that require resolution. This engagement is fundamental to the governance capacity required to effectively involve stakeholders, reduce ecosystem stresses, improve or protect ecosystems, achieve socially just outcomes, and enhance human well-being. The analysis was conducted based on engagement of 12 stakeholders consisting of multistakeholder group including national government bodies, universities, national research center and NGO.  The engagement score for stakeholders to each formal arrangement is provided in </w:t>
      </w:r>
      <w:r w:rsidR="00600CEE">
        <w:rPr>
          <w:rFonts w:ascii="Times New Roman" w:hAnsi="Times New Roman" w:cs="Times New Roman"/>
          <w:color w:val="000000"/>
          <w:sz w:val="22"/>
          <w:szCs w:val="22"/>
        </w:rPr>
        <w:t>Appendix</w:t>
      </w:r>
      <w:r w:rsidRPr="000118A3">
        <w:rPr>
          <w:rFonts w:ascii="Times New Roman" w:hAnsi="Times New Roman" w:cs="Times New Roman"/>
          <w:color w:val="000000"/>
          <w:sz w:val="22"/>
          <w:szCs w:val="22"/>
        </w:rPr>
        <w:t xml:space="preserve"> </w:t>
      </w:r>
      <w:r w:rsidR="00295B8A">
        <w:rPr>
          <w:rFonts w:ascii="Times New Roman" w:hAnsi="Times New Roman" w:cs="Times New Roman"/>
          <w:color w:val="000000"/>
          <w:sz w:val="22"/>
          <w:szCs w:val="22"/>
        </w:rPr>
        <w:t>6.</w:t>
      </w:r>
      <w:r w:rsidRPr="000118A3">
        <w:rPr>
          <w:rFonts w:ascii="Times New Roman" w:hAnsi="Times New Roman" w:cs="Times New Roman"/>
          <w:color w:val="000000"/>
          <w:sz w:val="22"/>
          <w:szCs w:val="22"/>
        </w:rPr>
        <w:t xml:space="preserve">15. The average score of stakeholder engagement is 58.2 % as in the Table </w:t>
      </w:r>
      <w:r w:rsidR="00612A70">
        <w:rPr>
          <w:rFonts w:ascii="Times New Roman" w:hAnsi="Times New Roman" w:cs="Times New Roman"/>
          <w:color w:val="000000"/>
          <w:sz w:val="22"/>
          <w:szCs w:val="22"/>
        </w:rPr>
        <w:t>2</w:t>
      </w:r>
      <w:r w:rsidR="00DD6E5D" w:rsidRPr="00DD6E5D">
        <w:rPr>
          <w:rFonts w:ascii="Times New Roman" w:hAnsi="Times New Roman" w:cs="Times New Roman"/>
          <w:noProof/>
          <w:color w:val="000000" w:themeColor="text1"/>
          <w:sz w:val="22"/>
          <w:szCs w:val="22"/>
        </w:rPr>
        <w:t>3</w:t>
      </w:r>
    </w:p>
    <w:p w14:paraId="16EFFAC6" w14:textId="581D7F30" w:rsidR="008E3D29" w:rsidRPr="00612A70" w:rsidRDefault="00612A70" w:rsidP="00612A70">
      <w:pPr>
        <w:pStyle w:val="Caption"/>
        <w:rPr>
          <w:rFonts w:ascii="Times New Roman" w:hAnsi="Times New Roman" w:cs="Times New Roman"/>
          <w:i w:val="0"/>
          <w:iCs w:val="0"/>
          <w:color w:val="000000" w:themeColor="text1"/>
          <w:sz w:val="22"/>
          <w:szCs w:val="22"/>
        </w:rPr>
      </w:pPr>
      <w:bookmarkStart w:id="185" w:name="_Toc217297668"/>
      <w:r w:rsidRPr="00612A70">
        <w:rPr>
          <w:rFonts w:ascii="Times New Roman" w:hAnsi="Times New Roman" w:cs="Times New Roman"/>
          <w:i w:val="0"/>
          <w:iCs w:val="0"/>
          <w:color w:val="000000" w:themeColor="text1"/>
          <w:sz w:val="22"/>
          <w:szCs w:val="22"/>
        </w:rPr>
        <w:t xml:space="preserve">Table </w:t>
      </w:r>
      <w:r w:rsidRPr="00612A70">
        <w:rPr>
          <w:rFonts w:ascii="Times New Roman" w:hAnsi="Times New Roman" w:cs="Times New Roman"/>
          <w:i w:val="0"/>
          <w:iCs w:val="0"/>
          <w:color w:val="000000" w:themeColor="text1"/>
          <w:sz w:val="22"/>
          <w:szCs w:val="22"/>
        </w:rPr>
        <w:fldChar w:fldCharType="begin"/>
      </w:r>
      <w:r w:rsidRPr="00612A70">
        <w:rPr>
          <w:rFonts w:ascii="Times New Roman" w:hAnsi="Times New Roman" w:cs="Times New Roman"/>
          <w:i w:val="0"/>
          <w:iCs w:val="0"/>
          <w:color w:val="000000" w:themeColor="text1"/>
          <w:sz w:val="22"/>
          <w:szCs w:val="22"/>
        </w:rPr>
        <w:instrText xml:space="preserve"> SEQ Table \* ARABIC </w:instrText>
      </w:r>
      <w:r w:rsidRPr="00612A70">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23</w:t>
      </w:r>
      <w:r w:rsidRPr="00612A70">
        <w:rPr>
          <w:rFonts w:ascii="Times New Roman" w:hAnsi="Times New Roman" w:cs="Times New Roman"/>
          <w:i w:val="0"/>
          <w:iCs w:val="0"/>
          <w:color w:val="000000" w:themeColor="text1"/>
          <w:sz w:val="22"/>
          <w:szCs w:val="22"/>
        </w:rPr>
        <w:fldChar w:fldCharType="end"/>
      </w:r>
      <w:r w:rsidR="00482FFD" w:rsidRPr="00612A70">
        <w:rPr>
          <w:rFonts w:ascii="Times New Roman" w:hAnsi="Times New Roman" w:cs="Times New Roman"/>
          <w:i w:val="0"/>
          <w:iCs w:val="0"/>
          <w:color w:val="000000" w:themeColor="text1"/>
          <w:sz w:val="22"/>
          <w:szCs w:val="22"/>
        </w:rPr>
        <w:t xml:space="preserve"> </w:t>
      </w:r>
      <w:r w:rsidR="008E3D29" w:rsidRPr="00612A70">
        <w:rPr>
          <w:rFonts w:ascii="Times New Roman" w:hAnsi="Times New Roman" w:cs="Times New Roman"/>
          <w:i w:val="0"/>
          <w:iCs w:val="0"/>
          <w:color w:val="000000" w:themeColor="text1"/>
          <w:sz w:val="22"/>
          <w:szCs w:val="22"/>
        </w:rPr>
        <w:t>Stakeholder Engagement on Formal Arrangement</w:t>
      </w:r>
      <w:bookmarkEnd w:id="185"/>
      <w:r w:rsidR="008E3D29" w:rsidRPr="00612A70">
        <w:rPr>
          <w:rFonts w:ascii="Times New Roman" w:hAnsi="Times New Roman" w:cs="Times New Roman"/>
          <w:i w:val="0"/>
          <w:iCs w:val="0"/>
          <w:color w:val="000000" w:themeColor="text1"/>
          <w:sz w:val="22"/>
          <w:szCs w:val="22"/>
        </w:rPr>
        <w:t xml:space="preserve"> </w:t>
      </w:r>
    </w:p>
    <w:tbl>
      <w:tblPr>
        <w:tblStyle w:val="TableGrid"/>
        <w:tblW w:w="0" w:type="auto"/>
        <w:tblLook w:val="04A0" w:firstRow="1" w:lastRow="0" w:firstColumn="1" w:lastColumn="0" w:noHBand="0" w:noVBand="1"/>
      </w:tblPr>
      <w:tblGrid>
        <w:gridCol w:w="900"/>
        <w:gridCol w:w="4945"/>
        <w:gridCol w:w="2250"/>
      </w:tblGrid>
      <w:tr w:rsidR="008E3D29" w:rsidRPr="000118A3" w14:paraId="5AD93EF2" w14:textId="77777777" w:rsidTr="00671D7D">
        <w:tc>
          <w:tcPr>
            <w:tcW w:w="900" w:type="dxa"/>
          </w:tcPr>
          <w:p w14:paraId="0F744D95" w14:textId="77777777" w:rsidR="008E3D29" w:rsidRPr="000118A3" w:rsidRDefault="008E3D29" w:rsidP="00671D7D">
            <w:pPr>
              <w:pStyle w:val="ListParagraph"/>
              <w:ind w:left="0"/>
              <w:jc w:val="center"/>
              <w:rPr>
                <w:rFonts w:ascii="Times New Roman" w:hAnsi="Times New Roman" w:cs="Times New Roman"/>
                <w:b/>
                <w:bCs/>
                <w:sz w:val="22"/>
                <w:szCs w:val="22"/>
              </w:rPr>
            </w:pPr>
            <w:r w:rsidRPr="000118A3">
              <w:rPr>
                <w:rFonts w:ascii="Times New Roman" w:hAnsi="Times New Roman" w:cs="Times New Roman"/>
                <w:b/>
                <w:bCs/>
                <w:sz w:val="22"/>
                <w:szCs w:val="22"/>
              </w:rPr>
              <w:t>No.</w:t>
            </w:r>
          </w:p>
        </w:tc>
        <w:tc>
          <w:tcPr>
            <w:tcW w:w="4945" w:type="dxa"/>
          </w:tcPr>
          <w:p w14:paraId="7BD103D3" w14:textId="77777777" w:rsidR="008E3D29" w:rsidRPr="000118A3" w:rsidRDefault="008E3D29" w:rsidP="00671D7D">
            <w:pPr>
              <w:pStyle w:val="ListParagraph"/>
              <w:ind w:left="0"/>
              <w:jc w:val="center"/>
              <w:rPr>
                <w:rFonts w:ascii="Times New Roman" w:hAnsi="Times New Roman" w:cs="Times New Roman"/>
                <w:b/>
                <w:bCs/>
                <w:sz w:val="22"/>
                <w:szCs w:val="22"/>
              </w:rPr>
            </w:pPr>
            <w:r w:rsidRPr="000118A3">
              <w:rPr>
                <w:rFonts w:ascii="Times New Roman" w:hAnsi="Times New Roman" w:cs="Times New Roman"/>
                <w:b/>
                <w:bCs/>
                <w:sz w:val="22"/>
                <w:szCs w:val="22"/>
              </w:rPr>
              <w:t>Arrangement</w:t>
            </w:r>
          </w:p>
        </w:tc>
        <w:tc>
          <w:tcPr>
            <w:tcW w:w="2250" w:type="dxa"/>
          </w:tcPr>
          <w:p w14:paraId="1C8CA66C" w14:textId="77777777" w:rsidR="008E3D29" w:rsidRPr="000118A3" w:rsidRDefault="008E3D29" w:rsidP="00671D7D">
            <w:pPr>
              <w:pStyle w:val="ListParagraph"/>
              <w:ind w:left="0"/>
              <w:jc w:val="center"/>
              <w:rPr>
                <w:rFonts w:ascii="Times New Roman" w:hAnsi="Times New Roman" w:cs="Times New Roman"/>
                <w:b/>
                <w:bCs/>
                <w:sz w:val="22"/>
                <w:szCs w:val="22"/>
              </w:rPr>
            </w:pPr>
            <w:r w:rsidRPr="000118A3">
              <w:rPr>
                <w:rFonts w:ascii="Times New Roman" w:hAnsi="Times New Roman" w:cs="Times New Roman"/>
                <w:b/>
                <w:bCs/>
                <w:sz w:val="22"/>
                <w:szCs w:val="22"/>
              </w:rPr>
              <w:t>Score (%)</w:t>
            </w:r>
          </w:p>
        </w:tc>
      </w:tr>
      <w:tr w:rsidR="008E3D29" w:rsidRPr="000118A3" w14:paraId="1B5E2565" w14:textId="77777777" w:rsidTr="00671D7D">
        <w:tc>
          <w:tcPr>
            <w:tcW w:w="900" w:type="dxa"/>
          </w:tcPr>
          <w:p w14:paraId="5B50AF37" w14:textId="77777777" w:rsidR="008E3D29" w:rsidRPr="000118A3" w:rsidRDefault="008E3D29" w:rsidP="00671D7D">
            <w:pPr>
              <w:pStyle w:val="ListParagraph"/>
              <w:ind w:left="0"/>
              <w:jc w:val="both"/>
              <w:rPr>
                <w:rFonts w:ascii="Times New Roman" w:hAnsi="Times New Roman" w:cs="Times New Roman"/>
                <w:sz w:val="22"/>
                <w:szCs w:val="22"/>
              </w:rPr>
            </w:pPr>
            <w:r w:rsidRPr="000118A3">
              <w:rPr>
                <w:rFonts w:ascii="Times New Roman" w:hAnsi="Times New Roman" w:cs="Times New Roman"/>
                <w:sz w:val="22"/>
                <w:szCs w:val="22"/>
              </w:rPr>
              <w:t>1</w:t>
            </w:r>
          </w:p>
        </w:tc>
        <w:tc>
          <w:tcPr>
            <w:tcW w:w="4945" w:type="dxa"/>
          </w:tcPr>
          <w:p w14:paraId="415EC100" w14:textId="77777777" w:rsidR="008E3D29" w:rsidRPr="000118A3" w:rsidRDefault="008E3D29" w:rsidP="00671D7D">
            <w:pPr>
              <w:pStyle w:val="ListParagraph"/>
              <w:ind w:left="0"/>
              <w:jc w:val="both"/>
              <w:rPr>
                <w:rFonts w:ascii="Times New Roman" w:hAnsi="Times New Roman" w:cs="Times New Roman"/>
                <w:sz w:val="22"/>
                <w:szCs w:val="22"/>
              </w:rPr>
            </w:pPr>
            <w:r w:rsidRPr="000118A3">
              <w:rPr>
                <w:rFonts w:ascii="Times New Roman" w:hAnsi="Times New Roman" w:cs="Times New Roman"/>
                <w:sz w:val="22"/>
                <w:szCs w:val="22"/>
              </w:rPr>
              <w:t>Inclusive governance</w:t>
            </w:r>
          </w:p>
        </w:tc>
        <w:tc>
          <w:tcPr>
            <w:tcW w:w="2250" w:type="dxa"/>
          </w:tcPr>
          <w:p w14:paraId="6B1EE5AE" w14:textId="77777777" w:rsidR="008E3D29" w:rsidRPr="000118A3" w:rsidRDefault="008E3D29" w:rsidP="00671D7D">
            <w:pPr>
              <w:pStyle w:val="ListParagraph"/>
              <w:ind w:left="0"/>
              <w:jc w:val="right"/>
              <w:rPr>
                <w:rFonts w:ascii="Times New Roman" w:hAnsi="Times New Roman" w:cs="Times New Roman"/>
                <w:sz w:val="22"/>
                <w:szCs w:val="22"/>
              </w:rPr>
            </w:pPr>
            <w:r w:rsidRPr="000118A3">
              <w:rPr>
                <w:rFonts w:ascii="Times New Roman" w:hAnsi="Times New Roman" w:cs="Times New Roman"/>
                <w:sz w:val="22"/>
                <w:szCs w:val="22"/>
              </w:rPr>
              <w:t>50.00</w:t>
            </w:r>
          </w:p>
        </w:tc>
      </w:tr>
      <w:tr w:rsidR="008E3D29" w:rsidRPr="000118A3" w14:paraId="6340D4AC" w14:textId="77777777" w:rsidTr="00671D7D">
        <w:tc>
          <w:tcPr>
            <w:tcW w:w="900" w:type="dxa"/>
          </w:tcPr>
          <w:p w14:paraId="05CD5DCD" w14:textId="77777777" w:rsidR="008E3D29" w:rsidRPr="000118A3" w:rsidRDefault="008E3D29" w:rsidP="00671D7D">
            <w:pPr>
              <w:pStyle w:val="ListParagraph"/>
              <w:ind w:left="0"/>
              <w:jc w:val="both"/>
              <w:rPr>
                <w:rFonts w:ascii="Times New Roman" w:hAnsi="Times New Roman" w:cs="Times New Roman"/>
                <w:sz w:val="22"/>
                <w:szCs w:val="22"/>
              </w:rPr>
            </w:pPr>
            <w:r w:rsidRPr="000118A3">
              <w:rPr>
                <w:rFonts w:ascii="Times New Roman" w:hAnsi="Times New Roman" w:cs="Times New Roman"/>
                <w:sz w:val="22"/>
                <w:szCs w:val="22"/>
              </w:rPr>
              <w:t>2</w:t>
            </w:r>
          </w:p>
        </w:tc>
        <w:tc>
          <w:tcPr>
            <w:tcW w:w="4945" w:type="dxa"/>
          </w:tcPr>
          <w:p w14:paraId="3294273D" w14:textId="77777777" w:rsidR="008E3D29" w:rsidRPr="000118A3" w:rsidRDefault="008E3D29" w:rsidP="00671D7D">
            <w:pPr>
              <w:pStyle w:val="ListParagraph"/>
              <w:ind w:left="0"/>
              <w:jc w:val="both"/>
              <w:rPr>
                <w:rFonts w:ascii="Times New Roman" w:hAnsi="Times New Roman" w:cs="Times New Roman"/>
                <w:sz w:val="22"/>
                <w:szCs w:val="22"/>
              </w:rPr>
            </w:pPr>
            <w:r w:rsidRPr="000118A3">
              <w:rPr>
                <w:rFonts w:ascii="Times New Roman" w:hAnsi="Times New Roman" w:cs="Times New Roman"/>
                <w:color w:val="000000"/>
                <w:sz w:val="22"/>
                <w:szCs w:val="22"/>
              </w:rPr>
              <w:t>Marine Pollution Control</w:t>
            </w:r>
          </w:p>
        </w:tc>
        <w:tc>
          <w:tcPr>
            <w:tcW w:w="2250" w:type="dxa"/>
          </w:tcPr>
          <w:p w14:paraId="78B2179D" w14:textId="77777777" w:rsidR="008E3D29" w:rsidRPr="000118A3" w:rsidRDefault="008E3D29" w:rsidP="00671D7D">
            <w:pPr>
              <w:pStyle w:val="ListParagraph"/>
              <w:ind w:left="0"/>
              <w:jc w:val="right"/>
              <w:rPr>
                <w:rFonts w:ascii="Times New Roman" w:hAnsi="Times New Roman" w:cs="Times New Roman"/>
                <w:sz w:val="22"/>
                <w:szCs w:val="22"/>
              </w:rPr>
            </w:pPr>
            <w:r w:rsidRPr="000118A3">
              <w:rPr>
                <w:rFonts w:ascii="Times New Roman" w:hAnsi="Times New Roman" w:cs="Times New Roman"/>
                <w:sz w:val="22"/>
                <w:szCs w:val="22"/>
              </w:rPr>
              <w:t>67.00</w:t>
            </w:r>
          </w:p>
        </w:tc>
      </w:tr>
      <w:tr w:rsidR="008E3D29" w:rsidRPr="000118A3" w14:paraId="3853E81E" w14:textId="77777777" w:rsidTr="00671D7D">
        <w:tc>
          <w:tcPr>
            <w:tcW w:w="900" w:type="dxa"/>
          </w:tcPr>
          <w:p w14:paraId="492BC764" w14:textId="77777777" w:rsidR="008E3D29" w:rsidRPr="000118A3" w:rsidRDefault="008E3D29" w:rsidP="00671D7D">
            <w:pPr>
              <w:pStyle w:val="ListParagraph"/>
              <w:ind w:left="0"/>
              <w:jc w:val="both"/>
              <w:rPr>
                <w:rFonts w:ascii="Times New Roman" w:hAnsi="Times New Roman" w:cs="Times New Roman"/>
                <w:sz w:val="22"/>
                <w:szCs w:val="22"/>
              </w:rPr>
            </w:pPr>
            <w:r w:rsidRPr="000118A3">
              <w:rPr>
                <w:rFonts w:ascii="Times New Roman" w:hAnsi="Times New Roman" w:cs="Times New Roman"/>
                <w:sz w:val="22"/>
                <w:szCs w:val="22"/>
              </w:rPr>
              <w:t>3</w:t>
            </w:r>
          </w:p>
        </w:tc>
        <w:tc>
          <w:tcPr>
            <w:tcW w:w="4945" w:type="dxa"/>
          </w:tcPr>
          <w:p w14:paraId="2F8D194D" w14:textId="77777777" w:rsidR="008E3D29" w:rsidRPr="000118A3" w:rsidRDefault="008E3D29" w:rsidP="00671D7D">
            <w:pPr>
              <w:pStyle w:val="ListParagraph"/>
              <w:ind w:left="0"/>
              <w:jc w:val="both"/>
              <w:rPr>
                <w:rFonts w:ascii="Times New Roman" w:hAnsi="Times New Roman" w:cs="Times New Roman"/>
                <w:sz w:val="22"/>
                <w:szCs w:val="22"/>
              </w:rPr>
            </w:pPr>
            <w:r w:rsidRPr="000118A3">
              <w:rPr>
                <w:rFonts w:ascii="Times New Roman" w:hAnsi="Times New Roman" w:cs="Times New Roman"/>
                <w:color w:val="000000"/>
                <w:sz w:val="22"/>
                <w:szCs w:val="22"/>
              </w:rPr>
              <w:t>Coastal ecosystem protection</w:t>
            </w:r>
          </w:p>
        </w:tc>
        <w:tc>
          <w:tcPr>
            <w:tcW w:w="2250" w:type="dxa"/>
          </w:tcPr>
          <w:p w14:paraId="53106DDF" w14:textId="77777777" w:rsidR="008E3D29" w:rsidRPr="000118A3" w:rsidRDefault="008E3D29" w:rsidP="00671D7D">
            <w:pPr>
              <w:pStyle w:val="ListParagraph"/>
              <w:ind w:left="0"/>
              <w:jc w:val="right"/>
              <w:rPr>
                <w:rFonts w:ascii="Times New Roman" w:hAnsi="Times New Roman" w:cs="Times New Roman"/>
                <w:sz w:val="22"/>
                <w:szCs w:val="22"/>
              </w:rPr>
            </w:pPr>
            <w:r w:rsidRPr="000118A3">
              <w:rPr>
                <w:rFonts w:ascii="Times New Roman" w:hAnsi="Times New Roman" w:cs="Times New Roman"/>
                <w:sz w:val="22"/>
                <w:szCs w:val="22"/>
              </w:rPr>
              <w:t>58.00</w:t>
            </w:r>
          </w:p>
        </w:tc>
      </w:tr>
      <w:tr w:rsidR="008E3D29" w:rsidRPr="000118A3" w14:paraId="7F626539" w14:textId="77777777" w:rsidTr="00671D7D">
        <w:tc>
          <w:tcPr>
            <w:tcW w:w="900" w:type="dxa"/>
          </w:tcPr>
          <w:p w14:paraId="05FC9427" w14:textId="77777777" w:rsidR="008E3D29" w:rsidRPr="000118A3" w:rsidRDefault="008E3D29" w:rsidP="00671D7D">
            <w:pPr>
              <w:pStyle w:val="ListParagraph"/>
              <w:ind w:left="0"/>
              <w:jc w:val="both"/>
              <w:rPr>
                <w:rFonts w:ascii="Times New Roman" w:hAnsi="Times New Roman" w:cs="Times New Roman"/>
                <w:sz w:val="22"/>
                <w:szCs w:val="22"/>
              </w:rPr>
            </w:pPr>
            <w:r w:rsidRPr="000118A3">
              <w:rPr>
                <w:rFonts w:ascii="Times New Roman" w:hAnsi="Times New Roman" w:cs="Times New Roman"/>
                <w:sz w:val="22"/>
                <w:szCs w:val="22"/>
              </w:rPr>
              <w:t>4</w:t>
            </w:r>
          </w:p>
        </w:tc>
        <w:tc>
          <w:tcPr>
            <w:tcW w:w="4945" w:type="dxa"/>
          </w:tcPr>
          <w:p w14:paraId="45CC5A0F" w14:textId="77777777" w:rsidR="008E3D29" w:rsidRPr="000118A3" w:rsidRDefault="008E3D29" w:rsidP="00671D7D">
            <w:pPr>
              <w:pStyle w:val="ListParagraph"/>
              <w:ind w:left="0"/>
              <w:jc w:val="both"/>
              <w:rPr>
                <w:rFonts w:ascii="Times New Roman" w:hAnsi="Times New Roman" w:cs="Times New Roman"/>
                <w:sz w:val="22"/>
                <w:szCs w:val="22"/>
              </w:rPr>
            </w:pPr>
            <w:r w:rsidRPr="000118A3">
              <w:rPr>
                <w:rFonts w:ascii="Times New Roman" w:hAnsi="Times New Roman" w:cs="Times New Roman"/>
                <w:color w:val="000000"/>
                <w:sz w:val="22"/>
                <w:szCs w:val="22"/>
              </w:rPr>
              <w:t>Capture Fisheries and Aquaculture Development</w:t>
            </w:r>
          </w:p>
        </w:tc>
        <w:tc>
          <w:tcPr>
            <w:tcW w:w="2250" w:type="dxa"/>
          </w:tcPr>
          <w:p w14:paraId="4BA7CCA3" w14:textId="77777777" w:rsidR="008E3D29" w:rsidRPr="000118A3" w:rsidRDefault="008E3D29" w:rsidP="00671D7D">
            <w:pPr>
              <w:pStyle w:val="ListParagraph"/>
              <w:ind w:left="0"/>
              <w:jc w:val="right"/>
              <w:rPr>
                <w:rFonts w:ascii="Times New Roman" w:hAnsi="Times New Roman" w:cs="Times New Roman"/>
                <w:sz w:val="22"/>
                <w:szCs w:val="22"/>
              </w:rPr>
            </w:pPr>
            <w:r w:rsidRPr="000118A3">
              <w:rPr>
                <w:rFonts w:ascii="Times New Roman" w:hAnsi="Times New Roman" w:cs="Times New Roman"/>
                <w:sz w:val="22"/>
                <w:szCs w:val="22"/>
              </w:rPr>
              <w:t>58.00</w:t>
            </w:r>
          </w:p>
        </w:tc>
      </w:tr>
      <w:tr w:rsidR="008E3D29" w:rsidRPr="000118A3" w14:paraId="1CC37E98" w14:textId="77777777" w:rsidTr="00671D7D">
        <w:tc>
          <w:tcPr>
            <w:tcW w:w="900" w:type="dxa"/>
          </w:tcPr>
          <w:p w14:paraId="7CD23E01" w14:textId="77777777" w:rsidR="008E3D29" w:rsidRPr="000118A3" w:rsidRDefault="008E3D29" w:rsidP="00671D7D">
            <w:pPr>
              <w:pStyle w:val="ListParagraph"/>
              <w:ind w:left="0"/>
              <w:jc w:val="both"/>
              <w:rPr>
                <w:rFonts w:ascii="Times New Roman" w:hAnsi="Times New Roman" w:cs="Times New Roman"/>
                <w:sz w:val="22"/>
                <w:szCs w:val="22"/>
              </w:rPr>
            </w:pPr>
          </w:p>
        </w:tc>
        <w:tc>
          <w:tcPr>
            <w:tcW w:w="4945" w:type="dxa"/>
          </w:tcPr>
          <w:p w14:paraId="28A1A7C6" w14:textId="77777777" w:rsidR="008E3D29" w:rsidRPr="000118A3" w:rsidRDefault="008E3D29" w:rsidP="00671D7D">
            <w:pPr>
              <w:pStyle w:val="ListParagraph"/>
              <w:ind w:left="0"/>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Average </w:t>
            </w:r>
          </w:p>
        </w:tc>
        <w:tc>
          <w:tcPr>
            <w:tcW w:w="2250" w:type="dxa"/>
          </w:tcPr>
          <w:p w14:paraId="5CAE10B3" w14:textId="77777777" w:rsidR="008E3D29" w:rsidRPr="000118A3" w:rsidRDefault="008E3D29" w:rsidP="00671D7D">
            <w:pPr>
              <w:pStyle w:val="ListParagraph"/>
              <w:ind w:left="0"/>
              <w:jc w:val="right"/>
              <w:rPr>
                <w:rFonts w:ascii="Times New Roman" w:hAnsi="Times New Roman" w:cs="Times New Roman"/>
                <w:sz w:val="22"/>
                <w:szCs w:val="22"/>
              </w:rPr>
            </w:pPr>
            <w:r w:rsidRPr="000118A3">
              <w:rPr>
                <w:rFonts w:ascii="Times New Roman" w:hAnsi="Times New Roman" w:cs="Times New Roman"/>
                <w:sz w:val="22"/>
                <w:szCs w:val="22"/>
              </w:rPr>
              <w:t>58.20</w:t>
            </w:r>
          </w:p>
        </w:tc>
      </w:tr>
    </w:tbl>
    <w:p w14:paraId="267700AA" w14:textId="327BEFFA" w:rsidR="008E3D29" w:rsidRPr="00D84F7F" w:rsidRDefault="008E3D29" w:rsidP="00D84F7F">
      <w:pPr>
        <w:pBdr>
          <w:top w:val="nil"/>
          <w:left w:val="nil"/>
          <w:bottom w:val="nil"/>
          <w:right w:val="nil"/>
          <w:between w:val="nil"/>
        </w:pBdr>
        <w:jc w:val="both"/>
        <w:rPr>
          <w:rFonts w:ascii="Times New Roman" w:hAnsi="Times New Roman" w:cs="Times New Roman"/>
          <w:color w:val="000000"/>
          <w:sz w:val="22"/>
          <w:szCs w:val="22"/>
        </w:rPr>
      </w:pPr>
      <w:r w:rsidRPr="00D84F7F">
        <w:rPr>
          <w:rFonts w:ascii="Times New Roman" w:hAnsi="Times New Roman" w:cs="Times New Roman"/>
          <w:sz w:val="22"/>
          <w:szCs w:val="22"/>
        </w:rPr>
        <w:t xml:space="preserve">The governance risk rankings for Indonesia </w:t>
      </w:r>
      <w:r w:rsidR="00482FFD" w:rsidRPr="00D84F7F">
        <w:rPr>
          <w:rFonts w:ascii="Times New Roman" w:hAnsi="Times New Roman" w:cs="Times New Roman"/>
          <w:sz w:val="22"/>
          <w:szCs w:val="22"/>
        </w:rPr>
        <w:t>were</w:t>
      </w:r>
      <w:r w:rsidRPr="00D84F7F">
        <w:rPr>
          <w:rFonts w:ascii="Times New Roman" w:hAnsi="Times New Roman" w:cs="Times New Roman"/>
          <w:sz w:val="22"/>
          <w:szCs w:val="22"/>
        </w:rPr>
        <w:t xml:space="preserve"> developed following the classification by Fanning et al. (2017) as in the Table </w:t>
      </w:r>
      <w:r w:rsidR="00DD6E5D">
        <w:rPr>
          <w:rFonts w:ascii="Times New Roman" w:hAnsi="Times New Roman" w:cs="Times New Roman"/>
          <w:sz w:val="22"/>
          <w:szCs w:val="22"/>
        </w:rPr>
        <w:t>24</w:t>
      </w:r>
      <w:r w:rsidRPr="00D84F7F">
        <w:rPr>
          <w:rFonts w:ascii="Times New Roman" w:hAnsi="Times New Roman" w:cs="Times New Roman"/>
          <w:sz w:val="22"/>
          <w:szCs w:val="22"/>
        </w:rPr>
        <w:t xml:space="preserve"> </w:t>
      </w:r>
    </w:p>
    <w:p w14:paraId="365DEB6E" w14:textId="2489BDE9" w:rsidR="008E3D29" w:rsidRPr="00DD6E5D" w:rsidRDefault="00DD6E5D" w:rsidP="00DD6E5D">
      <w:pPr>
        <w:pStyle w:val="Caption"/>
        <w:rPr>
          <w:rFonts w:ascii="Times New Roman" w:hAnsi="Times New Roman" w:cs="Times New Roman"/>
          <w:i w:val="0"/>
          <w:iCs w:val="0"/>
          <w:color w:val="000000" w:themeColor="text1"/>
          <w:sz w:val="22"/>
          <w:szCs w:val="22"/>
        </w:rPr>
      </w:pPr>
      <w:bookmarkStart w:id="186" w:name="_Toc217297669"/>
      <w:r w:rsidRPr="00DD6E5D">
        <w:rPr>
          <w:rFonts w:ascii="Times New Roman" w:hAnsi="Times New Roman" w:cs="Times New Roman"/>
          <w:i w:val="0"/>
          <w:iCs w:val="0"/>
          <w:color w:val="000000" w:themeColor="text1"/>
          <w:sz w:val="22"/>
          <w:szCs w:val="22"/>
        </w:rPr>
        <w:t xml:space="preserve">Table </w:t>
      </w:r>
      <w:r w:rsidRPr="00DD6E5D">
        <w:rPr>
          <w:rFonts w:ascii="Times New Roman" w:hAnsi="Times New Roman" w:cs="Times New Roman"/>
          <w:i w:val="0"/>
          <w:iCs w:val="0"/>
          <w:color w:val="000000" w:themeColor="text1"/>
          <w:sz w:val="22"/>
          <w:szCs w:val="22"/>
        </w:rPr>
        <w:fldChar w:fldCharType="begin"/>
      </w:r>
      <w:r w:rsidRPr="00DD6E5D">
        <w:rPr>
          <w:rFonts w:ascii="Times New Roman" w:hAnsi="Times New Roman" w:cs="Times New Roman"/>
          <w:i w:val="0"/>
          <w:iCs w:val="0"/>
          <w:color w:val="000000" w:themeColor="text1"/>
          <w:sz w:val="22"/>
          <w:szCs w:val="22"/>
        </w:rPr>
        <w:instrText xml:space="preserve"> SEQ Table \* ARABIC </w:instrText>
      </w:r>
      <w:r w:rsidRPr="00DD6E5D">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24</w:t>
      </w:r>
      <w:r w:rsidRPr="00DD6E5D">
        <w:rPr>
          <w:rFonts w:ascii="Times New Roman" w:hAnsi="Times New Roman" w:cs="Times New Roman"/>
          <w:i w:val="0"/>
          <w:iCs w:val="0"/>
          <w:color w:val="000000" w:themeColor="text1"/>
          <w:sz w:val="22"/>
          <w:szCs w:val="22"/>
        </w:rPr>
        <w:fldChar w:fldCharType="end"/>
      </w:r>
      <w:r w:rsidR="00482FFD" w:rsidRPr="00DD6E5D">
        <w:rPr>
          <w:rFonts w:ascii="Times New Roman" w:hAnsi="Times New Roman" w:cs="Times New Roman"/>
          <w:i w:val="0"/>
          <w:iCs w:val="0"/>
          <w:color w:val="000000" w:themeColor="text1"/>
          <w:sz w:val="22"/>
          <w:szCs w:val="22"/>
        </w:rPr>
        <w:t xml:space="preserve"> </w:t>
      </w:r>
      <w:r w:rsidR="008E3D29" w:rsidRPr="00DD6E5D">
        <w:rPr>
          <w:rFonts w:ascii="Times New Roman" w:hAnsi="Times New Roman" w:cs="Times New Roman"/>
          <w:i w:val="0"/>
          <w:iCs w:val="0"/>
          <w:color w:val="000000" w:themeColor="text1"/>
          <w:sz w:val="22"/>
          <w:szCs w:val="22"/>
        </w:rPr>
        <w:t>Governance Risk Classification</w:t>
      </w:r>
      <w:bookmarkEnd w:id="186"/>
      <w:r w:rsidR="008E3D29" w:rsidRPr="00DD6E5D">
        <w:rPr>
          <w:rFonts w:ascii="Times New Roman" w:hAnsi="Times New Roman" w:cs="Times New Roman"/>
          <w:i w:val="0"/>
          <w:iCs w:val="0"/>
          <w:color w:val="000000" w:themeColor="text1"/>
          <w:sz w:val="22"/>
          <w:szCs w:val="22"/>
        </w:rPr>
        <w:t xml:space="preserve">   </w:t>
      </w:r>
    </w:p>
    <w:tbl>
      <w:tblPr>
        <w:tblStyle w:val="TableGrid"/>
        <w:tblW w:w="9531" w:type="dxa"/>
        <w:tblLook w:val="04A0" w:firstRow="1" w:lastRow="0" w:firstColumn="1" w:lastColumn="0" w:noHBand="0" w:noVBand="1"/>
      </w:tblPr>
      <w:tblGrid>
        <w:gridCol w:w="2337"/>
        <w:gridCol w:w="2518"/>
        <w:gridCol w:w="2338"/>
        <w:gridCol w:w="2338"/>
      </w:tblGrid>
      <w:tr w:rsidR="008E3D29" w:rsidRPr="000118A3" w14:paraId="767F7C01" w14:textId="77777777" w:rsidTr="00671D7D">
        <w:tc>
          <w:tcPr>
            <w:tcW w:w="2337" w:type="dxa"/>
          </w:tcPr>
          <w:p w14:paraId="4C1D9960" w14:textId="77777777" w:rsidR="008E3D29" w:rsidRPr="000118A3" w:rsidRDefault="008E3D29" w:rsidP="00671D7D">
            <w:pPr>
              <w:contextualSpacing/>
              <w:jc w:val="both"/>
              <w:rPr>
                <w:rFonts w:ascii="Times New Roman" w:hAnsi="Times New Roman" w:cs="Times New Roman"/>
                <w:b/>
                <w:bCs/>
                <w:color w:val="000000"/>
                <w:sz w:val="22"/>
                <w:szCs w:val="22"/>
              </w:rPr>
            </w:pPr>
            <w:r w:rsidRPr="000118A3">
              <w:rPr>
                <w:rFonts w:ascii="Times New Roman" w:hAnsi="Times New Roman" w:cs="Times New Roman"/>
                <w:b/>
                <w:bCs/>
                <w:color w:val="000000"/>
                <w:sz w:val="22"/>
                <w:szCs w:val="22"/>
              </w:rPr>
              <w:lastRenderedPageBreak/>
              <w:t>Risk Range</w:t>
            </w:r>
          </w:p>
        </w:tc>
        <w:tc>
          <w:tcPr>
            <w:tcW w:w="2518" w:type="dxa"/>
          </w:tcPr>
          <w:p w14:paraId="2691DD7B" w14:textId="77777777" w:rsidR="008E3D29" w:rsidRPr="000118A3" w:rsidRDefault="008E3D29" w:rsidP="00671D7D">
            <w:pPr>
              <w:contextualSpacing/>
              <w:jc w:val="both"/>
              <w:rPr>
                <w:rFonts w:ascii="Times New Roman" w:hAnsi="Times New Roman" w:cs="Times New Roman"/>
                <w:b/>
                <w:bCs/>
                <w:color w:val="000000"/>
                <w:sz w:val="22"/>
                <w:szCs w:val="22"/>
              </w:rPr>
            </w:pPr>
            <w:r w:rsidRPr="000118A3">
              <w:rPr>
                <w:rFonts w:ascii="Times New Roman" w:hAnsi="Times New Roman" w:cs="Times New Roman"/>
                <w:b/>
                <w:bCs/>
                <w:color w:val="000000"/>
                <w:sz w:val="22"/>
                <w:szCs w:val="22"/>
              </w:rPr>
              <w:t>Completeness Range (%)</w:t>
            </w:r>
          </w:p>
        </w:tc>
        <w:tc>
          <w:tcPr>
            <w:tcW w:w="2338" w:type="dxa"/>
          </w:tcPr>
          <w:p w14:paraId="44EA76D9" w14:textId="77777777" w:rsidR="008E3D29" w:rsidRPr="000118A3" w:rsidRDefault="008E3D29" w:rsidP="00671D7D">
            <w:pPr>
              <w:contextualSpacing/>
              <w:jc w:val="both"/>
              <w:rPr>
                <w:rFonts w:ascii="Times New Roman" w:hAnsi="Times New Roman" w:cs="Times New Roman"/>
                <w:b/>
                <w:bCs/>
                <w:color w:val="000000"/>
                <w:sz w:val="22"/>
                <w:szCs w:val="22"/>
              </w:rPr>
            </w:pPr>
            <w:r w:rsidRPr="000118A3">
              <w:rPr>
                <w:rFonts w:ascii="Times New Roman" w:hAnsi="Times New Roman" w:cs="Times New Roman"/>
                <w:b/>
                <w:bCs/>
                <w:color w:val="000000"/>
                <w:sz w:val="22"/>
                <w:szCs w:val="22"/>
              </w:rPr>
              <w:t>Integration Range (%)</w:t>
            </w:r>
          </w:p>
        </w:tc>
        <w:tc>
          <w:tcPr>
            <w:tcW w:w="2338" w:type="dxa"/>
          </w:tcPr>
          <w:p w14:paraId="71DE4164" w14:textId="77777777" w:rsidR="008E3D29" w:rsidRPr="000118A3" w:rsidRDefault="008E3D29" w:rsidP="00671D7D">
            <w:pPr>
              <w:contextualSpacing/>
              <w:jc w:val="both"/>
              <w:rPr>
                <w:rFonts w:ascii="Times New Roman" w:hAnsi="Times New Roman" w:cs="Times New Roman"/>
                <w:b/>
                <w:bCs/>
                <w:color w:val="000000"/>
                <w:sz w:val="22"/>
                <w:szCs w:val="22"/>
              </w:rPr>
            </w:pPr>
            <w:r w:rsidRPr="000118A3">
              <w:rPr>
                <w:rFonts w:ascii="Times New Roman" w:hAnsi="Times New Roman" w:cs="Times New Roman"/>
                <w:b/>
                <w:bCs/>
                <w:color w:val="000000"/>
                <w:sz w:val="22"/>
                <w:szCs w:val="22"/>
              </w:rPr>
              <w:t>Engagement Range (%)</w:t>
            </w:r>
          </w:p>
        </w:tc>
      </w:tr>
      <w:tr w:rsidR="008E3D29" w:rsidRPr="000118A3" w14:paraId="45372658" w14:textId="77777777" w:rsidTr="00671D7D">
        <w:tc>
          <w:tcPr>
            <w:tcW w:w="2337" w:type="dxa"/>
            <w:shd w:val="clear" w:color="auto" w:fill="D5DCE4" w:themeFill="text2" w:themeFillTint="33"/>
          </w:tcPr>
          <w:p w14:paraId="13C53B1C" w14:textId="77777777" w:rsidR="008E3D29" w:rsidRPr="000118A3" w:rsidRDefault="008E3D29" w:rsidP="00671D7D">
            <w:pPr>
              <w:contextualSpacing/>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Very low</w:t>
            </w:r>
          </w:p>
        </w:tc>
        <w:tc>
          <w:tcPr>
            <w:tcW w:w="2518" w:type="dxa"/>
          </w:tcPr>
          <w:p w14:paraId="107967AF"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80-100</w:t>
            </w:r>
          </w:p>
        </w:tc>
        <w:tc>
          <w:tcPr>
            <w:tcW w:w="2338" w:type="dxa"/>
          </w:tcPr>
          <w:p w14:paraId="1C8B5521"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80-100</w:t>
            </w:r>
          </w:p>
        </w:tc>
        <w:tc>
          <w:tcPr>
            <w:tcW w:w="2338" w:type="dxa"/>
          </w:tcPr>
          <w:p w14:paraId="284DA171"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80-100</w:t>
            </w:r>
          </w:p>
        </w:tc>
      </w:tr>
      <w:tr w:rsidR="008E3D29" w:rsidRPr="000118A3" w14:paraId="5DA71178" w14:textId="77777777" w:rsidTr="00671D7D">
        <w:tc>
          <w:tcPr>
            <w:tcW w:w="2337" w:type="dxa"/>
            <w:shd w:val="clear" w:color="auto" w:fill="92D050"/>
          </w:tcPr>
          <w:p w14:paraId="6FC6E3F2" w14:textId="77777777" w:rsidR="008E3D29" w:rsidRPr="000118A3" w:rsidRDefault="008E3D29" w:rsidP="00671D7D">
            <w:pPr>
              <w:contextualSpacing/>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Low</w:t>
            </w:r>
          </w:p>
        </w:tc>
        <w:tc>
          <w:tcPr>
            <w:tcW w:w="2518" w:type="dxa"/>
          </w:tcPr>
          <w:p w14:paraId="3C239CEC"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60-80</w:t>
            </w:r>
          </w:p>
        </w:tc>
        <w:tc>
          <w:tcPr>
            <w:tcW w:w="2338" w:type="dxa"/>
          </w:tcPr>
          <w:p w14:paraId="3D47D3B0"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60-80</w:t>
            </w:r>
          </w:p>
        </w:tc>
        <w:tc>
          <w:tcPr>
            <w:tcW w:w="2338" w:type="dxa"/>
          </w:tcPr>
          <w:p w14:paraId="0790EB7F"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60-80</w:t>
            </w:r>
          </w:p>
        </w:tc>
      </w:tr>
      <w:tr w:rsidR="008E3D29" w:rsidRPr="000118A3" w14:paraId="29DB6BCF" w14:textId="77777777" w:rsidTr="00671D7D">
        <w:tc>
          <w:tcPr>
            <w:tcW w:w="2337" w:type="dxa"/>
            <w:shd w:val="clear" w:color="auto" w:fill="FFFF00"/>
          </w:tcPr>
          <w:p w14:paraId="6D561A7B" w14:textId="77777777" w:rsidR="008E3D29" w:rsidRPr="000118A3" w:rsidRDefault="008E3D29" w:rsidP="00671D7D">
            <w:pPr>
              <w:contextualSpacing/>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Medium </w:t>
            </w:r>
          </w:p>
        </w:tc>
        <w:tc>
          <w:tcPr>
            <w:tcW w:w="2518" w:type="dxa"/>
          </w:tcPr>
          <w:p w14:paraId="1B42E47C"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40-60</w:t>
            </w:r>
          </w:p>
        </w:tc>
        <w:tc>
          <w:tcPr>
            <w:tcW w:w="2338" w:type="dxa"/>
          </w:tcPr>
          <w:p w14:paraId="70443000"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40-60</w:t>
            </w:r>
          </w:p>
        </w:tc>
        <w:tc>
          <w:tcPr>
            <w:tcW w:w="2338" w:type="dxa"/>
          </w:tcPr>
          <w:p w14:paraId="02F270BB"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40-60</w:t>
            </w:r>
          </w:p>
        </w:tc>
      </w:tr>
      <w:tr w:rsidR="008E3D29" w:rsidRPr="000118A3" w14:paraId="0E903278" w14:textId="77777777" w:rsidTr="00671D7D">
        <w:tc>
          <w:tcPr>
            <w:tcW w:w="2337" w:type="dxa"/>
            <w:shd w:val="clear" w:color="auto" w:fill="FFC000"/>
          </w:tcPr>
          <w:p w14:paraId="61C3AEAE" w14:textId="77777777" w:rsidR="008E3D29" w:rsidRPr="000118A3" w:rsidRDefault="008E3D29" w:rsidP="00671D7D">
            <w:pPr>
              <w:contextualSpacing/>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High </w:t>
            </w:r>
          </w:p>
        </w:tc>
        <w:tc>
          <w:tcPr>
            <w:tcW w:w="2518" w:type="dxa"/>
          </w:tcPr>
          <w:p w14:paraId="2B1128D2"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20-40</w:t>
            </w:r>
          </w:p>
        </w:tc>
        <w:tc>
          <w:tcPr>
            <w:tcW w:w="2338" w:type="dxa"/>
          </w:tcPr>
          <w:p w14:paraId="4C57D170"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20-40</w:t>
            </w:r>
          </w:p>
        </w:tc>
        <w:tc>
          <w:tcPr>
            <w:tcW w:w="2338" w:type="dxa"/>
          </w:tcPr>
          <w:p w14:paraId="600A84A9"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20-40</w:t>
            </w:r>
          </w:p>
        </w:tc>
      </w:tr>
      <w:tr w:rsidR="008E3D29" w:rsidRPr="000118A3" w14:paraId="0FDAE609" w14:textId="77777777" w:rsidTr="00671D7D">
        <w:tc>
          <w:tcPr>
            <w:tcW w:w="2337" w:type="dxa"/>
            <w:shd w:val="clear" w:color="auto" w:fill="EE0000"/>
          </w:tcPr>
          <w:p w14:paraId="4CECEEB9" w14:textId="77777777" w:rsidR="008E3D29" w:rsidRPr="000118A3" w:rsidRDefault="008E3D29" w:rsidP="00671D7D">
            <w:pPr>
              <w:contextualSpacing/>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Very High </w:t>
            </w:r>
          </w:p>
        </w:tc>
        <w:tc>
          <w:tcPr>
            <w:tcW w:w="2518" w:type="dxa"/>
          </w:tcPr>
          <w:p w14:paraId="388F13D6"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0-20</w:t>
            </w:r>
          </w:p>
        </w:tc>
        <w:tc>
          <w:tcPr>
            <w:tcW w:w="2338" w:type="dxa"/>
          </w:tcPr>
          <w:p w14:paraId="63F8D068"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0-20</w:t>
            </w:r>
          </w:p>
        </w:tc>
        <w:tc>
          <w:tcPr>
            <w:tcW w:w="2338" w:type="dxa"/>
          </w:tcPr>
          <w:p w14:paraId="5B60138D" w14:textId="77777777" w:rsidR="008E3D29" w:rsidRPr="000118A3" w:rsidRDefault="008E3D29" w:rsidP="00671D7D">
            <w:pPr>
              <w:contextualSpacing/>
              <w:jc w:val="right"/>
              <w:rPr>
                <w:rFonts w:ascii="Times New Roman" w:hAnsi="Times New Roman" w:cs="Times New Roman"/>
                <w:color w:val="000000"/>
                <w:sz w:val="22"/>
                <w:szCs w:val="22"/>
              </w:rPr>
            </w:pPr>
            <w:r w:rsidRPr="000118A3">
              <w:rPr>
                <w:rFonts w:ascii="Times New Roman" w:hAnsi="Times New Roman" w:cs="Times New Roman"/>
                <w:color w:val="000000"/>
                <w:sz w:val="22"/>
                <w:szCs w:val="22"/>
              </w:rPr>
              <w:t>0-20</w:t>
            </w:r>
          </w:p>
        </w:tc>
      </w:tr>
    </w:tbl>
    <w:p w14:paraId="5BB7AAA1" w14:textId="77777777" w:rsidR="008E3D29" w:rsidRPr="000118A3" w:rsidRDefault="008E3D29" w:rsidP="008E3D29">
      <w:pPr>
        <w:pStyle w:val="ListParagraph"/>
        <w:pBdr>
          <w:top w:val="nil"/>
          <w:left w:val="nil"/>
          <w:bottom w:val="nil"/>
          <w:right w:val="nil"/>
          <w:between w:val="nil"/>
        </w:pBdr>
        <w:ind w:left="440"/>
        <w:jc w:val="both"/>
        <w:rPr>
          <w:rFonts w:ascii="Times New Roman" w:hAnsi="Times New Roman" w:cs="Times New Roman"/>
          <w:sz w:val="22"/>
          <w:szCs w:val="22"/>
        </w:rPr>
      </w:pPr>
    </w:p>
    <w:p w14:paraId="3019C7A5" w14:textId="0207A246" w:rsidR="008E3D29" w:rsidRPr="000118A3" w:rsidRDefault="008E3D29" w:rsidP="008E3D29">
      <w:pPr>
        <w:pBdr>
          <w:top w:val="nil"/>
          <w:left w:val="nil"/>
          <w:bottom w:val="nil"/>
          <w:right w:val="nil"/>
          <w:between w:val="nil"/>
        </w:pBdr>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Based on the table above, the governance risks in the South China Sea (SCS) from Indonesia's national perspective are shown in the Table </w:t>
      </w:r>
      <w:r w:rsidR="00DD6E5D">
        <w:rPr>
          <w:rFonts w:ascii="Times New Roman" w:hAnsi="Times New Roman" w:cs="Times New Roman"/>
          <w:color w:val="000000"/>
          <w:sz w:val="22"/>
          <w:szCs w:val="22"/>
        </w:rPr>
        <w:t>25</w:t>
      </w:r>
      <w:r w:rsidRPr="000118A3">
        <w:rPr>
          <w:rFonts w:ascii="Times New Roman" w:hAnsi="Times New Roman" w:cs="Times New Roman"/>
          <w:color w:val="000000"/>
          <w:sz w:val="22"/>
          <w:szCs w:val="22"/>
        </w:rPr>
        <w:t xml:space="preserve"> </w:t>
      </w:r>
    </w:p>
    <w:p w14:paraId="4C47E451" w14:textId="5A9A95A0" w:rsidR="008E3D29" w:rsidRPr="00DD6E5D" w:rsidRDefault="00DD6E5D" w:rsidP="00DD6E5D">
      <w:pPr>
        <w:pStyle w:val="Caption"/>
        <w:rPr>
          <w:rFonts w:ascii="Times New Roman" w:hAnsi="Times New Roman" w:cs="Times New Roman"/>
          <w:i w:val="0"/>
          <w:iCs w:val="0"/>
          <w:color w:val="000000" w:themeColor="text1"/>
          <w:sz w:val="22"/>
          <w:szCs w:val="22"/>
        </w:rPr>
      </w:pPr>
      <w:bookmarkStart w:id="187" w:name="_Toc217297670"/>
      <w:r w:rsidRPr="00DD6E5D">
        <w:rPr>
          <w:rFonts w:ascii="Times New Roman" w:hAnsi="Times New Roman" w:cs="Times New Roman"/>
          <w:i w:val="0"/>
          <w:iCs w:val="0"/>
          <w:color w:val="000000" w:themeColor="text1"/>
          <w:sz w:val="22"/>
          <w:szCs w:val="22"/>
        </w:rPr>
        <w:t xml:space="preserve">Table </w:t>
      </w:r>
      <w:r w:rsidRPr="00DD6E5D">
        <w:rPr>
          <w:rFonts w:ascii="Times New Roman" w:hAnsi="Times New Roman" w:cs="Times New Roman"/>
          <w:i w:val="0"/>
          <w:iCs w:val="0"/>
          <w:color w:val="000000" w:themeColor="text1"/>
          <w:sz w:val="22"/>
          <w:szCs w:val="22"/>
        </w:rPr>
        <w:fldChar w:fldCharType="begin"/>
      </w:r>
      <w:r w:rsidRPr="00DD6E5D">
        <w:rPr>
          <w:rFonts w:ascii="Times New Roman" w:hAnsi="Times New Roman" w:cs="Times New Roman"/>
          <w:i w:val="0"/>
          <w:iCs w:val="0"/>
          <w:color w:val="000000" w:themeColor="text1"/>
          <w:sz w:val="22"/>
          <w:szCs w:val="22"/>
        </w:rPr>
        <w:instrText xml:space="preserve"> SEQ Table \* ARABIC </w:instrText>
      </w:r>
      <w:r w:rsidRPr="00DD6E5D">
        <w:rPr>
          <w:rFonts w:ascii="Times New Roman" w:hAnsi="Times New Roman" w:cs="Times New Roman"/>
          <w:i w:val="0"/>
          <w:iCs w:val="0"/>
          <w:color w:val="000000" w:themeColor="text1"/>
          <w:sz w:val="22"/>
          <w:szCs w:val="22"/>
        </w:rPr>
        <w:fldChar w:fldCharType="separate"/>
      </w:r>
      <w:r w:rsidR="00F33716">
        <w:rPr>
          <w:rFonts w:ascii="Times New Roman" w:hAnsi="Times New Roman" w:cs="Times New Roman"/>
          <w:i w:val="0"/>
          <w:iCs w:val="0"/>
          <w:noProof/>
          <w:color w:val="000000" w:themeColor="text1"/>
          <w:sz w:val="22"/>
          <w:szCs w:val="22"/>
        </w:rPr>
        <w:t>25</w:t>
      </w:r>
      <w:r w:rsidRPr="00DD6E5D">
        <w:rPr>
          <w:rFonts w:ascii="Times New Roman" w:hAnsi="Times New Roman" w:cs="Times New Roman"/>
          <w:i w:val="0"/>
          <w:iCs w:val="0"/>
          <w:color w:val="000000" w:themeColor="text1"/>
          <w:sz w:val="22"/>
          <w:szCs w:val="22"/>
        </w:rPr>
        <w:fldChar w:fldCharType="end"/>
      </w:r>
      <w:r w:rsidRPr="00DD6E5D">
        <w:rPr>
          <w:rFonts w:ascii="Times New Roman" w:hAnsi="Times New Roman" w:cs="Times New Roman"/>
          <w:i w:val="0"/>
          <w:iCs w:val="0"/>
          <w:color w:val="000000" w:themeColor="text1"/>
          <w:sz w:val="22"/>
          <w:szCs w:val="22"/>
        </w:rPr>
        <w:t xml:space="preserve"> </w:t>
      </w:r>
      <w:r w:rsidR="008E3D29" w:rsidRPr="00DD6E5D">
        <w:rPr>
          <w:rFonts w:ascii="Times New Roman" w:hAnsi="Times New Roman" w:cs="Times New Roman"/>
          <w:i w:val="0"/>
          <w:iCs w:val="0"/>
          <w:color w:val="000000" w:themeColor="text1"/>
          <w:sz w:val="22"/>
          <w:szCs w:val="22"/>
        </w:rPr>
        <w:t>Aggregate Score of Governance Risk of Indonesia for SCS water</w:t>
      </w:r>
      <w:bookmarkEnd w:id="187"/>
    </w:p>
    <w:tbl>
      <w:tblPr>
        <w:tblStyle w:val="TableGrid"/>
        <w:tblW w:w="0" w:type="auto"/>
        <w:tblInd w:w="175" w:type="dxa"/>
        <w:tblLook w:val="04A0" w:firstRow="1" w:lastRow="0" w:firstColumn="1" w:lastColumn="0" w:noHBand="0" w:noVBand="1"/>
      </w:tblPr>
      <w:tblGrid>
        <w:gridCol w:w="2070"/>
        <w:gridCol w:w="1582"/>
        <w:gridCol w:w="1582"/>
        <w:gridCol w:w="1582"/>
      </w:tblGrid>
      <w:tr w:rsidR="008E3D29" w:rsidRPr="000118A3" w14:paraId="7DF65F77" w14:textId="77777777" w:rsidTr="00671D7D">
        <w:tc>
          <w:tcPr>
            <w:tcW w:w="2070" w:type="dxa"/>
          </w:tcPr>
          <w:p w14:paraId="7D0ED7DB" w14:textId="77777777" w:rsidR="008E3D29" w:rsidRPr="000118A3" w:rsidRDefault="008E3D29" w:rsidP="00671D7D">
            <w:pPr>
              <w:jc w:val="both"/>
              <w:rPr>
                <w:rFonts w:ascii="Times New Roman" w:hAnsi="Times New Roman" w:cs="Times New Roman"/>
                <w:color w:val="000000"/>
                <w:sz w:val="22"/>
                <w:szCs w:val="22"/>
              </w:rPr>
            </w:pPr>
          </w:p>
        </w:tc>
        <w:tc>
          <w:tcPr>
            <w:tcW w:w="1582" w:type="dxa"/>
          </w:tcPr>
          <w:p w14:paraId="3D7BE3FF" w14:textId="77777777" w:rsidR="008E3D29" w:rsidRPr="000118A3" w:rsidRDefault="008E3D29" w:rsidP="00671D7D">
            <w:pPr>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Completeness </w:t>
            </w:r>
          </w:p>
        </w:tc>
        <w:tc>
          <w:tcPr>
            <w:tcW w:w="1582" w:type="dxa"/>
          </w:tcPr>
          <w:p w14:paraId="54E675CB" w14:textId="77777777" w:rsidR="008E3D29" w:rsidRPr="000118A3" w:rsidRDefault="008E3D29" w:rsidP="00671D7D">
            <w:pPr>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Integration </w:t>
            </w:r>
          </w:p>
        </w:tc>
        <w:tc>
          <w:tcPr>
            <w:tcW w:w="1582" w:type="dxa"/>
          </w:tcPr>
          <w:p w14:paraId="2841C384" w14:textId="77777777" w:rsidR="008E3D29" w:rsidRPr="000118A3" w:rsidRDefault="008E3D29" w:rsidP="00671D7D">
            <w:pPr>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Engagement </w:t>
            </w:r>
          </w:p>
        </w:tc>
      </w:tr>
      <w:tr w:rsidR="008E3D29" w:rsidRPr="000118A3" w14:paraId="777AF073" w14:textId="77777777" w:rsidTr="00671D7D">
        <w:tc>
          <w:tcPr>
            <w:tcW w:w="2070" w:type="dxa"/>
          </w:tcPr>
          <w:p w14:paraId="6FB94121" w14:textId="77777777" w:rsidR="008E3D29" w:rsidRPr="000118A3" w:rsidRDefault="008E3D29" w:rsidP="00671D7D">
            <w:pPr>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Score (%)</w:t>
            </w:r>
          </w:p>
        </w:tc>
        <w:tc>
          <w:tcPr>
            <w:tcW w:w="1582" w:type="dxa"/>
          </w:tcPr>
          <w:p w14:paraId="31047438" w14:textId="77777777" w:rsidR="008E3D29" w:rsidRPr="000118A3" w:rsidRDefault="008E3D29" w:rsidP="00671D7D">
            <w:pPr>
              <w:jc w:val="center"/>
              <w:rPr>
                <w:rFonts w:ascii="Times New Roman" w:hAnsi="Times New Roman" w:cs="Times New Roman"/>
                <w:color w:val="000000"/>
                <w:sz w:val="22"/>
                <w:szCs w:val="22"/>
              </w:rPr>
            </w:pPr>
            <w:r w:rsidRPr="000118A3">
              <w:rPr>
                <w:rFonts w:ascii="Times New Roman" w:hAnsi="Times New Roman" w:cs="Times New Roman"/>
                <w:color w:val="000000"/>
                <w:sz w:val="22"/>
                <w:szCs w:val="22"/>
              </w:rPr>
              <w:t>84.51</w:t>
            </w:r>
          </w:p>
        </w:tc>
        <w:tc>
          <w:tcPr>
            <w:tcW w:w="1582" w:type="dxa"/>
          </w:tcPr>
          <w:p w14:paraId="12EB4B1C" w14:textId="77777777" w:rsidR="008E3D29" w:rsidRPr="000118A3" w:rsidRDefault="008E3D29" w:rsidP="00671D7D">
            <w:pPr>
              <w:jc w:val="center"/>
              <w:rPr>
                <w:rFonts w:ascii="Times New Roman" w:hAnsi="Times New Roman" w:cs="Times New Roman"/>
                <w:color w:val="000000"/>
                <w:sz w:val="22"/>
                <w:szCs w:val="22"/>
              </w:rPr>
            </w:pPr>
            <w:r w:rsidRPr="000118A3">
              <w:rPr>
                <w:rFonts w:ascii="Times New Roman" w:hAnsi="Times New Roman" w:cs="Times New Roman"/>
                <w:color w:val="000000"/>
                <w:sz w:val="22"/>
                <w:szCs w:val="22"/>
              </w:rPr>
              <w:t>57.22</w:t>
            </w:r>
          </w:p>
        </w:tc>
        <w:tc>
          <w:tcPr>
            <w:tcW w:w="1582" w:type="dxa"/>
          </w:tcPr>
          <w:p w14:paraId="67AD1E94" w14:textId="77777777" w:rsidR="008E3D29" w:rsidRPr="000118A3" w:rsidRDefault="008E3D29" w:rsidP="00671D7D">
            <w:pPr>
              <w:jc w:val="center"/>
              <w:rPr>
                <w:rFonts w:ascii="Times New Roman" w:hAnsi="Times New Roman" w:cs="Times New Roman"/>
                <w:color w:val="000000"/>
                <w:sz w:val="22"/>
                <w:szCs w:val="22"/>
              </w:rPr>
            </w:pPr>
            <w:r w:rsidRPr="000118A3">
              <w:rPr>
                <w:rFonts w:ascii="Times New Roman" w:hAnsi="Times New Roman" w:cs="Times New Roman"/>
                <w:color w:val="000000"/>
                <w:sz w:val="22"/>
                <w:szCs w:val="22"/>
              </w:rPr>
              <w:t>58.2</w:t>
            </w:r>
          </w:p>
        </w:tc>
      </w:tr>
      <w:tr w:rsidR="008E3D29" w:rsidRPr="000118A3" w14:paraId="5A2FAFF2" w14:textId="77777777" w:rsidTr="00671D7D">
        <w:tc>
          <w:tcPr>
            <w:tcW w:w="2070" w:type="dxa"/>
          </w:tcPr>
          <w:p w14:paraId="42676011" w14:textId="77777777" w:rsidR="008E3D29" w:rsidRPr="000118A3" w:rsidRDefault="008E3D29" w:rsidP="00671D7D">
            <w:pPr>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Risk Rank</w:t>
            </w:r>
          </w:p>
        </w:tc>
        <w:tc>
          <w:tcPr>
            <w:tcW w:w="1582" w:type="dxa"/>
            <w:shd w:val="clear" w:color="auto" w:fill="CBD3DE" w:themeFill="text2" w:themeFillTint="40"/>
          </w:tcPr>
          <w:p w14:paraId="12DD426C" w14:textId="77777777" w:rsidR="008E3D29" w:rsidRPr="000118A3" w:rsidRDefault="008E3D29" w:rsidP="00671D7D">
            <w:pPr>
              <w:jc w:val="center"/>
              <w:rPr>
                <w:rFonts w:ascii="Times New Roman" w:hAnsi="Times New Roman" w:cs="Times New Roman"/>
                <w:color w:val="000000"/>
                <w:sz w:val="22"/>
                <w:szCs w:val="22"/>
              </w:rPr>
            </w:pPr>
          </w:p>
        </w:tc>
        <w:tc>
          <w:tcPr>
            <w:tcW w:w="1582" w:type="dxa"/>
            <w:shd w:val="clear" w:color="auto" w:fill="FFFF00"/>
          </w:tcPr>
          <w:p w14:paraId="4D49DF55" w14:textId="77777777" w:rsidR="008E3D29" w:rsidRPr="000118A3" w:rsidRDefault="008E3D29" w:rsidP="00671D7D">
            <w:pPr>
              <w:jc w:val="center"/>
              <w:rPr>
                <w:rFonts w:ascii="Times New Roman" w:hAnsi="Times New Roman" w:cs="Times New Roman"/>
                <w:color w:val="000000"/>
                <w:sz w:val="22"/>
                <w:szCs w:val="22"/>
              </w:rPr>
            </w:pPr>
          </w:p>
        </w:tc>
        <w:tc>
          <w:tcPr>
            <w:tcW w:w="1582" w:type="dxa"/>
            <w:shd w:val="clear" w:color="auto" w:fill="FFFF00"/>
          </w:tcPr>
          <w:p w14:paraId="26099F44" w14:textId="77777777" w:rsidR="008E3D29" w:rsidRPr="000118A3" w:rsidRDefault="008E3D29" w:rsidP="00671D7D">
            <w:pPr>
              <w:jc w:val="center"/>
              <w:rPr>
                <w:rFonts w:ascii="Times New Roman" w:hAnsi="Times New Roman" w:cs="Times New Roman"/>
                <w:color w:val="000000"/>
                <w:sz w:val="22"/>
                <w:szCs w:val="22"/>
              </w:rPr>
            </w:pPr>
          </w:p>
        </w:tc>
      </w:tr>
      <w:tr w:rsidR="008E3D29" w:rsidRPr="000118A3" w14:paraId="1CCCEA6E" w14:textId="77777777" w:rsidTr="00671D7D">
        <w:tc>
          <w:tcPr>
            <w:tcW w:w="2070" w:type="dxa"/>
          </w:tcPr>
          <w:p w14:paraId="727DB240" w14:textId="77777777" w:rsidR="008E3D29" w:rsidRPr="000118A3" w:rsidRDefault="008E3D29" w:rsidP="00671D7D">
            <w:pPr>
              <w:jc w:val="both"/>
              <w:rPr>
                <w:rFonts w:ascii="Times New Roman" w:hAnsi="Times New Roman" w:cs="Times New Roman"/>
                <w:color w:val="000000"/>
                <w:sz w:val="22"/>
                <w:szCs w:val="22"/>
              </w:rPr>
            </w:pPr>
            <w:r w:rsidRPr="000118A3">
              <w:rPr>
                <w:rFonts w:ascii="Times New Roman" w:hAnsi="Times New Roman" w:cs="Times New Roman"/>
                <w:color w:val="000000"/>
                <w:sz w:val="22"/>
                <w:szCs w:val="22"/>
              </w:rPr>
              <w:t xml:space="preserve">Classification </w:t>
            </w:r>
          </w:p>
        </w:tc>
        <w:tc>
          <w:tcPr>
            <w:tcW w:w="1582" w:type="dxa"/>
          </w:tcPr>
          <w:p w14:paraId="5B2C2B33" w14:textId="77777777" w:rsidR="008E3D29" w:rsidRPr="000118A3" w:rsidRDefault="008E3D29" w:rsidP="00671D7D">
            <w:pPr>
              <w:jc w:val="center"/>
              <w:rPr>
                <w:rFonts w:ascii="Times New Roman" w:hAnsi="Times New Roman" w:cs="Times New Roman"/>
                <w:color w:val="000000"/>
                <w:sz w:val="22"/>
                <w:szCs w:val="22"/>
              </w:rPr>
            </w:pPr>
            <w:r w:rsidRPr="000118A3">
              <w:rPr>
                <w:rFonts w:ascii="Times New Roman" w:hAnsi="Times New Roman" w:cs="Times New Roman"/>
                <w:color w:val="000000"/>
                <w:sz w:val="22"/>
                <w:szCs w:val="22"/>
              </w:rPr>
              <w:t>Very Low</w:t>
            </w:r>
          </w:p>
        </w:tc>
        <w:tc>
          <w:tcPr>
            <w:tcW w:w="1582" w:type="dxa"/>
          </w:tcPr>
          <w:p w14:paraId="4882175F" w14:textId="77777777" w:rsidR="008E3D29" w:rsidRPr="000118A3" w:rsidRDefault="008E3D29" w:rsidP="00671D7D">
            <w:pPr>
              <w:jc w:val="center"/>
              <w:rPr>
                <w:rFonts w:ascii="Times New Roman" w:hAnsi="Times New Roman" w:cs="Times New Roman"/>
                <w:color w:val="000000"/>
                <w:sz w:val="22"/>
                <w:szCs w:val="22"/>
              </w:rPr>
            </w:pPr>
            <w:r w:rsidRPr="000118A3">
              <w:rPr>
                <w:rFonts w:ascii="Times New Roman" w:hAnsi="Times New Roman" w:cs="Times New Roman"/>
                <w:color w:val="000000"/>
                <w:sz w:val="22"/>
                <w:szCs w:val="22"/>
              </w:rPr>
              <w:t>Medium</w:t>
            </w:r>
          </w:p>
        </w:tc>
        <w:tc>
          <w:tcPr>
            <w:tcW w:w="1582" w:type="dxa"/>
          </w:tcPr>
          <w:p w14:paraId="41C77B2B" w14:textId="77777777" w:rsidR="008E3D29" w:rsidRPr="000118A3" w:rsidRDefault="008E3D29" w:rsidP="00671D7D">
            <w:pPr>
              <w:jc w:val="center"/>
              <w:rPr>
                <w:rFonts w:ascii="Times New Roman" w:hAnsi="Times New Roman" w:cs="Times New Roman"/>
                <w:color w:val="000000"/>
                <w:sz w:val="22"/>
                <w:szCs w:val="22"/>
              </w:rPr>
            </w:pPr>
            <w:r w:rsidRPr="000118A3">
              <w:rPr>
                <w:rFonts w:ascii="Times New Roman" w:hAnsi="Times New Roman" w:cs="Times New Roman"/>
                <w:color w:val="000000"/>
                <w:sz w:val="22"/>
                <w:szCs w:val="22"/>
              </w:rPr>
              <w:t>Medium</w:t>
            </w:r>
          </w:p>
        </w:tc>
      </w:tr>
    </w:tbl>
    <w:p w14:paraId="25CE4785" w14:textId="6E7A6C6A" w:rsidR="007B1305" w:rsidRPr="000118A3" w:rsidRDefault="008E3D29" w:rsidP="00482FFD">
      <w:pPr>
        <w:pStyle w:val="BodyText"/>
        <w:numPr>
          <w:ilvl w:val="2"/>
          <w:numId w:val="146"/>
        </w:numPr>
        <w:spacing w:before="188"/>
        <w:rPr>
          <w:rFonts w:ascii="Times New Roman" w:hAnsi="Times New Roman" w:cs="Times New Roman"/>
          <w:b/>
          <w:bCs/>
          <w:color w:val="0070C0"/>
        </w:rPr>
      </w:pPr>
      <w:r w:rsidRPr="000118A3">
        <w:rPr>
          <w:rFonts w:ascii="Times New Roman" w:hAnsi="Times New Roman" w:cs="Times New Roman"/>
          <w:b/>
          <w:bCs/>
          <w:color w:val="0070C0"/>
        </w:rPr>
        <w:t xml:space="preserve">Current governance capacity to respond to climate and major environmental changes, as well as population growth and demand </w:t>
      </w:r>
    </w:p>
    <w:p w14:paraId="288D6947" w14:textId="77777777" w:rsidR="008E3D29" w:rsidRPr="000118A3" w:rsidRDefault="008E3D29" w:rsidP="008E3D29">
      <w:pPr>
        <w:pStyle w:val="NormalWeb"/>
        <w:spacing w:before="0" w:beforeAutospacing="0" w:after="0" w:afterAutospacing="0"/>
        <w:jc w:val="both"/>
        <w:rPr>
          <w:iCs/>
          <w:sz w:val="22"/>
          <w:szCs w:val="22"/>
          <w:lang w:val="en-US"/>
        </w:rPr>
      </w:pPr>
      <w:r w:rsidRPr="000118A3">
        <w:rPr>
          <w:iCs/>
          <w:sz w:val="22"/>
          <w:szCs w:val="22"/>
          <w:lang w:val="en-US"/>
        </w:rPr>
        <w:t>The current governance capacity to respond to climate change is demonstrated through the establishment of several formal arrangements, as detailed in the following explanation.</w:t>
      </w:r>
    </w:p>
    <w:p w14:paraId="02C25E4C" w14:textId="77777777" w:rsidR="008E3D29" w:rsidRPr="000118A3" w:rsidRDefault="008E3D29" w:rsidP="00D84F7F">
      <w:pPr>
        <w:pStyle w:val="NormalWeb"/>
        <w:numPr>
          <w:ilvl w:val="0"/>
          <w:numId w:val="129"/>
        </w:numPr>
        <w:spacing w:before="120" w:beforeAutospacing="0" w:after="0" w:afterAutospacing="0"/>
        <w:ind w:left="357" w:hanging="357"/>
        <w:jc w:val="both"/>
        <w:rPr>
          <w:i/>
          <w:sz w:val="22"/>
          <w:szCs w:val="22"/>
          <w:lang w:val="en-US"/>
        </w:rPr>
      </w:pPr>
      <w:r w:rsidRPr="000118A3">
        <w:rPr>
          <w:i/>
          <w:sz w:val="22"/>
          <w:szCs w:val="22"/>
          <w:lang w:val="en-US"/>
        </w:rPr>
        <w:t>Development of Low-Carbon and Climate-Resilient Development Plans</w:t>
      </w:r>
    </w:p>
    <w:p w14:paraId="75A83404" w14:textId="45A6A403" w:rsidR="008E3D29" w:rsidRPr="000118A3" w:rsidRDefault="008E3D29" w:rsidP="008E3D29">
      <w:pPr>
        <w:pStyle w:val="NormalWeb"/>
        <w:spacing w:before="0" w:beforeAutospacing="0" w:after="0" w:afterAutospacing="0"/>
        <w:jc w:val="both"/>
        <w:rPr>
          <w:iCs/>
          <w:sz w:val="22"/>
          <w:szCs w:val="22"/>
          <w:lang w:val="en-US"/>
        </w:rPr>
      </w:pPr>
      <w:r w:rsidRPr="000118A3">
        <w:rPr>
          <w:iCs/>
          <w:sz w:val="22"/>
          <w:szCs w:val="22"/>
          <w:lang w:val="en-US"/>
        </w:rPr>
        <w:t xml:space="preserve">Indonesia's National Medium-Term Development Plan (RPJMN) 2025-2029 mandates low-carbon development, targeting a 45.17% reduction in emission intensity. This involves a cumulative emission reduction of 30.1% by 2029, with annual targets rising from 18.4% (2025) to 21.1% (2029). Aligned with its Enhanced Nationally Determined Contribution (NDC) and 2060 Net Zero Emission goal, this effort is structured around five pillars i.e. energy, land use/forestry, transport, industry/circular economy, and environmental planning which </w:t>
      </w:r>
      <w:r w:rsidR="00681220" w:rsidRPr="000118A3">
        <w:rPr>
          <w:iCs/>
          <w:sz w:val="22"/>
          <w:szCs w:val="22"/>
          <w:lang w:val="en-US"/>
        </w:rPr>
        <w:t>are supported</w:t>
      </w:r>
      <w:r w:rsidRPr="000118A3">
        <w:rPr>
          <w:iCs/>
          <w:sz w:val="22"/>
          <w:szCs w:val="22"/>
          <w:lang w:val="en-US"/>
        </w:rPr>
        <w:t xml:space="preserve"> by National Action Plans (NAP). The national strategy is further guided by the Climate Resilience Development Policy (CRDP) 2020-2045.</w:t>
      </w:r>
    </w:p>
    <w:p w14:paraId="4E27CB61" w14:textId="77777777" w:rsidR="008E3D29" w:rsidRPr="000118A3" w:rsidRDefault="008E3D29" w:rsidP="00D84F7F">
      <w:pPr>
        <w:pStyle w:val="NormalWeb"/>
        <w:spacing w:before="120" w:beforeAutospacing="0" w:after="0" w:afterAutospacing="0"/>
        <w:jc w:val="both"/>
        <w:rPr>
          <w:i/>
          <w:sz w:val="22"/>
          <w:szCs w:val="22"/>
          <w:lang w:val="en-US"/>
        </w:rPr>
      </w:pPr>
      <w:r w:rsidRPr="000118A3">
        <w:rPr>
          <w:i/>
          <w:sz w:val="22"/>
          <w:szCs w:val="22"/>
          <w:lang w:val="en-US"/>
        </w:rPr>
        <w:t>2. Formulating the National Action Plan for Climate Change Mitigation and Adaptation (NAP-CCMA)</w:t>
      </w:r>
    </w:p>
    <w:p w14:paraId="67B22CCA" w14:textId="77777777" w:rsidR="008E3D29" w:rsidRPr="000118A3" w:rsidRDefault="008E3D29" w:rsidP="008E3D29">
      <w:pPr>
        <w:jc w:val="both"/>
        <w:rPr>
          <w:rFonts w:ascii="Times New Roman" w:hAnsi="Times New Roman" w:cs="Times New Roman"/>
          <w:iCs/>
          <w:sz w:val="22"/>
          <w:szCs w:val="22"/>
        </w:rPr>
      </w:pPr>
      <w:r w:rsidRPr="000118A3">
        <w:rPr>
          <w:rFonts w:ascii="Times New Roman" w:hAnsi="Times New Roman" w:cs="Times New Roman"/>
          <w:iCs/>
          <w:sz w:val="22"/>
          <w:szCs w:val="22"/>
        </w:rPr>
        <w:t xml:space="preserve">Indonesia has enacted Law No. 6/1994 on the Ratification of the UN Framework Convention on Climate Change. In line with this, several ministries have responded by issuing policies within their authority. The Ministry of Public Works (Kemen PU) issued Regulation PU No. 11/2012 on the Climate Change Mitigation and Adaptation Action Plan for 2012-2020. The Ministry of Environment and Forestry (MOEF/KLHK) has developed a Roadmap for NDC Climate Change Adaptation (MOEF/KLHK, 2024), which covers 8 strategies and focusses on food, water, energy, health, ecosystems, and disaster management with Indonesian waters of the SCS, are among the regions vulnerable to these climate impacts. </w:t>
      </w:r>
    </w:p>
    <w:p w14:paraId="2E1B38F1" w14:textId="77777777" w:rsidR="008E3D29" w:rsidRPr="000118A3" w:rsidRDefault="008E3D29" w:rsidP="00D84F7F">
      <w:pPr>
        <w:pStyle w:val="NormalWeb"/>
        <w:spacing w:before="120" w:beforeAutospacing="0" w:after="0" w:afterAutospacing="0"/>
        <w:jc w:val="both"/>
        <w:rPr>
          <w:i/>
          <w:sz w:val="22"/>
          <w:szCs w:val="22"/>
          <w:lang w:val="en-US"/>
        </w:rPr>
      </w:pPr>
      <w:r w:rsidRPr="000118A3">
        <w:rPr>
          <w:i/>
          <w:sz w:val="22"/>
          <w:szCs w:val="22"/>
          <w:lang w:val="en-US"/>
        </w:rPr>
        <w:t>3. Developing Funding to Encourage Climate Change Adaptation and Mitigation Actions</w:t>
      </w:r>
    </w:p>
    <w:p w14:paraId="656452FC" w14:textId="7C5D0EF0" w:rsidR="008E3D29" w:rsidRPr="000118A3" w:rsidRDefault="008E3D29" w:rsidP="008E3D29">
      <w:pPr>
        <w:pStyle w:val="NormalWeb"/>
        <w:spacing w:before="0" w:beforeAutospacing="0" w:after="0" w:afterAutospacing="0"/>
        <w:jc w:val="both"/>
        <w:rPr>
          <w:b/>
          <w:bCs/>
          <w:iCs/>
          <w:sz w:val="22"/>
          <w:szCs w:val="22"/>
          <w:lang w:val="en-US"/>
        </w:rPr>
      </w:pPr>
      <w:r w:rsidRPr="000118A3">
        <w:rPr>
          <w:color w:val="0F1115"/>
          <w:sz w:val="22"/>
          <w:szCs w:val="22"/>
        </w:rPr>
        <w:t xml:space="preserve">Indonesia employs Ecological Fiscal Transfers (EFT) to incentivize regional governments in natural resource conservation </w:t>
      </w:r>
      <w:r w:rsidR="00681220" w:rsidRPr="000118A3">
        <w:rPr>
          <w:color w:val="0F1115"/>
          <w:sz w:val="22"/>
          <w:szCs w:val="22"/>
        </w:rPr>
        <w:t>and greenhouse</w:t>
      </w:r>
      <w:r w:rsidRPr="000118A3">
        <w:rPr>
          <w:color w:val="0F1115"/>
          <w:sz w:val="22"/>
          <w:szCs w:val="22"/>
        </w:rPr>
        <w:t xml:space="preserve"> gas reduction. Domestic public funding includes various EFT instruments such as TAPE, TANE, TAKE, and ALAKE alongside other schemes like the Regional Incentive Fund (DID), Village Fund (DD) and Special Allocation Fund (DAK). Additional policy mechanisms include Green Sukuk and the Indonesia Climate Change Trust Fund (ICCTF) and international cooperation opportunities. </w:t>
      </w:r>
    </w:p>
    <w:p w14:paraId="5D039124" w14:textId="77777777" w:rsidR="008E3D29" w:rsidRPr="000118A3" w:rsidRDefault="008E3D29" w:rsidP="00D84F7F">
      <w:pPr>
        <w:pStyle w:val="NormalWeb"/>
        <w:spacing w:before="120" w:beforeAutospacing="0" w:after="0" w:afterAutospacing="0"/>
        <w:jc w:val="both"/>
        <w:rPr>
          <w:i/>
          <w:sz w:val="22"/>
          <w:szCs w:val="22"/>
          <w:lang w:val="en-US"/>
        </w:rPr>
      </w:pPr>
      <w:r w:rsidRPr="000118A3">
        <w:rPr>
          <w:i/>
          <w:sz w:val="22"/>
          <w:szCs w:val="22"/>
          <w:lang w:val="en-US"/>
        </w:rPr>
        <w:t>4. Formulating Incentive-Based Financial Service Policies for Emission Reduction and Carbon Sequestration</w:t>
      </w:r>
    </w:p>
    <w:p w14:paraId="44EC21FB" w14:textId="440B3DD5" w:rsidR="008E3D29" w:rsidRPr="000118A3" w:rsidRDefault="008E3D29" w:rsidP="00D84F7F">
      <w:pPr>
        <w:pStyle w:val="BodyText"/>
        <w:spacing w:before="120" w:after="0" w:line="240" w:lineRule="auto"/>
        <w:jc w:val="both"/>
        <w:rPr>
          <w:rFonts w:ascii="Times New Roman" w:hAnsi="Times New Roman" w:cs="Times New Roman"/>
          <w:b/>
          <w:bCs/>
          <w:color w:val="0070C0"/>
        </w:rPr>
      </w:pPr>
      <w:r w:rsidRPr="000118A3">
        <w:rPr>
          <w:rFonts w:ascii="Times New Roman" w:hAnsi="Times New Roman" w:cs="Times New Roman"/>
          <w:iCs/>
        </w:rPr>
        <w:t xml:space="preserve">Indonesia has established a regulatory framework to incentivize private sector engagement in greenhouse gas reduction and carbon sequestration. Key policies include Presidential Regulations on Carbon Economic Value and Carbon Capture and Storage, alongside Financial Services Authority (FSA/OJK) regulations governing carbon trading. To guide investment, </w:t>
      </w:r>
      <w:r w:rsidR="008C735C" w:rsidRPr="000118A3">
        <w:rPr>
          <w:rFonts w:ascii="Times New Roman" w:hAnsi="Times New Roman" w:cs="Times New Roman"/>
          <w:iCs/>
        </w:rPr>
        <w:t>FSA introduced</w:t>
      </w:r>
      <w:r w:rsidRPr="000118A3">
        <w:rPr>
          <w:rFonts w:ascii="Times New Roman" w:hAnsi="Times New Roman" w:cs="Times New Roman"/>
          <w:iCs/>
        </w:rPr>
        <w:t xml:space="preserve"> the Indonesian Sustainable Finance Taxonomy (ISFT/TKBI), replacing the prior Green Taxonomy</w:t>
      </w:r>
    </w:p>
    <w:p w14:paraId="170DD2A7" w14:textId="5A5014DE" w:rsidR="008E3D29" w:rsidRPr="000118A3" w:rsidRDefault="008E3D29" w:rsidP="00482FFD">
      <w:pPr>
        <w:pStyle w:val="BodyText"/>
        <w:numPr>
          <w:ilvl w:val="2"/>
          <w:numId w:val="146"/>
        </w:numPr>
        <w:spacing w:before="188"/>
        <w:rPr>
          <w:rFonts w:ascii="Times New Roman" w:hAnsi="Times New Roman" w:cs="Times New Roman"/>
          <w:b/>
          <w:bCs/>
          <w:color w:val="0070C0"/>
        </w:rPr>
      </w:pPr>
      <w:r w:rsidRPr="000118A3">
        <w:rPr>
          <w:rFonts w:ascii="Times New Roman" w:hAnsi="Times New Roman" w:cs="Times New Roman"/>
          <w:b/>
          <w:bCs/>
          <w:color w:val="0070C0"/>
        </w:rPr>
        <w:lastRenderedPageBreak/>
        <w:t xml:space="preserve">Strategies to enhance government responses to climate change and achieve sustainability of the coastal and marine environments </w:t>
      </w:r>
    </w:p>
    <w:p w14:paraId="5989181C" w14:textId="77777777" w:rsidR="008E3D29" w:rsidRPr="000118A3" w:rsidRDefault="008E3D29" w:rsidP="008E3D29">
      <w:pPr>
        <w:pStyle w:val="ds-markdown-paragraph"/>
        <w:spacing w:before="0" w:beforeAutospacing="0" w:after="0" w:afterAutospacing="0"/>
        <w:jc w:val="both"/>
        <w:rPr>
          <w:b/>
          <w:bCs/>
          <w:i/>
          <w:iCs/>
          <w:color w:val="0F1115"/>
          <w:sz w:val="22"/>
          <w:szCs w:val="22"/>
        </w:rPr>
      </w:pPr>
      <w:r w:rsidRPr="000118A3">
        <w:rPr>
          <w:rStyle w:val="Strong"/>
          <w:i/>
          <w:iCs/>
          <w:color w:val="0F1115"/>
          <w:sz w:val="22"/>
          <w:szCs w:val="22"/>
        </w:rPr>
        <w:t>1. Strengthening the Domestic Governance Architecture</w:t>
      </w:r>
    </w:p>
    <w:p w14:paraId="7B6EDF22" w14:textId="77777777" w:rsidR="008E3D29" w:rsidRPr="000118A3" w:rsidRDefault="008E3D29" w:rsidP="008E3D29">
      <w:pPr>
        <w:pStyle w:val="ds-markdown-paragraph"/>
        <w:spacing w:before="0" w:beforeAutospacing="0" w:after="0" w:afterAutospacing="0"/>
        <w:jc w:val="both"/>
        <w:rPr>
          <w:color w:val="0F1115"/>
          <w:sz w:val="22"/>
          <w:szCs w:val="22"/>
        </w:rPr>
      </w:pPr>
      <w:r w:rsidRPr="000118A3">
        <w:rPr>
          <w:color w:val="0F1115"/>
          <w:sz w:val="22"/>
          <w:szCs w:val="22"/>
        </w:rPr>
        <w:t>The domestic governance architecture can be enhanced by:</w:t>
      </w:r>
    </w:p>
    <w:p w14:paraId="677309F2" w14:textId="77777777" w:rsidR="008E3D29" w:rsidRPr="000118A3" w:rsidRDefault="008E3D29" w:rsidP="008E3D29">
      <w:pPr>
        <w:pStyle w:val="ds-markdown-paragraph"/>
        <w:numPr>
          <w:ilvl w:val="0"/>
          <w:numId w:val="130"/>
        </w:numPr>
        <w:spacing w:before="0" w:beforeAutospacing="0" w:after="0" w:afterAutospacing="0"/>
        <w:jc w:val="both"/>
        <w:rPr>
          <w:color w:val="0F1115"/>
          <w:sz w:val="22"/>
          <w:szCs w:val="22"/>
        </w:rPr>
      </w:pPr>
      <w:r w:rsidRPr="000118A3">
        <w:rPr>
          <w:color w:val="0F1115"/>
          <w:sz w:val="22"/>
          <w:szCs w:val="22"/>
        </w:rPr>
        <w:t>Maintaining formal arrangements for coastal and marine resource management, ensuring alignment with the current national development plan (RPJMN 2025-2029).</w:t>
      </w:r>
    </w:p>
    <w:p w14:paraId="435166A6" w14:textId="77777777" w:rsidR="008E3D29" w:rsidRPr="000118A3" w:rsidRDefault="008E3D29" w:rsidP="008E3D29">
      <w:pPr>
        <w:pStyle w:val="ds-markdown-paragraph"/>
        <w:numPr>
          <w:ilvl w:val="0"/>
          <w:numId w:val="130"/>
        </w:numPr>
        <w:spacing w:before="0" w:beforeAutospacing="0" w:after="0" w:afterAutospacing="0"/>
        <w:jc w:val="both"/>
        <w:rPr>
          <w:color w:val="0F1115"/>
          <w:sz w:val="22"/>
          <w:szCs w:val="22"/>
        </w:rPr>
      </w:pPr>
      <w:r w:rsidRPr="000118A3">
        <w:rPr>
          <w:color w:val="0F1115"/>
          <w:sz w:val="22"/>
          <w:szCs w:val="22"/>
        </w:rPr>
        <w:t>Refining these arrangements by integrating emerging global and regional agreements.</w:t>
      </w:r>
    </w:p>
    <w:p w14:paraId="24DBD110" w14:textId="77777777" w:rsidR="008E3D29" w:rsidRPr="000118A3" w:rsidRDefault="008E3D29" w:rsidP="008E3D29">
      <w:pPr>
        <w:pStyle w:val="ds-markdown-paragraph"/>
        <w:numPr>
          <w:ilvl w:val="0"/>
          <w:numId w:val="130"/>
        </w:numPr>
        <w:spacing w:before="0" w:beforeAutospacing="0" w:after="0" w:afterAutospacing="0"/>
        <w:jc w:val="both"/>
        <w:rPr>
          <w:color w:val="0F1115"/>
          <w:sz w:val="22"/>
          <w:szCs w:val="22"/>
        </w:rPr>
      </w:pPr>
      <w:r w:rsidRPr="000118A3">
        <w:rPr>
          <w:color w:val="0F1115"/>
          <w:sz w:val="22"/>
          <w:szCs w:val="22"/>
        </w:rPr>
        <w:t>Strengthening implementation and enforcement mechanisms.</w:t>
      </w:r>
    </w:p>
    <w:p w14:paraId="587E3BEA" w14:textId="77777777" w:rsidR="008E3D29" w:rsidRPr="000118A3" w:rsidRDefault="008E3D29" w:rsidP="00D84F7F">
      <w:pPr>
        <w:pStyle w:val="ds-markdown-paragraph"/>
        <w:spacing w:before="120" w:beforeAutospacing="0" w:after="0" w:afterAutospacing="0"/>
        <w:jc w:val="both"/>
        <w:rPr>
          <w:b/>
          <w:bCs/>
          <w:i/>
          <w:iCs/>
          <w:color w:val="0F1115"/>
          <w:sz w:val="22"/>
          <w:szCs w:val="22"/>
        </w:rPr>
      </w:pPr>
      <w:r w:rsidRPr="000118A3">
        <w:rPr>
          <w:rStyle w:val="Strong"/>
          <w:i/>
          <w:iCs/>
          <w:color w:val="0F1115"/>
          <w:sz w:val="22"/>
          <w:szCs w:val="22"/>
        </w:rPr>
        <w:t>2. Developing Institutional Arrangements and Collaborative Instruments Across and Within Provinces</w:t>
      </w:r>
    </w:p>
    <w:p w14:paraId="7DCD5473" w14:textId="77777777" w:rsidR="008E3D29" w:rsidRPr="000118A3" w:rsidRDefault="008E3D29" w:rsidP="008E3D29">
      <w:pPr>
        <w:jc w:val="both"/>
        <w:rPr>
          <w:rFonts w:ascii="Times New Roman" w:hAnsi="Times New Roman" w:cs="Times New Roman"/>
          <w:sz w:val="22"/>
          <w:szCs w:val="22"/>
        </w:rPr>
      </w:pPr>
      <w:r w:rsidRPr="000118A3">
        <w:rPr>
          <w:rFonts w:ascii="Times New Roman" w:hAnsi="Times New Roman" w:cs="Times New Roman"/>
          <w:sz w:val="22"/>
          <w:szCs w:val="22"/>
        </w:rPr>
        <w:t>Under Indonesian law, maritime management is divided between provincial (0-12 nm) and central governments (beyond 12 nm). The South China Sea (SCS) borders five provinces, comprising 20 regencies and cities. While each province manages resources within its jurisdiction, effective governance requires inter-provincial and inter-regency collaboration to address transboundary SCS pressures. Although some bilateral cooperation exists, the current management paradigm for FMA 711 should be expanded beyond fisheries to encompass economic development, climate change, and marine pollution. A comprehensive collaborative framework involving both provincial and regency/city levels is therefore essential.</w:t>
      </w:r>
    </w:p>
    <w:p w14:paraId="797E8546" w14:textId="77777777" w:rsidR="008E3D29" w:rsidRPr="000118A3" w:rsidRDefault="008E3D29" w:rsidP="00C6549B">
      <w:pPr>
        <w:spacing w:before="120"/>
        <w:jc w:val="both"/>
        <w:rPr>
          <w:rStyle w:val="Strong"/>
          <w:rFonts w:ascii="Times New Roman" w:hAnsi="Times New Roman" w:cs="Times New Roman"/>
          <w:b w:val="0"/>
          <w:bCs w:val="0"/>
          <w:i/>
          <w:iCs/>
          <w:color w:val="0F1115"/>
          <w:sz w:val="22"/>
          <w:szCs w:val="22"/>
        </w:rPr>
      </w:pPr>
      <w:r w:rsidRPr="000118A3">
        <w:rPr>
          <w:rFonts w:ascii="Times New Roman" w:hAnsi="Times New Roman" w:cs="Times New Roman"/>
          <w:b/>
          <w:bCs/>
          <w:i/>
          <w:iCs/>
          <w:sz w:val="22"/>
          <w:szCs w:val="22"/>
        </w:rPr>
        <w:t>3.</w:t>
      </w:r>
      <w:r w:rsidRPr="000118A3">
        <w:rPr>
          <w:rStyle w:val="Strong"/>
          <w:rFonts w:ascii="Times New Roman" w:hAnsi="Times New Roman" w:cs="Times New Roman"/>
          <w:i/>
          <w:iCs/>
          <w:color w:val="0F1115"/>
          <w:sz w:val="22"/>
          <w:szCs w:val="22"/>
        </w:rPr>
        <w:t>Promoting Fairer and More Effective Regional Collaboration</w:t>
      </w:r>
    </w:p>
    <w:p w14:paraId="05CBB5FC" w14:textId="78882E8F" w:rsidR="008E3D29" w:rsidRPr="000118A3" w:rsidRDefault="008E3D29" w:rsidP="00C6549B">
      <w:pPr>
        <w:pStyle w:val="ds-markdown-paragraph"/>
        <w:shd w:val="clear" w:color="auto" w:fill="FFFFFF"/>
        <w:spacing w:before="0" w:beforeAutospacing="0" w:after="0" w:afterAutospacing="0"/>
        <w:contextualSpacing/>
        <w:jc w:val="both"/>
        <w:rPr>
          <w:color w:val="0F1115"/>
          <w:sz w:val="22"/>
          <w:szCs w:val="22"/>
        </w:rPr>
      </w:pPr>
      <w:r w:rsidRPr="000118A3">
        <w:rPr>
          <w:color w:val="0F1115"/>
          <w:sz w:val="22"/>
          <w:szCs w:val="22"/>
        </w:rPr>
        <w:t xml:space="preserve">Several issues in the South China Sea (SCS), including marine pollution, ecosystem degradation, plastic waste, and Abandoned Lost Discarded Fishing Gear (ALDFG), are or can become transboundary. Addressing these issues based </w:t>
      </w:r>
      <w:r w:rsidR="00C6549B" w:rsidRPr="000118A3">
        <w:rPr>
          <w:color w:val="0F1115"/>
          <w:sz w:val="22"/>
          <w:szCs w:val="22"/>
        </w:rPr>
        <w:t>on equitable</w:t>
      </w:r>
      <w:r w:rsidRPr="000118A3">
        <w:rPr>
          <w:color w:val="0F1115"/>
          <w:sz w:val="22"/>
          <w:szCs w:val="22"/>
        </w:rPr>
        <w:t xml:space="preserve"> regional agreements need supported by collaborative mapping, impact assessment, and joint mitigation.</w:t>
      </w:r>
    </w:p>
    <w:p w14:paraId="22044EEB" w14:textId="76CD0DC8" w:rsidR="008E3D29" w:rsidRPr="000118A3" w:rsidRDefault="008E3D29" w:rsidP="00C6549B">
      <w:pPr>
        <w:pStyle w:val="BodyText"/>
        <w:spacing w:before="120" w:after="0" w:line="240" w:lineRule="auto"/>
        <w:jc w:val="both"/>
        <w:rPr>
          <w:rFonts w:ascii="Times New Roman" w:eastAsia="Times New Roman" w:hAnsi="Times New Roman" w:cs="Times New Roman"/>
          <w:color w:val="0F1115"/>
          <w:lang w:val="en-US" w:eastAsia="en-US"/>
        </w:rPr>
      </w:pPr>
      <w:r w:rsidRPr="000118A3">
        <w:rPr>
          <w:rFonts w:ascii="Times New Roman" w:eastAsia="Times New Roman" w:hAnsi="Times New Roman" w:cs="Times New Roman"/>
          <w:color w:val="0F1115"/>
          <w:lang w:val="en-US" w:eastAsia="en-US"/>
        </w:rPr>
        <w:t>Revitalizing an SCS working group is critical to manage existing transboundary issues like oil sludge and illegal fishing, and to address emerging threats. This platform should be complemented by reactivated regional forums focused on climate change. Effective, science-based diplomacy is essential to establishing mutually acceptable agreements.</w:t>
      </w:r>
    </w:p>
    <w:p w14:paraId="1ECF35EA" w14:textId="16CA614F" w:rsidR="008E3D29" w:rsidRPr="000118A3" w:rsidRDefault="008E3D29" w:rsidP="00B16E45">
      <w:pPr>
        <w:pStyle w:val="BodyText"/>
        <w:numPr>
          <w:ilvl w:val="1"/>
          <w:numId w:val="146"/>
        </w:numPr>
        <w:spacing w:before="188"/>
        <w:outlineLvl w:val="1"/>
        <w:rPr>
          <w:rFonts w:ascii="Times New Roman" w:hAnsi="Times New Roman" w:cs="Times New Roman"/>
          <w:b/>
          <w:bCs/>
          <w:color w:val="0070C0"/>
        </w:rPr>
      </w:pPr>
      <w:bookmarkStart w:id="188" w:name="_Toc217297574"/>
      <w:r w:rsidRPr="000118A3">
        <w:rPr>
          <w:rFonts w:ascii="Times New Roman" w:hAnsi="Times New Roman" w:cs="Times New Roman"/>
          <w:b/>
          <w:bCs/>
          <w:color w:val="0070C0"/>
        </w:rPr>
        <w:t>Recommended priority actions including regional cooperation</w:t>
      </w:r>
      <w:bookmarkEnd w:id="188"/>
      <w:r w:rsidRPr="000118A3">
        <w:rPr>
          <w:rFonts w:ascii="Times New Roman" w:hAnsi="Times New Roman" w:cs="Times New Roman"/>
          <w:b/>
          <w:bCs/>
          <w:color w:val="0070C0"/>
        </w:rPr>
        <w:t xml:space="preserve"> </w:t>
      </w:r>
    </w:p>
    <w:p w14:paraId="0B1C4535" w14:textId="77777777" w:rsidR="008E3D29" w:rsidRPr="000118A3" w:rsidRDefault="008E3D29" w:rsidP="008E3D29">
      <w:pPr>
        <w:numPr>
          <w:ilvl w:val="0"/>
          <w:numId w:val="132"/>
        </w:numPr>
        <w:ind w:left="1418"/>
        <w:jc w:val="both"/>
        <w:rPr>
          <w:rFonts w:ascii="Times New Roman" w:eastAsia="Times New Roman" w:hAnsi="Times New Roman" w:cs="Times New Roman"/>
          <w:iCs/>
          <w:sz w:val="22"/>
          <w:szCs w:val="22"/>
        </w:rPr>
      </w:pPr>
      <w:r w:rsidRPr="000118A3">
        <w:rPr>
          <w:rFonts w:ascii="Times New Roman" w:eastAsia="Times New Roman" w:hAnsi="Times New Roman" w:cs="Times New Roman"/>
          <w:iCs/>
          <w:sz w:val="22"/>
          <w:szCs w:val="22"/>
        </w:rPr>
        <w:t>Establish a multi-level governance framework (central-provincial-regency) for integrated blue economy development, pollution control, and coastal ecosystem conservation.</w:t>
      </w:r>
    </w:p>
    <w:p w14:paraId="5697B4FB" w14:textId="77777777" w:rsidR="008E3D29" w:rsidRPr="000118A3" w:rsidRDefault="008E3D29" w:rsidP="008E3D29">
      <w:pPr>
        <w:numPr>
          <w:ilvl w:val="0"/>
          <w:numId w:val="132"/>
        </w:numPr>
        <w:ind w:left="1418"/>
        <w:jc w:val="both"/>
        <w:rPr>
          <w:rFonts w:ascii="Times New Roman" w:eastAsia="Times New Roman" w:hAnsi="Times New Roman" w:cs="Times New Roman"/>
          <w:iCs/>
          <w:sz w:val="22"/>
          <w:szCs w:val="22"/>
        </w:rPr>
      </w:pPr>
      <w:r w:rsidRPr="000118A3">
        <w:rPr>
          <w:rFonts w:ascii="Times New Roman" w:eastAsia="Times New Roman" w:hAnsi="Times New Roman" w:cs="Times New Roman"/>
          <w:iCs/>
          <w:sz w:val="22"/>
          <w:szCs w:val="22"/>
        </w:rPr>
        <w:t>Strengthening illegal fishing eradication through enhanced monitoring, enforcement, and regional cooperation.</w:t>
      </w:r>
    </w:p>
    <w:p w14:paraId="1506D9E7" w14:textId="77777777" w:rsidR="008E3D29" w:rsidRPr="000118A3" w:rsidRDefault="008E3D29" w:rsidP="008E3D29">
      <w:pPr>
        <w:numPr>
          <w:ilvl w:val="0"/>
          <w:numId w:val="132"/>
        </w:numPr>
        <w:ind w:left="1418"/>
        <w:jc w:val="both"/>
        <w:rPr>
          <w:rFonts w:ascii="Times New Roman" w:eastAsia="Times New Roman" w:hAnsi="Times New Roman" w:cs="Times New Roman"/>
          <w:iCs/>
          <w:sz w:val="22"/>
          <w:szCs w:val="22"/>
        </w:rPr>
      </w:pPr>
      <w:r w:rsidRPr="000118A3">
        <w:rPr>
          <w:rFonts w:ascii="Times New Roman" w:eastAsia="Times New Roman" w:hAnsi="Times New Roman" w:cs="Times New Roman"/>
          <w:iCs/>
          <w:sz w:val="22"/>
          <w:szCs w:val="22"/>
        </w:rPr>
        <w:t>Revitalize ASEAN working groups via diplomatic channels to address transboundary sludge pollution affecting Batam and Bintan.</w:t>
      </w:r>
    </w:p>
    <w:p w14:paraId="42E228CB" w14:textId="77777777" w:rsidR="008E3D29" w:rsidRPr="000118A3" w:rsidRDefault="008E3D29" w:rsidP="008E3D29">
      <w:pPr>
        <w:numPr>
          <w:ilvl w:val="0"/>
          <w:numId w:val="132"/>
        </w:numPr>
        <w:ind w:left="1418"/>
        <w:jc w:val="both"/>
        <w:rPr>
          <w:rFonts w:ascii="Times New Roman" w:eastAsia="Times New Roman" w:hAnsi="Times New Roman" w:cs="Times New Roman"/>
          <w:iCs/>
          <w:sz w:val="22"/>
          <w:szCs w:val="22"/>
        </w:rPr>
      </w:pPr>
      <w:r w:rsidRPr="000118A3">
        <w:rPr>
          <w:rFonts w:ascii="Times New Roman" w:eastAsia="Times New Roman" w:hAnsi="Times New Roman" w:cs="Times New Roman"/>
          <w:iCs/>
          <w:sz w:val="22"/>
          <w:szCs w:val="22"/>
        </w:rPr>
        <w:t>Create a dedicated regional platform for managing marine plastic debris and ALDFG.</w:t>
      </w:r>
    </w:p>
    <w:p w14:paraId="7943BE39" w14:textId="77777777" w:rsidR="008E3D29" w:rsidRDefault="008E3D29" w:rsidP="008E3D29">
      <w:pPr>
        <w:numPr>
          <w:ilvl w:val="0"/>
          <w:numId w:val="132"/>
        </w:numPr>
        <w:ind w:left="1418"/>
        <w:jc w:val="both"/>
        <w:rPr>
          <w:rFonts w:ascii="Times New Roman" w:eastAsia="Times New Roman" w:hAnsi="Times New Roman" w:cs="Times New Roman"/>
          <w:iCs/>
          <w:sz w:val="22"/>
          <w:szCs w:val="22"/>
        </w:rPr>
      </w:pPr>
      <w:r w:rsidRPr="000118A3">
        <w:rPr>
          <w:rFonts w:ascii="Times New Roman" w:eastAsia="Times New Roman" w:hAnsi="Times New Roman" w:cs="Times New Roman"/>
          <w:iCs/>
          <w:sz w:val="22"/>
          <w:szCs w:val="22"/>
        </w:rPr>
        <w:t>Enhance the effectiveness of SCS working groups focused on coastal ecosystem conservation (mangroves, seagrass, coral reefs).</w:t>
      </w:r>
    </w:p>
    <w:p w14:paraId="42851494" w14:textId="77777777" w:rsidR="00D02C7C" w:rsidRDefault="00D02C7C" w:rsidP="00D02C7C">
      <w:pPr>
        <w:ind w:left="1418"/>
        <w:jc w:val="both"/>
        <w:rPr>
          <w:rFonts w:ascii="Times New Roman" w:eastAsia="Times New Roman" w:hAnsi="Times New Roman" w:cs="Times New Roman"/>
          <w:iCs/>
          <w:sz w:val="22"/>
          <w:szCs w:val="22"/>
        </w:rPr>
      </w:pPr>
    </w:p>
    <w:p w14:paraId="4F6D8363" w14:textId="58E61C0F" w:rsidR="00CA3F18" w:rsidRPr="000118A3" w:rsidRDefault="003F19BD" w:rsidP="00B16E45">
      <w:pPr>
        <w:pStyle w:val="BodyText"/>
        <w:numPr>
          <w:ilvl w:val="1"/>
          <w:numId w:val="146"/>
        </w:numPr>
        <w:spacing w:before="188"/>
        <w:outlineLvl w:val="1"/>
        <w:rPr>
          <w:rFonts w:ascii="Times New Roman" w:hAnsi="Times New Roman" w:cs="Times New Roman"/>
          <w:b/>
          <w:bCs/>
          <w:color w:val="0070C0"/>
        </w:rPr>
      </w:pPr>
      <w:bookmarkStart w:id="189" w:name="_Toc217297575"/>
      <w:r w:rsidRPr="000118A3">
        <w:rPr>
          <w:rFonts w:ascii="Times New Roman" w:hAnsi="Times New Roman" w:cs="Times New Roman"/>
          <w:b/>
          <w:bCs/>
          <w:color w:val="0070C0"/>
        </w:rPr>
        <w:t>C</w:t>
      </w:r>
      <w:r w:rsidR="00B16E45" w:rsidRPr="000118A3">
        <w:rPr>
          <w:rFonts w:ascii="Times New Roman" w:hAnsi="Times New Roman" w:cs="Times New Roman"/>
          <w:b/>
          <w:bCs/>
          <w:color w:val="0070C0"/>
        </w:rPr>
        <w:t>onclusion</w:t>
      </w:r>
      <w:bookmarkEnd w:id="189"/>
    </w:p>
    <w:p w14:paraId="49A06454" w14:textId="77777777" w:rsidR="008E3D29" w:rsidRPr="000118A3" w:rsidRDefault="008E3D29" w:rsidP="006A1A0B">
      <w:pPr>
        <w:spacing w:before="120"/>
        <w:jc w:val="both"/>
        <w:rPr>
          <w:rFonts w:ascii="Times New Roman" w:hAnsi="Times New Roman" w:cs="Times New Roman"/>
          <w:color w:val="0F1115"/>
          <w:sz w:val="22"/>
          <w:szCs w:val="22"/>
        </w:rPr>
      </w:pPr>
      <w:r w:rsidRPr="000118A3">
        <w:rPr>
          <w:rFonts w:ascii="Times New Roman" w:hAnsi="Times New Roman" w:cs="Times New Roman"/>
          <w:color w:val="0F1115"/>
          <w:sz w:val="22"/>
          <w:szCs w:val="22"/>
        </w:rPr>
        <w:t>This study finds Indonesia has mainstreamed marine water (including SCS water) governance into its national development plans for both medium term (2025-2045) and long term (2025-2029) through promoting a blue and green economy. This commitment is decentralized to provinces using the Indonesian Blue Economy Index (IBEI) as one of indexes to track 45 national development targets.</w:t>
      </w:r>
    </w:p>
    <w:p w14:paraId="10E28FE7" w14:textId="77777777" w:rsidR="008E3D29" w:rsidRPr="000118A3" w:rsidRDefault="008E3D29" w:rsidP="006A1A0B">
      <w:pPr>
        <w:spacing w:before="120"/>
        <w:jc w:val="both"/>
        <w:rPr>
          <w:rFonts w:ascii="Times New Roman" w:hAnsi="Times New Roman" w:cs="Times New Roman"/>
          <w:color w:val="0F1115"/>
          <w:sz w:val="22"/>
          <w:szCs w:val="22"/>
        </w:rPr>
      </w:pPr>
      <w:r w:rsidRPr="000118A3">
        <w:rPr>
          <w:rFonts w:ascii="Times New Roman" w:hAnsi="Times New Roman" w:cs="Times New Roman"/>
          <w:color w:val="0F1115"/>
          <w:sz w:val="22"/>
          <w:szCs w:val="22"/>
        </w:rPr>
        <w:t>However, governance performance and effectiveness remain low-to-medium across socio-economic, climate, pollution, ecosystem, and fisheries issues. Risk analysis reveals adequate regulations (</w:t>
      </w:r>
      <w:r w:rsidRPr="000118A3">
        <w:rPr>
          <w:rFonts w:ascii="Times New Roman" w:hAnsi="Times New Roman" w:cs="Times New Roman"/>
          <w:i/>
          <w:iCs/>
          <w:color w:val="0F1115"/>
          <w:sz w:val="22"/>
          <w:szCs w:val="22"/>
        </w:rPr>
        <w:t xml:space="preserve">completeness and engagement) </w:t>
      </w:r>
      <w:r w:rsidRPr="000118A3">
        <w:rPr>
          <w:rFonts w:ascii="Times New Roman" w:hAnsi="Times New Roman" w:cs="Times New Roman"/>
          <w:color w:val="0F1115"/>
          <w:sz w:val="22"/>
          <w:szCs w:val="22"/>
        </w:rPr>
        <w:t>but lack of stakeholder coordination (</w:t>
      </w:r>
      <w:r w:rsidRPr="000118A3">
        <w:rPr>
          <w:rFonts w:ascii="Times New Roman" w:hAnsi="Times New Roman" w:cs="Times New Roman"/>
          <w:i/>
          <w:iCs/>
          <w:color w:val="0F1115"/>
          <w:sz w:val="22"/>
          <w:szCs w:val="22"/>
        </w:rPr>
        <w:t>integration</w:t>
      </w:r>
      <w:r w:rsidRPr="000118A3">
        <w:rPr>
          <w:rFonts w:ascii="Times New Roman" w:hAnsi="Times New Roman" w:cs="Times New Roman"/>
          <w:color w:val="0F1115"/>
          <w:sz w:val="22"/>
          <w:szCs w:val="22"/>
        </w:rPr>
        <w:t>), undermining enforcement.</w:t>
      </w:r>
    </w:p>
    <w:p w14:paraId="44B3615C" w14:textId="39DE504F" w:rsidR="008E3D29" w:rsidRPr="000118A3" w:rsidRDefault="008E3D29" w:rsidP="006A1A0B">
      <w:pPr>
        <w:pStyle w:val="BodyText"/>
        <w:spacing w:before="120" w:after="0"/>
        <w:jc w:val="both"/>
        <w:rPr>
          <w:rFonts w:ascii="Times New Roman" w:hAnsi="Times New Roman" w:cs="Times New Roman"/>
          <w:b/>
          <w:bCs/>
          <w:color w:val="0070C0"/>
        </w:rPr>
      </w:pPr>
      <w:r w:rsidRPr="000118A3">
        <w:rPr>
          <w:rFonts w:ascii="Times New Roman" w:hAnsi="Times New Roman" w:cs="Times New Roman"/>
          <w:color w:val="0F1115"/>
        </w:rPr>
        <w:t xml:space="preserve">Regional cooperation of SCS exists, it requires strengthening on marine pollution (e.g., oil sludge) and expansion to include transboundary issues like ecosystem degradation, plastic waste, and ALDFG. Moreover, effective SCS water of Indonesia management necessitates a land-sea collaboration platform among central </w:t>
      </w:r>
      <w:r w:rsidRPr="000118A3">
        <w:rPr>
          <w:rFonts w:ascii="Times New Roman" w:hAnsi="Times New Roman" w:cs="Times New Roman"/>
          <w:color w:val="0F1115"/>
        </w:rPr>
        <w:lastRenderedPageBreak/>
        <w:t>government, five provinces, and twenty regencies/cities. This would address land-based drivers of marine issues while strengthening Indonesia’s position in regional cooperation frameworks.</w:t>
      </w:r>
    </w:p>
    <w:p w14:paraId="65DE4477" w14:textId="77777777" w:rsidR="00C6549B" w:rsidRDefault="00C6549B" w:rsidP="006A1A0B">
      <w:pPr>
        <w:pStyle w:val="BodyText"/>
        <w:spacing w:before="120" w:after="0"/>
        <w:jc w:val="both"/>
        <w:rPr>
          <w:rFonts w:ascii="Times New Roman" w:hAnsi="Times New Roman" w:cs="Times New Roman"/>
          <w:lang w:val="en-US"/>
        </w:rPr>
      </w:pPr>
    </w:p>
    <w:p w14:paraId="2E2CFFE7" w14:textId="5945CD35" w:rsidR="009D2BF6" w:rsidRPr="009D2BF6" w:rsidRDefault="009D2BF6" w:rsidP="00C6549B">
      <w:pPr>
        <w:pStyle w:val="BodyText"/>
        <w:spacing w:before="120" w:after="0" w:line="240" w:lineRule="auto"/>
        <w:jc w:val="both"/>
        <w:rPr>
          <w:rFonts w:ascii="Times New Roman" w:hAnsi="Times New Roman" w:cs="Times New Roman"/>
          <w:b/>
          <w:bCs/>
          <w:color w:val="0070C0"/>
          <w:lang w:val="en-US"/>
        </w:rPr>
      </w:pPr>
      <w:r w:rsidRPr="00C6549B">
        <w:rPr>
          <w:rFonts w:ascii="Times New Roman" w:hAnsi="Times New Roman" w:cs="Times New Roman"/>
          <w:b/>
          <w:bCs/>
          <w:lang w:val="en-US"/>
        </w:rPr>
        <w:t>Acknowledgements</w:t>
      </w:r>
      <w:r w:rsidRPr="009D2BF6">
        <w:rPr>
          <w:rFonts w:ascii="Times New Roman" w:hAnsi="Times New Roman" w:cs="Times New Roman"/>
          <w:lang w:val="en-US"/>
        </w:rPr>
        <w:t>: The authors are grateful to the Ministry of Environment of Indonesia, UNOPS, and the Center for Coastal and Marine Resources Studies, IPB University (PKSPL IPB), Indonesia, which provided the research facilities and funding, especially during data collection processes, including Focus Group Discussion in Bintan and Pontianak</w:t>
      </w:r>
      <w:r w:rsidRPr="009D2BF6">
        <w:rPr>
          <w:rFonts w:ascii="Times New Roman" w:hAnsi="Times New Roman" w:cs="Times New Roman"/>
          <w:b/>
          <w:bCs/>
          <w:color w:val="0070C0"/>
          <w:lang w:val="en-US"/>
        </w:rPr>
        <w:t xml:space="preserve">.   </w:t>
      </w:r>
    </w:p>
    <w:p w14:paraId="3BD0B2B8" w14:textId="77777777" w:rsidR="00C6549B" w:rsidRDefault="00C6549B" w:rsidP="00C6549B">
      <w:pPr>
        <w:pStyle w:val="BodyText"/>
        <w:spacing w:before="120" w:after="0" w:line="240" w:lineRule="auto"/>
        <w:jc w:val="both"/>
        <w:rPr>
          <w:rFonts w:ascii="Times New Roman" w:hAnsi="Times New Roman" w:cs="Times New Roman"/>
          <w:lang w:val="en-ID"/>
        </w:rPr>
      </w:pPr>
    </w:p>
    <w:p w14:paraId="73BFBB53" w14:textId="4744F751" w:rsidR="009D2BF6" w:rsidRPr="006A1A0B" w:rsidRDefault="006A1A0B" w:rsidP="00C6549B">
      <w:pPr>
        <w:pStyle w:val="BodyText"/>
        <w:spacing w:before="120" w:after="0" w:line="240" w:lineRule="auto"/>
        <w:jc w:val="both"/>
        <w:rPr>
          <w:rFonts w:ascii="Times New Roman" w:hAnsi="Times New Roman" w:cs="Times New Roman"/>
        </w:rPr>
      </w:pPr>
      <w:r w:rsidRPr="006A1A0B">
        <w:rPr>
          <w:rFonts w:ascii="Times New Roman" w:hAnsi="Times New Roman" w:cs="Times New Roman"/>
          <w:lang w:val="en-ID"/>
        </w:rPr>
        <w:t> </w:t>
      </w:r>
      <w:r w:rsidRPr="006A1A0B">
        <w:rPr>
          <w:rFonts w:ascii="Times New Roman" w:hAnsi="Times New Roman" w:cs="Times New Roman"/>
          <w:b/>
          <w:bCs/>
          <w:lang w:val="en-ID"/>
        </w:rPr>
        <w:t xml:space="preserve">Author Contributions: </w:t>
      </w:r>
      <w:r w:rsidRPr="006A1A0B">
        <w:rPr>
          <w:rFonts w:ascii="Times New Roman" w:hAnsi="Times New Roman" w:cs="Times New Roman"/>
          <w:b/>
          <w:bCs/>
          <w:i/>
          <w:iCs/>
          <w:lang w:val="en-ID"/>
        </w:rPr>
        <w:t>conceptualization</w:t>
      </w:r>
      <w:r w:rsidRPr="006A1A0B">
        <w:rPr>
          <w:rFonts w:ascii="Times New Roman" w:hAnsi="Times New Roman" w:cs="Times New Roman"/>
          <w:lang w:val="en-ID"/>
        </w:rPr>
        <w:t xml:space="preserve">, T.K.; </w:t>
      </w:r>
      <w:r w:rsidRPr="006A1A0B">
        <w:rPr>
          <w:rFonts w:ascii="Times New Roman" w:hAnsi="Times New Roman" w:cs="Times New Roman"/>
          <w:i/>
          <w:iCs/>
          <w:lang w:val="en-ID"/>
        </w:rPr>
        <w:t>data curation</w:t>
      </w:r>
      <w:r w:rsidRPr="006A1A0B">
        <w:rPr>
          <w:rFonts w:ascii="Times New Roman" w:hAnsi="Times New Roman" w:cs="Times New Roman"/>
          <w:lang w:val="en-ID"/>
        </w:rPr>
        <w:t xml:space="preserve">, T.K., R.R.; </w:t>
      </w:r>
      <w:r w:rsidRPr="006A1A0B">
        <w:rPr>
          <w:rFonts w:ascii="Times New Roman" w:hAnsi="Times New Roman" w:cs="Times New Roman"/>
          <w:i/>
          <w:iCs/>
          <w:lang w:val="en-ID"/>
        </w:rPr>
        <w:t>formal analysis</w:t>
      </w:r>
      <w:r w:rsidRPr="006A1A0B">
        <w:rPr>
          <w:rFonts w:ascii="Times New Roman" w:hAnsi="Times New Roman" w:cs="Times New Roman"/>
          <w:lang w:val="en-ID"/>
        </w:rPr>
        <w:t xml:space="preserve">, T.K., R.R; </w:t>
      </w:r>
      <w:r w:rsidRPr="006A1A0B">
        <w:rPr>
          <w:rFonts w:ascii="Times New Roman" w:hAnsi="Times New Roman" w:cs="Times New Roman"/>
          <w:i/>
          <w:iCs/>
          <w:lang w:val="en-ID"/>
        </w:rPr>
        <w:t>funding acquisition</w:t>
      </w:r>
      <w:r w:rsidRPr="006A1A0B">
        <w:rPr>
          <w:rFonts w:ascii="Times New Roman" w:hAnsi="Times New Roman" w:cs="Times New Roman"/>
          <w:lang w:val="en-ID"/>
        </w:rPr>
        <w:t xml:space="preserve">, </w:t>
      </w:r>
      <w:r w:rsidRPr="006A1A0B">
        <w:rPr>
          <w:rFonts w:ascii="Times New Roman" w:hAnsi="Times New Roman" w:cs="Times New Roman"/>
          <w:i/>
          <w:iCs/>
          <w:lang w:val="en-ID"/>
        </w:rPr>
        <w:t>investigation</w:t>
      </w:r>
      <w:r w:rsidRPr="006A1A0B">
        <w:rPr>
          <w:rFonts w:ascii="Times New Roman" w:hAnsi="Times New Roman" w:cs="Times New Roman"/>
          <w:lang w:val="en-ID"/>
        </w:rPr>
        <w:t xml:space="preserve">, T.K, R.R.; </w:t>
      </w:r>
      <w:r w:rsidRPr="006A1A0B">
        <w:rPr>
          <w:rFonts w:ascii="Times New Roman" w:hAnsi="Times New Roman" w:cs="Times New Roman"/>
          <w:i/>
          <w:iCs/>
          <w:lang w:val="en-ID"/>
        </w:rPr>
        <w:t>methodology</w:t>
      </w:r>
      <w:r w:rsidRPr="006A1A0B">
        <w:rPr>
          <w:rFonts w:ascii="Times New Roman" w:hAnsi="Times New Roman" w:cs="Times New Roman"/>
          <w:lang w:val="en-ID"/>
        </w:rPr>
        <w:t xml:space="preserve">, T.K.; </w:t>
      </w:r>
      <w:r w:rsidRPr="006A1A0B">
        <w:rPr>
          <w:rFonts w:ascii="Times New Roman" w:hAnsi="Times New Roman" w:cs="Times New Roman"/>
          <w:i/>
          <w:iCs/>
          <w:lang w:val="en-ID"/>
        </w:rPr>
        <w:t>project administration</w:t>
      </w:r>
      <w:r w:rsidRPr="006A1A0B">
        <w:rPr>
          <w:rFonts w:ascii="Times New Roman" w:hAnsi="Times New Roman" w:cs="Times New Roman"/>
          <w:lang w:val="en-ID"/>
        </w:rPr>
        <w:t xml:space="preserve">, I.H.; </w:t>
      </w:r>
      <w:r w:rsidRPr="006A1A0B">
        <w:rPr>
          <w:rFonts w:ascii="Times New Roman" w:hAnsi="Times New Roman" w:cs="Times New Roman"/>
          <w:i/>
          <w:iCs/>
          <w:lang w:val="en-ID"/>
        </w:rPr>
        <w:t>resources</w:t>
      </w:r>
      <w:r w:rsidRPr="006A1A0B">
        <w:rPr>
          <w:rFonts w:ascii="Times New Roman" w:hAnsi="Times New Roman" w:cs="Times New Roman"/>
          <w:lang w:val="en-ID"/>
        </w:rPr>
        <w:t xml:space="preserve">, I.H.; supervision, T.K., M.K. ; </w:t>
      </w:r>
      <w:r w:rsidRPr="006A1A0B">
        <w:rPr>
          <w:rFonts w:ascii="Times New Roman" w:hAnsi="Times New Roman" w:cs="Times New Roman"/>
          <w:i/>
          <w:iCs/>
          <w:lang w:val="en-ID"/>
        </w:rPr>
        <w:t>visualization</w:t>
      </w:r>
      <w:r w:rsidRPr="006A1A0B">
        <w:rPr>
          <w:rFonts w:ascii="Times New Roman" w:hAnsi="Times New Roman" w:cs="Times New Roman"/>
          <w:lang w:val="en-ID"/>
        </w:rPr>
        <w:t xml:space="preserve">, T.K. , R.R. ;  </w:t>
      </w:r>
      <w:r w:rsidRPr="006A1A0B">
        <w:rPr>
          <w:rFonts w:ascii="Times New Roman" w:hAnsi="Times New Roman" w:cs="Times New Roman"/>
          <w:i/>
          <w:iCs/>
          <w:lang w:val="en-ID"/>
        </w:rPr>
        <w:t>writing-original draft</w:t>
      </w:r>
      <w:r w:rsidRPr="006A1A0B">
        <w:rPr>
          <w:rFonts w:ascii="Times New Roman" w:hAnsi="Times New Roman" w:cs="Times New Roman"/>
          <w:lang w:val="en-ID"/>
        </w:rPr>
        <w:t xml:space="preserve">, T.K. R.R.; </w:t>
      </w:r>
      <w:r w:rsidRPr="006A1A0B">
        <w:rPr>
          <w:rFonts w:ascii="Times New Roman" w:hAnsi="Times New Roman" w:cs="Times New Roman"/>
          <w:i/>
          <w:iCs/>
          <w:lang w:val="en-ID"/>
        </w:rPr>
        <w:t>writing-review and editing</w:t>
      </w:r>
      <w:r w:rsidRPr="006A1A0B">
        <w:rPr>
          <w:rFonts w:ascii="Times New Roman" w:hAnsi="Times New Roman" w:cs="Times New Roman"/>
          <w:lang w:val="en-ID"/>
        </w:rPr>
        <w:t>, T.K. R.R</w:t>
      </w:r>
    </w:p>
    <w:p w14:paraId="7A9F194E" w14:textId="77777777" w:rsidR="008E3D29" w:rsidRPr="000118A3" w:rsidRDefault="008E3D29" w:rsidP="008E3D29">
      <w:pPr>
        <w:pStyle w:val="BodyText"/>
        <w:spacing w:before="188"/>
        <w:rPr>
          <w:rFonts w:ascii="Times New Roman" w:hAnsi="Times New Roman" w:cs="Times New Roman"/>
          <w:b/>
          <w:bCs/>
          <w:color w:val="0070C0"/>
        </w:rPr>
      </w:pPr>
    </w:p>
    <w:p w14:paraId="53DE7D72" w14:textId="4CE06805" w:rsidR="003F19BD" w:rsidRDefault="003F19BD" w:rsidP="0092522E">
      <w:pPr>
        <w:pStyle w:val="BodyText"/>
        <w:spacing w:before="188"/>
        <w:outlineLvl w:val="1"/>
        <w:rPr>
          <w:rFonts w:ascii="Times New Roman" w:hAnsi="Times New Roman" w:cs="Times New Roman"/>
          <w:b/>
          <w:bCs/>
          <w:color w:val="0070C0"/>
        </w:rPr>
      </w:pPr>
      <w:bookmarkStart w:id="190" w:name="_Toc217297576"/>
      <w:r w:rsidRPr="000118A3">
        <w:rPr>
          <w:rFonts w:ascii="Times New Roman" w:hAnsi="Times New Roman" w:cs="Times New Roman"/>
          <w:b/>
          <w:bCs/>
          <w:color w:val="0070C0"/>
        </w:rPr>
        <w:t>R</w:t>
      </w:r>
      <w:r w:rsidR="00F05CEC">
        <w:rPr>
          <w:rFonts w:ascii="Times New Roman" w:hAnsi="Times New Roman" w:cs="Times New Roman"/>
          <w:b/>
          <w:bCs/>
          <w:color w:val="0070C0"/>
        </w:rPr>
        <w:t>eferences</w:t>
      </w:r>
      <w:bookmarkEnd w:id="190"/>
    </w:p>
    <w:p w14:paraId="67B00CEE"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i/>
          <w:iCs/>
          <w:color w:val="000000"/>
        </w:rPr>
      </w:pPr>
      <w:r w:rsidRPr="008D43DF">
        <w:rPr>
          <w:rFonts w:ascii="Times New Roman" w:hAnsi="Times New Roman" w:cs="Times New Roman"/>
          <w:color w:val="000000"/>
        </w:rPr>
        <w:t xml:space="preserve">Arifin Z. Falahudin D, Saito H, Mintarsih TH, Hafizt M, Suteja Y. 2023. Indonesian Policy and Research toward 70% reduction of marine plastic pollution by 2025. </w:t>
      </w:r>
      <w:r w:rsidRPr="008D43DF">
        <w:rPr>
          <w:rFonts w:ascii="Times New Roman" w:hAnsi="Times New Roman" w:cs="Times New Roman"/>
          <w:i/>
          <w:iCs/>
          <w:color w:val="000000"/>
        </w:rPr>
        <w:t>Marine Policy</w:t>
      </w:r>
      <w:r w:rsidRPr="008D43DF">
        <w:rPr>
          <w:rFonts w:ascii="Times New Roman" w:hAnsi="Times New Roman" w:cs="Times New Roman"/>
          <w:color w:val="000000"/>
        </w:rPr>
        <w:t>. 155.</w:t>
      </w:r>
    </w:p>
    <w:p w14:paraId="67ECE505"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 Astuti R. 2017.  Marine Environmental Governance in the South China Sea. </w:t>
      </w:r>
      <w:r w:rsidRPr="008D43DF">
        <w:rPr>
          <w:rFonts w:ascii="Times New Roman" w:hAnsi="Times New Roman" w:cs="Times New Roman"/>
          <w:i/>
          <w:iCs/>
          <w:color w:val="000000"/>
        </w:rPr>
        <w:t>RSIS Commentary</w:t>
      </w:r>
      <w:r w:rsidRPr="008D43DF">
        <w:rPr>
          <w:rFonts w:ascii="Times New Roman" w:hAnsi="Times New Roman" w:cs="Times New Roman"/>
          <w:color w:val="000000"/>
        </w:rPr>
        <w:t xml:space="preserve">. 112. </w:t>
      </w:r>
    </w:p>
    <w:p w14:paraId="061AD380"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lang w:val="fi-FI"/>
        </w:rPr>
      </w:pPr>
      <w:r w:rsidRPr="008D43DF">
        <w:rPr>
          <w:rFonts w:ascii="Times New Roman" w:hAnsi="Times New Roman" w:cs="Times New Roman"/>
          <w:color w:val="000000"/>
        </w:rPr>
        <w:t xml:space="preserve">Bappenas. 2021. Ringkasan Eksekutif Kebijakan Pembangunan Berketahanan Iklim (Climate Resilience Development Policy) 2020-2045. </w:t>
      </w:r>
      <w:r w:rsidRPr="008D43DF">
        <w:rPr>
          <w:rFonts w:ascii="Times New Roman" w:hAnsi="Times New Roman" w:cs="Times New Roman"/>
          <w:color w:val="000000"/>
          <w:lang w:val="fi-FI"/>
        </w:rPr>
        <w:t xml:space="preserve">Jakarta </w:t>
      </w:r>
      <w:r w:rsidRPr="008D43DF">
        <w:rPr>
          <w:rFonts w:ascii="Times New Roman" w:hAnsi="Times New Roman" w:cs="Times New Roman"/>
          <w:b/>
          <w:bCs/>
          <w:color w:val="000000"/>
          <w:lang w:val="fi-FI"/>
        </w:rPr>
        <w:t>(</w:t>
      </w:r>
      <w:r w:rsidRPr="008D43DF">
        <w:rPr>
          <w:rFonts w:ascii="Times New Roman" w:hAnsi="Times New Roman" w:cs="Times New Roman"/>
          <w:color w:val="000000"/>
          <w:lang w:val="fi-FI"/>
        </w:rPr>
        <w:t xml:space="preserve">ID): Badan Perencanaan Pembangunan Nasional.  </w:t>
      </w:r>
    </w:p>
    <w:p w14:paraId="4E309171"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lang w:val="fi-FI"/>
        </w:rPr>
      </w:pPr>
      <w:r w:rsidRPr="008D43DF">
        <w:rPr>
          <w:rFonts w:ascii="Times New Roman" w:hAnsi="Times New Roman" w:cs="Times New Roman"/>
          <w:color w:val="000000"/>
          <w:lang w:val="fi-FI"/>
        </w:rPr>
        <w:t xml:space="preserve">Bappenas. 2024. Peta Jalan dan Rencana Aksi Nasional Ekonomi Sirkuler Indonesia 2025–2045. Jakarta (ID): Badan Perencanaan Pembangunan Nasional. </w:t>
      </w:r>
    </w:p>
    <w:p w14:paraId="384881E1"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lang w:val="fi-FI"/>
        </w:rPr>
        <w:t xml:space="preserve">Bappenas. 2025. Ringkasan Rencana Pembangunan Jangka Menengah 2025–2029. </w:t>
      </w:r>
      <w:r w:rsidRPr="008D43DF">
        <w:rPr>
          <w:rFonts w:ascii="Times New Roman" w:hAnsi="Times New Roman" w:cs="Times New Roman"/>
          <w:color w:val="000000"/>
        </w:rPr>
        <w:t>Jakarta (ID): Badan Perencanaan Pembangunan Nasional</w:t>
      </w:r>
    </w:p>
    <w:p w14:paraId="50AB68CF"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BPS and Coordinating Ministry of Maritim Affair and Investment. 2024. GDP Maritim 2019-2023 (in Bahasa Indonesia). BPS and Coordinating Ministry of Maritim Affair and Investment, Jakarta. </w:t>
      </w:r>
    </w:p>
    <w:p w14:paraId="5AE09F65"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BPS-Statistic Indonesia. 2024. National Income of Indonesia 2019–2023. BPS-Statistic Indonesia, Jakarta. </w:t>
      </w:r>
    </w:p>
    <w:p w14:paraId="764FC97E" w14:textId="05EB0F3B"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Fanning F, Mahon R, Baldwin K, S Douglas.2017.  Transboundary Waters Assessment Programme (TWAP) Assessment of Governance Arrangements for the Ocean: </w:t>
      </w:r>
      <w:r w:rsidR="00600CEE">
        <w:rPr>
          <w:rFonts w:ascii="Times New Roman" w:hAnsi="Times New Roman" w:cs="Times New Roman"/>
          <w:color w:val="000000"/>
        </w:rPr>
        <w:t>Appendix</w:t>
      </w:r>
      <w:r w:rsidRPr="008D43DF">
        <w:rPr>
          <w:rFonts w:ascii="Times New Roman" w:hAnsi="Times New Roman" w:cs="Times New Roman"/>
          <w:color w:val="000000"/>
        </w:rPr>
        <w:t xml:space="preserve"> to Volume 1 – Individual Governance Architecture Assessment for Fifty Transboundary Large Marine Ecosystems.  Centre for Resource Management and Environmental Studies, University of the West Indies, CERMES Technical Report No 85: 834 p.</w:t>
      </w:r>
    </w:p>
    <w:p w14:paraId="6DF1E4E0"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lang w:val="fi-FI"/>
        </w:rPr>
      </w:pPr>
      <w:r w:rsidRPr="008D43DF">
        <w:rPr>
          <w:rFonts w:ascii="Times New Roman" w:hAnsi="Times New Roman" w:cs="Times New Roman"/>
          <w:color w:val="000000"/>
          <w:lang w:val="fi-FI"/>
        </w:rPr>
        <w:t xml:space="preserve">ICLEI Indonesia. 2020. Akses Pendanaan Iklim Bagi Daerah. Jakarta (ID): ICLEI Indonesia. </w:t>
      </w:r>
    </w:p>
    <w:p w14:paraId="73E65A2F"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Indonesia Financial Services Authority (OJK). 2024. Indonesia taxonomy for Sustainable Finance. Jakarta. Indonesia Financial Services Authority</w:t>
      </w:r>
    </w:p>
    <w:p w14:paraId="671EC42B"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lang w:val="fi-FI"/>
        </w:rPr>
      </w:pPr>
      <w:r w:rsidRPr="008D43DF">
        <w:rPr>
          <w:rFonts w:ascii="Times New Roman" w:hAnsi="Times New Roman" w:cs="Times New Roman"/>
          <w:color w:val="000000"/>
        </w:rPr>
        <w:t xml:space="preserve">KLHK. 2020. </w:t>
      </w:r>
      <w:r w:rsidRPr="008D43DF">
        <w:rPr>
          <w:rFonts w:ascii="Times New Roman" w:hAnsi="Times New Roman" w:cs="Times New Roman"/>
          <w:i/>
          <w:iCs/>
          <w:color w:val="000000"/>
        </w:rPr>
        <w:t>Roadmap Nationally Determined Contribution (</w:t>
      </w:r>
      <w:r w:rsidRPr="008D43DF">
        <w:rPr>
          <w:rFonts w:ascii="Times New Roman" w:hAnsi="Times New Roman" w:cs="Times New Roman"/>
          <w:color w:val="000000"/>
        </w:rPr>
        <w:t xml:space="preserve">NDC) Adaptasi Perubahan Iklim. </w:t>
      </w:r>
      <w:r w:rsidRPr="008D43DF">
        <w:rPr>
          <w:rFonts w:ascii="Times New Roman" w:hAnsi="Times New Roman" w:cs="Times New Roman"/>
          <w:color w:val="000000"/>
          <w:lang w:val="fi-FI"/>
        </w:rPr>
        <w:t xml:space="preserve">Jakarta (ID): Kementerian Lingkungan Hidup dan Kehutanan Republik Indonesia. </w:t>
      </w:r>
    </w:p>
    <w:p w14:paraId="225892A5"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lang w:val="fi-FI"/>
        </w:rPr>
      </w:pPr>
      <w:r w:rsidRPr="008D43DF">
        <w:rPr>
          <w:rFonts w:ascii="Times New Roman" w:hAnsi="Times New Roman" w:cs="Times New Roman"/>
          <w:color w:val="000000"/>
          <w:lang w:val="fi-FI"/>
        </w:rPr>
        <w:t xml:space="preserve">KLHK. 2024. Peta Jalan ENDC Mitigasi Perubahan Iklim. Jakarta (ID): Kementerian Lingkungan Hidup dan Kehutanan Republik Indonesia. </w:t>
      </w:r>
    </w:p>
    <w:p w14:paraId="3AFE826F"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lastRenderedPageBreak/>
        <w:t xml:space="preserve">Ministry of Finance and Bank Indonesia. 2025. External Debt Statistic of Indonesia. Ministry of Finance and Bank Indonesia, Jakarta. </w:t>
      </w:r>
    </w:p>
    <w:p w14:paraId="50DEA288"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rPr>
        <w:t xml:space="preserve">Ministry of Investment and Downstream Industry/Indonesia Coordinating Investment Board. 2025. Realization of Foreign Direct Investment in Indonesia 2024.  </w:t>
      </w:r>
      <w:hyperlink r:id="rId116" w:history="1">
        <w:r w:rsidRPr="008D43DF">
          <w:rPr>
            <w:rStyle w:val="Hyperlink"/>
            <w:rFonts w:ascii="Times New Roman" w:hAnsi="Times New Roman" w:cs="Times New Roman"/>
          </w:rPr>
          <w:t>https://bkpm.go.id/id/info/realisasi-investasi</w:t>
        </w:r>
      </w:hyperlink>
      <w:r w:rsidRPr="008D43DF">
        <w:rPr>
          <w:rFonts w:ascii="Times New Roman" w:hAnsi="Times New Roman" w:cs="Times New Roman"/>
        </w:rPr>
        <w:t xml:space="preserve"> </w:t>
      </w:r>
      <w:r w:rsidRPr="008D43DF">
        <w:rPr>
          <w:rFonts w:ascii="Times New Roman" w:hAnsi="Times New Roman" w:cs="Times New Roman"/>
          <w:color w:val="000000"/>
        </w:rPr>
        <w:t xml:space="preserve">Accessed 2025. </w:t>
      </w:r>
    </w:p>
    <w:p w14:paraId="080E1CD1"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Maya ES, Fauni AM, Sa’diyah Y, Sajiwo PB, Hapsari TD, </w:t>
      </w:r>
      <w:r w:rsidRPr="008D43DF">
        <w:rPr>
          <w:rFonts w:ascii="Times New Roman" w:hAnsi="Times New Roman" w:cs="Times New Roman"/>
          <w:i/>
          <w:iCs/>
          <w:color w:val="000000"/>
        </w:rPr>
        <w:t>Prihantoko</w:t>
      </w:r>
      <w:r w:rsidRPr="008D43DF">
        <w:rPr>
          <w:rFonts w:ascii="Times New Roman" w:hAnsi="Times New Roman" w:cs="Times New Roman"/>
          <w:color w:val="000000"/>
        </w:rPr>
        <w:t xml:space="preserve"> KE, Pebruwanti N, and Kodiran T. 2024.  Identification of used components of purse seine in Pekalongan City, Central Java, Indonesia.   </w:t>
      </w:r>
      <w:r w:rsidRPr="008D43DF">
        <w:rPr>
          <w:rFonts w:ascii="Times New Roman" w:hAnsi="Times New Roman" w:cs="Times New Roman"/>
          <w:i/>
          <w:iCs/>
          <w:color w:val="000000"/>
        </w:rPr>
        <w:t>BIO Web of Conferences</w:t>
      </w:r>
      <w:r w:rsidRPr="008D43DF">
        <w:rPr>
          <w:rFonts w:ascii="Times New Roman" w:hAnsi="Times New Roman" w:cs="Times New Roman"/>
          <w:color w:val="000000"/>
        </w:rPr>
        <w:t xml:space="preserve"> 112, 03002.  https://doi.org/10.1051/bioconf/202411203002</w:t>
      </w:r>
      <w:r w:rsidRPr="008D43DF">
        <w:rPr>
          <w:rFonts w:ascii="Times New Roman" w:hAnsi="Times New Roman" w:cs="Times New Roman"/>
          <w:b/>
          <w:bCs/>
          <w:color w:val="000000"/>
        </w:rPr>
        <w:t xml:space="preserve">  </w:t>
      </w:r>
    </w:p>
    <w:p w14:paraId="20743680" w14:textId="77777777" w:rsidR="00882782" w:rsidRPr="008D43DF" w:rsidRDefault="00882782" w:rsidP="00C6549B">
      <w:pPr>
        <w:pBdr>
          <w:top w:val="nil"/>
          <w:left w:val="nil"/>
          <w:bottom w:val="nil"/>
          <w:right w:val="nil"/>
          <w:between w:val="nil"/>
        </w:pBdr>
        <w:spacing w:before="120"/>
        <w:ind w:left="900" w:hanging="900"/>
        <w:jc w:val="both"/>
        <w:rPr>
          <w:rFonts w:ascii="Times New Roman" w:hAnsi="Times New Roman" w:cs="Times New Roman"/>
          <w:color w:val="000000"/>
        </w:rPr>
      </w:pPr>
      <w:r w:rsidRPr="008D43DF">
        <w:rPr>
          <w:rFonts w:ascii="Times New Roman" w:hAnsi="Times New Roman" w:cs="Times New Roman"/>
          <w:color w:val="000000"/>
        </w:rPr>
        <w:t>Ministry of Home Affair. 2024. Agregat Jumlah Penduduk Per Kabupaten Kota. Satu Data Pemerintahan Dalam.</w:t>
      </w:r>
      <w:r w:rsidRPr="008D43DF">
        <w:rPr>
          <w:rFonts w:ascii="Times New Roman" w:hAnsi="Times New Roman" w:cs="Times New Roman"/>
          <w:i/>
          <w:iCs/>
          <w:color w:val="000000"/>
        </w:rPr>
        <w:t xml:space="preserve"> </w:t>
      </w:r>
      <w:hyperlink r:id="rId117" w:history="1">
        <w:r w:rsidRPr="008D43DF">
          <w:rPr>
            <w:rStyle w:val="Hyperlink"/>
            <w:rFonts w:ascii="Times New Roman" w:hAnsi="Times New Roman" w:cs="Times New Roman"/>
          </w:rPr>
          <w:t>https://pelita.kemendagri.go.id/kemendagri/dataset/1490/tabel-data acessed 08-13-2025</w:t>
        </w:r>
      </w:hyperlink>
      <w:r w:rsidRPr="008D43DF">
        <w:rPr>
          <w:rFonts w:ascii="Times New Roman" w:hAnsi="Times New Roman" w:cs="Times New Roman"/>
          <w:color w:val="000000"/>
        </w:rPr>
        <w:t xml:space="preserve">. </w:t>
      </w:r>
    </w:p>
    <w:p w14:paraId="255B854C" w14:textId="77777777" w:rsidR="00882782" w:rsidRPr="008D43DF" w:rsidRDefault="00882782" w:rsidP="00C6549B">
      <w:pPr>
        <w:pBdr>
          <w:top w:val="nil"/>
          <w:left w:val="nil"/>
          <w:bottom w:val="nil"/>
          <w:right w:val="nil"/>
          <w:between w:val="nil"/>
        </w:pBdr>
        <w:tabs>
          <w:tab w:val="left" w:pos="810"/>
        </w:tabs>
        <w:spacing w:before="120"/>
        <w:ind w:left="806" w:hanging="806"/>
        <w:jc w:val="both"/>
        <w:rPr>
          <w:rFonts w:ascii="Times New Roman" w:hAnsi="Times New Roman" w:cs="Times New Roman"/>
          <w:color w:val="000000"/>
        </w:rPr>
      </w:pPr>
      <w:r w:rsidRPr="008D43DF">
        <w:rPr>
          <w:rFonts w:ascii="Times New Roman" w:hAnsi="Times New Roman" w:cs="Times New Roman"/>
          <w:color w:val="000000"/>
        </w:rPr>
        <w:t xml:space="preserve">Qua T, Song YT, Yamagata T. 2009. An introduction to the South China Sea throughflow: Its dynamics, variability, and application for climate. </w:t>
      </w:r>
      <w:r w:rsidRPr="008D43DF">
        <w:rPr>
          <w:rFonts w:ascii="Times New Roman" w:hAnsi="Times New Roman" w:cs="Times New Roman"/>
          <w:i/>
          <w:iCs/>
          <w:color w:val="000000"/>
        </w:rPr>
        <w:t>Dynamics of Atmospheres and Oceans</w:t>
      </w:r>
      <w:r w:rsidRPr="008D43DF">
        <w:rPr>
          <w:rFonts w:ascii="Times New Roman" w:hAnsi="Times New Roman" w:cs="Times New Roman"/>
          <w:color w:val="000000"/>
        </w:rPr>
        <w:t xml:space="preserve"> 47: 3–14. </w:t>
      </w:r>
    </w:p>
    <w:p w14:paraId="4315824F"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Richardson K, Gunn R, Wilcox C, Hardesty BD. 2018. Understanding causes of gear loss provides a sound basis for fisheries management. </w:t>
      </w:r>
      <w:r w:rsidRPr="008D43DF">
        <w:rPr>
          <w:rFonts w:ascii="Times New Roman" w:hAnsi="Times New Roman" w:cs="Times New Roman"/>
          <w:i/>
          <w:iCs/>
          <w:color w:val="000000"/>
        </w:rPr>
        <w:t>Marine Policy</w:t>
      </w:r>
      <w:r w:rsidRPr="008D43DF">
        <w:rPr>
          <w:rFonts w:ascii="Times New Roman" w:hAnsi="Times New Roman" w:cs="Times New Roman"/>
          <w:color w:val="000000"/>
        </w:rPr>
        <w:t xml:space="preserve">. 96: 278-284. </w:t>
      </w:r>
    </w:p>
    <w:p w14:paraId="2B34F867"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rPr>
      </w:pPr>
      <w:r w:rsidRPr="008D43DF">
        <w:rPr>
          <w:rFonts w:ascii="Times New Roman" w:hAnsi="Times New Roman" w:cs="Times New Roman"/>
          <w:color w:val="000000"/>
        </w:rPr>
        <w:t>Saleh A, Permal S, Vergara PL, Son NH, Laksamana EA</w:t>
      </w:r>
      <w:r w:rsidRPr="008D43DF">
        <w:rPr>
          <w:rFonts w:ascii="Times New Roman" w:hAnsi="Times New Roman" w:cs="Times New Roman"/>
        </w:rPr>
        <w:t>. 2001.</w:t>
      </w:r>
      <w:r w:rsidRPr="008D43DF">
        <w:rPr>
          <w:rFonts w:ascii="Times New Roman" w:hAnsi="Times New Roman" w:cs="Times New Roman"/>
          <w:sz w:val="64"/>
          <w:szCs w:val="64"/>
        </w:rPr>
        <w:t xml:space="preserve"> </w:t>
      </w:r>
      <w:r w:rsidRPr="008D43DF">
        <w:rPr>
          <w:rFonts w:ascii="Times New Roman" w:hAnsi="Times New Roman" w:cs="Times New Roman"/>
          <w:i/>
          <w:iCs/>
        </w:rPr>
        <w:t>The South China Sea : Realities and Responses in South Asia</w:t>
      </w:r>
      <w:r w:rsidRPr="008D43DF">
        <w:rPr>
          <w:rFonts w:ascii="Times New Roman" w:hAnsi="Times New Roman" w:cs="Times New Roman"/>
        </w:rPr>
        <w:t xml:space="preserve">.  The Asia Society Policy Institute. New York. </w:t>
      </w:r>
    </w:p>
    <w:p w14:paraId="2A2A49E2"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Sembiring, M. 2024. </w:t>
      </w:r>
      <w:r w:rsidRPr="008D43DF">
        <w:rPr>
          <w:rFonts w:ascii="Times New Roman" w:hAnsi="Times New Roman" w:cs="Times New Roman"/>
          <w:i/>
          <w:iCs/>
          <w:color w:val="000000"/>
        </w:rPr>
        <w:t>Marine Environmental Protection in the South China Sea : Advancing Stronger People-to-People Cooperation on Plastic Waste Management.</w:t>
      </w:r>
      <w:r w:rsidRPr="008D43DF">
        <w:rPr>
          <w:rFonts w:ascii="Times New Roman" w:hAnsi="Times New Roman" w:cs="Times New Roman"/>
          <w:color w:val="000000"/>
        </w:rPr>
        <w:t xml:space="preserve">  S Rajaratnam School of International Studies, Nanyang Technological University-Singapore. </w:t>
      </w:r>
    </w:p>
    <w:p w14:paraId="33611B00"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Shicun W.2021.Advancing Cooperation in the South China Sea through Regional Multilateralism. https://opinion.huanqiu.com/article/433kwXL0j9L </w:t>
      </w:r>
    </w:p>
    <w:p w14:paraId="2F5595CF" w14:textId="77777777" w:rsidR="00882782" w:rsidRPr="008D43DF" w:rsidRDefault="00882782" w:rsidP="00C6549B">
      <w:pPr>
        <w:pBdr>
          <w:top w:val="nil"/>
          <w:left w:val="nil"/>
          <w:bottom w:val="nil"/>
          <w:right w:val="nil"/>
          <w:between w:val="nil"/>
        </w:pBdr>
        <w:tabs>
          <w:tab w:val="left" w:pos="810"/>
        </w:tabs>
        <w:spacing w:before="120"/>
        <w:ind w:left="810" w:hanging="810"/>
        <w:jc w:val="both"/>
        <w:rPr>
          <w:rFonts w:ascii="Times New Roman" w:hAnsi="Times New Roman" w:cs="Times New Roman"/>
          <w:color w:val="000000"/>
        </w:rPr>
      </w:pPr>
      <w:r w:rsidRPr="008D43DF">
        <w:rPr>
          <w:rFonts w:ascii="Times New Roman" w:hAnsi="Times New Roman" w:cs="Times New Roman"/>
          <w:color w:val="000000"/>
        </w:rPr>
        <w:t xml:space="preserve">US EIA. 2024.  </w:t>
      </w:r>
      <w:r w:rsidRPr="008D43DF">
        <w:rPr>
          <w:rFonts w:ascii="Times New Roman" w:hAnsi="Times New Roman" w:cs="Times New Roman"/>
          <w:i/>
          <w:iCs/>
          <w:color w:val="000000"/>
        </w:rPr>
        <w:t>Regional Analysis Brief: South China Sea</w:t>
      </w:r>
      <w:r w:rsidRPr="008D43DF">
        <w:rPr>
          <w:rFonts w:ascii="Times New Roman" w:hAnsi="Times New Roman" w:cs="Times New Roman"/>
          <w:color w:val="000000"/>
        </w:rPr>
        <w:t>.  U.S. Department of Energy. Washington DC.</w:t>
      </w:r>
      <w:r w:rsidRPr="008D43DF">
        <w:rPr>
          <w:rFonts w:ascii="Times New Roman" w:hAnsi="Times New Roman" w:cs="Times New Roman"/>
          <w:b/>
          <w:bCs/>
          <w:color w:val="000000"/>
        </w:rPr>
        <w:t xml:space="preserve"> </w:t>
      </w:r>
    </w:p>
    <w:p w14:paraId="4FF31C27" w14:textId="77777777" w:rsidR="005B2E9F" w:rsidRDefault="00882782" w:rsidP="005B2E9F">
      <w:pPr>
        <w:pBdr>
          <w:top w:val="nil"/>
          <w:left w:val="nil"/>
          <w:bottom w:val="nil"/>
          <w:right w:val="nil"/>
          <w:between w:val="nil"/>
        </w:pBdr>
        <w:tabs>
          <w:tab w:val="left" w:pos="810"/>
        </w:tabs>
        <w:spacing w:before="120"/>
        <w:ind w:left="810" w:hanging="810"/>
        <w:jc w:val="both"/>
        <w:rPr>
          <w:rFonts w:ascii="Times New Roman" w:hAnsi="Times New Roman" w:cs="Times New Roman"/>
          <w:i/>
          <w:iCs/>
          <w:color w:val="000000"/>
        </w:rPr>
      </w:pPr>
      <w:r w:rsidRPr="008D43DF">
        <w:rPr>
          <w:rFonts w:ascii="Times New Roman" w:hAnsi="Times New Roman" w:cs="Times New Roman"/>
          <w:color w:val="000000"/>
        </w:rPr>
        <w:t>Wei W, Zihao W. 2024.  Study on Environmental Governance Mechanisms in the South China Sea</w:t>
      </w:r>
      <w:r w:rsidRPr="008D43DF">
        <w:rPr>
          <w:rFonts w:ascii="Times New Roman" w:hAnsi="Times New Roman" w:cs="Times New Roman"/>
          <w:i/>
          <w:iCs/>
          <w:color w:val="000000"/>
        </w:rPr>
        <w:t>.  Science of Law Journal.3 (6).  DOI: 10.23977/law.2024.030611</w:t>
      </w:r>
    </w:p>
    <w:p w14:paraId="68F5B0DE" w14:textId="77777777" w:rsidR="009D2BF6" w:rsidRPr="009D2BF6" w:rsidRDefault="009D2BF6" w:rsidP="00C6549B">
      <w:pPr>
        <w:pStyle w:val="BodyText"/>
        <w:spacing w:before="120" w:after="0" w:line="240" w:lineRule="auto"/>
        <w:jc w:val="both"/>
        <w:rPr>
          <w:rFonts w:ascii="Times New Roman" w:hAnsi="Times New Roman" w:cs="Times New Roman"/>
          <w:b/>
          <w:bCs/>
        </w:rPr>
      </w:pPr>
    </w:p>
    <w:p w14:paraId="11000222" w14:textId="77777777" w:rsidR="009D2BF6" w:rsidRPr="009D2BF6" w:rsidRDefault="009D2BF6" w:rsidP="00C6549B">
      <w:pPr>
        <w:pStyle w:val="BodyText"/>
        <w:spacing w:before="120" w:after="0" w:line="240" w:lineRule="auto"/>
        <w:jc w:val="both"/>
        <w:rPr>
          <w:rFonts w:ascii="Times New Roman" w:hAnsi="Times New Roman" w:cs="Times New Roman"/>
        </w:rPr>
      </w:pPr>
    </w:p>
    <w:p w14:paraId="2E26E957" w14:textId="130988EA" w:rsidR="00995DB8" w:rsidRDefault="00995DB8">
      <w:pPr>
        <w:rPr>
          <w:rFonts w:ascii="Times New Roman" w:eastAsiaTheme="minorEastAsia" w:hAnsi="Times New Roman" w:cs="Times New Roman"/>
          <w:b/>
          <w:bCs/>
          <w:sz w:val="22"/>
          <w:szCs w:val="22"/>
        </w:rPr>
      </w:pPr>
      <w:r>
        <w:rPr>
          <w:rFonts w:ascii="Times New Roman" w:hAnsi="Times New Roman" w:cs="Times New Roman"/>
          <w:b/>
          <w:bCs/>
        </w:rPr>
        <w:br w:type="page"/>
      </w:r>
    </w:p>
    <w:p w14:paraId="75E207A8" w14:textId="77777777" w:rsidR="00FD6872" w:rsidRDefault="00995DB8" w:rsidP="00FD6872">
      <w:pPr>
        <w:pStyle w:val="BodyText"/>
        <w:numPr>
          <w:ilvl w:val="0"/>
          <w:numId w:val="143"/>
        </w:numPr>
        <w:spacing w:before="188"/>
        <w:outlineLvl w:val="0"/>
        <w:rPr>
          <w:rFonts w:ascii="Times New Roman" w:hAnsi="Times New Roman" w:cs="Times New Roman"/>
          <w:b/>
          <w:bCs/>
          <w:color w:val="0070C0"/>
          <w:sz w:val="32"/>
          <w:szCs w:val="32"/>
        </w:rPr>
      </w:pPr>
      <w:bookmarkStart w:id="191" w:name="_Toc217297577"/>
      <w:r w:rsidRPr="00995DB8">
        <w:rPr>
          <w:rFonts w:ascii="Times New Roman" w:hAnsi="Times New Roman" w:cs="Times New Roman"/>
          <w:b/>
          <w:bCs/>
          <w:color w:val="0070C0"/>
          <w:sz w:val="32"/>
          <w:szCs w:val="32"/>
        </w:rPr>
        <w:lastRenderedPageBreak/>
        <w:t>CONCLUSION of the National TDA Report</w:t>
      </w:r>
      <w:bookmarkEnd w:id="191"/>
    </w:p>
    <w:p w14:paraId="2A9FB343" w14:textId="00897FF9" w:rsidR="00FD6872" w:rsidRDefault="00995DB8" w:rsidP="00FD6872">
      <w:pPr>
        <w:pStyle w:val="Heading2"/>
      </w:pPr>
      <w:bookmarkStart w:id="192" w:name="_Toc217297578"/>
      <w:r w:rsidRPr="00FD6872">
        <w:t>7.1</w:t>
      </w:r>
      <w:r w:rsidR="009D26DC">
        <w:t>.</w:t>
      </w:r>
      <w:r w:rsidRPr="00FD6872">
        <w:t xml:space="preserve"> </w:t>
      </w:r>
      <w:r w:rsidR="00AE7A71">
        <w:tab/>
      </w:r>
      <w:r w:rsidRPr="00FD6872">
        <w:t>Meeting the TDA objectives</w:t>
      </w:r>
      <w:bookmarkEnd w:id="192"/>
    </w:p>
    <w:p w14:paraId="6765A4B2" w14:textId="77777777" w:rsidR="00C248E7" w:rsidRDefault="00C248E7" w:rsidP="00027CDB">
      <w:pPr>
        <w:jc w:val="both"/>
        <w:rPr>
          <w:rFonts w:ascii="Times New Roman" w:hAnsi="Times New Roman" w:cs="Times New Roman"/>
          <w:sz w:val="22"/>
          <w:szCs w:val="22"/>
        </w:rPr>
      </w:pPr>
      <w:r w:rsidRPr="001D1419">
        <w:rPr>
          <w:rFonts w:ascii="Times New Roman" w:hAnsi="Times New Roman" w:cs="Times New Roman"/>
          <w:sz w:val="22"/>
          <w:szCs w:val="22"/>
        </w:rPr>
        <w:t>The Transboundary Diagnostic Analysis (TDA) update aims to advance the management of transboundary ecosystems by shifting the focus from simply assessing environmental conditions to evaluating associated risks to ecosystems, populations, and livelihoods.</w:t>
      </w:r>
      <w:r>
        <w:rPr>
          <w:rFonts w:ascii="Times New Roman" w:hAnsi="Times New Roman" w:cs="Times New Roman"/>
          <w:sz w:val="22"/>
          <w:szCs w:val="22"/>
        </w:rPr>
        <w:t xml:space="preserve"> </w:t>
      </w:r>
      <w:r w:rsidRPr="00C248E7">
        <w:rPr>
          <w:rFonts w:ascii="Times New Roman" w:hAnsi="Times New Roman" w:cs="Times New Roman"/>
          <w:sz w:val="22"/>
          <w:szCs w:val="22"/>
        </w:rPr>
        <w:t xml:space="preserve">It also sharpens an integrated view of governance at national and regional scales that enables formulating multi-focal strategic actions. </w:t>
      </w:r>
    </w:p>
    <w:p w14:paraId="6AFCE7C9" w14:textId="0FAABF75" w:rsidR="00C248E7" w:rsidRPr="001D1419" w:rsidRDefault="0086540F" w:rsidP="00027CDB">
      <w:pPr>
        <w:spacing w:before="120"/>
        <w:jc w:val="both"/>
        <w:rPr>
          <w:rFonts w:ascii="Times New Roman" w:hAnsi="Times New Roman" w:cs="Times New Roman"/>
          <w:sz w:val="22"/>
          <w:szCs w:val="22"/>
        </w:rPr>
      </w:pPr>
      <w:r w:rsidRPr="0086540F">
        <w:rPr>
          <w:rFonts w:ascii="Times New Roman" w:hAnsi="Times New Roman" w:cs="Times New Roman"/>
          <w:sz w:val="22"/>
          <w:szCs w:val="22"/>
        </w:rPr>
        <w:t>National TDA reports will supply detailed inputs at watershed and country levels to support this integrated assessment. Quantitative directional indicators allow for comparison of changes across subnational and national scales and can be translated into risk levels at both national and LME scales. This risk-informed framework facilitates proactive decision-making and provides a foundation for prioritizing strategic interventions.</w:t>
      </w:r>
    </w:p>
    <w:p w14:paraId="6CCFC88F" w14:textId="77777777" w:rsidR="00C248E7" w:rsidRPr="001D1419" w:rsidRDefault="00C248E7" w:rsidP="00027CDB">
      <w:pPr>
        <w:spacing w:before="120"/>
        <w:jc w:val="both"/>
        <w:rPr>
          <w:rFonts w:ascii="Times New Roman" w:hAnsi="Times New Roman" w:cs="Times New Roman"/>
          <w:sz w:val="22"/>
          <w:szCs w:val="22"/>
        </w:rPr>
      </w:pPr>
      <w:r w:rsidRPr="001D1419">
        <w:rPr>
          <w:rFonts w:ascii="Times New Roman" w:hAnsi="Times New Roman" w:cs="Times New Roman"/>
          <w:sz w:val="22"/>
          <w:szCs w:val="22"/>
        </w:rPr>
        <w:t>Serving as a foundational scientific assessment, the TDA systematically identifies and evaluates transboundary environmental issues in the South China Sea. Its strength lies in the integrated analysis of pollution, ecosystem status, fisheries, socio-economic drivers, and governance factors. Understanding interactions among these components</w:t>
      </w:r>
      <w:r w:rsidRPr="00C248E7">
        <w:rPr>
          <w:rFonts w:ascii="Times New Roman" w:hAnsi="Times New Roman" w:cs="Times New Roman"/>
          <w:sz w:val="22"/>
          <w:szCs w:val="22"/>
        </w:rPr>
        <w:t xml:space="preserve"> </w:t>
      </w:r>
      <w:r w:rsidRPr="001D1419">
        <w:rPr>
          <w:rFonts w:ascii="Times New Roman" w:hAnsi="Times New Roman" w:cs="Times New Roman"/>
          <w:sz w:val="22"/>
          <w:szCs w:val="22"/>
        </w:rPr>
        <w:t>such as how pollution affects fisheries or how socio-economic activities influence ecosystem pressures</w:t>
      </w:r>
      <w:r w:rsidRPr="00C248E7">
        <w:rPr>
          <w:rFonts w:ascii="Times New Roman" w:hAnsi="Times New Roman" w:cs="Times New Roman"/>
          <w:sz w:val="22"/>
          <w:szCs w:val="22"/>
        </w:rPr>
        <w:t xml:space="preserve"> </w:t>
      </w:r>
      <w:r w:rsidRPr="001D1419">
        <w:rPr>
          <w:rFonts w:ascii="Times New Roman" w:hAnsi="Times New Roman" w:cs="Times New Roman"/>
          <w:sz w:val="22"/>
          <w:szCs w:val="22"/>
        </w:rPr>
        <w:t>is critical for designing effective adaptation and mitigation strategies.</w:t>
      </w:r>
    </w:p>
    <w:p w14:paraId="6B1E7350" w14:textId="7A4DF9E7" w:rsidR="00FD6872" w:rsidRPr="00C248E7" w:rsidRDefault="00C248E7" w:rsidP="00027CDB">
      <w:pPr>
        <w:spacing w:before="120"/>
        <w:jc w:val="both"/>
        <w:rPr>
          <w:rFonts w:ascii="Times New Roman" w:eastAsia="Times New Roman" w:hAnsi="Times New Roman" w:cs="Times New Roman"/>
          <w:color w:val="0F1115"/>
          <w:sz w:val="22"/>
          <w:szCs w:val="22"/>
          <w:lang w:val="en-US" w:eastAsia="en-US"/>
        </w:rPr>
      </w:pPr>
      <w:r w:rsidRPr="001D1419">
        <w:rPr>
          <w:rFonts w:ascii="Times New Roman" w:hAnsi="Times New Roman" w:cs="Times New Roman"/>
          <w:sz w:val="22"/>
          <w:szCs w:val="22"/>
        </w:rPr>
        <w:t>Mapping these interactions fosters a shared governance vision, encouraging collaborative decision-making and harmonized policies for sustainable coastal and marine resource management. Analysis across the five domains highlights complex cross-domain interactions that must be considered in planning and management</w:t>
      </w:r>
    </w:p>
    <w:p w14:paraId="528E52B4" w14:textId="77777777" w:rsidR="00FD6872" w:rsidRPr="00FD6872" w:rsidRDefault="00FD6872" w:rsidP="00027CDB">
      <w:pPr>
        <w:rPr>
          <w:rFonts w:ascii="Times New Roman" w:eastAsia="Times New Roman" w:hAnsi="Times New Roman" w:cs="Times New Roman"/>
          <w:color w:val="0F1115"/>
          <w:sz w:val="22"/>
          <w:szCs w:val="22"/>
          <w:lang w:val="en-US" w:eastAsia="en-US"/>
        </w:rPr>
      </w:pPr>
    </w:p>
    <w:p w14:paraId="4DF0F3FA" w14:textId="35FF353F" w:rsidR="00995DB8" w:rsidRDefault="00995DB8" w:rsidP="00FD6872">
      <w:pPr>
        <w:pStyle w:val="Heading2"/>
      </w:pPr>
      <w:bookmarkStart w:id="193" w:name="_Toc217297579"/>
      <w:r w:rsidRPr="00FD6872">
        <w:t>7.2</w:t>
      </w:r>
      <w:r w:rsidR="009D26DC">
        <w:t>.</w:t>
      </w:r>
      <w:r w:rsidRPr="00FD6872">
        <w:t xml:space="preserve">  </w:t>
      </w:r>
      <w:r w:rsidR="00AE7A71">
        <w:tab/>
      </w:r>
      <w:r w:rsidRPr="00FD6872">
        <w:t>Key conclusions and crosscutting interactions</w:t>
      </w:r>
      <w:bookmarkEnd w:id="193"/>
    </w:p>
    <w:p w14:paraId="18562B7C" w14:textId="77777777" w:rsidR="00C3057A" w:rsidRDefault="003B0264" w:rsidP="00C3057A">
      <w:pPr>
        <w:spacing w:after="240"/>
        <w:jc w:val="both"/>
        <w:rPr>
          <w:rFonts w:ascii="Times New Roman" w:hAnsi="Times New Roman" w:cs="Times New Roman"/>
          <w:sz w:val="22"/>
          <w:szCs w:val="22"/>
        </w:rPr>
      </w:pPr>
      <w:r w:rsidRPr="00C3057A">
        <w:rPr>
          <w:rFonts w:ascii="Times New Roman" w:hAnsi="Times New Roman" w:cs="Times New Roman"/>
          <w:sz w:val="22"/>
          <w:szCs w:val="22"/>
        </w:rPr>
        <w:t xml:space="preserve">In this report, Transboundary Diagnostic Analysis (TDA) is a foundational scientific assessment that systematically identifies and evaluates environmental problems that extend across sub-national boundaries within this national marine ecosystem within the boundaries of the South China Sea (SCS).  Central strength of the TDA lies in its integrated analysis of multiple interacting components — in this report encompassing 5 domains i.e. pollution status, ecosystems conditions, fisheries dynamics, socio-economic drivers, and governance factors — to capture the full dimension of coastal and marine environmental pressures. </w:t>
      </w:r>
    </w:p>
    <w:p w14:paraId="1647932F" w14:textId="6FA6B052" w:rsidR="00C3057A" w:rsidRDefault="003B0264" w:rsidP="00C3057A">
      <w:pPr>
        <w:spacing w:after="240"/>
        <w:jc w:val="both"/>
        <w:rPr>
          <w:rFonts w:ascii="Times New Roman" w:hAnsi="Times New Roman" w:cs="Times New Roman"/>
          <w:sz w:val="22"/>
          <w:szCs w:val="22"/>
        </w:rPr>
      </w:pPr>
      <w:r w:rsidRPr="00C3057A">
        <w:rPr>
          <w:rFonts w:ascii="Times New Roman" w:hAnsi="Times New Roman" w:cs="Times New Roman"/>
          <w:sz w:val="22"/>
          <w:szCs w:val="22"/>
        </w:rPr>
        <w:t>Recognizing how these components interact is crucial because environmental stressors in the SCS’s Indonesia boundary occur as part of multi-interactions between the components, for example how is pollution dynamics may affect fisheries and how socioeconomics drivers may effluence the pollution or other ecosystems disturbance in case of SCS’s Indonesia boundary. Understanding these multi-interactions can help to identify the adaptation and mitigation strategies required to enhance the quality of coastal and marine governance for the region.  Moreover, mapping the relationships between these components increases shared vision and mission among the governance level for sustainable coastal and marine resources management in the region. By doing so, the shared governability platform may underpin collaborative decision-making and harmonized policy design.</w:t>
      </w:r>
      <w:r w:rsidR="00C3057A">
        <w:rPr>
          <w:rFonts w:ascii="Times New Roman" w:hAnsi="Times New Roman" w:cs="Times New Roman"/>
          <w:sz w:val="22"/>
          <w:szCs w:val="22"/>
        </w:rPr>
        <w:t xml:space="preserve"> </w:t>
      </w:r>
    </w:p>
    <w:p w14:paraId="5F93D356" w14:textId="7F7CE0C1" w:rsidR="003B0264" w:rsidRPr="00C3057A" w:rsidRDefault="003B0264" w:rsidP="00C3057A">
      <w:pPr>
        <w:spacing w:after="240"/>
        <w:jc w:val="both"/>
        <w:rPr>
          <w:rFonts w:ascii="Times New Roman" w:hAnsi="Times New Roman" w:cs="Times New Roman"/>
          <w:sz w:val="22"/>
          <w:szCs w:val="22"/>
        </w:rPr>
      </w:pPr>
      <w:r w:rsidRPr="00C3057A">
        <w:rPr>
          <w:rFonts w:ascii="Times New Roman" w:hAnsi="Times New Roman" w:cs="Times New Roman"/>
          <w:sz w:val="22"/>
          <w:szCs w:val="22"/>
        </w:rPr>
        <w:t xml:space="preserve">We make conclusions for the context of interactions between domains by using interactions/network analysis using indicators per domain as shown in Table </w:t>
      </w:r>
      <w:r w:rsidR="00450D25">
        <w:rPr>
          <w:rFonts w:ascii="Times New Roman" w:hAnsi="Times New Roman" w:cs="Times New Roman"/>
          <w:sz w:val="22"/>
          <w:szCs w:val="22"/>
        </w:rPr>
        <w:t>26</w:t>
      </w:r>
      <w:r w:rsidRPr="00C3057A">
        <w:rPr>
          <w:rFonts w:ascii="Times New Roman" w:hAnsi="Times New Roman" w:cs="Times New Roman"/>
          <w:sz w:val="22"/>
          <w:szCs w:val="22"/>
        </w:rPr>
        <w:t xml:space="preserve"> below. </w:t>
      </w:r>
    </w:p>
    <w:p w14:paraId="358415DC" w14:textId="258BB2D9" w:rsidR="00450D25" w:rsidRPr="00450D25" w:rsidRDefault="00450D25" w:rsidP="00450D25">
      <w:pPr>
        <w:rPr>
          <w:rFonts w:ascii="Times New Roman" w:hAnsi="Times New Roman" w:cs="Times New Roman"/>
          <w:sz w:val="22"/>
          <w:szCs w:val="22"/>
        </w:rPr>
      </w:pPr>
      <w:bookmarkStart w:id="194" w:name="_Toc217297671"/>
      <w:r w:rsidRPr="00450D25">
        <w:rPr>
          <w:rFonts w:ascii="Times New Roman" w:hAnsi="Times New Roman" w:cs="Times New Roman"/>
          <w:sz w:val="22"/>
          <w:szCs w:val="22"/>
        </w:rPr>
        <w:t xml:space="preserve">Table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Table \* ARABIC </w:instrText>
      </w:r>
      <w:r w:rsidRPr="00450D25">
        <w:rPr>
          <w:rFonts w:ascii="Times New Roman" w:hAnsi="Times New Roman" w:cs="Times New Roman"/>
          <w:sz w:val="22"/>
          <w:szCs w:val="22"/>
        </w:rPr>
        <w:fldChar w:fldCharType="separate"/>
      </w:r>
      <w:r w:rsidR="00F33716">
        <w:rPr>
          <w:rFonts w:ascii="Times New Roman" w:hAnsi="Times New Roman" w:cs="Times New Roman"/>
          <w:noProof/>
          <w:sz w:val="22"/>
          <w:szCs w:val="22"/>
        </w:rPr>
        <w:t>26</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Domain and Indicators Used in the Interactions/Network Analysis</w:t>
      </w:r>
      <w:bookmarkEnd w:id="194"/>
    </w:p>
    <w:tbl>
      <w:tblPr>
        <w:tblW w:w="9774" w:type="dxa"/>
        <w:tblLook w:val="04A0" w:firstRow="1" w:lastRow="0" w:firstColumn="1" w:lastColumn="0" w:noHBand="0" w:noVBand="1"/>
      </w:tblPr>
      <w:tblGrid>
        <w:gridCol w:w="3539"/>
        <w:gridCol w:w="6235"/>
      </w:tblGrid>
      <w:tr w:rsidR="003B0264" w:rsidRPr="00EE4A81" w14:paraId="121B76DB" w14:textId="77777777" w:rsidTr="000E7449">
        <w:trPr>
          <w:trHeight w:val="320"/>
          <w:tblHeader/>
        </w:trPr>
        <w:tc>
          <w:tcPr>
            <w:tcW w:w="3539" w:type="dxa"/>
            <w:tcBorders>
              <w:top w:val="single" w:sz="4" w:space="0" w:color="auto"/>
              <w:left w:val="single" w:sz="4" w:space="0" w:color="auto"/>
              <w:bottom w:val="single" w:sz="4" w:space="0" w:color="auto"/>
              <w:right w:val="single" w:sz="4" w:space="0" w:color="auto"/>
            </w:tcBorders>
            <w:shd w:val="clear" w:color="auto" w:fill="9CC2E5" w:themeFill="accent5" w:themeFillTint="99"/>
            <w:noWrap/>
            <w:vAlign w:val="bottom"/>
            <w:hideMark/>
          </w:tcPr>
          <w:p w14:paraId="61B63261" w14:textId="77777777" w:rsidR="003B0264" w:rsidRPr="00EE4A81" w:rsidRDefault="003B0264" w:rsidP="0093088B">
            <w:pPr>
              <w:jc w:val="cente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Domain</w:t>
            </w:r>
          </w:p>
        </w:tc>
        <w:tc>
          <w:tcPr>
            <w:tcW w:w="6235" w:type="dxa"/>
            <w:tcBorders>
              <w:top w:val="single" w:sz="4" w:space="0" w:color="auto"/>
              <w:left w:val="nil"/>
              <w:bottom w:val="single" w:sz="4" w:space="0" w:color="auto"/>
              <w:right w:val="single" w:sz="4" w:space="0" w:color="auto"/>
            </w:tcBorders>
            <w:shd w:val="clear" w:color="auto" w:fill="9CC2E5" w:themeFill="accent5" w:themeFillTint="99"/>
            <w:noWrap/>
            <w:vAlign w:val="bottom"/>
            <w:hideMark/>
          </w:tcPr>
          <w:p w14:paraId="25B7AAAD" w14:textId="77777777" w:rsidR="003B0264" w:rsidRPr="00EE4A81" w:rsidRDefault="003B0264" w:rsidP="0093088B">
            <w:pPr>
              <w:jc w:val="cente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Indicators</w:t>
            </w:r>
          </w:p>
        </w:tc>
      </w:tr>
      <w:tr w:rsidR="00C3057A" w:rsidRPr="00EE4A81" w14:paraId="78069204" w14:textId="77777777" w:rsidTr="00C3057A">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DEEAF6" w:themeFill="accent5" w:themeFillTint="33"/>
            <w:noWrap/>
            <w:vAlign w:val="bottom"/>
          </w:tcPr>
          <w:p w14:paraId="22A41627" w14:textId="0618B7F2"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b/>
                <w:bCs/>
                <w:color w:val="000000"/>
                <w:sz w:val="22"/>
                <w:szCs w:val="22"/>
              </w:rPr>
              <w:t>Pollution</w:t>
            </w:r>
          </w:p>
        </w:tc>
        <w:tc>
          <w:tcPr>
            <w:tcW w:w="6235" w:type="dxa"/>
            <w:tcBorders>
              <w:top w:val="single" w:sz="4" w:space="0" w:color="auto"/>
              <w:left w:val="nil"/>
              <w:bottom w:val="single" w:sz="4" w:space="0" w:color="auto"/>
              <w:right w:val="single" w:sz="4" w:space="0" w:color="auto"/>
            </w:tcBorders>
            <w:shd w:val="clear" w:color="auto" w:fill="DEEAF6" w:themeFill="accent5" w:themeFillTint="33"/>
            <w:noWrap/>
            <w:vAlign w:val="bottom"/>
          </w:tcPr>
          <w:p w14:paraId="0BF2ADEA" w14:textId="7D5569D8"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P-Agriculture</w:t>
            </w:r>
          </w:p>
        </w:tc>
      </w:tr>
      <w:tr w:rsidR="00C3057A" w:rsidRPr="00EE4A81" w14:paraId="77898D75" w14:textId="77777777" w:rsidTr="00C3057A">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DEEAF6" w:themeFill="accent5" w:themeFillTint="33"/>
            <w:noWrap/>
            <w:vAlign w:val="bottom"/>
          </w:tcPr>
          <w:p w14:paraId="320C28B3" w14:textId="50CA86BE"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DEEAF6" w:themeFill="accent5" w:themeFillTint="33"/>
            <w:noWrap/>
            <w:vAlign w:val="bottom"/>
          </w:tcPr>
          <w:p w14:paraId="178229C8" w14:textId="04A009DC"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P-Domestic Waste</w:t>
            </w:r>
          </w:p>
        </w:tc>
      </w:tr>
      <w:tr w:rsidR="00C3057A" w:rsidRPr="00EE4A81" w14:paraId="1B992465" w14:textId="77777777" w:rsidTr="00C3057A">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DEEAF6" w:themeFill="accent5" w:themeFillTint="33"/>
            <w:noWrap/>
            <w:vAlign w:val="bottom"/>
          </w:tcPr>
          <w:p w14:paraId="7DF21FDE" w14:textId="0AA6E071"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DEEAF6" w:themeFill="accent5" w:themeFillTint="33"/>
            <w:noWrap/>
            <w:vAlign w:val="bottom"/>
          </w:tcPr>
          <w:p w14:paraId="4CBD775E" w14:textId="3EFD0646"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P-Solid Waste</w:t>
            </w:r>
          </w:p>
        </w:tc>
      </w:tr>
      <w:tr w:rsidR="00C3057A" w:rsidRPr="00EE4A81" w14:paraId="1922846A" w14:textId="77777777" w:rsidTr="00C3057A">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DEEAF6" w:themeFill="accent5" w:themeFillTint="33"/>
            <w:noWrap/>
            <w:vAlign w:val="bottom"/>
          </w:tcPr>
          <w:p w14:paraId="414B65C7" w14:textId="0BE68041"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DEEAF6" w:themeFill="accent5" w:themeFillTint="33"/>
            <w:noWrap/>
            <w:vAlign w:val="bottom"/>
          </w:tcPr>
          <w:p w14:paraId="048C659A" w14:textId="24D2E268"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P-Hazardous (Industry)</w:t>
            </w:r>
          </w:p>
        </w:tc>
      </w:tr>
      <w:tr w:rsidR="00C3057A" w:rsidRPr="00EE4A81" w14:paraId="51DBE43B" w14:textId="77777777" w:rsidTr="00C3057A">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DEEAF6" w:themeFill="accent5" w:themeFillTint="33"/>
            <w:noWrap/>
            <w:vAlign w:val="bottom"/>
          </w:tcPr>
          <w:p w14:paraId="212F08A7" w14:textId="49446A60"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DEEAF6" w:themeFill="accent5" w:themeFillTint="33"/>
            <w:noWrap/>
            <w:vAlign w:val="bottom"/>
          </w:tcPr>
          <w:p w14:paraId="246BAD16" w14:textId="60B1C05C"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P-Oil Pollution</w:t>
            </w:r>
          </w:p>
        </w:tc>
      </w:tr>
      <w:tr w:rsidR="00C3057A" w:rsidRPr="00EE4A81" w14:paraId="1E2949FE" w14:textId="77777777" w:rsidTr="00C3057A">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DEEAF6" w:themeFill="accent5" w:themeFillTint="33"/>
            <w:noWrap/>
            <w:vAlign w:val="bottom"/>
          </w:tcPr>
          <w:p w14:paraId="6E8043C0" w14:textId="1E2D814F"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DEEAF6" w:themeFill="accent5" w:themeFillTint="33"/>
            <w:noWrap/>
            <w:vAlign w:val="bottom"/>
          </w:tcPr>
          <w:p w14:paraId="49B41F80" w14:textId="52C67F27"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P-Atmospheric</w:t>
            </w:r>
          </w:p>
        </w:tc>
      </w:tr>
      <w:tr w:rsidR="00C3057A" w:rsidRPr="00EE4A81" w14:paraId="5934C6AD" w14:textId="77777777" w:rsidTr="00C3057A">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DEEAF6" w:themeFill="accent5" w:themeFillTint="33"/>
            <w:noWrap/>
            <w:vAlign w:val="bottom"/>
          </w:tcPr>
          <w:p w14:paraId="224E5125" w14:textId="2408D1A3"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lastRenderedPageBreak/>
              <w:t> </w:t>
            </w:r>
          </w:p>
        </w:tc>
        <w:tc>
          <w:tcPr>
            <w:tcW w:w="6235" w:type="dxa"/>
            <w:tcBorders>
              <w:top w:val="single" w:sz="4" w:space="0" w:color="auto"/>
              <w:left w:val="nil"/>
              <w:bottom w:val="single" w:sz="4" w:space="0" w:color="auto"/>
              <w:right w:val="single" w:sz="4" w:space="0" w:color="auto"/>
            </w:tcBorders>
            <w:shd w:val="clear" w:color="auto" w:fill="DEEAF6" w:themeFill="accent5" w:themeFillTint="33"/>
            <w:noWrap/>
            <w:vAlign w:val="bottom"/>
          </w:tcPr>
          <w:p w14:paraId="318BBF40" w14:textId="015F2539" w:rsidR="00C3057A" w:rsidRPr="00EE4A81" w:rsidRDefault="00C3057A" w:rsidP="00C3057A">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P-Hotspot of Pollution</w:t>
            </w:r>
          </w:p>
        </w:tc>
      </w:tr>
      <w:tr w:rsidR="00C3057A" w:rsidRPr="00EE4A81" w14:paraId="25B7BCAD" w14:textId="77777777" w:rsidTr="00C3057A">
        <w:trPr>
          <w:trHeight w:val="32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41457C91" w14:textId="77777777" w:rsidR="00C3057A" w:rsidRPr="00EE4A81" w:rsidRDefault="00C3057A" w:rsidP="00C3057A">
            <w:pP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Fisheries</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21C88C36"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 Fisheries Production</w:t>
            </w:r>
          </w:p>
        </w:tc>
      </w:tr>
      <w:tr w:rsidR="00C3057A" w:rsidRPr="00EE4A81" w14:paraId="1BF07978" w14:textId="77777777" w:rsidTr="00C3057A">
        <w:trPr>
          <w:trHeight w:val="31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14CDF026"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3B82973B"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 Catch Structures/Composition</w:t>
            </w:r>
          </w:p>
        </w:tc>
      </w:tr>
      <w:tr w:rsidR="00C3057A" w:rsidRPr="00EE4A81" w14:paraId="79560638" w14:textId="77777777" w:rsidTr="00C3057A">
        <w:trPr>
          <w:trHeight w:val="31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7370AB8F"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44728B47"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 Fishing Efforts</w:t>
            </w:r>
          </w:p>
        </w:tc>
      </w:tr>
      <w:tr w:rsidR="00C3057A" w:rsidRPr="00EE4A81" w14:paraId="59ED9489" w14:textId="77777777" w:rsidTr="00C3057A">
        <w:trPr>
          <w:trHeight w:val="31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743993F8"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5FEE7439"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F-Ratio of Capacity-enhancing subsidies to value of landed catch</w:t>
            </w:r>
          </w:p>
        </w:tc>
      </w:tr>
      <w:tr w:rsidR="00C3057A" w:rsidRPr="00EE4A81" w14:paraId="559466C7" w14:textId="77777777" w:rsidTr="00C3057A">
        <w:trPr>
          <w:trHeight w:val="31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0A681FD8"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579A4D4D"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F-Primary production required (ecological footprint of fisheries)</w:t>
            </w:r>
          </w:p>
        </w:tc>
      </w:tr>
      <w:tr w:rsidR="00C3057A" w:rsidRPr="00EE4A81" w14:paraId="60AB36A1" w14:textId="77777777" w:rsidTr="00C3057A">
        <w:trPr>
          <w:trHeight w:val="31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3937B809"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299BFFA5"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F-Marine Trophic Index (MTI)</w:t>
            </w:r>
          </w:p>
        </w:tc>
      </w:tr>
      <w:tr w:rsidR="00C3057A" w:rsidRPr="00EE4A81" w14:paraId="7C90ED19" w14:textId="77777777" w:rsidTr="00C3057A">
        <w:trPr>
          <w:trHeight w:val="31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235BA897"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0E5F6421"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F-Fishing in Balance Index (FIB)</w:t>
            </w:r>
          </w:p>
        </w:tc>
      </w:tr>
      <w:tr w:rsidR="00C3057A" w:rsidRPr="00EE4A81" w14:paraId="18CF4157" w14:textId="77777777" w:rsidTr="00C3057A">
        <w:trPr>
          <w:trHeight w:val="31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5EE4D13D"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0B3C066D"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F-Catch from Bottom-Impacting Gear Types</w:t>
            </w:r>
          </w:p>
        </w:tc>
      </w:tr>
      <w:tr w:rsidR="00C3057A" w:rsidRPr="00EE4A81" w14:paraId="41C012C0" w14:textId="77777777" w:rsidTr="00C3057A">
        <w:trPr>
          <w:trHeight w:val="31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620A73DB"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460B7CD0"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F-Change in Catch Potential Under Global Climate Change</w:t>
            </w:r>
          </w:p>
        </w:tc>
      </w:tr>
      <w:tr w:rsidR="00C3057A" w:rsidRPr="00EE4A81" w14:paraId="13C8AE44" w14:textId="77777777" w:rsidTr="00C3057A">
        <w:trPr>
          <w:trHeight w:val="310"/>
        </w:trPr>
        <w:tc>
          <w:tcPr>
            <w:tcW w:w="3539" w:type="dxa"/>
            <w:tcBorders>
              <w:top w:val="nil"/>
              <w:left w:val="single" w:sz="4" w:space="0" w:color="auto"/>
              <w:bottom w:val="single" w:sz="4" w:space="0" w:color="auto"/>
              <w:right w:val="single" w:sz="4" w:space="0" w:color="auto"/>
            </w:tcBorders>
            <w:shd w:val="clear" w:color="auto" w:fill="DEEAF6" w:themeFill="accent5" w:themeFillTint="33"/>
            <w:noWrap/>
            <w:vAlign w:val="bottom"/>
            <w:hideMark/>
          </w:tcPr>
          <w:p w14:paraId="009C2BC4"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DEEAF6" w:themeFill="accent5" w:themeFillTint="33"/>
            <w:noWrap/>
            <w:vAlign w:val="bottom"/>
            <w:hideMark/>
          </w:tcPr>
          <w:p w14:paraId="0247B3C8"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F-Aquaculture Productions</w:t>
            </w:r>
          </w:p>
        </w:tc>
      </w:tr>
      <w:tr w:rsidR="00C3057A" w:rsidRPr="00EE4A81" w14:paraId="0776F402" w14:textId="77777777" w:rsidTr="00C3057A">
        <w:trPr>
          <w:trHeight w:val="32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14D224EF" w14:textId="77777777" w:rsidR="00C3057A" w:rsidRPr="00EE4A81" w:rsidRDefault="00C3057A" w:rsidP="00C3057A">
            <w:pP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Ecosystems</w:t>
            </w:r>
          </w:p>
        </w:tc>
        <w:tc>
          <w:tcPr>
            <w:tcW w:w="6235" w:type="dxa"/>
            <w:tcBorders>
              <w:top w:val="nil"/>
              <w:left w:val="nil"/>
              <w:bottom w:val="single" w:sz="4" w:space="0" w:color="auto"/>
              <w:right w:val="single" w:sz="4" w:space="0" w:color="auto"/>
            </w:tcBorders>
            <w:shd w:val="clear" w:color="000000" w:fill="DAF2D0"/>
            <w:noWrap/>
            <w:vAlign w:val="bottom"/>
            <w:hideMark/>
          </w:tcPr>
          <w:p w14:paraId="5CDF8ED2"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E-Occurrence and Existence of Ecosystem</w:t>
            </w:r>
          </w:p>
        </w:tc>
      </w:tr>
      <w:tr w:rsidR="00C3057A" w:rsidRPr="00EE4A81" w14:paraId="53A8FF83"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797BA71F"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DAF2D0"/>
            <w:noWrap/>
            <w:vAlign w:val="bottom"/>
            <w:hideMark/>
          </w:tcPr>
          <w:p w14:paraId="17C74B86"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E-Ecosystem Health</w:t>
            </w:r>
          </w:p>
        </w:tc>
      </w:tr>
      <w:tr w:rsidR="00C3057A" w:rsidRPr="00EE4A81" w14:paraId="7BA1AAB2"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155F2866"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DAF2D0"/>
            <w:noWrap/>
            <w:vAlign w:val="bottom"/>
            <w:hideMark/>
          </w:tcPr>
          <w:p w14:paraId="7E9D826E"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E-Sensitivity and Vulnerability</w:t>
            </w:r>
          </w:p>
        </w:tc>
      </w:tr>
      <w:tr w:rsidR="00C3057A" w:rsidRPr="00EE4A81" w14:paraId="17385F0D"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041E6EDF"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DAF2D0"/>
            <w:noWrap/>
            <w:vAlign w:val="bottom"/>
            <w:hideMark/>
          </w:tcPr>
          <w:p w14:paraId="1E900C66"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E-Rehabilitation and Restoration</w:t>
            </w:r>
          </w:p>
        </w:tc>
      </w:tr>
      <w:tr w:rsidR="00C3057A" w:rsidRPr="00EE4A81" w14:paraId="467877E6"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68A33FD3"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DAF2D0"/>
            <w:noWrap/>
            <w:vAlign w:val="bottom"/>
            <w:hideMark/>
          </w:tcPr>
          <w:p w14:paraId="59D47424"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E-Restoration and Conservation</w:t>
            </w:r>
          </w:p>
        </w:tc>
      </w:tr>
      <w:tr w:rsidR="00C3057A" w:rsidRPr="00EE4A81" w14:paraId="6AF77AF6" w14:textId="77777777" w:rsidTr="00C3057A">
        <w:trPr>
          <w:trHeight w:val="320"/>
        </w:trPr>
        <w:tc>
          <w:tcPr>
            <w:tcW w:w="3539" w:type="dxa"/>
            <w:tcBorders>
              <w:top w:val="nil"/>
              <w:left w:val="single" w:sz="4" w:space="0" w:color="auto"/>
              <w:bottom w:val="single" w:sz="4" w:space="0" w:color="auto"/>
              <w:right w:val="single" w:sz="4" w:space="0" w:color="auto"/>
            </w:tcBorders>
            <w:shd w:val="clear" w:color="000000" w:fill="F2CEEF"/>
            <w:noWrap/>
            <w:vAlign w:val="bottom"/>
            <w:hideMark/>
          </w:tcPr>
          <w:p w14:paraId="169C7ED6" w14:textId="77777777" w:rsidR="00C3057A" w:rsidRPr="00EE4A81" w:rsidRDefault="00C3057A" w:rsidP="00C3057A">
            <w:pP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Socio-Economics</w:t>
            </w:r>
          </w:p>
        </w:tc>
        <w:tc>
          <w:tcPr>
            <w:tcW w:w="6235" w:type="dxa"/>
            <w:tcBorders>
              <w:top w:val="nil"/>
              <w:left w:val="nil"/>
              <w:bottom w:val="single" w:sz="4" w:space="0" w:color="auto"/>
              <w:right w:val="single" w:sz="4" w:space="0" w:color="auto"/>
            </w:tcBorders>
            <w:shd w:val="clear" w:color="000000" w:fill="F2CEEF"/>
            <w:noWrap/>
            <w:vAlign w:val="bottom"/>
            <w:hideMark/>
          </w:tcPr>
          <w:p w14:paraId="0CBA87C6"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S-Demographic</w:t>
            </w:r>
          </w:p>
        </w:tc>
      </w:tr>
      <w:tr w:rsidR="00C3057A" w:rsidRPr="00EE4A81" w14:paraId="24BFAC51"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F2CEEF"/>
            <w:noWrap/>
            <w:vAlign w:val="bottom"/>
            <w:hideMark/>
          </w:tcPr>
          <w:p w14:paraId="33352CE0"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F2CEEF"/>
            <w:noWrap/>
            <w:vAlign w:val="bottom"/>
            <w:hideMark/>
          </w:tcPr>
          <w:p w14:paraId="1A074A72"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S-Human Wellbeing</w:t>
            </w:r>
          </w:p>
        </w:tc>
      </w:tr>
      <w:tr w:rsidR="00C3057A" w:rsidRPr="00EE4A81" w14:paraId="1403A5E9"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F2CEEF"/>
            <w:noWrap/>
            <w:vAlign w:val="bottom"/>
            <w:hideMark/>
          </w:tcPr>
          <w:p w14:paraId="68425C0A"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F2CEEF"/>
            <w:noWrap/>
            <w:vAlign w:val="bottom"/>
            <w:hideMark/>
          </w:tcPr>
          <w:p w14:paraId="54D1E9D0"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S-Economic Activity</w:t>
            </w:r>
          </w:p>
        </w:tc>
      </w:tr>
      <w:tr w:rsidR="00C3057A" w:rsidRPr="00EE4A81" w14:paraId="18623B86"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F2CEEF"/>
            <w:noWrap/>
            <w:vAlign w:val="bottom"/>
            <w:hideMark/>
          </w:tcPr>
          <w:p w14:paraId="6B008AD9"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F2CEEF"/>
            <w:noWrap/>
            <w:vAlign w:val="bottom"/>
            <w:hideMark/>
          </w:tcPr>
          <w:p w14:paraId="0EDB914F"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S-Climate Indicators</w:t>
            </w:r>
          </w:p>
        </w:tc>
      </w:tr>
      <w:tr w:rsidR="00C3057A" w:rsidRPr="00EE4A81" w14:paraId="6094A33D" w14:textId="77777777" w:rsidTr="00C3057A">
        <w:trPr>
          <w:trHeight w:val="32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0B924386" w14:textId="77777777" w:rsidR="00C3057A" w:rsidRPr="00EE4A81" w:rsidRDefault="00C3057A" w:rsidP="00C3057A">
            <w:pP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Governance</w:t>
            </w:r>
          </w:p>
        </w:tc>
        <w:tc>
          <w:tcPr>
            <w:tcW w:w="6235" w:type="dxa"/>
            <w:tcBorders>
              <w:top w:val="nil"/>
              <w:left w:val="nil"/>
              <w:bottom w:val="single" w:sz="4" w:space="0" w:color="auto"/>
              <w:right w:val="single" w:sz="4" w:space="0" w:color="auto"/>
            </w:tcBorders>
            <w:shd w:val="clear" w:color="000000" w:fill="83E28E"/>
            <w:noWrap/>
            <w:vAlign w:val="bottom"/>
            <w:hideMark/>
          </w:tcPr>
          <w:p w14:paraId="053515DE"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G-Legal Setting</w:t>
            </w:r>
          </w:p>
        </w:tc>
      </w:tr>
      <w:tr w:rsidR="00C3057A" w:rsidRPr="00EE4A81" w14:paraId="43538499"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414740D7"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658F3E3D"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G-Policy Setting</w:t>
            </w:r>
          </w:p>
        </w:tc>
      </w:tr>
      <w:tr w:rsidR="00C3057A" w:rsidRPr="00EE4A81" w14:paraId="4C51514C"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7612C4A2"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490E8000"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G-Governance Performance Effectiveness</w:t>
            </w:r>
          </w:p>
        </w:tc>
      </w:tr>
      <w:tr w:rsidR="00C3057A" w:rsidRPr="00EE4A81" w14:paraId="0A2D3DB0"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66A8AD85"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7015AA25"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G-Completeness</w:t>
            </w:r>
          </w:p>
        </w:tc>
      </w:tr>
      <w:tr w:rsidR="00C3057A" w:rsidRPr="00EE4A81" w14:paraId="46C5C06A"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04A44050"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2C43F975"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G-Integration</w:t>
            </w:r>
          </w:p>
        </w:tc>
      </w:tr>
      <w:tr w:rsidR="00C3057A" w:rsidRPr="00EE4A81" w14:paraId="74975245" w14:textId="77777777" w:rsidTr="00C3057A">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2B738437"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09A4066E" w14:textId="77777777" w:rsidR="00C3057A" w:rsidRPr="00EE4A81" w:rsidRDefault="00C3057A" w:rsidP="00C3057A">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G-Engagement</w:t>
            </w:r>
          </w:p>
        </w:tc>
      </w:tr>
    </w:tbl>
    <w:p w14:paraId="6C3C16A0" w14:textId="77777777" w:rsidR="003B0264" w:rsidRPr="00EE4A81" w:rsidRDefault="003B0264" w:rsidP="003B0264">
      <w:pPr>
        <w:rPr>
          <w:sz w:val="22"/>
          <w:szCs w:val="22"/>
        </w:rPr>
      </w:pPr>
    </w:p>
    <w:p w14:paraId="2F2B96EB" w14:textId="2DD5137C" w:rsidR="003B0264" w:rsidRPr="00C3057A" w:rsidRDefault="003B0264" w:rsidP="00C3057A">
      <w:pPr>
        <w:jc w:val="both"/>
        <w:rPr>
          <w:rFonts w:ascii="Times New Roman" w:hAnsi="Times New Roman" w:cs="Times New Roman"/>
          <w:sz w:val="22"/>
          <w:szCs w:val="22"/>
        </w:rPr>
      </w:pPr>
      <w:r w:rsidRPr="00C3057A">
        <w:rPr>
          <w:rFonts w:ascii="Times New Roman" w:hAnsi="Times New Roman" w:cs="Times New Roman"/>
          <w:sz w:val="22"/>
          <w:szCs w:val="22"/>
        </w:rPr>
        <w:t xml:space="preserve">Using a simple networks analysis, we put a value of interactions by 4 types i.e. 0-no interactions, 1 – small interactions, 3 – medium interactions, and 5 - high interactions.  With all of interactions may occur among the cross indicators (38x38), we can have value of interactions and total value of interactions per indicator as presented in </w:t>
      </w:r>
      <w:r w:rsidRPr="00295B8A">
        <w:rPr>
          <w:rFonts w:ascii="Times New Roman" w:hAnsi="Times New Roman" w:cs="Times New Roman"/>
          <w:sz w:val="22"/>
          <w:szCs w:val="22"/>
        </w:rPr>
        <w:t>Appendix 7</w:t>
      </w:r>
      <w:r w:rsidR="00295B8A" w:rsidRPr="00295B8A">
        <w:rPr>
          <w:rFonts w:ascii="Times New Roman" w:hAnsi="Times New Roman" w:cs="Times New Roman"/>
          <w:sz w:val="22"/>
          <w:szCs w:val="22"/>
        </w:rPr>
        <w:t>.</w:t>
      </w:r>
      <w:r w:rsidRPr="00295B8A">
        <w:rPr>
          <w:rFonts w:ascii="Times New Roman" w:hAnsi="Times New Roman" w:cs="Times New Roman"/>
          <w:sz w:val="22"/>
          <w:szCs w:val="22"/>
        </w:rPr>
        <w:t>1 and Appendix 7</w:t>
      </w:r>
      <w:r w:rsidR="00295B8A" w:rsidRPr="00295B8A">
        <w:rPr>
          <w:rFonts w:ascii="Times New Roman" w:hAnsi="Times New Roman" w:cs="Times New Roman"/>
          <w:sz w:val="22"/>
          <w:szCs w:val="22"/>
        </w:rPr>
        <w:t>.</w:t>
      </w:r>
      <w:r w:rsidRPr="00295B8A">
        <w:rPr>
          <w:rFonts w:ascii="Times New Roman" w:hAnsi="Times New Roman" w:cs="Times New Roman"/>
          <w:sz w:val="22"/>
          <w:szCs w:val="22"/>
        </w:rPr>
        <w:t>2.</w:t>
      </w:r>
      <w:r w:rsidRPr="00C3057A">
        <w:rPr>
          <w:rFonts w:ascii="Times New Roman" w:hAnsi="Times New Roman" w:cs="Times New Roman"/>
          <w:sz w:val="22"/>
          <w:szCs w:val="22"/>
        </w:rPr>
        <w:t xml:space="preserve">  Valuation of interactions is conducted using professional judgement method conducted among the TDA team members. </w:t>
      </w:r>
    </w:p>
    <w:p w14:paraId="36497EBA" w14:textId="4C77A8AB" w:rsidR="003B0264" w:rsidRPr="00C3057A" w:rsidRDefault="003B0264" w:rsidP="00C3057A">
      <w:pPr>
        <w:jc w:val="both"/>
        <w:rPr>
          <w:rFonts w:ascii="Times New Roman" w:hAnsi="Times New Roman" w:cs="Times New Roman"/>
          <w:sz w:val="22"/>
          <w:szCs w:val="22"/>
        </w:rPr>
      </w:pPr>
    </w:p>
    <w:p w14:paraId="3C8F78BE" w14:textId="1DFDCAAF" w:rsidR="003B0264" w:rsidRPr="00C3057A" w:rsidRDefault="003B0264" w:rsidP="00C3057A">
      <w:pPr>
        <w:jc w:val="both"/>
        <w:rPr>
          <w:rFonts w:ascii="Times New Roman" w:hAnsi="Times New Roman" w:cs="Times New Roman"/>
          <w:sz w:val="22"/>
          <w:szCs w:val="22"/>
        </w:rPr>
      </w:pPr>
      <w:r w:rsidRPr="00C3057A">
        <w:rPr>
          <w:rFonts w:ascii="Times New Roman" w:hAnsi="Times New Roman" w:cs="Times New Roman"/>
          <w:sz w:val="22"/>
          <w:szCs w:val="22"/>
        </w:rPr>
        <w:t xml:space="preserve">Using the interactions and total value of interactions between all indicators of five domains i.e. pollution, ecosystem, fisheries, socioeconomics, and governance we can reveals that their interactions are very complex in terms of their affection on one to another.  Figure </w:t>
      </w:r>
      <w:r w:rsidR="00C92C19">
        <w:rPr>
          <w:rFonts w:ascii="Times New Roman" w:hAnsi="Times New Roman" w:cs="Times New Roman"/>
          <w:sz w:val="22"/>
          <w:szCs w:val="22"/>
        </w:rPr>
        <w:t>56</w:t>
      </w:r>
      <w:r w:rsidRPr="00C3057A">
        <w:rPr>
          <w:rFonts w:ascii="Times New Roman" w:hAnsi="Times New Roman" w:cs="Times New Roman"/>
          <w:sz w:val="22"/>
          <w:szCs w:val="22"/>
        </w:rPr>
        <w:t xml:space="preserve"> shows the complexity of all networks between indicators (i.e. total 38 indicators) of five domains. </w:t>
      </w:r>
    </w:p>
    <w:p w14:paraId="5B173632" w14:textId="6432AA11" w:rsidR="003B0264" w:rsidRDefault="00C3057A" w:rsidP="00C3057A">
      <w:pPr>
        <w:jc w:val="center"/>
      </w:pPr>
      <w:r>
        <w:rPr>
          <w:noProof/>
        </w:rPr>
        <w:lastRenderedPageBreak/>
        <w:drawing>
          <wp:inline distT="0" distB="0" distL="0" distR="0" wp14:anchorId="50CEFEA8" wp14:editId="300C5557">
            <wp:extent cx="4178300" cy="3315856"/>
            <wp:effectExtent l="0" t="0" r="0" b="0"/>
            <wp:docPr id="1407058383" name="Picture 1" descr="A close-up of a colorful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058383" name="Picture 1" descr="A close-up of a colorful circle&#10;&#10;AI-generated content may be incorrect."/>
                    <pic:cNvPicPr/>
                  </pic:nvPicPr>
                  <pic:blipFill>
                    <a:blip r:embed="rId118">
                      <a:extLst>
                        <a:ext uri="{28A0092B-C50C-407E-A947-70E740481C1C}">
                          <a14:useLocalDpi xmlns:a14="http://schemas.microsoft.com/office/drawing/2010/main" val="0"/>
                        </a:ext>
                      </a:extLst>
                    </a:blip>
                    <a:stretch>
                      <a:fillRect/>
                    </a:stretch>
                  </pic:blipFill>
                  <pic:spPr>
                    <a:xfrm>
                      <a:off x="0" y="0"/>
                      <a:ext cx="4178300" cy="3315856"/>
                    </a:xfrm>
                    <a:prstGeom prst="rect">
                      <a:avLst/>
                    </a:prstGeom>
                  </pic:spPr>
                </pic:pic>
              </a:graphicData>
            </a:graphic>
          </wp:inline>
        </w:drawing>
      </w:r>
    </w:p>
    <w:p w14:paraId="69A0CA23" w14:textId="77777777" w:rsidR="003B0264" w:rsidRDefault="003B0264" w:rsidP="003B0264"/>
    <w:p w14:paraId="361EE6BF" w14:textId="6CA55ECF" w:rsidR="00450D25" w:rsidRPr="00450D25" w:rsidRDefault="00450D25" w:rsidP="00450D25">
      <w:pPr>
        <w:jc w:val="center"/>
        <w:rPr>
          <w:rFonts w:ascii="Times New Roman" w:hAnsi="Times New Roman" w:cs="Times New Roman"/>
          <w:sz w:val="22"/>
          <w:szCs w:val="22"/>
        </w:rPr>
      </w:pPr>
      <w:bookmarkStart w:id="195" w:name="_Toc217297643"/>
      <w:r w:rsidRPr="00450D25">
        <w:rPr>
          <w:rFonts w:ascii="Times New Roman" w:hAnsi="Times New Roman" w:cs="Times New Roman"/>
          <w:sz w:val="22"/>
          <w:szCs w:val="22"/>
        </w:rPr>
        <w:t xml:space="preserve">Figure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Figure \* ARABIC </w:instrText>
      </w:r>
      <w:r w:rsidRPr="00450D25">
        <w:rPr>
          <w:rFonts w:ascii="Times New Roman" w:hAnsi="Times New Roman" w:cs="Times New Roman"/>
          <w:sz w:val="22"/>
          <w:szCs w:val="22"/>
        </w:rPr>
        <w:fldChar w:fldCharType="separate"/>
      </w:r>
      <w:r w:rsidR="00F33716">
        <w:rPr>
          <w:rFonts w:ascii="Times New Roman" w:hAnsi="Times New Roman" w:cs="Times New Roman"/>
          <w:noProof/>
          <w:sz w:val="22"/>
          <w:szCs w:val="22"/>
        </w:rPr>
        <w:t>56</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Overall networks/interactions of all indicators of pollution, ecosystem, fisheries, socioeconomics and governance</w:t>
      </w:r>
      <w:bookmarkEnd w:id="195"/>
    </w:p>
    <w:p w14:paraId="7B40A445" w14:textId="60B185FF" w:rsidR="003B0264" w:rsidRPr="00C3057A" w:rsidRDefault="003B0264" w:rsidP="00C3057A">
      <w:pPr>
        <w:jc w:val="both"/>
        <w:rPr>
          <w:rFonts w:ascii="Times New Roman" w:hAnsi="Times New Roman" w:cs="Times New Roman"/>
          <w:sz w:val="22"/>
          <w:szCs w:val="22"/>
        </w:rPr>
      </w:pPr>
    </w:p>
    <w:p w14:paraId="3FD23243" w14:textId="3D899A29" w:rsidR="005700E2" w:rsidRDefault="003B0264" w:rsidP="00C3057A">
      <w:pPr>
        <w:jc w:val="both"/>
        <w:rPr>
          <w:rFonts w:ascii="Times New Roman" w:hAnsi="Times New Roman" w:cs="Times New Roman"/>
          <w:sz w:val="22"/>
          <w:szCs w:val="22"/>
        </w:rPr>
      </w:pPr>
      <w:r w:rsidRPr="00C3057A">
        <w:rPr>
          <w:rFonts w:ascii="Times New Roman" w:hAnsi="Times New Roman" w:cs="Times New Roman"/>
          <w:sz w:val="22"/>
          <w:szCs w:val="22"/>
        </w:rPr>
        <w:t xml:space="preserve">Further analysis of interactions shows that for the domain of </w:t>
      </w:r>
      <w:r w:rsidR="00997FCE" w:rsidRPr="00C3057A">
        <w:rPr>
          <w:rFonts w:ascii="Times New Roman" w:hAnsi="Times New Roman" w:cs="Times New Roman"/>
          <w:sz w:val="22"/>
          <w:szCs w:val="22"/>
        </w:rPr>
        <w:t>pollution;</w:t>
      </w:r>
      <w:r w:rsidRPr="00C3057A">
        <w:rPr>
          <w:rFonts w:ascii="Times New Roman" w:hAnsi="Times New Roman" w:cs="Times New Roman"/>
          <w:sz w:val="22"/>
          <w:szCs w:val="22"/>
        </w:rPr>
        <w:t xml:space="preserve"> </w:t>
      </w:r>
      <w:r w:rsidRPr="00C3057A">
        <w:rPr>
          <w:rFonts w:ascii="Times New Roman" w:hAnsi="Times New Roman" w:cs="Times New Roman"/>
          <w:b/>
          <w:bCs/>
          <w:sz w:val="22"/>
          <w:szCs w:val="22"/>
        </w:rPr>
        <w:t>indicator oil pollution</w:t>
      </w:r>
      <w:r w:rsidRPr="00C3057A">
        <w:rPr>
          <w:rFonts w:ascii="Times New Roman" w:hAnsi="Times New Roman" w:cs="Times New Roman"/>
          <w:sz w:val="22"/>
          <w:szCs w:val="22"/>
        </w:rPr>
        <w:t xml:space="preserve"> is the most interacted indicator among others in the context of its relation to all other indicators of TDA’s domains.  While, in the domain of fisheries, </w:t>
      </w:r>
      <w:r w:rsidRPr="00C3057A">
        <w:rPr>
          <w:rFonts w:ascii="Times New Roman" w:hAnsi="Times New Roman" w:cs="Times New Roman"/>
          <w:b/>
          <w:bCs/>
          <w:sz w:val="22"/>
          <w:szCs w:val="22"/>
        </w:rPr>
        <w:t>indicator of aquaculture productions</w:t>
      </w:r>
      <w:r w:rsidRPr="00C3057A">
        <w:rPr>
          <w:rFonts w:ascii="Times New Roman" w:hAnsi="Times New Roman" w:cs="Times New Roman"/>
          <w:sz w:val="22"/>
          <w:szCs w:val="22"/>
        </w:rPr>
        <w:t xml:space="preserve"> is the most sensitive interconnected indicator, </w:t>
      </w:r>
      <w:r w:rsidRPr="00C3057A">
        <w:rPr>
          <w:rFonts w:ascii="Times New Roman" w:hAnsi="Times New Roman" w:cs="Times New Roman"/>
          <w:b/>
          <w:bCs/>
          <w:sz w:val="22"/>
          <w:szCs w:val="22"/>
        </w:rPr>
        <w:t>indicator ecosystem sensitivity and vulnerability</w:t>
      </w:r>
      <w:r w:rsidRPr="00C3057A">
        <w:rPr>
          <w:rFonts w:ascii="Times New Roman" w:hAnsi="Times New Roman" w:cs="Times New Roman"/>
          <w:sz w:val="22"/>
          <w:szCs w:val="22"/>
        </w:rPr>
        <w:t xml:space="preserve"> is the most interconnected from the perspective of ecosystems domain.  In th context of socio-economics domain, </w:t>
      </w:r>
      <w:r w:rsidRPr="00C3057A">
        <w:rPr>
          <w:rFonts w:ascii="Times New Roman" w:hAnsi="Times New Roman" w:cs="Times New Roman"/>
          <w:b/>
          <w:bCs/>
          <w:sz w:val="22"/>
          <w:szCs w:val="22"/>
        </w:rPr>
        <w:t>indicator of economic activity and human well-being</w:t>
      </w:r>
      <w:r w:rsidRPr="00C3057A">
        <w:rPr>
          <w:rFonts w:ascii="Times New Roman" w:hAnsi="Times New Roman" w:cs="Times New Roman"/>
          <w:sz w:val="22"/>
          <w:szCs w:val="22"/>
        </w:rPr>
        <w:t xml:space="preserve"> has the most sensitive interconnectivity among others and in the domain governance, </w:t>
      </w:r>
      <w:r w:rsidRPr="00C3057A">
        <w:rPr>
          <w:rFonts w:ascii="Times New Roman" w:hAnsi="Times New Roman" w:cs="Times New Roman"/>
          <w:b/>
          <w:bCs/>
          <w:sz w:val="22"/>
          <w:szCs w:val="22"/>
        </w:rPr>
        <w:t>indicator government effectiveness</w:t>
      </w:r>
      <w:r w:rsidRPr="00C3057A">
        <w:rPr>
          <w:rFonts w:ascii="Times New Roman" w:hAnsi="Times New Roman" w:cs="Times New Roman"/>
          <w:sz w:val="22"/>
          <w:szCs w:val="22"/>
        </w:rPr>
        <w:t xml:space="preserve"> is the most important indicators in terms of its connectivity.   Figure </w:t>
      </w:r>
      <w:r w:rsidR="00C92C19">
        <w:rPr>
          <w:rFonts w:ascii="Times New Roman" w:hAnsi="Times New Roman" w:cs="Times New Roman"/>
          <w:sz w:val="22"/>
          <w:szCs w:val="22"/>
        </w:rPr>
        <w:t>57</w:t>
      </w:r>
      <w:r w:rsidRPr="00C3057A">
        <w:rPr>
          <w:rFonts w:ascii="Times New Roman" w:hAnsi="Times New Roman" w:cs="Times New Roman"/>
          <w:sz w:val="22"/>
          <w:szCs w:val="22"/>
        </w:rPr>
        <w:t xml:space="preserve"> shows the interactions of the most indicator for each domain relative to all other indicators.</w:t>
      </w:r>
    </w:p>
    <w:p w14:paraId="09180848" w14:textId="77777777" w:rsidR="00C3057A" w:rsidRDefault="00C3057A" w:rsidP="00C3057A">
      <w:pPr>
        <w:jc w:val="both"/>
        <w:rPr>
          <w:rFonts w:ascii="Times New Roman" w:hAnsi="Times New Roman" w:cs="Times New Roman"/>
          <w:sz w:val="22"/>
          <w:szCs w:val="22"/>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8"/>
        <w:gridCol w:w="4869"/>
      </w:tblGrid>
      <w:tr w:rsidR="00C3057A" w14:paraId="21135511" w14:textId="77777777" w:rsidTr="00120703">
        <w:trPr>
          <w:jc w:val="center"/>
        </w:trPr>
        <w:tc>
          <w:tcPr>
            <w:tcW w:w="4868" w:type="dxa"/>
          </w:tcPr>
          <w:p w14:paraId="667BFEA8" w14:textId="376F8544" w:rsidR="00C3057A" w:rsidRDefault="00C3057A" w:rsidP="00C3057A">
            <w:pPr>
              <w:jc w:val="both"/>
              <w:rPr>
                <w:rFonts w:ascii="Times New Roman" w:hAnsi="Times New Roman" w:cs="Times New Roman"/>
                <w:sz w:val="22"/>
                <w:szCs w:val="22"/>
              </w:rPr>
            </w:pPr>
            <w:r>
              <w:rPr>
                <w:noProof/>
              </w:rPr>
              <w:drawing>
                <wp:inline distT="0" distB="0" distL="0" distR="0" wp14:anchorId="4C585FE3" wp14:editId="75636DAA">
                  <wp:extent cx="2835045" cy="2133553"/>
                  <wp:effectExtent l="0" t="0" r="0" b="635"/>
                  <wp:docPr id="1835942801" name="Picture 2"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942801" name="Picture 2" descr="A diagram of different colored circles&#10;&#10;AI-generated content may be incorrect."/>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2835045" cy="2133553"/>
                          </a:xfrm>
                          <a:prstGeom prst="rect">
                            <a:avLst/>
                          </a:prstGeom>
                        </pic:spPr>
                      </pic:pic>
                    </a:graphicData>
                  </a:graphic>
                </wp:inline>
              </w:drawing>
            </w:r>
          </w:p>
        </w:tc>
        <w:tc>
          <w:tcPr>
            <w:tcW w:w="4869" w:type="dxa"/>
          </w:tcPr>
          <w:p w14:paraId="3DE54EF8" w14:textId="0399E990" w:rsidR="00C3057A" w:rsidRDefault="00C3057A" w:rsidP="00C3057A">
            <w:pPr>
              <w:jc w:val="both"/>
              <w:rPr>
                <w:rFonts w:ascii="Times New Roman" w:hAnsi="Times New Roman" w:cs="Times New Roman"/>
                <w:sz w:val="22"/>
                <w:szCs w:val="22"/>
              </w:rPr>
            </w:pPr>
            <w:r>
              <w:rPr>
                <w:noProof/>
              </w:rPr>
              <w:drawing>
                <wp:inline distT="0" distB="0" distL="0" distR="0" wp14:anchorId="42A1DB68" wp14:editId="566AF10F">
                  <wp:extent cx="2514600" cy="2158365"/>
                  <wp:effectExtent l="0" t="0" r="0" b="635"/>
                  <wp:docPr id="1422929311" name="Picture 3"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929311" name="Picture 3" descr="A diagram of different colored circles&#10;&#10;AI-generated content may be incorrect."/>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2514600" cy="2158365"/>
                          </a:xfrm>
                          <a:prstGeom prst="rect">
                            <a:avLst/>
                          </a:prstGeom>
                        </pic:spPr>
                      </pic:pic>
                    </a:graphicData>
                  </a:graphic>
                </wp:inline>
              </w:drawing>
            </w:r>
          </w:p>
        </w:tc>
      </w:tr>
      <w:tr w:rsidR="00C3057A" w14:paraId="176D5817" w14:textId="77777777" w:rsidTr="00120703">
        <w:trPr>
          <w:jc w:val="center"/>
        </w:trPr>
        <w:tc>
          <w:tcPr>
            <w:tcW w:w="4868" w:type="dxa"/>
          </w:tcPr>
          <w:p w14:paraId="7DB31FE6" w14:textId="15C7E1B9" w:rsidR="00C3057A" w:rsidRDefault="00C3057A" w:rsidP="00120703">
            <w:pPr>
              <w:jc w:val="center"/>
              <w:rPr>
                <w:rFonts w:ascii="Times New Roman" w:hAnsi="Times New Roman" w:cs="Times New Roman"/>
                <w:sz w:val="22"/>
                <w:szCs w:val="22"/>
              </w:rPr>
            </w:pPr>
            <w:r w:rsidRPr="005D6D11">
              <w:rPr>
                <w:b/>
                <w:bCs/>
              </w:rPr>
              <w:t>A. P-Oil pollution</w:t>
            </w:r>
          </w:p>
        </w:tc>
        <w:tc>
          <w:tcPr>
            <w:tcW w:w="4869" w:type="dxa"/>
          </w:tcPr>
          <w:p w14:paraId="5BDBB9A2" w14:textId="1AC39505" w:rsidR="00C3057A" w:rsidRDefault="00C3057A" w:rsidP="00120703">
            <w:pPr>
              <w:jc w:val="center"/>
              <w:rPr>
                <w:rFonts w:ascii="Times New Roman" w:hAnsi="Times New Roman" w:cs="Times New Roman"/>
                <w:sz w:val="22"/>
                <w:szCs w:val="22"/>
              </w:rPr>
            </w:pPr>
            <w:r w:rsidRPr="005D6D11">
              <w:rPr>
                <w:b/>
                <w:bCs/>
              </w:rPr>
              <w:t>B. F-Aquaculture</w:t>
            </w:r>
          </w:p>
        </w:tc>
      </w:tr>
      <w:tr w:rsidR="00C3057A" w14:paraId="3B3A93BB" w14:textId="77777777" w:rsidTr="00120703">
        <w:trPr>
          <w:jc w:val="center"/>
        </w:trPr>
        <w:tc>
          <w:tcPr>
            <w:tcW w:w="4868" w:type="dxa"/>
          </w:tcPr>
          <w:p w14:paraId="3844BB57" w14:textId="4AFEDD1E" w:rsidR="00C3057A" w:rsidRPr="005D6D11" w:rsidRDefault="00C3057A" w:rsidP="00C3057A">
            <w:pPr>
              <w:jc w:val="both"/>
              <w:rPr>
                <w:b/>
                <w:bCs/>
              </w:rPr>
            </w:pPr>
            <w:r w:rsidRPr="005D6D11">
              <w:rPr>
                <w:b/>
                <w:bCs/>
                <w:noProof/>
              </w:rPr>
              <w:lastRenderedPageBreak/>
              <w:drawing>
                <wp:inline distT="0" distB="0" distL="0" distR="0" wp14:anchorId="2E75954D" wp14:editId="6FED76CC">
                  <wp:extent cx="2728186" cy="2343150"/>
                  <wp:effectExtent l="0" t="0" r="2540" b="0"/>
                  <wp:docPr id="1833632553" name="Picture 4"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632553" name="Picture 4" descr="A diagram of different colored circles&#10;&#10;AI-generated content may be incorrect."/>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2728186" cy="2343150"/>
                          </a:xfrm>
                          <a:prstGeom prst="rect">
                            <a:avLst/>
                          </a:prstGeom>
                        </pic:spPr>
                      </pic:pic>
                    </a:graphicData>
                  </a:graphic>
                </wp:inline>
              </w:drawing>
            </w:r>
          </w:p>
        </w:tc>
        <w:tc>
          <w:tcPr>
            <w:tcW w:w="4869" w:type="dxa"/>
          </w:tcPr>
          <w:p w14:paraId="3FD3CBB4" w14:textId="4603AF32" w:rsidR="00C3057A" w:rsidRPr="005D6D11" w:rsidRDefault="00C3057A" w:rsidP="00C3057A">
            <w:pPr>
              <w:jc w:val="both"/>
              <w:rPr>
                <w:b/>
                <w:bCs/>
              </w:rPr>
            </w:pPr>
            <w:r w:rsidRPr="005D6D11">
              <w:rPr>
                <w:b/>
                <w:bCs/>
                <w:noProof/>
              </w:rPr>
              <w:drawing>
                <wp:inline distT="0" distB="0" distL="0" distR="0" wp14:anchorId="1664FE44" wp14:editId="3B7B242F">
                  <wp:extent cx="2565400" cy="2252503"/>
                  <wp:effectExtent l="0" t="0" r="0" b="0"/>
                  <wp:docPr id="19041712" name="Picture 5" descr="A circular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1712" name="Picture 5" descr="A circular diagram of different colored circles&#10;&#10;AI-generated content may be incorrect."/>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2568998" cy="2255662"/>
                          </a:xfrm>
                          <a:prstGeom prst="rect">
                            <a:avLst/>
                          </a:prstGeom>
                        </pic:spPr>
                      </pic:pic>
                    </a:graphicData>
                  </a:graphic>
                </wp:inline>
              </w:drawing>
            </w:r>
          </w:p>
        </w:tc>
      </w:tr>
      <w:tr w:rsidR="00C3057A" w14:paraId="3D0FE3C1" w14:textId="77777777" w:rsidTr="00120703">
        <w:trPr>
          <w:jc w:val="center"/>
        </w:trPr>
        <w:tc>
          <w:tcPr>
            <w:tcW w:w="4868" w:type="dxa"/>
          </w:tcPr>
          <w:p w14:paraId="4D2772CF" w14:textId="55C41399" w:rsidR="00C3057A" w:rsidRPr="005D6D11" w:rsidRDefault="00C3057A" w:rsidP="00120703">
            <w:pPr>
              <w:jc w:val="center"/>
              <w:rPr>
                <w:b/>
                <w:bCs/>
              </w:rPr>
            </w:pPr>
            <w:r w:rsidRPr="005D6D11">
              <w:rPr>
                <w:b/>
                <w:bCs/>
              </w:rPr>
              <w:t>C. E-Sensitivity and Vulnerability</w:t>
            </w:r>
          </w:p>
        </w:tc>
        <w:tc>
          <w:tcPr>
            <w:tcW w:w="4869" w:type="dxa"/>
          </w:tcPr>
          <w:p w14:paraId="7D6C413E" w14:textId="2D973E14" w:rsidR="00C3057A" w:rsidRPr="005D6D11" w:rsidRDefault="00C3057A" w:rsidP="00120703">
            <w:pPr>
              <w:jc w:val="center"/>
              <w:rPr>
                <w:b/>
                <w:bCs/>
              </w:rPr>
            </w:pPr>
            <w:r w:rsidRPr="005D6D11">
              <w:rPr>
                <w:b/>
                <w:bCs/>
              </w:rPr>
              <w:t>D. S-Economic Activities</w:t>
            </w:r>
          </w:p>
        </w:tc>
      </w:tr>
      <w:tr w:rsidR="00C3057A" w14:paraId="08F14AF8" w14:textId="77777777" w:rsidTr="00120703">
        <w:trPr>
          <w:jc w:val="center"/>
        </w:trPr>
        <w:tc>
          <w:tcPr>
            <w:tcW w:w="4868" w:type="dxa"/>
          </w:tcPr>
          <w:p w14:paraId="1C99EE5B" w14:textId="7263191B" w:rsidR="00C3057A" w:rsidRPr="005D6D11" w:rsidRDefault="00C3057A" w:rsidP="00C3057A">
            <w:pPr>
              <w:jc w:val="both"/>
              <w:rPr>
                <w:b/>
                <w:bCs/>
              </w:rPr>
            </w:pPr>
            <w:r w:rsidRPr="005D6D11">
              <w:rPr>
                <w:b/>
                <w:bCs/>
                <w:noProof/>
              </w:rPr>
              <w:drawing>
                <wp:inline distT="0" distB="0" distL="0" distR="0" wp14:anchorId="5EC709EE" wp14:editId="14D4E9AC">
                  <wp:extent cx="2551762" cy="2260600"/>
                  <wp:effectExtent l="0" t="0" r="1270" b="0"/>
                  <wp:docPr id="382551151" name="Picture 7"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551151" name="Picture 7" descr="A diagram of different colored circles&#10;&#10;AI-generated content may be incorrect."/>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2556288" cy="2264609"/>
                          </a:xfrm>
                          <a:prstGeom prst="rect">
                            <a:avLst/>
                          </a:prstGeom>
                        </pic:spPr>
                      </pic:pic>
                    </a:graphicData>
                  </a:graphic>
                </wp:inline>
              </w:drawing>
            </w:r>
          </w:p>
        </w:tc>
        <w:tc>
          <w:tcPr>
            <w:tcW w:w="4869" w:type="dxa"/>
          </w:tcPr>
          <w:p w14:paraId="5859D29A" w14:textId="7D41FE61" w:rsidR="00C3057A" w:rsidRPr="005D6D11" w:rsidRDefault="00C3057A" w:rsidP="00C3057A">
            <w:pPr>
              <w:jc w:val="both"/>
              <w:rPr>
                <w:b/>
                <w:bCs/>
              </w:rPr>
            </w:pPr>
            <w:r w:rsidRPr="005D6D11">
              <w:rPr>
                <w:b/>
                <w:bCs/>
                <w:noProof/>
              </w:rPr>
              <w:drawing>
                <wp:inline distT="0" distB="0" distL="0" distR="0" wp14:anchorId="67C8CE8A" wp14:editId="1DA8755A">
                  <wp:extent cx="2735580" cy="2279650"/>
                  <wp:effectExtent l="0" t="0" r="0" b="6350"/>
                  <wp:docPr id="2095739787" name="Picture 8"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739787" name="Picture 8" descr="A diagram of different colored circles&#10;&#10;AI-generated content may be incorrect."/>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2735580" cy="2279650"/>
                          </a:xfrm>
                          <a:prstGeom prst="rect">
                            <a:avLst/>
                          </a:prstGeom>
                        </pic:spPr>
                      </pic:pic>
                    </a:graphicData>
                  </a:graphic>
                </wp:inline>
              </w:drawing>
            </w:r>
          </w:p>
        </w:tc>
      </w:tr>
      <w:tr w:rsidR="00C3057A" w14:paraId="4C1D5B55" w14:textId="77777777" w:rsidTr="00120703">
        <w:trPr>
          <w:jc w:val="center"/>
        </w:trPr>
        <w:tc>
          <w:tcPr>
            <w:tcW w:w="4868" w:type="dxa"/>
          </w:tcPr>
          <w:p w14:paraId="191E58BB" w14:textId="4A744396" w:rsidR="00C3057A" w:rsidRPr="005D6D11" w:rsidRDefault="00C3057A" w:rsidP="00120703">
            <w:pPr>
              <w:jc w:val="center"/>
              <w:rPr>
                <w:b/>
                <w:bCs/>
                <w:noProof/>
              </w:rPr>
            </w:pPr>
            <w:r w:rsidRPr="005D6D11">
              <w:rPr>
                <w:b/>
                <w:bCs/>
              </w:rPr>
              <w:t>E. S-Human Wellbeing</w:t>
            </w:r>
          </w:p>
        </w:tc>
        <w:tc>
          <w:tcPr>
            <w:tcW w:w="4869" w:type="dxa"/>
          </w:tcPr>
          <w:p w14:paraId="3C3EB11C" w14:textId="51E51B1E" w:rsidR="00C3057A" w:rsidRPr="005D6D11" w:rsidRDefault="00C3057A" w:rsidP="00120703">
            <w:pPr>
              <w:jc w:val="center"/>
              <w:rPr>
                <w:b/>
                <w:bCs/>
                <w:noProof/>
              </w:rPr>
            </w:pPr>
            <w:r w:rsidRPr="005D6D11">
              <w:rPr>
                <w:b/>
                <w:bCs/>
              </w:rPr>
              <w:t>F. G-Government Effectiveness</w:t>
            </w:r>
          </w:p>
        </w:tc>
      </w:tr>
    </w:tbl>
    <w:p w14:paraId="35B63F82" w14:textId="688DD491" w:rsidR="005700E2" w:rsidRPr="00120703" w:rsidRDefault="005700E2" w:rsidP="005700E2"/>
    <w:p w14:paraId="2CE31A41" w14:textId="67C4B4E8" w:rsidR="00450D25" w:rsidRPr="00450D25" w:rsidRDefault="00450D25" w:rsidP="00450D25">
      <w:pPr>
        <w:jc w:val="center"/>
        <w:rPr>
          <w:rFonts w:ascii="Times New Roman" w:hAnsi="Times New Roman" w:cs="Times New Roman"/>
          <w:sz w:val="22"/>
          <w:szCs w:val="22"/>
        </w:rPr>
      </w:pPr>
      <w:bookmarkStart w:id="196" w:name="_Toc217297644"/>
      <w:r w:rsidRPr="00450D25">
        <w:rPr>
          <w:rFonts w:ascii="Times New Roman" w:hAnsi="Times New Roman" w:cs="Times New Roman"/>
          <w:sz w:val="22"/>
          <w:szCs w:val="22"/>
        </w:rPr>
        <w:t xml:space="preserve">Figure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Figure \* ARABIC </w:instrText>
      </w:r>
      <w:r w:rsidRPr="00450D25">
        <w:rPr>
          <w:rFonts w:ascii="Times New Roman" w:hAnsi="Times New Roman" w:cs="Times New Roman"/>
          <w:sz w:val="22"/>
          <w:szCs w:val="22"/>
        </w:rPr>
        <w:fldChar w:fldCharType="separate"/>
      </w:r>
      <w:r w:rsidR="00F33716">
        <w:rPr>
          <w:rFonts w:ascii="Times New Roman" w:hAnsi="Times New Roman" w:cs="Times New Roman"/>
          <w:noProof/>
          <w:sz w:val="22"/>
          <w:szCs w:val="22"/>
        </w:rPr>
        <w:t>57</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Interactions of the Most Connected Indicators in Relations to Other Indicators for Each Domain</w:t>
      </w:r>
      <w:bookmarkEnd w:id="196"/>
    </w:p>
    <w:p w14:paraId="73C2B99D" w14:textId="77777777" w:rsidR="00120703" w:rsidRPr="00120703" w:rsidRDefault="00120703" w:rsidP="00C3057A">
      <w:pPr>
        <w:jc w:val="center"/>
        <w:rPr>
          <w:rFonts w:ascii="Times New Roman" w:hAnsi="Times New Roman" w:cs="Times New Roman"/>
          <w:sz w:val="22"/>
          <w:szCs w:val="22"/>
        </w:rPr>
      </w:pPr>
    </w:p>
    <w:p w14:paraId="0D92960C" w14:textId="01CE9886" w:rsidR="003B0264" w:rsidRPr="00120703" w:rsidRDefault="003B0264" w:rsidP="00120703">
      <w:pPr>
        <w:jc w:val="both"/>
        <w:rPr>
          <w:rFonts w:ascii="Times New Roman" w:hAnsi="Times New Roman" w:cs="Times New Roman"/>
          <w:sz w:val="22"/>
          <w:szCs w:val="22"/>
        </w:rPr>
      </w:pPr>
      <w:r w:rsidRPr="00120703">
        <w:rPr>
          <w:rFonts w:ascii="Times New Roman" w:hAnsi="Times New Roman" w:cs="Times New Roman"/>
          <w:sz w:val="22"/>
          <w:szCs w:val="22"/>
        </w:rPr>
        <w:t xml:space="preserve">From the analysis we can conclude that shared governability platform should be designed using such collaborative decision-making and harmonized policy within sub national and national level of the Indonesia’s TDA boundary especially for the interaction between </w:t>
      </w:r>
      <w:r w:rsidRPr="00120703">
        <w:rPr>
          <w:rFonts w:ascii="Times New Roman" w:hAnsi="Times New Roman" w:cs="Times New Roman"/>
          <w:b/>
          <w:bCs/>
          <w:sz w:val="22"/>
          <w:szCs w:val="22"/>
        </w:rPr>
        <w:t>oil pollution, aquaculture productions, ecosystem sensitivity and vulnerability, economic activity and human well-being and governance effectiveness</w:t>
      </w:r>
      <w:r w:rsidRPr="00120703">
        <w:rPr>
          <w:rFonts w:ascii="Times New Roman" w:hAnsi="Times New Roman" w:cs="Times New Roman"/>
          <w:sz w:val="22"/>
          <w:szCs w:val="22"/>
        </w:rPr>
        <w:t>.</w:t>
      </w:r>
    </w:p>
    <w:p w14:paraId="4B9300FB" w14:textId="77777777" w:rsidR="003B0264" w:rsidRDefault="003B0264" w:rsidP="003B0264"/>
    <w:p w14:paraId="2FCC9543" w14:textId="1AAA77CC" w:rsidR="00995DB8" w:rsidRDefault="00995DB8" w:rsidP="00FD6872">
      <w:pPr>
        <w:pStyle w:val="Heading2"/>
      </w:pPr>
      <w:bookmarkStart w:id="197" w:name="_Toc217297580"/>
      <w:r w:rsidRPr="00FD6872">
        <w:t>7.3</w:t>
      </w:r>
      <w:r w:rsidR="009D26DC">
        <w:t>.</w:t>
      </w:r>
      <w:r w:rsidRPr="00FD6872">
        <w:t xml:space="preserve"> </w:t>
      </w:r>
      <w:r w:rsidR="00AE7A71">
        <w:tab/>
      </w:r>
      <w:r w:rsidRPr="00FD6872">
        <w:t>Patterns of risk among spatial units of analyses and at country scale</w:t>
      </w:r>
      <w:bookmarkEnd w:id="197"/>
    </w:p>
    <w:p w14:paraId="0762A530" w14:textId="73DE014D" w:rsidR="006266AC" w:rsidRPr="006266AC" w:rsidRDefault="006266AC" w:rsidP="006266AC">
      <w:pPr>
        <w:jc w:val="both"/>
        <w:rPr>
          <w:rFonts w:ascii="Times New Roman" w:eastAsia="Times New Roman" w:hAnsi="Times New Roman" w:cs="Times New Roman"/>
          <w:color w:val="0F1115"/>
          <w:sz w:val="22"/>
          <w:szCs w:val="22"/>
          <w:lang w:val="en-ID" w:eastAsia="en-US"/>
        </w:rPr>
      </w:pPr>
      <w:r w:rsidRPr="006266AC">
        <w:rPr>
          <w:rFonts w:ascii="Times New Roman" w:eastAsia="Times New Roman" w:hAnsi="Times New Roman" w:cs="Times New Roman"/>
          <w:color w:val="0F1115"/>
          <w:sz w:val="22"/>
          <w:szCs w:val="22"/>
          <w:lang w:val="en-ID" w:eastAsia="en-US"/>
        </w:rPr>
        <w:t>A composite analysis of all key indicators across each unit of analysis are pollution, ecosystem, fisheries, governance, and socio-economic dimensions</w:t>
      </w:r>
      <w:r>
        <w:rPr>
          <w:rFonts w:ascii="Times New Roman" w:eastAsia="Times New Roman" w:hAnsi="Times New Roman" w:cs="Times New Roman"/>
          <w:color w:val="0F1115"/>
          <w:sz w:val="22"/>
          <w:szCs w:val="22"/>
          <w:lang w:val="en-ID" w:eastAsia="en-US"/>
        </w:rPr>
        <w:t xml:space="preserve"> </w:t>
      </w:r>
      <w:r w:rsidRPr="006266AC">
        <w:rPr>
          <w:rFonts w:ascii="Times New Roman" w:eastAsia="Times New Roman" w:hAnsi="Times New Roman" w:cs="Times New Roman"/>
          <w:color w:val="0F1115"/>
          <w:sz w:val="22"/>
          <w:szCs w:val="22"/>
          <w:lang w:val="en-ID" w:eastAsia="en-US"/>
        </w:rPr>
        <w:t>reveals distinct risk class patterns, as presented in Matrix. Green flag indicates low-risk relationships, yellow flag represents moderate risk, and red flag denotes high-risk conditions. In addition, the risk representation pattern derived from the analysing units of analysis is illustrated in Figure</w:t>
      </w:r>
      <w:r>
        <w:rPr>
          <w:rFonts w:ascii="Times New Roman" w:eastAsia="Times New Roman" w:hAnsi="Times New Roman" w:cs="Times New Roman"/>
          <w:color w:val="0F1115"/>
          <w:sz w:val="22"/>
          <w:szCs w:val="22"/>
          <w:lang w:val="en-ID" w:eastAsia="en-US"/>
        </w:rPr>
        <w:t xml:space="preserve"> </w:t>
      </w:r>
      <w:r w:rsidR="00C92C19">
        <w:rPr>
          <w:rFonts w:ascii="Times New Roman" w:eastAsia="Times New Roman" w:hAnsi="Times New Roman" w:cs="Times New Roman"/>
          <w:color w:val="0F1115"/>
          <w:sz w:val="22"/>
          <w:szCs w:val="22"/>
          <w:lang w:val="en-ID" w:eastAsia="en-US"/>
        </w:rPr>
        <w:t>58</w:t>
      </w:r>
      <w:r w:rsidRPr="006266AC">
        <w:rPr>
          <w:rFonts w:ascii="Times New Roman" w:eastAsia="Times New Roman" w:hAnsi="Times New Roman" w:cs="Times New Roman"/>
          <w:color w:val="0F1115"/>
          <w:sz w:val="22"/>
          <w:szCs w:val="22"/>
          <w:lang w:val="en-ID" w:eastAsia="en-US"/>
        </w:rPr>
        <w:t>. The socio-economic component functions as the dominant risk driver, governance acts as a systemic risk amplifier, the ecosystem serves as the primary risk receiver, while fisheries and pollution operate as secondary drivers and mediators. The mapping of these analytical units within the TDA framework for the Indonesian region is shown in the following figure.</w:t>
      </w:r>
    </w:p>
    <w:p w14:paraId="6D040C2A" w14:textId="77777777" w:rsidR="00997FCE" w:rsidRDefault="00997FCE" w:rsidP="006266AC">
      <w:pPr>
        <w:rPr>
          <w:rFonts w:ascii="Times New Roman" w:eastAsia="Times New Roman" w:hAnsi="Times New Roman" w:cs="Times New Roman"/>
          <w:color w:val="0F1115"/>
          <w:sz w:val="22"/>
          <w:szCs w:val="22"/>
          <w:lang w:val="en-ID" w:eastAsia="en-US"/>
        </w:rPr>
      </w:pPr>
    </w:p>
    <w:p w14:paraId="53FC31B0" w14:textId="77777777" w:rsidR="00997FCE" w:rsidRDefault="00997FCE" w:rsidP="006266AC">
      <w:pPr>
        <w:rPr>
          <w:rFonts w:ascii="Times New Roman" w:eastAsia="Times New Roman" w:hAnsi="Times New Roman" w:cs="Times New Roman"/>
          <w:color w:val="0F1115"/>
          <w:sz w:val="22"/>
          <w:szCs w:val="22"/>
          <w:lang w:val="en-ID" w:eastAsia="en-US"/>
        </w:rPr>
      </w:pPr>
    </w:p>
    <w:tbl>
      <w:tblPr>
        <w:tblStyle w:val="TableGrid"/>
        <w:tblW w:w="9737"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37"/>
      </w:tblGrid>
      <w:tr w:rsidR="00997FCE" w14:paraId="2268522F" w14:textId="77777777" w:rsidTr="00997FCE">
        <w:tc>
          <w:tcPr>
            <w:tcW w:w="9737" w:type="dxa"/>
          </w:tcPr>
          <w:p w14:paraId="7EF54516" w14:textId="6BCFA4B5" w:rsidR="00997FCE" w:rsidRDefault="00997FCE" w:rsidP="000E7449">
            <w:pPr>
              <w:ind w:hanging="1251"/>
              <w:jc w:val="center"/>
              <w:rPr>
                <w:rFonts w:ascii="Times New Roman" w:eastAsia="Times New Roman" w:hAnsi="Times New Roman" w:cs="Times New Roman"/>
                <w:color w:val="0F1115"/>
                <w:sz w:val="22"/>
                <w:szCs w:val="22"/>
                <w:lang w:val="en-ID" w:eastAsia="en-US"/>
              </w:rPr>
            </w:pPr>
            <w:r w:rsidRPr="006266AC">
              <w:rPr>
                <w:rFonts w:ascii="Times New Roman" w:eastAsia="Times New Roman" w:hAnsi="Times New Roman" w:cs="Times New Roman"/>
                <w:noProof/>
                <w:color w:val="0F1115"/>
                <w:sz w:val="22"/>
                <w:szCs w:val="22"/>
                <w:lang w:val="en-ID" w:eastAsia="en-US"/>
              </w:rPr>
              <w:lastRenderedPageBreak/>
              <w:drawing>
                <wp:inline distT="0" distB="0" distL="0" distR="0" wp14:anchorId="17EE91DE" wp14:editId="29672680">
                  <wp:extent cx="5248893" cy="3641572"/>
                  <wp:effectExtent l="0" t="0" r="0" b="3810"/>
                  <wp:docPr id="60455371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5300410" cy="3677314"/>
                          </a:xfrm>
                          <a:prstGeom prst="rect">
                            <a:avLst/>
                          </a:prstGeom>
                          <a:noFill/>
                        </pic:spPr>
                      </pic:pic>
                    </a:graphicData>
                  </a:graphic>
                </wp:inline>
              </w:drawing>
            </w:r>
          </w:p>
        </w:tc>
      </w:tr>
      <w:tr w:rsidR="00997FCE" w14:paraId="1672D535" w14:textId="77777777" w:rsidTr="00997FCE">
        <w:tc>
          <w:tcPr>
            <w:tcW w:w="9737" w:type="dxa"/>
          </w:tcPr>
          <w:p w14:paraId="17258BDA" w14:textId="48B1337E" w:rsidR="00997FCE" w:rsidRDefault="00997FCE" w:rsidP="006266AC">
            <w:pPr>
              <w:rPr>
                <w:rFonts w:ascii="Times New Roman" w:eastAsia="Times New Roman" w:hAnsi="Times New Roman" w:cs="Times New Roman"/>
                <w:color w:val="0F1115"/>
                <w:sz w:val="22"/>
                <w:szCs w:val="22"/>
                <w:lang w:val="en-ID" w:eastAsia="en-US"/>
              </w:rPr>
            </w:pPr>
            <w:r w:rsidRPr="006266AC">
              <w:rPr>
                <w:rFonts w:ascii="Times New Roman" w:eastAsia="Times New Roman" w:hAnsi="Times New Roman" w:cs="Times New Roman"/>
                <w:noProof/>
                <w:color w:val="0F1115"/>
                <w:sz w:val="22"/>
                <w:szCs w:val="22"/>
                <w:lang w:val="en-ID" w:eastAsia="en-US"/>
              </w:rPr>
              <w:drawing>
                <wp:inline distT="0" distB="0" distL="0" distR="0" wp14:anchorId="51113B92" wp14:editId="6DAF52A8">
                  <wp:extent cx="5214062" cy="849109"/>
                  <wp:effectExtent l="0" t="0" r="5715" b="1905"/>
                  <wp:docPr id="106833710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321660" cy="866631"/>
                          </a:xfrm>
                          <a:prstGeom prst="rect">
                            <a:avLst/>
                          </a:prstGeom>
                          <a:noFill/>
                          <a:ln>
                            <a:noFill/>
                          </a:ln>
                        </pic:spPr>
                      </pic:pic>
                    </a:graphicData>
                  </a:graphic>
                </wp:inline>
              </w:drawing>
            </w:r>
          </w:p>
        </w:tc>
      </w:tr>
    </w:tbl>
    <w:p w14:paraId="53AE2321" w14:textId="77777777" w:rsidR="006266AC" w:rsidRPr="006266AC" w:rsidRDefault="006266AC" w:rsidP="006266AC">
      <w:pPr>
        <w:rPr>
          <w:rFonts w:ascii="Times New Roman" w:eastAsia="Times New Roman" w:hAnsi="Times New Roman" w:cs="Times New Roman"/>
          <w:color w:val="0F1115"/>
          <w:sz w:val="22"/>
          <w:szCs w:val="22"/>
          <w:lang w:val="en-ID" w:eastAsia="en-US"/>
        </w:rPr>
      </w:pPr>
    </w:p>
    <w:p w14:paraId="7F264A6E" w14:textId="628A6037" w:rsidR="00450D25" w:rsidRPr="00450D25" w:rsidRDefault="00450D25" w:rsidP="00450D25">
      <w:pPr>
        <w:jc w:val="center"/>
        <w:rPr>
          <w:rFonts w:ascii="Times New Roman" w:hAnsi="Times New Roman" w:cs="Times New Roman"/>
          <w:sz w:val="22"/>
          <w:szCs w:val="22"/>
        </w:rPr>
      </w:pPr>
      <w:bookmarkStart w:id="198" w:name="_Toc217297645"/>
      <w:r w:rsidRPr="00450D25">
        <w:rPr>
          <w:rFonts w:ascii="Times New Roman" w:hAnsi="Times New Roman" w:cs="Times New Roman"/>
          <w:sz w:val="22"/>
          <w:szCs w:val="22"/>
        </w:rPr>
        <w:t xml:space="preserve">Figure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Figure \* ARABIC </w:instrText>
      </w:r>
      <w:r w:rsidRPr="00450D25">
        <w:rPr>
          <w:rFonts w:ascii="Times New Roman" w:hAnsi="Times New Roman" w:cs="Times New Roman"/>
          <w:sz w:val="22"/>
          <w:szCs w:val="22"/>
        </w:rPr>
        <w:fldChar w:fldCharType="separate"/>
      </w:r>
      <w:r w:rsidR="00F33716">
        <w:rPr>
          <w:rFonts w:ascii="Times New Roman" w:hAnsi="Times New Roman" w:cs="Times New Roman"/>
          <w:noProof/>
          <w:sz w:val="22"/>
          <w:szCs w:val="22"/>
        </w:rPr>
        <w:t>58</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Risk classes and spatial distribution of risk based on driver and receiver characteristics of the analytical units.</w:t>
      </w:r>
      <w:bookmarkEnd w:id="198"/>
    </w:p>
    <w:p w14:paraId="7877CC9A" w14:textId="77777777" w:rsidR="006266AC" w:rsidRPr="006266AC" w:rsidRDefault="006266AC" w:rsidP="006266AC">
      <w:pPr>
        <w:rPr>
          <w:rFonts w:ascii="Times New Roman" w:eastAsia="Times New Roman" w:hAnsi="Times New Roman" w:cs="Times New Roman"/>
          <w:color w:val="0F1115"/>
          <w:sz w:val="22"/>
          <w:szCs w:val="22"/>
          <w:lang w:val="en-ID" w:eastAsia="en-US"/>
        </w:rPr>
      </w:pPr>
    </w:p>
    <w:p w14:paraId="26F130D3" w14:textId="5B9B4861" w:rsidR="006266AC" w:rsidRPr="00997FCE" w:rsidRDefault="006266AC" w:rsidP="00997FCE">
      <w:pPr>
        <w:spacing w:after="240"/>
        <w:jc w:val="both"/>
        <w:rPr>
          <w:rFonts w:ascii="Times New Roman" w:eastAsia="Times New Roman" w:hAnsi="Times New Roman" w:cs="Times New Roman"/>
          <w:color w:val="0F1115"/>
          <w:sz w:val="22"/>
          <w:szCs w:val="22"/>
          <w:lang w:val="en-ID" w:eastAsia="en-US"/>
        </w:rPr>
      </w:pPr>
      <w:r w:rsidRPr="00997FCE">
        <w:rPr>
          <w:rFonts w:ascii="Times New Roman" w:eastAsia="Times New Roman" w:hAnsi="Times New Roman" w:cs="Times New Roman"/>
          <w:color w:val="0F1115"/>
          <w:sz w:val="22"/>
          <w:szCs w:val="22"/>
          <w:lang w:val="en-ID" w:eastAsia="en-US"/>
        </w:rPr>
        <w:t>Based on the risk class analysis, the distribution of analytical units is identified according to their roles as risk drivers or risk receivers. Socio-Economic;</w:t>
      </w:r>
      <w:r w:rsidR="00997FCE" w:rsidRPr="00997FCE">
        <w:rPr>
          <w:rFonts w:ascii="Times New Roman" w:eastAsia="Times New Roman" w:hAnsi="Times New Roman" w:cs="Times New Roman"/>
          <w:color w:val="0F1115"/>
          <w:sz w:val="22"/>
          <w:szCs w:val="22"/>
          <w:lang w:val="en-ID" w:eastAsia="en-US"/>
        </w:rPr>
        <w:t xml:space="preserve"> </w:t>
      </w:r>
      <w:r w:rsidRPr="00997FCE">
        <w:rPr>
          <w:rFonts w:ascii="Times New Roman" w:eastAsia="Times New Roman" w:hAnsi="Times New Roman" w:cs="Times New Roman"/>
          <w:color w:val="0F1115"/>
          <w:sz w:val="22"/>
          <w:szCs w:val="22"/>
          <w:lang w:val="en-ID" w:eastAsia="en-US"/>
        </w:rPr>
        <w:t>This dimension acts as the primary driver of risk within the coastal management system. Socio-economic pressures—such as livelihood dependency, poverty, competition over coastal space, and population growth—generate substantial risk for other sectors while being relatively less affected by them.</w:t>
      </w:r>
      <w:r w:rsidR="00997FCE" w:rsidRPr="00997FCE">
        <w:rPr>
          <w:rFonts w:ascii="Times New Roman" w:eastAsia="Times New Roman" w:hAnsi="Times New Roman" w:cs="Times New Roman"/>
          <w:color w:val="0F1115"/>
          <w:sz w:val="22"/>
          <w:szCs w:val="22"/>
          <w:lang w:val="en-ID" w:eastAsia="en-US"/>
        </w:rPr>
        <w:t xml:space="preserve"> </w:t>
      </w:r>
      <w:r w:rsidRPr="00997FCE">
        <w:rPr>
          <w:rFonts w:ascii="Times New Roman" w:eastAsia="Times New Roman" w:hAnsi="Times New Roman" w:cs="Times New Roman"/>
          <w:color w:val="0F1115"/>
          <w:sz w:val="22"/>
          <w:szCs w:val="22"/>
          <w:lang w:val="en-ID" w:eastAsia="en-US"/>
        </w:rPr>
        <w:t>The risk reduction strategies should prioritize structural socio-economic interventions, including livelihood diversification, social protection, and economic resilience, rather than focusing solely on environmental remediation.</w:t>
      </w:r>
    </w:p>
    <w:p w14:paraId="0DEAD251" w14:textId="77777777" w:rsidR="006266AC" w:rsidRPr="006266AC" w:rsidRDefault="006266AC" w:rsidP="00997FCE">
      <w:pPr>
        <w:spacing w:after="240"/>
        <w:jc w:val="both"/>
        <w:rPr>
          <w:rFonts w:ascii="Times New Roman" w:eastAsia="Times New Roman" w:hAnsi="Times New Roman" w:cs="Times New Roman"/>
          <w:color w:val="0F1115"/>
          <w:sz w:val="22"/>
          <w:szCs w:val="22"/>
          <w:lang w:val="en-ID" w:eastAsia="en-US"/>
        </w:rPr>
      </w:pPr>
      <w:r w:rsidRPr="00997FCE">
        <w:rPr>
          <w:rFonts w:ascii="Times New Roman" w:eastAsia="Times New Roman" w:hAnsi="Times New Roman" w:cs="Times New Roman"/>
          <w:color w:val="0F1115"/>
          <w:sz w:val="22"/>
          <w:szCs w:val="22"/>
          <w:lang w:val="en-ID" w:eastAsia="en-US"/>
        </w:rPr>
        <w:t>The governance functions as a systemic risk amplifier. Weak regulatory frameworks, fragmented institutional mandates, and limited enforcement capacity both generate and absorb risks across all sectors.  Strengthening governance represents the most strategic entry point for risk mitigation, as improvements in institutional coordination and enforcement capacity simultaneously reduce</w:t>
      </w:r>
      <w:r w:rsidRPr="006266AC">
        <w:rPr>
          <w:rFonts w:ascii="Times New Roman" w:eastAsia="Times New Roman" w:hAnsi="Times New Roman" w:cs="Times New Roman"/>
          <w:color w:val="0F1115"/>
          <w:sz w:val="22"/>
          <w:szCs w:val="22"/>
          <w:lang w:val="en-ID" w:eastAsia="en-US"/>
        </w:rPr>
        <w:t xml:space="preserve"> multiple risk pathways.</w:t>
      </w:r>
    </w:p>
    <w:p w14:paraId="049321BB" w14:textId="77777777" w:rsidR="006266AC" w:rsidRPr="006266AC" w:rsidRDefault="006266AC" w:rsidP="00997FCE">
      <w:pPr>
        <w:spacing w:after="240"/>
        <w:jc w:val="both"/>
        <w:rPr>
          <w:rFonts w:ascii="Times New Roman" w:eastAsia="Times New Roman" w:hAnsi="Times New Roman" w:cs="Times New Roman"/>
          <w:color w:val="0F1115"/>
          <w:sz w:val="22"/>
          <w:szCs w:val="22"/>
          <w:lang w:val="en-ID" w:eastAsia="en-US"/>
        </w:rPr>
      </w:pPr>
      <w:r w:rsidRPr="006266AC">
        <w:rPr>
          <w:rFonts w:ascii="Times New Roman" w:eastAsia="Times New Roman" w:hAnsi="Times New Roman" w:cs="Times New Roman"/>
          <w:color w:val="0F1115"/>
          <w:sz w:val="22"/>
          <w:szCs w:val="22"/>
          <w:lang w:val="en-ID" w:eastAsia="en-US"/>
        </w:rPr>
        <w:t>Primary risk receivers is ecosystem unit on Indonesia region.   The ecosystem dimension emerges as the main recipient of risk, rather than a significant source. Ecosystem degradation is largely the cumulative outcome of pressures originating from socio-economic activities, governance failures, and sectoral exploitation.  Ecosystem restoration should be framed as a response to systemic risk, not as the primary risk prevention mechanism.</w:t>
      </w:r>
    </w:p>
    <w:p w14:paraId="1B81AE2B" w14:textId="77777777" w:rsidR="006266AC" w:rsidRPr="006266AC" w:rsidRDefault="006266AC" w:rsidP="00997FCE">
      <w:pPr>
        <w:spacing w:after="240"/>
        <w:jc w:val="both"/>
        <w:rPr>
          <w:rFonts w:ascii="Times New Roman" w:eastAsia="Times New Roman" w:hAnsi="Times New Roman" w:cs="Times New Roman"/>
          <w:color w:val="0F1115"/>
          <w:sz w:val="22"/>
          <w:szCs w:val="22"/>
          <w:lang w:val="en-ID" w:eastAsia="en-US"/>
        </w:rPr>
      </w:pPr>
    </w:p>
    <w:p w14:paraId="78CF2231" w14:textId="46AF517C" w:rsidR="00FD6872" w:rsidRPr="00FD6872" w:rsidRDefault="006266AC" w:rsidP="00997FCE">
      <w:pPr>
        <w:spacing w:after="240"/>
        <w:jc w:val="both"/>
        <w:rPr>
          <w:rFonts w:ascii="Times New Roman" w:eastAsia="Times New Roman" w:hAnsi="Times New Roman" w:cs="Times New Roman"/>
          <w:color w:val="0F1115"/>
          <w:sz w:val="22"/>
          <w:szCs w:val="22"/>
          <w:lang w:val="en-US" w:eastAsia="en-US"/>
        </w:rPr>
      </w:pPr>
      <w:r w:rsidRPr="006266AC">
        <w:rPr>
          <w:rFonts w:ascii="Times New Roman" w:eastAsia="Times New Roman" w:hAnsi="Times New Roman" w:cs="Times New Roman"/>
          <w:color w:val="0F1115"/>
          <w:sz w:val="22"/>
          <w:szCs w:val="22"/>
          <w:lang w:val="en-ID" w:eastAsia="en-US"/>
        </w:rPr>
        <w:t>Secondary drivers and mediators with low driver low receiver of risk area fisheries and pollution unit.  Fisheries operate as a context-dependent mediator.</w:t>
      </w:r>
      <w:r w:rsidR="00997FCE">
        <w:rPr>
          <w:rFonts w:ascii="Times New Roman" w:eastAsia="Times New Roman" w:hAnsi="Times New Roman" w:cs="Times New Roman"/>
          <w:color w:val="0F1115"/>
          <w:sz w:val="22"/>
          <w:szCs w:val="22"/>
          <w:lang w:val="en-ID" w:eastAsia="en-US"/>
        </w:rPr>
        <w:t xml:space="preserve"> </w:t>
      </w:r>
      <w:r w:rsidRPr="006266AC">
        <w:rPr>
          <w:rFonts w:ascii="Times New Roman" w:eastAsia="Times New Roman" w:hAnsi="Times New Roman" w:cs="Times New Roman"/>
          <w:color w:val="0F1115"/>
          <w:sz w:val="22"/>
          <w:szCs w:val="22"/>
          <w:lang w:val="en-ID" w:eastAsia="en-US"/>
        </w:rPr>
        <w:t xml:space="preserve">Poorly managed fisheries can escalate risks, while adaptive and </w:t>
      </w:r>
      <w:r w:rsidRPr="006266AC">
        <w:rPr>
          <w:rFonts w:ascii="Times New Roman" w:eastAsia="Times New Roman" w:hAnsi="Times New Roman" w:cs="Times New Roman"/>
          <w:color w:val="0F1115"/>
          <w:sz w:val="22"/>
          <w:szCs w:val="22"/>
          <w:lang w:val="en-ID" w:eastAsia="en-US"/>
        </w:rPr>
        <w:lastRenderedPageBreak/>
        <w:t>sustainable fisheries management can mitigate socio-economic and ecological pressures.</w:t>
      </w:r>
      <w:r w:rsidR="00997FCE">
        <w:rPr>
          <w:rFonts w:ascii="Times New Roman" w:eastAsia="Times New Roman" w:hAnsi="Times New Roman" w:cs="Times New Roman"/>
          <w:color w:val="0F1115"/>
          <w:sz w:val="22"/>
          <w:szCs w:val="22"/>
          <w:lang w:val="en-ID" w:eastAsia="en-US"/>
        </w:rPr>
        <w:t xml:space="preserve"> </w:t>
      </w:r>
      <w:r w:rsidRPr="006266AC">
        <w:rPr>
          <w:rFonts w:ascii="Times New Roman" w:eastAsia="Times New Roman" w:hAnsi="Times New Roman" w:cs="Times New Roman"/>
          <w:color w:val="0F1115"/>
          <w:sz w:val="22"/>
          <w:szCs w:val="22"/>
          <w:lang w:val="en-ID" w:eastAsia="en-US"/>
        </w:rPr>
        <w:t>Pollution primarily functions as an impact indicator, reflecting the combined effects of upstream socio-economic and governance drivers.  Sector-specific management remains important but should be aligned with broader socio-economic and governance reforms</w:t>
      </w:r>
    </w:p>
    <w:p w14:paraId="56870434" w14:textId="18C29E1C" w:rsidR="00995DB8" w:rsidRDefault="00995DB8" w:rsidP="00FD6872">
      <w:pPr>
        <w:pStyle w:val="Heading2"/>
      </w:pPr>
      <w:bookmarkStart w:id="199" w:name="_Toc217297581"/>
      <w:r w:rsidRPr="00FD6872">
        <w:t>7.4</w:t>
      </w:r>
      <w:r w:rsidR="009D26DC">
        <w:t>.</w:t>
      </w:r>
      <w:r w:rsidRPr="00FD6872">
        <w:t xml:space="preserve"> </w:t>
      </w:r>
      <w:r w:rsidR="00AE7A71">
        <w:tab/>
      </w:r>
      <w:r w:rsidRPr="00FD6872">
        <w:t>Target audience</w:t>
      </w:r>
      <w:bookmarkEnd w:id="199"/>
    </w:p>
    <w:p w14:paraId="1156A6DF" w14:textId="4ED5EAF2" w:rsidR="006266AC" w:rsidRPr="00997FCE" w:rsidRDefault="006266AC" w:rsidP="00997FCE">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Legal and institutional mapping has identified at least fifteen key stakeholders that must be engaged in the management of Indonesia’s jurisdictional waters in the South China Sea (SCS). These stakeholders demonstrate varying degrees of interest and intensity across critical issues, including marine pollution, ecosystem-based assessment, climate change, fisheries and livelihoods, endangered species conservation, and the marine/blue economy. For analytical clarity, these issues can be grouped into four primary focal areas: (1) socio-economic dimensions, (2) coastal and marine pollution, (3) fisheries and aquaculture and (4) coastal and marine ecosystems</w:t>
      </w:r>
      <w:r w:rsidR="00997FCE" w:rsidRPr="00997FCE">
        <w:rPr>
          <w:rFonts w:ascii="Times New Roman" w:hAnsi="Times New Roman" w:cs="Times New Roman"/>
          <w:sz w:val="22"/>
          <w:szCs w:val="22"/>
        </w:rPr>
        <w:t>.</w:t>
      </w:r>
    </w:p>
    <w:p w14:paraId="534D63C7" w14:textId="06B24863" w:rsidR="006266AC" w:rsidRPr="00997FCE" w:rsidRDefault="006266AC" w:rsidP="00997FCE">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 xml:space="preserve">Addressing the complex challenges of SCS management requires the establishment of formal governance arrangements, which encompass: (1) Inclusive governance to ensure broad stakeholder participation and representation, (2) marine pollution control to mitigate environmental degradation, (3) coastal ecosystem protection to safeguard biodiversity and ecological resilience and (4) capture fisheries and aquaculture development to promote sustainable resource use and livelihoods. The effective implementation of these arrangements is contingent upon robust stakeholder support at both national and sub-national levels. Such engagement is essential to foster legitimacy, enhance coordination, and ensure that management strategies are both sustainable and responsive to diverse stakeholder interests. </w:t>
      </w:r>
    </w:p>
    <w:p w14:paraId="4246F074" w14:textId="008D99AE" w:rsidR="006266AC" w:rsidRPr="00997FCE" w:rsidRDefault="006266AC" w:rsidP="00997FCE">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Empirical evidence indicates that stakeholder support for the established formal arrangements remains suboptimal, with significant variation in the intensity of integration across different stages of the policy cycle. Integration, understood as the process of combining, involving, and aligning stakeholder interests within strategies, policies, or management activities for the South China Sea (SCS), is currently assessed at a medium risk level and requires substantial improvement.</w:t>
      </w:r>
    </w:p>
    <w:p w14:paraId="36837040" w14:textId="77777777" w:rsidR="006266AC" w:rsidRPr="00997FCE" w:rsidRDefault="006266AC" w:rsidP="00997FCE">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While integration is relatively stronger during the implementation and evaluation stages, it is notably weaker in the policy formulation and decision-making phases. The lowest scores are observed in policy decision-making and early implementation, where decisions tend to be dominated by a small number of influential stakeholders rather than being taken collectively and participatively. This imbalance undermines inclusivity and reduces the legitimacy of governance processes, making it difficult to secure broad-based support. Stakeholders excluded from early stages are unable to fully comprehend or commit to the design of formal arrangements, thereby weakening overall alignment.</w:t>
      </w:r>
    </w:p>
    <w:p w14:paraId="6B76267B" w14:textId="77777777" w:rsidR="006266AC" w:rsidRPr="00997FCE" w:rsidRDefault="006266AC" w:rsidP="00997FCE">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The limited integration during policy formulation has a direct impact on stakeholder engagement, which also remains below optimal levels. Engagement, defined as the active involvement of stakeholders in formal arrangements, varies across governance mechanisms but generally falls within the medium to low range. Although engagement is highest in the domain of marine pollution control, even this area requires further strengthening to ensure effective outcomes.</w:t>
      </w:r>
    </w:p>
    <w:p w14:paraId="2EAF37B8" w14:textId="77777777" w:rsidR="006266AC" w:rsidRPr="00997FCE" w:rsidRDefault="006266AC" w:rsidP="00997FCE">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The combined weakness of integration and engagement constrains the performance of governance systems, resulting in effectiveness levels that range from low to medium, with a predominance at the lower end. This suggests that while the completeness of policy design is relatively adequate, the quality of participatory processes remains insufficient. The lack of inclusivity and collective decision-making increases governance risks, particularly in terms of legitimacy, stakeholder buy-in, and long-term sustainability.</w:t>
      </w:r>
    </w:p>
    <w:p w14:paraId="724C9F71" w14:textId="77777777" w:rsidR="006266AC" w:rsidRPr="00997FCE" w:rsidRDefault="006266AC" w:rsidP="006266AC">
      <w:pPr>
        <w:tabs>
          <w:tab w:val="num" w:pos="720"/>
        </w:tabs>
        <w:jc w:val="both"/>
        <w:rPr>
          <w:rFonts w:ascii="Times New Roman" w:hAnsi="Times New Roman" w:cs="Times New Roman"/>
          <w:sz w:val="22"/>
          <w:szCs w:val="22"/>
        </w:rPr>
      </w:pPr>
    </w:p>
    <w:p w14:paraId="12F94B37" w14:textId="66F8CFE6" w:rsidR="006266AC" w:rsidRPr="00997FCE" w:rsidRDefault="006266AC" w:rsidP="006266AC">
      <w:pPr>
        <w:tabs>
          <w:tab w:val="num" w:pos="720"/>
        </w:tabs>
        <w:jc w:val="both"/>
        <w:rPr>
          <w:rFonts w:ascii="Times New Roman" w:hAnsi="Times New Roman" w:cs="Times New Roman"/>
          <w:sz w:val="22"/>
          <w:szCs w:val="22"/>
        </w:rPr>
      </w:pPr>
      <w:r w:rsidRPr="00997FCE">
        <w:rPr>
          <w:rFonts w:ascii="Times New Roman" w:hAnsi="Times New Roman" w:cs="Times New Roman"/>
          <w:sz w:val="22"/>
          <w:szCs w:val="22"/>
        </w:rPr>
        <w:t xml:space="preserve">To enhance performance, it is necessary to strengthen the role of stakeholders who function as nodes or integrators in decision-making, both at the planning and implementation stages. From a national perspective, the roles of the Ministry of Environment, the Ministry of Marine Affairs and Fisheries, and the Ministry of National Development Planning/Bappenas are vital in promoting stakeholder integration and engagement. </w:t>
      </w:r>
      <w:r w:rsidRPr="00997FCE">
        <w:rPr>
          <w:rFonts w:ascii="Times New Roman" w:hAnsi="Times New Roman" w:cs="Times New Roman"/>
          <w:sz w:val="22"/>
          <w:szCs w:val="22"/>
        </w:rPr>
        <w:lastRenderedPageBreak/>
        <w:t>These roles extend beyond mobilizing ministries and agencies at the central level to also encompass sub-national institutions, particularly provincial governments. This is crucial given that the institutional authority for managing the South China Sea (SCS) lies not only with national bodies but also with provincial governments, notably West Kalimantan, Bangka Belitung, and the Riau Islands. Strengthened integration and engagement are expected to establish a domestic cooperation platform among stakeholders that is robust, stable, and well-directed for effective SCS management.</w:t>
      </w:r>
    </w:p>
    <w:p w14:paraId="0B6CC61C" w14:textId="77777777" w:rsidR="006266AC" w:rsidRPr="00997FCE" w:rsidRDefault="006266AC" w:rsidP="006266AC">
      <w:pPr>
        <w:jc w:val="both"/>
        <w:rPr>
          <w:rFonts w:ascii="Times New Roman" w:hAnsi="Times New Roman" w:cs="Times New Roman"/>
          <w:sz w:val="22"/>
          <w:szCs w:val="22"/>
        </w:rPr>
      </w:pPr>
    </w:p>
    <w:p w14:paraId="17BD25E6" w14:textId="29325828" w:rsidR="00FD6872" w:rsidRPr="00997FCE" w:rsidRDefault="006266AC" w:rsidP="006266AC">
      <w:pPr>
        <w:jc w:val="both"/>
        <w:rPr>
          <w:rFonts w:ascii="Times New Roman" w:eastAsia="Times New Roman" w:hAnsi="Times New Roman" w:cs="Times New Roman"/>
          <w:color w:val="0F1115"/>
          <w:sz w:val="22"/>
          <w:szCs w:val="22"/>
          <w:lang w:val="en-US" w:eastAsia="en-US"/>
        </w:rPr>
      </w:pPr>
      <w:r w:rsidRPr="00997FCE">
        <w:rPr>
          <w:rFonts w:ascii="Times New Roman" w:hAnsi="Times New Roman" w:cs="Times New Roman"/>
          <w:sz w:val="22"/>
          <w:szCs w:val="22"/>
        </w:rPr>
        <w:t>At the regional level, the Ministry of Foreign Affairs must coordinate effective diplomacy while inclusively incorporating input from a broad range of stakeholders, including central and local governments, researchers, NGOs, and civil society groups. The Ministry of Foreign Affairs plays a critical role as the spokesperson for Indonesia’s interests in regional cooperation forums on SCS governance. Outcomes from these forums should then be operationalized by relevant technical ministries and institutions, ensuring that regional commitments are translated into concrete national and sub-national actions.</w:t>
      </w:r>
    </w:p>
    <w:p w14:paraId="1BA9C15C" w14:textId="77777777" w:rsidR="00FD6872" w:rsidRPr="00FD6872" w:rsidRDefault="00FD6872" w:rsidP="00FD6872">
      <w:pPr>
        <w:rPr>
          <w:rFonts w:ascii="Times New Roman" w:eastAsia="Times New Roman" w:hAnsi="Times New Roman" w:cs="Times New Roman"/>
          <w:color w:val="0F1115"/>
          <w:sz w:val="22"/>
          <w:szCs w:val="22"/>
          <w:lang w:val="en-US" w:eastAsia="en-US"/>
        </w:rPr>
      </w:pPr>
    </w:p>
    <w:p w14:paraId="652CAEB3" w14:textId="17B617A6" w:rsidR="008910FB" w:rsidRPr="008910FB" w:rsidRDefault="00995DB8" w:rsidP="008910FB">
      <w:pPr>
        <w:pStyle w:val="Heading2"/>
        <w:numPr>
          <w:ilvl w:val="1"/>
          <w:numId w:val="143"/>
        </w:numPr>
      </w:pPr>
      <w:bookmarkStart w:id="200" w:name="_Toc217297582"/>
      <w:r w:rsidRPr="00FD6872">
        <w:t>Future indicator-based environmental assessments</w:t>
      </w:r>
      <w:bookmarkEnd w:id="200"/>
    </w:p>
    <w:p w14:paraId="496E7D93" w14:textId="709EEB9E" w:rsidR="003B0264" w:rsidRPr="00997FCE" w:rsidRDefault="003B0264" w:rsidP="00997FCE">
      <w:pPr>
        <w:spacing w:after="240"/>
        <w:jc w:val="both"/>
        <w:rPr>
          <w:rFonts w:ascii="Times New Roman" w:hAnsi="Times New Roman" w:cs="Times New Roman"/>
          <w:sz w:val="22"/>
          <w:szCs w:val="22"/>
        </w:rPr>
      </w:pPr>
      <w:r w:rsidRPr="00997FCE">
        <w:rPr>
          <w:rFonts w:ascii="Times New Roman" w:hAnsi="Times New Roman" w:cs="Times New Roman"/>
          <w:sz w:val="22"/>
          <w:szCs w:val="22"/>
        </w:rPr>
        <w:t>Based on the assessment of environmental conditions, which reflects the outcomes of interactions between ecosystem components and the drivers of disturbance and degradation, it is evident that the current set of indicators is not yet sufficient to comprehensively describe environmental dynamics. The environment is a complex system in which biophysical, chemical, and biological components interact continuously with both natural and anthropogenic stressors. Therefore, to better capture these interactions and their implications, several additional indicators need to be incorporated in future assessments.</w:t>
      </w:r>
    </w:p>
    <w:p w14:paraId="1FFD6C09" w14:textId="1BC1F586" w:rsidR="003B0264" w:rsidRPr="00997FCE" w:rsidRDefault="003B0264" w:rsidP="00997FCE">
      <w:pPr>
        <w:spacing w:after="240"/>
        <w:jc w:val="both"/>
        <w:rPr>
          <w:rFonts w:ascii="Times New Roman" w:hAnsi="Times New Roman" w:cs="Times New Roman"/>
          <w:sz w:val="22"/>
          <w:szCs w:val="22"/>
        </w:rPr>
      </w:pPr>
      <w:r w:rsidRPr="00997FCE">
        <w:rPr>
          <w:rFonts w:ascii="Times New Roman" w:hAnsi="Times New Roman" w:cs="Times New Roman"/>
          <w:sz w:val="22"/>
          <w:szCs w:val="22"/>
        </w:rPr>
        <w:t>These proposed indicators are presented according to each ecosystem component, allowing for a more structured and component-specific evaluation. The inclusion of such indicators is expected to improve the sensitivity of monitoring efforts in detecting early signs of environmental change, disturbance, or degradation. Furthermore, these indicators will provide more robust information for understanding causal relationships between ecosystem processes and external pressures.</w:t>
      </w:r>
    </w:p>
    <w:p w14:paraId="36BD3942" w14:textId="2ED4423A" w:rsidR="003B0264" w:rsidRPr="00997FCE" w:rsidRDefault="003B0264" w:rsidP="00997FCE">
      <w:pPr>
        <w:spacing w:after="240"/>
        <w:jc w:val="both"/>
        <w:rPr>
          <w:rFonts w:ascii="Times New Roman" w:hAnsi="Times New Roman" w:cs="Times New Roman"/>
          <w:sz w:val="22"/>
          <w:szCs w:val="22"/>
        </w:rPr>
      </w:pPr>
      <w:r w:rsidRPr="00997FCE">
        <w:rPr>
          <w:rFonts w:ascii="Times New Roman" w:hAnsi="Times New Roman" w:cs="Times New Roman"/>
          <w:sz w:val="22"/>
          <w:szCs w:val="22"/>
        </w:rPr>
        <w:t>The addition of these indicators is intended to support more effective and adaptive environmental management in the future. By enhancing the analytical framework, decision-makers will be better equipped to design targeted management strategies, prioritize intervention measures, and evaluate management performance over time. Ultimately, the expanded indicator set will contribute to more sustainable ecosystem management and improved environmental resilience.</w:t>
      </w:r>
    </w:p>
    <w:p w14:paraId="66CC79F2" w14:textId="6A35440C" w:rsidR="00450D25" w:rsidRPr="00450D25" w:rsidRDefault="00450D25" w:rsidP="00450D25">
      <w:pPr>
        <w:spacing w:after="240"/>
        <w:jc w:val="both"/>
        <w:rPr>
          <w:rFonts w:ascii="Times New Roman" w:hAnsi="Times New Roman" w:cs="Times New Roman"/>
          <w:sz w:val="22"/>
          <w:szCs w:val="22"/>
        </w:rPr>
      </w:pPr>
      <w:bookmarkStart w:id="201" w:name="_Toc217297672"/>
      <w:r w:rsidRPr="00450D25">
        <w:rPr>
          <w:rFonts w:ascii="Times New Roman" w:hAnsi="Times New Roman" w:cs="Times New Roman"/>
          <w:sz w:val="22"/>
          <w:szCs w:val="22"/>
        </w:rPr>
        <w:t xml:space="preserve">Table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Table \* ARABIC </w:instrText>
      </w:r>
      <w:r w:rsidRPr="00450D25">
        <w:rPr>
          <w:rFonts w:ascii="Times New Roman" w:hAnsi="Times New Roman" w:cs="Times New Roman"/>
          <w:sz w:val="22"/>
          <w:szCs w:val="22"/>
        </w:rPr>
        <w:fldChar w:fldCharType="separate"/>
      </w:r>
      <w:r w:rsidR="00F33716">
        <w:rPr>
          <w:rFonts w:ascii="Times New Roman" w:hAnsi="Times New Roman" w:cs="Times New Roman"/>
          <w:noProof/>
          <w:sz w:val="22"/>
          <w:szCs w:val="22"/>
        </w:rPr>
        <w:t>27</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Additional indicators for each component of future environmental management are proposed based on an assessment of existing interactions among components in the management of the Indonesian sector of the South China Sea (SCS).</w:t>
      </w:r>
      <w:bookmarkEnd w:id="201"/>
    </w:p>
    <w:tbl>
      <w:tblPr>
        <w:tblStyle w:val="TableGrid"/>
        <w:tblW w:w="9611" w:type="dxa"/>
        <w:tblLook w:val="04A0" w:firstRow="1" w:lastRow="0" w:firstColumn="1" w:lastColumn="0" w:noHBand="0" w:noVBand="1"/>
      </w:tblPr>
      <w:tblGrid>
        <w:gridCol w:w="2122"/>
        <w:gridCol w:w="1984"/>
        <w:gridCol w:w="2166"/>
        <w:gridCol w:w="3339"/>
      </w:tblGrid>
      <w:tr w:rsidR="00997FCE" w:rsidRPr="00997FCE" w14:paraId="535B1FF8" w14:textId="77777777" w:rsidTr="000E7449">
        <w:trPr>
          <w:tblHeader/>
        </w:trPr>
        <w:tc>
          <w:tcPr>
            <w:tcW w:w="2122" w:type="dxa"/>
            <w:shd w:val="clear" w:color="auto" w:fill="BDD6EE" w:themeFill="accent5" w:themeFillTint="66"/>
          </w:tcPr>
          <w:p w14:paraId="050CE5A8" w14:textId="77777777" w:rsidR="003B0264" w:rsidRPr="00997FCE" w:rsidRDefault="003B0264" w:rsidP="003B0264">
            <w:pPr>
              <w:jc w:val="both"/>
              <w:rPr>
                <w:rFonts w:ascii="Times New Roman" w:hAnsi="Times New Roman" w:cs="Times New Roman"/>
                <w:b/>
                <w:bCs/>
                <w:sz w:val="22"/>
                <w:szCs w:val="22"/>
              </w:rPr>
            </w:pPr>
            <w:r w:rsidRPr="00997FCE">
              <w:rPr>
                <w:rFonts w:ascii="Times New Roman" w:hAnsi="Times New Roman" w:cs="Times New Roman"/>
                <w:b/>
                <w:bCs/>
                <w:sz w:val="22"/>
                <w:szCs w:val="22"/>
              </w:rPr>
              <w:t>Component</w:t>
            </w:r>
          </w:p>
        </w:tc>
        <w:tc>
          <w:tcPr>
            <w:tcW w:w="1984" w:type="dxa"/>
            <w:shd w:val="clear" w:color="auto" w:fill="BDD6EE" w:themeFill="accent5" w:themeFillTint="66"/>
          </w:tcPr>
          <w:p w14:paraId="5AD3104F" w14:textId="77777777" w:rsidR="003B0264" w:rsidRPr="00997FCE" w:rsidRDefault="003B0264" w:rsidP="003B0264">
            <w:pPr>
              <w:jc w:val="both"/>
              <w:rPr>
                <w:rFonts w:ascii="Times New Roman" w:hAnsi="Times New Roman" w:cs="Times New Roman"/>
                <w:b/>
                <w:bCs/>
                <w:sz w:val="22"/>
                <w:szCs w:val="22"/>
              </w:rPr>
            </w:pPr>
            <w:r w:rsidRPr="00997FCE">
              <w:rPr>
                <w:rFonts w:ascii="Times New Roman" w:hAnsi="Times New Roman" w:cs="Times New Roman"/>
                <w:b/>
                <w:bCs/>
                <w:sz w:val="22"/>
                <w:szCs w:val="22"/>
              </w:rPr>
              <w:t>Additional Indicators</w:t>
            </w:r>
          </w:p>
        </w:tc>
        <w:tc>
          <w:tcPr>
            <w:tcW w:w="2166" w:type="dxa"/>
            <w:shd w:val="clear" w:color="auto" w:fill="BDD6EE" w:themeFill="accent5" w:themeFillTint="66"/>
          </w:tcPr>
          <w:p w14:paraId="6E257BF7" w14:textId="77777777" w:rsidR="003B0264" w:rsidRPr="00997FCE" w:rsidRDefault="003B0264" w:rsidP="003B0264">
            <w:pPr>
              <w:jc w:val="both"/>
              <w:rPr>
                <w:rFonts w:ascii="Times New Roman" w:hAnsi="Times New Roman" w:cs="Times New Roman"/>
                <w:b/>
                <w:bCs/>
                <w:sz w:val="22"/>
                <w:szCs w:val="22"/>
              </w:rPr>
            </w:pPr>
            <w:r w:rsidRPr="00997FCE">
              <w:rPr>
                <w:rFonts w:ascii="Times New Roman" w:hAnsi="Times New Roman" w:cs="Times New Roman"/>
                <w:b/>
                <w:bCs/>
                <w:sz w:val="22"/>
                <w:szCs w:val="22"/>
              </w:rPr>
              <w:t>Typical unit</w:t>
            </w:r>
          </w:p>
        </w:tc>
        <w:tc>
          <w:tcPr>
            <w:tcW w:w="3339" w:type="dxa"/>
            <w:shd w:val="clear" w:color="auto" w:fill="BDD6EE" w:themeFill="accent5" w:themeFillTint="66"/>
          </w:tcPr>
          <w:p w14:paraId="2F11A7B2" w14:textId="77777777" w:rsidR="003B0264" w:rsidRPr="00997FCE" w:rsidRDefault="003B0264" w:rsidP="003B0264">
            <w:pPr>
              <w:jc w:val="both"/>
              <w:rPr>
                <w:rFonts w:ascii="Times New Roman" w:hAnsi="Times New Roman" w:cs="Times New Roman"/>
                <w:b/>
                <w:bCs/>
                <w:sz w:val="22"/>
                <w:szCs w:val="22"/>
              </w:rPr>
            </w:pPr>
            <w:r w:rsidRPr="00997FCE">
              <w:rPr>
                <w:rFonts w:ascii="Times New Roman" w:hAnsi="Times New Roman" w:cs="Times New Roman"/>
                <w:b/>
                <w:bCs/>
                <w:sz w:val="22"/>
                <w:szCs w:val="22"/>
              </w:rPr>
              <w:t>Data required</w:t>
            </w:r>
          </w:p>
        </w:tc>
      </w:tr>
      <w:tr w:rsidR="00997FCE" w:rsidRPr="00997FCE" w14:paraId="3A585D53" w14:textId="77777777" w:rsidTr="00997FCE">
        <w:tc>
          <w:tcPr>
            <w:tcW w:w="2122" w:type="dxa"/>
          </w:tcPr>
          <w:p w14:paraId="69E651CC" w14:textId="77777777" w:rsidR="003B0264" w:rsidRPr="00997FCE" w:rsidRDefault="003B0264" w:rsidP="003B0264">
            <w:pPr>
              <w:jc w:val="both"/>
              <w:rPr>
                <w:rFonts w:ascii="Times New Roman" w:hAnsi="Times New Roman" w:cs="Times New Roman"/>
                <w:sz w:val="22"/>
                <w:szCs w:val="22"/>
              </w:rPr>
            </w:pPr>
            <w:r w:rsidRPr="00997FCE">
              <w:rPr>
                <w:rFonts w:ascii="Times New Roman" w:hAnsi="Times New Roman" w:cs="Times New Roman"/>
                <w:sz w:val="22"/>
                <w:szCs w:val="22"/>
              </w:rPr>
              <w:t>Pollution</w:t>
            </w:r>
          </w:p>
        </w:tc>
        <w:tc>
          <w:tcPr>
            <w:tcW w:w="1984" w:type="dxa"/>
          </w:tcPr>
          <w:p w14:paraId="43DCDDBE"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Eutrophication Index</w:t>
            </w:r>
          </w:p>
        </w:tc>
        <w:tc>
          <w:tcPr>
            <w:tcW w:w="2166" w:type="dxa"/>
          </w:tcPr>
          <w:p w14:paraId="0B33ABAD"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Index</w:t>
            </w:r>
          </w:p>
        </w:tc>
        <w:tc>
          <w:tcPr>
            <w:tcW w:w="3339" w:type="dxa"/>
          </w:tcPr>
          <w:p w14:paraId="584DC3AB"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Dissolved oxygen; DIN; DIP; Chl-a</w:t>
            </w:r>
          </w:p>
        </w:tc>
      </w:tr>
      <w:tr w:rsidR="00997FCE" w:rsidRPr="00997FCE" w14:paraId="403D8417" w14:textId="77777777" w:rsidTr="00997FCE">
        <w:tc>
          <w:tcPr>
            <w:tcW w:w="2122" w:type="dxa"/>
          </w:tcPr>
          <w:p w14:paraId="6B0109B3" w14:textId="77777777" w:rsidR="003B0264" w:rsidRPr="00997FCE" w:rsidRDefault="003B0264" w:rsidP="003B0264">
            <w:pPr>
              <w:jc w:val="both"/>
              <w:rPr>
                <w:rFonts w:ascii="Times New Roman" w:hAnsi="Times New Roman" w:cs="Times New Roman"/>
                <w:sz w:val="22"/>
                <w:szCs w:val="22"/>
              </w:rPr>
            </w:pPr>
          </w:p>
        </w:tc>
        <w:tc>
          <w:tcPr>
            <w:tcW w:w="1984" w:type="dxa"/>
          </w:tcPr>
          <w:p w14:paraId="21DDFBFC"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Riverine load</w:t>
            </w:r>
          </w:p>
        </w:tc>
        <w:tc>
          <w:tcPr>
            <w:tcW w:w="2166" w:type="dxa"/>
          </w:tcPr>
          <w:p w14:paraId="5C18B202"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ton/day of Total N</w:t>
            </w:r>
          </w:p>
        </w:tc>
        <w:tc>
          <w:tcPr>
            <w:tcW w:w="3339" w:type="dxa"/>
          </w:tcPr>
          <w:p w14:paraId="3A71F129"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River discharge; total N</w:t>
            </w:r>
          </w:p>
        </w:tc>
      </w:tr>
      <w:tr w:rsidR="00997FCE" w:rsidRPr="00997FCE" w14:paraId="65FDB998" w14:textId="77777777" w:rsidTr="00997FCE">
        <w:tc>
          <w:tcPr>
            <w:tcW w:w="2122" w:type="dxa"/>
          </w:tcPr>
          <w:p w14:paraId="13014A2A" w14:textId="77777777" w:rsidR="003B0264" w:rsidRPr="00997FCE" w:rsidRDefault="003B0264" w:rsidP="003B0264">
            <w:pPr>
              <w:jc w:val="both"/>
              <w:rPr>
                <w:rFonts w:ascii="Times New Roman" w:hAnsi="Times New Roman" w:cs="Times New Roman"/>
                <w:sz w:val="22"/>
                <w:szCs w:val="22"/>
              </w:rPr>
            </w:pPr>
          </w:p>
        </w:tc>
        <w:tc>
          <w:tcPr>
            <w:tcW w:w="1984" w:type="dxa"/>
          </w:tcPr>
          <w:p w14:paraId="3386DEA3" w14:textId="77777777" w:rsidR="003B0264" w:rsidRPr="00997FCE" w:rsidRDefault="003B0264" w:rsidP="00997FCE">
            <w:pPr>
              <w:rPr>
                <w:rFonts w:ascii="Times New Roman" w:hAnsi="Times New Roman" w:cs="Times New Roman"/>
                <w:sz w:val="22"/>
                <w:szCs w:val="22"/>
              </w:rPr>
            </w:pPr>
          </w:p>
        </w:tc>
        <w:tc>
          <w:tcPr>
            <w:tcW w:w="2166" w:type="dxa"/>
          </w:tcPr>
          <w:p w14:paraId="5817E197"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ton/day of Total P</w:t>
            </w:r>
          </w:p>
        </w:tc>
        <w:tc>
          <w:tcPr>
            <w:tcW w:w="3339" w:type="dxa"/>
          </w:tcPr>
          <w:p w14:paraId="2736378C"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River discharge; total P</w:t>
            </w:r>
          </w:p>
        </w:tc>
      </w:tr>
      <w:tr w:rsidR="00997FCE" w:rsidRPr="00997FCE" w14:paraId="5EAF9851" w14:textId="77777777" w:rsidTr="00997FCE">
        <w:tc>
          <w:tcPr>
            <w:tcW w:w="2122" w:type="dxa"/>
          </w:tcPr>
          <w:p w14:paraId="51C5DDD9" w14:textId="77777777" w:rsidR="003B0264" w:rsidRPr="00997FCE" w:rsidRDefault="003B0264" w:rsidP="003B0264">
            <w:pPr>
              <w:jc w:val="both"/>
              <w:rPr>
                <w:rFonts w:ascii="Times New Roman" w:hAnsi="Times New Roman" w:cs="Times New Roman"/>
                <w:sz w:val="22"/>
                <w:szCs w:val="22"/>
              </w:rPr>
            </w:pPr>
          </w:p>
        </w:tc>
        <w:tc>
          <w:tcPr>
            <w:tcW w:w="1984" w:type="dxa"/>
          </w:tcPr>
          <w:p w14:paraId="2EDCC1AC" w14:textId="77777777" w:rsidR="003B0264" w:rsidRPr="00997FCE" w:rsidRDefault="003B0264" w:rsidP="00997FCE">
            <w:pPr>
              <w:rPr>
                <w:rFonts w:ascii="Times New Roman" w:hAnsi="Times New Roman" w:cs="Times New Roman"/>
                <w:sz w:val="22"/>
                <w:szCs w:val="22"/>
              </w:rPr>
            </w:pPr>
          </w:p>
        </w:tc>
        <w:tc>
          <w:tcPr>
            <w:tcW w:w="2166" w:type="dxa"/>
          </w:tcPr>
          <w:p w14:paraId="65FEB647"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Number/day</w:t>
            </w:r>
          </w:p>
        </w:tc>
        <w:tc>
          <w:tcPr>
            <w:tcW w:w="3339" w:type="dxa"/>
          </w:tcPr>
          <w:p w14:paraId="77A3B6FA"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River discharge; Total Coliform</w:t>
            </w:r>
          </w:p>
        </w:tc>
      </w:tr>
      <w:tr w:rsidR="00997FCE" w:rsidRPr="00997FCE" w14:paraId="3FA1AAD0" w14:textId="77777777" w:rsidTr="00997FCE">
        <w:tc>
          <w:tcPr>
            <w:tcW w:w="2122" w:type="dxa"/>
          </w:tcPr>
          <w:p w14:paraId="1173533D" w14:textId="77777777" w:rsidR="003B0264" w:rsidRPr="00997FCE" w:rsidRDefault="003B0264" w:rsidP="003B0264">
            <w:pPr>
              <w:jc w:val="both"/>
              <w:rPr>
                <w:rFonts w:ascii="Times New Roman" w:hAnsi="Times New Roman" w:cs="Times New Roman"/>
                <w:sz w:val="22"/>
                <w:szCs w:val="22"/>
              </w:rPr>
            </w:pPr>
          </w:p>
        </w:tc>
        <w:tc>
          <w:tcPr>
            <w:tcW w:w="1984" w:type="dxa"/>
          </w:tcPr>
          <w:p w14:paraId="104D0FA6"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Volume of oil sludge stranded</w:t>
            </w:r>
          </w:p>
        </w:tc>
        <w:tc>
          <w:tcPr>
            <w:tcW w:w="2166" w:type="dxa"/>
          </w:tcPr>
          <w:p w14:paraId="775E0787"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Ton/m2</w:t>
            </w:r>
          </w:p>
        </w:tc>
        <w:tc>
          <w:tcPr>
            <w:tcW w:w="3339" w:type="dxa"/>
          </w:tcPr>
          <w:p w14:paraId="6D53B708"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Volume of oil sludge</w:t>
            </w:r>
          </w:p>
        </w:tc>
      </w:tr>
      <w:tr w:rsidR="00997FCE" w:rsidRPr="00997FCE" w14:paraId="09FC0C6A" w14:textId="77777777" w:rsidTr="00997FCE">
        <w:tc>
          <w:tcPr>
            <w:tcW w:w="2122" w:type="dxa"/>
          </w:tcPr>
          <w:p w14:paraId="3822BF9C" w14:textId="77777777" w:rsidR="003B0264" w:rsidRPr="00997FCE" w:rsidRDefault="003B0264" w:rsidP="003B0264">
            <w:pPr>
              <w:jc w:val="both"/>
              <w:rPr>
                <w:rFonts w:ascii="Times New Roman" w:hAnsi="Times New Roman" w:cs="Times New Roman"/>
                <w:sz w:val="22"/>
                <w:szCs w:val="22"/>
              </w:rPr>
            </w:pPr>
          </w:p>
        </w:tc>
        <w:tc>
          <w:tcPr>
            <w:tcW w:w="1984" w:type="dxa"/>
          </w:tcPr>
          <w:p w14:paraId="281D998B"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Volume of marine debris stranded</w:t>
            </w:r>
          </w:p>
        </w:tc>
        <w:tc>
          <w:tcPr>
            <w:tcW w:w="2166" w:type="dxa"/>
          </w:tcPr>
          <w:p w14:paraId="1298231E"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Ton/m2</w:t>
            </w:r>
          </w:p>
        </w:tc>
        <w:tc>
          <w:tcPr>
            <w:tcW w:w="3339" w:type="dxa"/>
          </w:tcPr>
          <w:p w14:paraId="71880385"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Volume of marine debris based on types</w:t>
            </w:r>
          </w:p>
        </w:tc>
      </w:tr>
      <w:tr w:rsidR="00997FCE" w:rsidRPr="00997FCE" w14:paraId="40819FE5" w14:textId="77777777" w:rsidTr="00997FCE">
        <w:tc>
          <w:tcPr>
            <w:tcW w:w="2122" w:type="dxa"/>
          </w:tcPr>
          <w:p w14:paraId="2575052B" w14:textId="77777777" w:rsidR="003B0264" w:rsidRPr="00997FCE" w:rsidRDefault="003B0264" w:rsidP="003B0264">
            <w:pPr>
              <w:jc w:val="both"/>
              <w:rPr>
                <w:rFonts w:ascii="Times New Roman" w:hAnsi="Times New Roman" w:cs="Times New Roman"/>
                <w:sz w:val="22"/>
                <w:szCs w:val="22"/>
              </w:rPr>
            </w:pPr>
          </w:p>
        </w:tc>
        <w:tc>
          <w:tcPr>
            <w:tcW w:w="1984" w:type="dxa"/>
          </w:tcPr>
          <w:p w14:paraId="1554011D" w14:textId="77777777" w:rsidR="003B0264" w:rsidRPr="00997FCE" w:rsidRDefault="003B0264" w:rsidP="00997FCE">
            <w:pPr>
              <w:rPr>
                <w:rFonts w:ascii="Times New Roman" w:hAnsi="Times New Roman" w:cs="Times New Roman"/>
                <w:sz w:val="22"/>
                <w:szCs w:val="22"/>
              </w:rPr>
            </w:pPr>
          </w:p>
        </w:tc>
        <w:tc>
          <w:tcPr>
            <w:tcW w:w="2166" w:type="dxa"/>
          </w:tcPr>
          <w:p w14:paraId="52BB7BBE" w14:textId="77777777" w:rsidR="003B0264" w:rsidRPr="00997FCE" w:rsidRDefault="003B0264" w:rsidP="00997FCE">
            <w:pPr>
              <w:rPr>
                <w:rFonts w:ascii="Times New Roman" w:hAnsi="Times New Roman" w:cs="Times New Roman"/>
                <w:sz w:val="22"/>
                <w:szCs w:val="22"/>
              </w:rPr>
            </w:pPr>
          </w:p>
        </w:tc>
        <w:tc>
          <w:tcPr>
            <w:tcW w:w="3339" w:type="dxa"/>
          </w:tcPr>
          <w:p w14:paraId="7D87096D" w14:textId="77777777" w:rsidR="003B0264" w:rsidRPr="00997FCE" w:rsidRDefault="003B0264" w:rsidP="00997FCE">
            <w:pPr>
              <w:rPr>
                <w:rFonts w:ascii="Times New Roman" w:hAnsi="Times New Roman" w:cs="Times New Roman"/>
                <w:sz w:val="22"/>
                <w:szCs w:val="22"/>
              </w:rPr>
            </w:pPr>
          </w:p>
        </w:tc>
      </w:tr>
      <w:tr w:rsidR="00997FCE" w:rsidRPr="00997FCE" w14:paraId="492A4DAB" w14:textId="77777777" w:rsidTr="00997FCE">
        <w:tc>
          <w:tcPr>
            <w:tcW w:w="2122" w:type="dxa"/>
          </w:tcPr>
          <w:p w14:paraId="47DFF36D" w14:textId="77777777" w:rsidR="003B0264" w:rsidRPr="00997FCE" w:rsidRDefault="003B0264" w:rsidP="003B0264">
            <w:pPr>
              <w:jc w:val="both"/>
              <w:rPr>
                <w:rFonts w:ascii="Times New Roman" w:hAnsi="Times New Roman" w:cs="Times New Roman"/>
                <w:sz w:val="22"/>
                <w:szCs w:val="22"/>
              </w:rPr>
            </w:pPr>
            <w:r w:rsidRPr="00997FCE">
              <w:rPr>
                <w:rFonts w:ascii="Times New Roman" w:hAnsi="Times New Roman" w:cs="Times New Roman"/>
                <w:sz w:val="22"/>
                <w:szCs w:val="22"/>
              </w:rPr>
              <w:t xml:space="preserve">Fisheries </w:t>
            </w:r>
          </w:p>
        </w:tc>
        <w:tc>
          <w:tcPr>
            <w:tcW w:w="1984" w:type="dxa"/>
          </w:tcPr>
          <w:p w14:paraId="758A7144"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 xml:space="preserve">Sustainable Fisheries </w:t>
            </w:r>
          </w:p>
        </w:tc>
        <w:tc>
          <w:tcPr>
            <w:tcW w:w="2166" w:type="dxa"/>
          </w:tcPr>
          <w:p w14:paraId="5B282148"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Sustainable Index</w:t>
            </w:r>
          </w:p>
        </w:tc>
        <w:tc>
          <w:tcPr>
            <w:tcW w:w="3339" w:type="dxa"/>
          </w:tcPr>
          <w:p w14:paraId="2D91B06F"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Production; DIN; DIP</w:t>
            </w:r>
          </w:p>
        </w:tc>
      </w:tr>
      <w:tr w:rsidR="00997FCE" w:rsidRPr="00997FCE" w14:paraId="319564C0" w14:textId="77777777" w:rsidTr="00997FCE">
        <w:tc>
          <w:tcPr>
            <w:tcW w:w="2122" w:type="dxa"/>
          </w:tcPr>
          <w:p w14:paraId="76F26D90" w14:textId="77777777" w:rsidR="003B0264" w:rsidRPr="00997FCE" w:rsidRDefault="003B0264" w:rsidP="003B0264">
            <w:pPr>
              <w:jc w:val="both"/>
              <w:rPr>
                <w:rFonts w:ascii="Times New Roman" w:hAnsi="Times New Roman" w:cs="Times New Roman"/>
                <w:sz w:val="22"/>
                <w:szCs w:val="22"/>
              </w:rPr>
            </w:pPr>
          </w:p>
        </w:tc>
        <w:tc>
          <w:tcPr>
            <w:tcW w:w="1984" w:type="dxa"/>
          </w:tcPr>
          <w:p w14:paraId="4D62225A" w14:textId="77777777" w:rsidR="003B0264" w:rsidRPr="00997FCE" w:rsidRDefault="003B0264" w:rsidP="00997FCE">
            <w:pPr>
              <w:rPr>
                <w:rFonts w:ascii="Times New Roman" w:hAnsi="Times New Roman" w:cs="Times New Roman"/>
                <w:sz w:val="22"/>
                <w:szCs w:val="22"/>
              </w:rPr>
            </w:pPr>
          </w:p>
        </w:tc>
        <w:tc>
          <w:tcPr>
            <w:tcW w:w="2166" w:type="dxa"/>
          </w:tcPr>
          <w:p w14:paraId="48CCA60B"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Number of illegal fishing</w:t>
            </w:r>
          </w:p>
        </w:tc>
        <w:tc>
          <w:tcPr>
            <w:tcW w:w="3339" w:type="dxa"/>
          </w:tcPr>
          <w:p w14:paraId="6E0ADB8B"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 xml:space="preserve">Number of cases </w:t>
            </w:r>
          </w:p>
        </w:tc>
      </w:tr>
      <w:tr w:rsidR="00997FCE" w:rsidRPr="00997FCE" w14:paraId="463963AF" w14:textId="77777777" w:rsidTr="00997FCE">
        <w:tc>
          <w:tcPr>
            <w:tcW w:w="2122" w:type="dxa"/>
          </w:tcPr>
          <w:p w14:paraId="4B46D9F7" w14:textId="77777777" w:rsidR="003B0264" w:rsidRPr="00997FCE" w:rsidRDefault="003B0264" w:rsidP="003B0264">
            <w:pPr>
              <w:jc w:val="both"/>
              <w:rPr>
                <w:rFonts w:ascii="Times New Roman" w:hAnsi="Times New Roman" w:cs="Times New Roman"/>
                <w:sz w:val="22"/>
                <w:szCs w:val="22"/>
              </w:rPr>
            </w:pPr>
          </w:p>
          <w:p w14:paraId="7824A5C1" w14:textId="77777777" w:rsidR="003B0264" w:rsidRPr="00997FCE" w:rsidRDefault="003B0264" w:rsidP="003B0264">
            <w:pPr>
              <w:jc w:val="both"/>
              <w:rPr>
                <w:rFonts w:ascii="Times New Roman" w:hAnsi="Times New Roman" w:cs="Times New Roman"/>
                <w:sz w:val="22"/>
                <w:szCs w:val="22"/>
              </w:rPr>
            </w:pPr>
          </w:p>
        </w:tc>
        <w:tc>
          <w:tcPr>
            <w:tcW w:w="1984" w:type="dxa"/>
          </w:tcPr>
          <w:p w14:paraId="30F7D2D4" w14:textId="77777777" w:rsidR="003B0264" w:rsidRPr="00997FCE" w:rsidRDefault="003B0264" w:rsidP="00997FCE">
            <w:pPr>
              <w:rPr>
                <w:rFonts w:ascii="Times New Roman" w:hAnsi="Times New Roman" w:cs="Times New Roman"/>
                <w:sz w:val="22"/>
                <w:szCs w:val="22"/>
              </w:rPr>
            </w:pPr>
          </w:p>
        </w:tc>
        <w:tc>
          <w:tcPr>
            <w:tcW w:w="2166" w:type="dxa"/>
          </w:tcPr>
          <w:p w14:paraId="2E5FD048"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Number and volume of the abandoned fishing gears</w:t>
            </w:r>
          </w:p>
        </w:tc>
        <w:tc>
          <w:tcPr>
            <w:tcW w:w="3339" w:type="dxa"/>
          </w:tcPr>
          <w:p w14:paraId="2CC615A7"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Volume of abandoned fishing gears</w:t>
            </w:r>
          </w:p>
        </w:tc>
      </w:tr>
      <w:tr w:rsidR="00997FCE" w:rsidRPr="00997FCE" w14:paraId="15144D99" w14:textId="77777777" w:rsidTr="00997FCE">
        <w:tc>
          <w:tcPr>
            <w:tcW w:w="2122" w:type="dxa"/>
          </w:tcPr>
          <w:p w14:paraId="22B21D5F" w14:textId="77777777" w:rsidR="003B0264" w:rsidRPr="00997FCE" w:rsidRDefault="003B0264" w:rsidP="003B0264">
            <w:pPr>
              <w:jc w:val="both"/>
              <w:rPr>
                <w:rFonts w:ascii="Times New Roman" w:hAnsi="Times New Roman" w:cs="Times New Roman"/>
                <w:sz w:val="22"/>
                <w:szCs w:val="22"/>
              </w:rPr>
            </w:pPr>
          </w:p>
        </w:tc>
        <w:tc>
          <w:tcPr>
            <w:tcW w:w="1984" w:type="dxa"/>
          </w:tcPr>
          <w:p w14:paraId="261D9576"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Aquaculture Productions</w:t>
            </w:r>
          </w:p>
        </w:tc>
        <w:tc>
          <w:tcPr>
            <w:tcW w:w="2166" w:type="dxa"/>
          </w:tcPr>
          <w:p w14:paraId="57FBA270"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Feed Conversion Ratio - FCR</w:t>
            </w:r>
          </w:p>
        </w:tc>
        <w:tc>
          <w:tcPr>
            <w:tcW w:w="3339" w:type="dxa"/>
          </w:tcPr>
          <w:p w14:paraId="6B9382F8"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Measures the amount of feed required to produce 1 kg of fish biomass</w:t>
            </w:r>
          </w:p>
        </w:tc>
      </w:tr>
      <w:tr w:rsidR="00997FCE" w:rsidRPr="00997FCE" w14:paraId="21836EB7" w14:textId="77777777" w:rsidTr="00997FCE">
        <w:tc>
          <w:tcPr>
            <w:tcW w:w="2122" w:type="dxa"/>
          </w:tcPr>
          <w:p w14:paraId="46F19078" w14:textId="77777777" w:rsidR="003B0264" w:rsidRPr="00997FCE" w:rsidRDefault="003B0264" w:rsidP="003B0264">
            <w:pPr>
              <w:jc w:val="both"/>
              <w:rPr>
                <w:rFonts w:ascii="Times New Roman" w:hAnsi="Times New Roman" w:cs="Times New Roman"/>
                <w:sz w:val="22"/>
                <w:szCs w:val="22"/>
              </w:rPr>
            </w:pPr>
          </w:p>
        </w:tc>
        <w:tc>
          <w:tcPr>
            <w:tcW w:w="1984" w:type="dxa"/>
          </w:tcPr>
          <w:p w14:paraId="3C4013AD" w14:textId="77777777" w:rsidR="003B0264" w:rsidRPr="00997FCE" w:rsidRDefault="003B0264" w:rsidP="00997FCE">
            <w:pPr>
              <w:rPr>
                <w:rFonts w:ascii="Times New Roman" w:hAnsi="Times New Roman" w:cs="Times New Roman"/>
                <w:sz w:val="22"/>
                <w:szCs w:val="22"/>
              </w:rPr>
            </w:pPr>
          </w:p>
        </w:tc>
        <w:tc>
          <w:tcPr>
            <w:tcW w:w="2166" w:type="dxa"/>
          </w:tcPr>
          <w:p w14:paraId="013FA3A7"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Water Use Efficiency</w:t>
            </w:r>
          </w:p>
        </w:tc>
        <w:tc>
          <w:tcPr>
            <w:tcW w:w="3339" w:type="dxa"/>
          </w:tcPr>
          <w:p w14:paraId="0175DBF1"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The volume of water used per unit of production (m³/kg)</w:t>
            </w:r>
          </w:p>
        </w:tc>
      </w:tr>
      <w:tr w:rsidR="00997FCE" w:rsidRPr="00997FCE" w14:paraId="2657F918" w14:textId="77777777" w:rsidTr="00997FCE">
        <w:tc>
          <w:tcPr>
            <w:tcW w:w="2122" w:type="dxa"/>
          </w:tcPr>
          <w:p w14:paraId="4A3B305E" w14:textId="77777777" w:rsidR="003B0264" w:rsidRPr="00997FCE" w:rsidRDefault="003B0264" w:rsidP="003B0264">
            <w:pPr>
              <w:jc w:val="both"/>
              <w:rPr>
                <w:rFonts w:ascii="Times New Roman" w:hAnsi="Times New Roman" w:cs="Times New Roman"/>
                <w:sz w:val="22"/>
                <w:szCs w:val="22"/>
              </w:rPr>
            </w:pPr>
          </w:p>
        </w:tc>
        <w:tc>
          <w:tcPr>
            <w:tcW w:w="1984" w:type="dxa"/>
          </w:tcPr>
          <w:p w14:paraId="5BBB5516" w14:textId="77777777" w:rsidR="003B0264" w:rsidRPr="00997FCE" w:rsidRDefault="003B0264" w:rsidP="00997FCE">
            <w:pPr>
              <w:rPr>
                <w:rFonts w:ascii="Times New Roman" w:hAnsi="Times New Roman" w:cs="Times New Roman"/>
                <w:sz w:val="22"/>
                <w:szCs w:val="22"/>
              </w:rPr>
            </w:pPr>
          </w:p>
        </w:tc>
        <w:tc>
          <w:tcPr>
            <w:tcW w:w="2166" w:type="dxa"/>
          </w:tcPr>
          <w:p w14:paraId="3CBC015D"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Biodiversity Impact Index</w:t>
            </w:r>
          </w:p>
        </w:tc>
        <w:tc>
          <w:tcPr>
            <w:tcW w:w="3339" w:type="dxa"/>
          </w:tcPr>
          <w:p w14:paraId="138D147F"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The percentage of native species affected by fish escapes or habitat alteration. Target: &lt;5% loss of local species, measured through ecosystem monitoring</w:t>
            </w:r>
          </w:p>
        </w:tc>
      </w:tr>
      <w:tr w:rsidR="00997FCE" w:rsidRPr="00997FCE" w14:paraId="7B80287D" w14:textId="77777777" w:rsidTr="00997FCE">
        <w:tc>
          <w:tcPr>
            <w:tcW w:w="2122" w:type="dxa"/>
          </w:tcPr>
          <w:p w14:paraId="17FBE6F6" w14:textId="77777777" w:rsidR="003B0264" w:rsidRPr="00997FCE" w:rsidRDefault="003B0264" w:rsidP="003B0264">
            <w:pPr>
              <w:jc w:val="both"/>
              <w:rPr>
                <w:rFonts w:ascii="Times New Roman" w:hAnsi="Times New Roman" w:cs="Times New Roman"/>
                <w:sz w:val="22"/>
                <w:szCs w:val="22"/>
              </w:rPr>
            </w:pPr>
          </w:p>
        </w:tc>
        <w:tc>
          <w:tcPr>
            <w:tcW w:w="1984" w:type="dxa"/>
          </w:tcPr>
          <w:p w14:paraId="35D82BA8" w14:textId="77777777" w:rsidR="003B0264" w:rsidRPr="00997FCE" w:rsidRDefault="003B0264" w:rsidP="00997FCE">
            <w:pPr>
              <w:rPr>
                <w:rFonts w:ascii="Times New Roman" w:hAnsi="Times New Roman" w:cs="Times New Roman"/>
                <w:sz w:val="22"/>
                <w:szCs w:val="22"/>
              </w:rPr>
            </w:pPr>
          </w:p>
        </w:tc>
        <w:tc>
          <w:tcPr>
            <w:tcW w:w="2166" w:type="dxa"/>
          </w:tcPr>
          <w:p w14:paraId="410FA007" w14:textId="77777777" w:rsidR="003B0264" w:rsidRPr="00997FCE" w:rsidRDefault="003B0264" w:rsidP="00997FCE">
            <w:pPr>
              <w:rPr>
                <w:rFonts w:ascii="Times New Roman" w:hAnsi="Times New Roman" w:cs="Times New Roman"/>
                <w:sz w:val="22"/>
                <w:szCs w:val="22"/>
              </w:rPr>
            </w:pPr>
          </w:p>
        </w:tc>
        <w:tc>
          <w:tcPr>
            <w:tcW w:w="3339" w:type="dxa"/>
          </w:tcPr>
          <w:p w14:paraId="0F7AF7C6" w14:textId="77777777" w:rsidR="003B0264" w:rsidRPr="00997FCE" w:rsidRDefault="003B0264" w:rsidP="00997FCE">
            <w:pPr>
              <w:rPr>
                <w:rFonts w:ascii="Times New Roman" w:hAnsi="Times New Roman" w:cs="Times New Roman"/>
                <w:sz w:val="22"/>
                <w:szCs w:val="22"/>
              </w:rPr>
            </w:pPr>
          </w:p>
        </w:tc>
      </w:tr>
      <w:tr w:rsidR="00997FCE" w:rsidRPr="00997FCE" w14:paraId="168BAA89" w14:textId="77777777" w:rsidTr="00997FCE">
        <w:tc>
          <w:tcPr>
            <w:tcW w:w="2122" w:type="dxa"/>
          </w:tcPr>
          <w:p w14:paraId="7E9E4123" w14:textId="77777777" w:rsidR="003B0264" w:rsidRPr="00997FCE" w:rsidRDefault="003B0264" w:rsidP="003B0264">
            <w:pPr>
              <w:jc w:val="both"/>
              <w:rPr>
                <w:rFonts w:ascii="Times New Roman" w:hAnsi="Times New Roman" w:cs="Times New Roman"/>
                <w:sz w:val="22"/>
                <w:szCs w:val="22"/>
              </w:rPr>
            </w:pPr>
            <w:r w:rsidRPr="00997FCE">
              <w:rPr>
                <w:rFonts w:ascii="Times New Roman" w:hAnsi="Times New Roman" w:cs="Times New Roman"/>
                <w:sz w:val="22"/>
                <w:szCs w:val="22"/>
              </w:rPr>
              <w:t>Ecosystems</w:t>
            </w:r>
          </w:p>
        </w:tc>
        <w:tc>
          <w:tcPr>
            <w:tcW w:w="1984" w:type="dxa"/>
          </w:tcPr>
          <w:p w14:paraId="1835D421"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Policy Development for Ecosystem Protection and Mitigation</w:t>
            </w:r>
          </w:p>
        </w:tc>
        <w:tc>
          <w:tcPr>
            <w:tcW w:w="2166" w:type="dxa"/>
          </w:tcPr>
          <w:p w14:paraId="6417A591" w14:textId="77777777" w:rsidR="003B0264" w:rsidRPr="00997FCE" w:rsidRDefault="003B0264" w:rsidP="00997FCE">
            <w:pPr>
              <w:rPr>
                <w:rFonts w:ascii="Times New Roman" w:hAnsi="Times New Roman" w:cs="Times New Roman"/>
                <w:color w:val="000000" w:themeColor="text1"/>
                <w:sz w:val="22"/>
                <w:szCs w:val="22"/>
              </w:rPr>
            </w:pPr>
            <w:r w:rsidRPr="00997FCE">
              <w:rPr>
                <w:rFonts w:ascii="Times New Roman" w:hAnsi="Times New Roman" w:cs="Times New Roman"/>
                <w:color w:val="000000" w:themeColor="text1"/>
                <w:sz w:val="22"/>
                <w:szCs w:val="22"/>
              </w:rPr>
              <w:t>Mitigation action</w:t>
            </w:r>
          </w:p>
          <w:p w14:paraId="7A3792A0" w14:textId="77777777" w:rsidR="003B0264" w:rsidRPr="00997FCE" w:rsidRDefault="003B0264" w:rsidP="00997FCE">
            <w:pPr>
              <w:rPr>
                <w:rFonts w:ascii="Times New Roman" w:hAnsi="Times New Roman" w:cs="Times New Roman"/>
                <w:color w:val="000000" w:themeColor="text1"/>
                <w:sz w:val="22"/>
                <w:szCs w:val="22"/>
              </w:rPr>
            </w:pPr>
            <w:r w:rsidRPr="00997FCE">
              <w:rPr>
                <w:rFonts w:ascii="Times New Roman" w:hAnsi="Times New Roman" w:cs="Times New Roman"/>
                <w:color w:val="000000" w:themeColor="text1"/>
                <w:sz w:val="22"/>
                <w:szCs w:val="22"/>
              </w:rPr>
              <w:t>Destruction reducing</w:t>
            </w:r>
          </w:p>
          <w:p w14:paraId="4100F3FE"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color w:val="000000" w:themeColor="text1"/>
                <w:sz w:val="22"/>
                <w:szCs w:val="22"/>
              </w:rPr>
              <w:t>Literation</w:t>
            </w:r>
          </w:p>
        </w:tc>
        <w:tc>
          <w:tcPr>
            <w:tcW w:w="3339" w:type="dxa"/>
          </w:tcPr>
          <w:p w14:paraId="5C9D3874"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color w:val="000000" w:themeColor="text1"/>
                <w:sz w:val="22"/>
                <w:szCs w:val="22"/>
              </w:rPr>
              <w:t>The future important indicator is strengthening the policy action and plan to mitigate and protect the potential source of ecosystem production</w:t>
            </w:r>
          </w:p>
        </w:tc>
      </w:tr>
      <w:tr w:rsidR="00997FCE" w:rsidRPr="00997FCE" w14:paraId="2D16F337" w14:textId="77777777" w:rsidTr="00997FCE">
        <w:tc>
          <w:tcPr>
            <w:tcW w:w="2122" w:type="dxa"/>
          </w:tcPr>
          <w:p w14:paraId="071A0EEF" w14:textId="77777777" w:rsidR="003B0264" w:rsidRPr="00997FCE" w:rsidRDefault="003B0264" w:rsidP="003B0264">
            <w:pPr>
              <w:jc w:val="both"/>
              <w:rPr>
                <w:rFonts w:ascii="Times New Roman" w:hAnsi="Times New Roman" w:cs="Times New Roman"/>
                <w:sz w:val="22"/>
                <w:szCs w:val="22"/>
              </w:rPr>
            </w:pPr>
          </w:p>
        </w:tc>
        <w:tc>
          <w:tcPr>
            <w:tcW w:w="1984" w:type="dxa"/>
          </w:tcPr>
          <w:p w14:paraId="0DBB8D0B" w14:textId="77777777" w:rsidR="003B0264" w:rsidRPr="00997FCE" w:rsidRDefault="003B0264" w:rsidP="00997FCE">
            <w:pPr>
              <w:rPr>
                <w:rFonts w:ascii="Times New Roman" w:hAnsi="Times New Roman" w:cs="Times New Roman"/>
                <w:sz w:val="22"/>
                <w:szCs w:val="22"/>
              </w:rPr>
            </w:pPr>
          </w:p>
        </w:tc>
        <w:tc>
          <w:tcPr>
            <w:tcW w:w="2166" w:type="dxa"/>
          </w:tcPr>
          <w:p w14:paraId="6F1E8488" w14:textId="77777777" w:rsidR="003B0264" w:rsidRPr="00997FCE" w:rsidRDefault="003B0264" w:rsidP="00997FCE">
            <w:pPr>
              <w:rPr>
                <w:rFonts w:ascii="Times New Roman" w:hAnsi="Times New Roman" w:cs="Times New Roman"/>
                <w:color w:val="000000" w:themeColor="text1"/>
                <w:sz w:val="22"/>
                <w:szCs w:val="22"/>
              </w:rPr>
            </w:pPr>
          </w:p>
        </w:tc>
        <w:tc>
          <w:tcPr>
            <w:tcW w:w="3339" w:type="dxa"/>
          </w:tcPr>
          <w:p w14:paraId="00CF55B0" w14:textId="77777777" w:rsidR="003B0264" w:rsidRPr="00997FCE" w:rsidRDefault="003B0264" w:rsidP="00997FCE">
            <w:pPr>
              <w:rPr>
                <w:rFonts w:ascii="Times New Roman" w:hAnsi="Times New Roman" w:cs="Times New Roman"/>
                <w:color w:val="000000" w:themeColor="text1"/>
                <w:sz w:val="22"/>
                <w:szCs w:val="22"/>
              </w:rPr>
            </w:pPr>
          </w:p>
        </w:tc>
      </w:tr>
      <w:tr w:rsidR="00997FCE" w:rsidRPr="00997FCE" w14:paraId="6C2730B4" w14:textId="77777777" w:rsidTr="00997FCE">
        <w:tc>
          <w:tcPr>
            <w:tcW w:w="2122" w:type="dxa"/>
          </w:tcPr>
          <w:p w14:paraId="647D5A40" w14:textId="77777777" w:rsidR="003B0264" w:rsidRPr="00997FCE" w:rsidRDefault="003B0264" w:rsidP="003B0264">
            <w:pPr>
              <w:jc w:val="both"/>
              <w:rPr>
                <w:rFonts w:ascii="Times New Roman" w:hAnsi="Times New Roman" w:cs="Times New Roman"/>
                <w:sz w:val="22"/>
                <w:szCs w:val="22"/>
              </w:rPr>
            </w:pPr>
            <w:r w:rsidRPr="00997FCE">
              <w:rPr>
                <w:rFonts w:ascii="Times New Roman" w:hAnsi="Times New Roman" w:cs="Times New Roman"/>
                <w:sz w:val="22"/>
                <w:szCs w:val="22"/>
              </w:rPr>
              <w:t>Governance</w:t>
            </w:r>
          </w:p>
        </w:tc>
        <w:tc>
          <w:tcPr>
            <w:tcW w:w="1984" w:type="dxa"/>
          </w:tcPr>
          <w:p w14:paraId="37FC235A"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Regional cooperation and coordination</w:t>
            </w:r>
          </w:p>
        </w:tc>
        <w:tc>
          <w:tcPr>
            <w:tcW w:w="2166" w:type="dxa"/>
          </w:tcPr>
          <w:p w14:paraId="5EE50A9C" w14:textId="77777777" w:rsidR="003B0264" w:rsidRPr="00997FCE" w:rsidRDefault="003B0264" w:rsidP="00997FCE">
            <w:pPr>
              <w:rPr>
                <w:rFonts w:ascii="Times New Roman" w:hAnsi="Times New Roman" w:cs="Times New Roman"/>
                <w:color w:val="000000" w:themeColor="text1"/>
                <w:sz w:val="22"/>
                <w:szCs w:val="22"/>
              </w:rPr>
            </w:pPr>
            <w:r w:rsidRPr="00997FCE">
              <w:rPr>
                <w:rFonts w:ascii="Times New Roman" w:hAnsi="Times New Roman" w:cs="Times New Roman"/>
                <w:sz w:val="22"/>
                <w:szCs w:val="22"/>
              </w:rPr>
              <w:t>Regional cooperation and coordination in addressing transboundary pollution issues</w:t>
            </w:r>
          </w:p>
        </w:tc>
        <w:tc>
          <w:tcPr>
            <w:tcW w:w="3339" w:type="dxa"/>
          </w:tcPr>
          <w:p w14:paraId="13D4F77D" w14:textId="77777777" w:rsidR="003B0264" w:rsidRPr="00997FCE" w:rsidRDefault="003B0264" w:rsidP="00997FCE">
            <w:pPr>
              <w:rPr>
                <w:rFonts w:ascii="Times New Roman" w:hAnsi="Times New Roman" w:cs="Times New Roman"/>
                <w:color w:val="000000" w:themeColor="text1"/>
                <w:sz w:val="22"/>
                <w:szCs w:val="22"/>
              </w:rPr>
            </w:pPr>
            <w:r w:rsidRPr="00997FCE">
              <w:rPr>
                <w:rFonts w:ascii="Times New Roman" w:hAnsi="Times New Roman" w:cs="Times New Roman"/>
                <w:color w:val="000000" w:themeColor="text1"/>
                <w:sz w:val="22"/>
                <w:szCs w:val="22"/>
              </w:rPr>
              <w:t>Frequency and volume of oil sludge stranded, frequency and volume of marine debris stranded</w:t>
            </w:r>
          </w:p>
        </w:tc>
      </w:tr>
      <w:tr w:rsidR="00997FCE" w:rsidRPr="00997FCE" w14:paraId="1B5088D9" w14:textId="77777777" w:rsidTr="00997FCE">
        <w:tc>
          <w:tcPr>
            <w:tcW w:w="2122" w:type="dxa"/>
          </w:tcPr>
          <w:p w14:paraId="36844F5E" w14:textId="77777777" w:rsidR="003B0264" w:rsidRPr="00997FCE" w:rsidRDefault="003B0264" w:rsidP="003B0264">
            <w:pPr>
              <w:jc w:val="both"/>
              <w:rPr>
                <w:rFonts w:ascii="Times New Roman" w:hAnsi="Times New Roman" w:cs="Times New Roman"/>
                <w:sz w:val="22"/>
                <w:szCs w:val="22"/>
              </w:rPr>
            </w:pPr>
          </w:p>
        </w:tc>
        <w:tc>
          <w:tcPr>
            <w:tcW w:w="1984" w:type="dxa"/>
          </w:tcPr>
          <w:p w14:paraId="0CE5AB3C" w14:textId="77777777" w:rsidR="003B0264" w:rsidRPr="00997FCE" w:rsidRDefault="003B0264" w:rsidP="003B0264">
            <w:pPr>
              <w:jc w:val="both"/>
              <w:rPr>
                <w:rFonts w:ascii="Times New Roman" w:hAnsi="Times New Roman" w:cs="Times New Roman"/>
                <w:sz w:val="22"/>
                <w:szCs w:val="22"/>
              </w:rPr>
            </w:pPr>
          </w:p>
        </w:tc>
        <w:tc>
          <w:tcPr>
            <w:tcW w:w="2166" w:type="dxa"/>
          </w:tcPr>
          <w:p w14:paraId="61E6C75B" w14:textId="77777777" w:rsidR="003B0264" w:rsidRPr="00997FCE" w:rsidRDefault="003B0264" w:rsidP="00997FCE">
            <w:pPr>
              <w:rPr>
                <w:rFonts w:ascii="Times New Roman" w:hAnsi="Times New Roman" w:cs="Times New Roman"/>
                <w:sz w:val="22"/>
                <w:szCs w:val="22"/>
              </w:rPr>
            </w:pPr>
            <w:r w:rsidRPr="00997FCE">
              <w:rPr>
                <w:rFonts w:ascii="Times New Roman" w:hAnsi="Times New Roman" w:cs="Times New Roman"/>
                <w:sz w:val="22"/>
                <w:szCs w:val="22"/>
              </w:rPr>
              <w:t>Regional cooperation and coordination in addressing transboundary fisheries issues</w:t>
            </w:r>
          </w:p>
        </w:tc>
        <w:tc>
          <w:tcPr>
            <w:tcW w:w="3339" w:type="dxa"/>
          </w:tcPr>
          <w:p w14:paraId="6D7ACE7D" w14:textId="77777777" w:rsidR="003B0264" w:rsidRPr="00997FCE" w:rsidRDefault="003B0264" w:rsidP="00997FCE">
            <w:pPr>
              <w:rPr>
                <w:rFonts w:ascii="Times New Roman" w:hAnsi="Times New Roman" w:cs="Times New Roman"/>
                <w:color w:val="000000" w:themeColor="text1"/>
                <w:sz w:val="22"/>
                <w:szCs w:val="22"/>
              </w:rPr>
            </w:pPr>
            <w:r w:rsidRPr="00997FCE">
              <w:rPr>
                <w:rFonts w:ascii="Times New Roman" w:hAnsi="Times New Roman" w:cs="Times New Roman"/>
                <w:color w:val="000000" w:themeColor="text1"/>
                <w:sz w:val="22"/>
                <w:szCs w:val="22"/>
              </w:rPr>
              <w:t xml:space="preserve">Frequency and volume of illegal fishing  </w:t>
            </w:r>
          </w:p>
        </w:tc>
      </w:tr>
    </w:tbl>
    <w:p w14:paraId="7B9EB4FC" w14:textId="77777777" w:rsidR="003B0264" w:rsidRDefault="003B0264" w:rsidP="003B0264">
      <w:pPr>
        <w:jc w:val="both"/>
      </w:pPr>
    </w:p>
    <w:p w14:paraId="129224AE" w14:textId="77777777" w:rsidR="003B0264" w:rsidRPr="00997FCE" w:rsidRDefault="003B0264" w:rsidP="00997FCE">
      <w:pPr>
        <w:spacing w:after="240"/>
        <w:jc w:val="both"/>
        <w:rPr>
          <w:rFonts w:ascii="Times New Roman" w:hAnsi="Times New Roman" w:cs="Times New Roman"/>
          <w:sz w:val="22"/>
          <w:szCs w:val="22"/>
        </w:rPr>
      </w:pPr>
      <w:r w:rsidRPr="00997FCE">
        <w:rPr>
          <w:rFonts w:ascii="Times New Roman" w:hAnsi="Times New Roman" w:cs="Times New Roman"/>
          <w:sz w:val="22"/>
          <w:szCs w:val="22"/>
        </w:rPr>
        <w:t>The table above presents a comprehensive list of additional indicators required to strengthen the assessment framework for pollution, fisheries, and ecosystem management, with a particular focus on the Indonesian waters of the South China Sea (SCS). These indicators were identified to address existing gaps in the current assessment system and to better capture the complexity of environmental interactions within the study area. The Indonesian sector of the SCS is characterized by diverse ecological processes, intensive human activities, and transboundary environmental pressures, which necessitate the use of context-specific indicators.</w:t>
      </w:r>
    </w:p>
    <w:p w14:paraId="0B95E7E1" w14:textId="77777777" w:rsidR="003B0264" w:rsidRPr="00997FCE" w:rsidRDefault="003B0264" w:rsidP="00997FCE">
      <w:pPr>
        <w:spacing w:after="240"/>
        <w:jc w:val="both"/>
        <w:rPr>
          <w:rFonts w:ascii="Times New Roman" w:hAnsi="Times New Roman" w:cs="Times New Roman"/>
          <w:sz w:val="22"/>
          <w:szCs w:val="22"/>
        </w:rPr>
      </w:pPr>
      <w:r w:rsidRPr="00997FCE">
        <w:rPr>
          <w:rFonts w:ascii="Times New Roman" w:hAnsi="Times New Roman" w:cs="Times New Roman"/>
          <w:sz w:val="22"/>
          <w:szCs w:val="22"/>
        </w:rPr>
        <w:t>The additional indicators proposed in this table are not intended to be universally applied across all regions of Indonesia. Instead, they represent indicators that are particularly relevant to the environmental conditions, management challenges, and ecological characteristics of the Indonesian SCS waters. The selection of these indicators was informed by an inter-component assessment analysis that examined interactions among pollution sources, fisheries activities, and ecosystem components under existing conditions at the time this study was conducted.</w:t>
      </w:r>
    </w:p>
    <w:p w14:paraId="1394FEE8" w14:textId="34D9CB46" w:rsidR="00E30AFB" w:rsidRDefault="003B0264" w:rsidP="00D33AEE">
      <w:pPr>
        <w:spacing w:after="240"/>
        <w:jc w:val="both"/>
        <w:rPr>
          <w:rFonts w:ascii="Times New Roman" w:hAnsi="Times New Roman" w:cs="Times New Roman"/>
          <w:sz w:val="22"/>
          <w:szCs w:val="22"/>
        </w:rPr>
      </w:pPr>
      <w:r w:rsidRPr="00997FCE">
        <w:rPr>
          <w:rFonts w:ascii="Times New Roman" w:hAnsi="Times New Roman" w:cs="Times New Roman"/>
          <w:sz w:val="22"/>
          <w:szCs w:val="22"/>
        </w:rPr>
        <w:t>By incorporating these additional indicators, the assessment framework is expected to provide a more integrated and holistic understanding of environmental status and management effectiveness. This enhanced framework will support evidence-based decision-making, facilitate adaptive management strategies, and improve the capacity to respond to emerging environmental pressures in the Indonesian sector of the SCS.</w:t>
      </w:r>
    </w:p>
    <w:p w14:paraId="5603B6DD" w14:textId="77777777" w:rsidR="00E30AFB" w:rsidRDefault="00E30AFB" w:rsidP="00E30AFB">
      <w:pPr>
        <w:pStyle w:val="BodyText"/>
        <w:spacing w:before="188"/>
        <w:jc w:val="center"/>
        <w:rPr>
          <w:rFonts w:ascii="Times New Roman" w:hAnsi="Times New Roman" w:cs="Times New Roman"/>
          <w:b/>
          <w:bCs/>
          <w:color w:val="0070C0"/>
          <w:sz w:val="32"/>
          <w:szCs w:val="32"/>
        </w:rPr>
      </w:pPr>
    </w:p>
    <w:p w14:paraId="678B190B" w14:textId="77777777" w:rsidR="00E30AFB" w:rsidRDefault="00E30AFB" w:rsidP="00E30AFB">
      <w:pPr>
        <w:pStyle w:val="BodyText"/>
        <w:spacing w:before="188"/>
        <w:jc w:val="center"/>
        <w:rPr>
          <w:rFonts w:ascii="Times New Roman" w:hAnsi="Times New Roman" w:cs="Times New Roman"/>
          <w:b/>
          <w:bCs/>
          <w:color w:val="0070C0"/>
          <w:sz w:val="32"/>
          <w:szCs w:val="32"/>
        </w:rPr>
      </w:pPr>
    </w:p>
    <w:p w14:paraId="5E4CB640" w14:textId="77777777" w:rsidR="00E30AFB" w:rsidRDefault="00E30AFB" w:rsidP="00E30AFB">
      <w:pPr>
        <w:pStyle w:val="BodyText"/>
        <w:spacing w:before="188"/>
        <w:jc w:val="center"/>
        <w:rPr>
          <w:rFonts w:ascii="Times New Roman" w:hAnsi="Times New Roman" w:cs="Times New Roman"/>
          <w:b/>
          <w:bCs/>
          <w:color w:val="0070C0"/>
          <w:sz w:val="32"/>
          <w:szCs w:val="32"/>
        </w:rPr>
      </w:pPr>
    </w:p>
    <w:p w14:paraId="3FF8ADBC" w14:textId="77777777" w:rsidR="00E30AFB" w:rsidRDefault="00E30AFB" w:rsidP="00E30AFB">
      <w:pPr>
        <w:pStyle w:val="BodyText"/>
        <w:spacing w:before="188"/>
        <w:jc w:val="center"/>
        <w:rPr>
          <w:rFonts w:ascii="Times New Roman" w:hAnsi="Times New Roman" w:cs="Times New Roman"/>
          <w:b/>
          <w:bCs/>
          <w:color w:val="0070C0"/>
          <w:sz w:val="32"/>
          <w:szCs w:val="32"/>
        </w:rPr>
      </w:pPr>
    </w:p>
    <w:p w14:paraId="422DE222" w14:textId="77777777" w:rsidR="00E30AFB" w:rsidRDefault="00E30AFB" w:rsidP="00E30AFB">
      <w:pPr>
        <w:pStyle w:val="BodyText"/>
        <w:spacing w:before="188"/>
        <w:jc w:val="center"/>
        <w:rPr>
          <w:rFonts w:ascii="Times New Roman" w:hAnsi="Times New Roman" w:cs="Times New Roman"/>
          <w:b/>
          <w:bCs/>
          <w:color w:val="0070C0"/>
          <w:sz w:val="32"/>
          <w:szCs w:val="32"/>
        </w:rPr>
      </w:pPr>
    </w:p>
    <w:p w14:paraId="75490E36" w14:textId="77777777" w:rsidR="00E30AFB" w:rsidRDefault="00E30AFB" w:rsidP="00E30AFB">
      <w:pPr>
        <w:pStyle w:val="BodyText"/>
        <w:spacing w:before="188"/>
        <w:jc w:val="center"/>
        <w:rPr>
          <w:rFonts w:ascii="Times New Roman" w:hAnsi="Times New Roman" w:cs="Times New Roman"/>
          <w:b/>
          <w:bCs/>
          <w:color w:val="0070C0"/>
          <w:sz w:val="32"/>
          <w:szCs w:val="32"/>
        </w:rPr>
      </w:pPr>
    </w:p>
    <w:p w14:paraId="0EB321FC" w14:textId="77777777" w:rsidR="00E30AFB" w:rsidRDefault="00E30AFB" w:rsidP="00E30AFB">
      <w:pPr>
        <w:pStyle w:val="BodyText"/>
        <w:spacing w:before="188"/>
        <w:jc w:val="center"/>
        <w:rPr>
          <w:rFonts w:ascii="Times New Roman" w:hAnsi="Times New Roman" w:cs="Times New Roman"/>
          <w:b/>
          <w:bCs/>
          <w:color w:val="0070C0"/>
          <w:sz w:val="32"/>
          <w:szCs w:val="32"/>
        </w:rPr>
      </w:pPr>
    </w:p>
    <w:p w14:paraId="092B7779" w14:textId="77777777" w:rsidR="00E30AFB" w:rsidRDefault="00E30AFB" w:rsidP="00E30AFB">
      <w:pPr>
        <w:pStyle w:val="BodyText"/>
        <w:spacing w:before="188"/>
        <w:jc w:val="center"/>
        <w:rPr>
          <w:rFonts w:ascii="Times New Roman" w:hAnsi="Times New Roman" w:cs="Times New Roman"/>
          <w:b/>
          <w:bCs/>
          <w:color w:val="0070C0"/>
          <w:sz w:val="32"/>
          <w:szCs w:val="32"/>
        </w:rPr>
      </w:pPr>
    </w:p>
    <w:p w14:paraId="639315E7" w14:textId="77777777" w:rsidR="00E30AFB" w:rsidRDefault="00E30AFB" w:rsidP="00E30AFB">
      <w:pPr>
        <w:pStyle w:val="BodyText"/>
        <w:spacing w:before="188"/>
        <w:jc w:val="center"/>
        <w:rPr>
          <w:rFonts w:ascii="Times New Roman" w:hAnsi="Times New Roman" w:cs="Times New Roman"/>
          <w:b/>
          <w:bCs/>
          <w:color w:val="0070C0"/>
          <w:sz w:val="32"/>
          <w:szCs w:val="32"/>
        </w:rPr>
      </w:pPr>
    </w:p>
    <w:p w14:paraId="1CBC1A8F" w14:textId="77777777" w:rsidR="00E30AFB" w:rsidRDefault="00E30AFB" w:rsidP="00E30AFB">
      <w:pPr>
        <w:pStyle w:val="BodyText"/>
        <w:spacing w:before="188"/>
        <w:jc w:val="center"/>
        <w:outlineLvl w:val="0"/>
        <w:rPr>
          <w:rFonts w:ascii="Times New Roman" w:hAnsi="Times New Roman" w:cs="Times New Roman"/>
          <w:b/>
          <w:bCs/>
          <w:color w:val="0070C0"/>
          <w:sz w:val="32"/>
          <w:szCs w:val="32"/>
        </w:rPr>
      </w:pPr>
      <w:bookmarkStart w:id="202" w:name="_Toc217295437"/>
      <w:bookmarkStart w:id="203" w:name="_Toc217297583"/>
      <w:r>
        <w:rPr>
          <w:rFonts w:ascii="Times New Roman" w:hAnsi="Times New Roman" w:cs="Times New Roman"/>
          <w:b/>
          <w:bCs/>
          <w:color w:val="0070C0"/>
          <w:sz w:val="32"/>
          <w:szCs w:val="32"/>
        </w:rPr>
        <w:t>APPENDIXES</w:t>
      </w:r>
      <w:bookmarkEnd w:id="202"/>
      <w:bookmarkEnd w:id="203"/>
    </w:p>
    <w:p w14:paraId="7753990B" w14:textId="77777777" w:rsidR="00E30AFB" w:rsidRPr="00B72984" w:rsidRDefault="00E30AFB" w:rsidP="00E30AFB">
      <w:pPr>
        <w:rPr>
          <w:rFonts w:ascii="Times New Roman" w:eastAsiaTheme="minorEastAsia" w:hAnsi="Times New Roman" w:cs="Times New Roman"/>
          <w:b/>
          <w:bCs/>
          <w:color w:val="0070C0"/>
          <w:sz w:val="32"/>
          <w:szCs w:val="32"/>
        </w:rPr>
      </w:pPr>
      <w:r>
        <w:rPr>
          <w:rFonts w:ascii="Times New Roman" w:hAnsi="Times New Roman" w:cs="Times New Roman"/>
          <w:b/>
          <w:bCs/>
          <w:color w:val="0070C0"/>
          <w:sz w:val="32"/>
          <w:szCs w:val="32"/>
        </w:rPr>
        <w:br w:type="page"/>
      </w:r>
    </w:p>
    <w:p w14:paraId="5D232492" w14:textId="77777777" w:rsidR="00E30AFB" w:rsidRDefault="00E30AFB" w:rsidP="00E30AFB">
      <w:pPr>
        <w:pStyle w:val="BodyText"/>
        <w:spacing w:before="188"/>
        <w:outlineLvl w:val="1"/>
        <w:rPr>
          <w:rFonts w:ascii="Times New Roman" w:hAnsi="Times New Roman" w:cs="Times New Roman"/>
          <w:b/>
          <w:bCs/>
          <w:color w:val="0070C0"/>
          <w:sz w:val="24"/>
          <w:szCs w:val="24"/>
        </w:rPr>
      </w:pPr>
      <w:bookmarkStart w:id="204" w:name="_Toc217295438"/>
      <w:bookmarkStart w:id="205" w:name="_Toc217297584"/>
      <w:r>
        <w:rPr>
          <w:rFonts w:ascii="Times New Roman" w:hAnsi="Times New Roman" w:cs="Times New Roman"/>
          <w:b/>
          <w:bCs/>
          <w:color w:val="0070C0"/>
          <w:sz w:val="24"/>
          <w:szCs w:val="24"/>
        </w:rPr>
        <w:lastRenderedPageBreak/>
        <w:t>Appendix Chapter 3 (Ecosystems)</w:t>
      </w:r>
      <w:bookmarkEnd w:id="204"/>
      <w:bookmarkEnd w:id="205"/>
    </w:p>
    <w:p w14:paraId="283ECC55" w14:textId="77777777" w:rsidR="00E30AFB" w:rsidRPr="005A1594" w:rsidRDefault="00E30AFB" w:rsidP="00E30AFB">
      <w:pPr>
        <w:pStyle w:val="Caption"/>
        <w:numPr>
          <w:ilvl w:val="0"/>
          <w:numId w:val="197"/>
        </w:numPr>
        <w:rPr>
          <w:rFonts w:ascii="Times New Roman" w:eastAsiaTheme="minorEastAsia" w:hAnsi="Times New Roman" w:cs="Times New Roman"/>
          <w:b/>
          <w:bCs/>
          <w:i w:val="0"/>
          <w:iCs w:val="0"/>
          <w:color w:val="000000" w:themeColor="text1"/>
          <w:sz w:val="24"/>
          <w:szCs w:val="24"/>
          <w:lang w:val="en"/>
        </w:rPr>
      </w:pPr>
      <w:r w:rsidRPr="005A1594">
        <w:rPr>
          <w:rFonts w:ascii="Times New Roman" w:eastAsia="Times New Roman" w:hAnsi="Times New Roman" w:cs="Times New Roman"/>
          <w:b/>
          <w:bCs/>
          <w:i w:val="0"/>
          <w:iCs w:val="0"/>
          <w:color w:val="000000" w:themeColor="text1"/>
          <w:sz w:val="24"/>
          <w:szCs w:val="24"/>
          <w:lang w:val="en-ID"/>
        </w:rPr>
        <w:t>Marina national park data related ecosystem and management status</w:t>
      </w:r>
    </w:p>
    <w:tbl>
      <w:tblPr>
        <w:tblW w:w="0" w:type="auto"/>
        <w:tblInd w:w="-294" w:type="dxa"/>
        <w:tblLayout w:type="fixed"/>
        <w:tblCellMar>
          <w:top w:w="15" w:type="dxa"/>
          <w:left w:w="15" w:type="dxa"/>
          <w:bottom w:w="15" w:type="dxa"/>
          <w:right w:w="15" w:type="dxa"/>
        </w:tblCellMar>
        <w:tblLook w:val="04A0" w:firstRow="1" w:lastRow="0" w:firstColumn="1" w:lastColumn="0" w:noHBand="0" w:noVBand="1"/>
      </w:tblPr>
      <w:tblGrid>
        <w:gridCol w:w="1418"/>
        <w:gridCol w:w="1276"/>
        <w:gridCol w:w="849"/>
        <w:gridCol w:w="1034"/>
        <w:gridCol w:w="950"/>
        <w:gridCol w:w="1006"/>
        <w:gridCol w:w="952"/>
        <w:gridCol w:w="879"/>
        <w:gridCol w:w="1657"/>
      </w:tblGrid>
      <w:tr w:rsidR="00E30AFB" w:rsidRPr="007A1F20" w14:paraId="36A70696" w14:textId="77777777" w:rsidTr="001B74B6">
        <w:trPr>
          <w:trHeight w:val="72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31A3D0" w14:textId="77777777" w:rsidR="00E30AFB" w:rsidRPr="007A1F20" w:rsidRDefault="00E30AFB" w:rsidP="001B74B6">
            <w:pPr>
              <w:ind w:left="11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Name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660840" w14:textId="77777777" w:rsidR="00E30AFB" w:rsidRPr="007A1F20" w:rsidRDefault="00E30AFB" w:rsidP="001B74B6">
            <w:pPr>
              <w:jc w:val="center"/>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Estbled </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57671A" w14:textId="77777777" w:rsidR="00E30AFB" w:rsidRPr="007A1F20" w:rsidRDefault="00E30AFB" w:rsidP="001B74B6">
            <w:pPr>
              <w:jc w:val="center"/>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Updated</w:t>
            </w: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1B20D8" w14:textId="77777777" w:rsidR="00E30AFB" w:rsidRPr="007A1F20" w:rsidRDefault="00E30AFB" w:rsidP="001B74B6">
            <w:pPr>
              <w:ind w:left="116" w:right="62" w:hanging="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Total area  (ha)</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C7D47C" w14:textId="77777777" w:rsidR="00E30AFB" w:rsidRPr="007A1F20" w:rsidRDefault="00E30AFB" w:rsidP="001B74B6">
            <w:pPr>
              <w:ind w:left="114" w:right="59" w:hanging="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MG area  (ha)</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2F86F8" w14:textId="77777777" w:rsidR="00E30AFB" w:rsidRPr="007A1F20" w:rsidRDefault="00E30AFB" w:rsidP="001B74B6">
            <w:pPr>
              <w:ind w:left="113" w:right="57" w:hanging="5"/>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WL area  (ha)</w:t>
            </w: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599D7B" w14:textId="77777777" w:rsidR="00E30AFB" w:rsidRPr="007A1F20" w:rsidRDefault="00E30AFB" w:rsidP="001B74B6">
            <w:pPr>
              <w:ind w:left="122" w:right="54" w:hanging="1"/>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CR area  (ha)</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FB32CE" w14:textId="77777777" w:rsidR="00E30AFB" w:rsidRPr="007A1F20" w:rsidRDefault="00E30AFB" w:rsidP="001B74B6">
            <w:pPr>
              <w:ind w:left="12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SG  </w:t>
            </w:r>
          </w:p>
          <w:p w14:paraId="01D8C861" w14:textId="77777777" w:rsidR="00E30AFB" w:rsidRPr="007A1F20" w:rsidRDefault="00E30AFB" w:rsidP="001B74B6">
            <w:pPr>
              <w:spacing w:before="22"/>
              <w:ind w:left="12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area  </w:t>
            </w:r>
          </w:p>
          <w:p w14:paraId="748BE5E9" w14:textId="77777777" w:rsidR="00E30AFB" w:rsidRPr="007A1F20" w:rsidRDefault="00E30AFB" w:rsidP="001B74B6">
            <w:pPr>
              <w:spacing w:before="27"/>
              <w:ind w:left="12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001016"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Mngmnt  </w:t>
            </w:r>
          </w:p>
          <w:p w14:paraId="3B75F0E3" w14:textId="77777777" w:rsidR="00E30AFB" w:rsidRPr="007A1F20" w:rsidRDefault="00E30AFB" w:rsidP="001B74B6">
            <w:pPr>
              <w:spacing w:before="27"/>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Effectiveness</w:t>
            </w:r>
          </w:p>
        </w:tc>
      </w:tr>
      <w:tr w:rsidR="00E30AFB" w:rsidRPr="007A1F20" w14:paraId="76B8C42F" w14:textId="77777777" w:rsidTr="001B74B6">
        <w:trPr>
          <w:trHeight w:val="1440"/>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B48554" w14:textId="77777777" w:rsidR="00E30AFB" w:rsidRPr="007A1F20" w:rsidRDefault="00E30AFB" w:rsidP="001B74B6">
            <w:pPr>
              <w:ind w:left="11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Anambas  </w:t>
            </w:r>
          </w:p>
          <w:p w14:paraId="686BC360" w14:textId="77777777" w:rsidR="00E30AFB" w:rsidRPr="007A1F20" w:rsidRDefault="00E30AFB" w:rsidP="001B74B6">
            <w:pPr>
              <w:spacing w:before="22"/>
              <w:ind w:left="11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National MPA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9332E3E"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2011</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B81B760" w14:textId="77777777" w:rsidR="00E30AFB" w:rsidRPr="007A1F20" w:rsidRDefault="00E30AFB" w:rsidP="001B74B6">
            <w:pPr>
              <w:ind w:left="15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2025</w:t>
            </w: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A648FDB"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1.262.686,2</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EEF7DF4" w14:textId="77777777" w:rsidR="00E30AFB" w:rsidRPr="007A1F20" w:rsidRDefault="00E30AFB" w:rsidP="001B74B6">
            <w:pPr>
              <w:ind w:left="16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766,2</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4BFD8B9" w14:textId="77777777" w:rsidR="00E30AFB" w:rsidRPr="007A1F20" w:rsidRDefault="00E30AFB" w:rsidP="001B74B6">
            <w:pPr>
              <w:ind w:left="16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850-860</w:t>
            </w:r>
          </w:p>
          <w:p w14:paraId="5EEA1E4D" w14:textId="77777777" w:rsidR="00E30AFB" w:rsidRPr="007A1F20" w:rsidRDefault="00E30AFB" w:rsidP="001B74B6">
            <w:pPr>
              <w:spacing w:before="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(estimation)</w:t>
            </w: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6995BCB" w14:textId="77777777" w:rsidR="00E30AFB" w:rsidRPr="007A1F20" w:rsidRDefault="00E30AFB" w:rsidP="001B74B6">
            <w:pPr>
              <w:ind w:left="115"/>
              <w:jc w:val="right"/>
              <w:rPr>
                <w:rFonts w:ascii="Times New Roman" w:eastAsia="Times New Roman" w:hAnsi="Times New Roman" w:cs="Times New Roman"/>
                <w:lang w:val="en-ID"/>
              </w:rPr>
            </w:pPr>
          </w:p>
          <w:p w14:paraId="54636332" w14:textId="77777777" w:rsidR="00E30AFB" w:rsidRPr="007A1F20" w:rsidRDefault="00E30AFB" w:rsidP="001B74B6">
            <w:pPr>
              <w:spacing w:before="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3,706.0</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3E156F3"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89.63*</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D15D53" w14:textId="77777777" w:rsidR="00E30AFB" w:rsidRPr="007A1F20" w:rsidRDefault="00E30AFB" w:rsidP="001B74B6">
            <w:pPr>
              <w:ind w:left="11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Collaboratio</w:t>
            </w:r>
            <w:r>
              <w:rPr>
                <w:rFonts w:ascii="Times New Roman" w:eastAsia="Times New Roman" w:hAnsi="Times New Roman" w:cs="Times New Roman"/>
                <w:color w:val="000000"/>
                <w:lang w:val="en-ID"/>
              </w:rPr>
              <w:t>n</w:t>
            </w:r>
            <w:r w:rsidRPr="007A1F20">
              <w:rPr>
                <w:rFonts w:ascii="Times New Roman" w:eastAsia="Times New Roman" w:hAnsi="Times New Roman" w:cs="Times New Roman"/>
                <w:color w:val="000000"/>
                <w:lang w:val="en-ID"/>
              </w:rPr>
              <w:t>work</w:t>
            </w:r>
            <w:r>
              <w:rPr>
                <w:rFonts w:ascii="Times New Roman" w:eastAsia="Times New Roman" w:hAnsi="Times New Roman" w:cs="Times New Roman"/>
                <w:color w:val="000000"/>
                <w:lang w:val="en-ID"/>
              </w:rPr>
              <w:t xml:space="preserve"> </w:t>
            </w:r>
            <w:r w:rsidRPr="007A1F20">
              <w:rPr>
                <w:rFonts w:ascii="Times New Roman" w:eastAsia="Times New Roman" w:hAnsi="Times New Roman" w:cs="Times New Roman"/>
                <w:color w:val="000000"/>
                <w:lang w:val="en-ID"/>
              </w:rPr>
              <w:t>with  LKKPN  Pekanbaru</w:t>
            </w:r>
          </w:p>
          <w:p w14:paraId="58F62A11" w14:textId="77777777" w:rsidR="00E30AFB" w:rsidRPr="007A1F20" w:rsidRDefault="00E30AFB" w:rsidP="001B74B6">
            <w:pPr>
              <w:spacing w:before="22"/>
              <w:ind w:left="110"/>
              <w:rPr>
                <w:rFonts w:ascii="Times New Roman" w:eastAsia="Times New Roman" w:hAnsi="Times New Roman" w:cs="Times New Roman"/>
                <w:lang w:val="en-ID"/>
              </w:rPr>
            </w:pPr>
          </w:p>
        </w:tc>
      </w:tr>
      <w:tr w:rsidR="00E30AFB" w:rsidRPr="007A1F20" w14:paraId="5BBD3598" w14:textId="77777777" w:rsidTr="001B74B6">
        <w:trPr>
          <w:trHeight w:val="48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4B4280"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Bangka  </w:t>
            </w:r>
          </w:p>
          <w:p w14:paraId="4742F30E" w14:textId="77777777" w:rsidR="00E30AFB" w:rsidRPr="007A1F20" w:rsidRDefault="00E30AFB" w:rsidP="001B74B6">
            <w:pPr>
              <w:spacing w:before="27"/>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Regional MPAs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E732FA8"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2013</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3F83C7C"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2020</w:t>
            </w: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5355602"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7.372,5</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A317953"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12.120</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7081C85" w14:textId="77777777" w:rsidR="00E30AFB" w:rsidRPr="007A1F20" w:rsidRDefault="00E30AFB" w:rsidP="001B74B6">
            <w:pPr>
              <w:ind w:left="17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10.470</w:t>
            </w: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D3B2370" w14:textId="77777777" w:rsidR="00E30AFB" w:rsidRPr="007A1F20" w:rsidRDefault="00E30AFB" w:rsidP="001B74B6">
            <w:pPr>
              <w:ind w:left="115"/>
              <w:jc w:val="right"/>
              <w:rPr>
                <w:rFonts w:ascii="Times New Roman" w:eastAsia="Times New Roman" w:hAnsi="Times New Roman" w:cs="Times New Roman"/>
                <w:lang w:val="en-ID"/>
              </w:rPr>
            </w:pPr>
          </w:p>
          <w:p w14:paraId="30CB42C0" w14:textId="77777777" w:rsidR="00E30AFB" w:rsidRPr="007A1F20" w:rsidRDefault="00E30AFB" w:rsidP="001B74B6">
            <w:pPr>
              <w:spacing w:before="2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2,348.0</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0CC8909" w14:textId="77777777" w:rsidR="00E30AFB" w:rsidRPr="007A1F20" w:rsidRDefault="00E30AFB" w:rsidP="001B74B6">
            <w:pPr>
              <w:ind w:left="16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350</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B1C41C" w14:textId="77777777" w:rsidR="00E30AFB" w:rsidRPr="007A1F20" w:rsidRDefault="00E30AFB" w:rsidP="001B74B6">
            <w:pPr>
              <w:ind w:left="113" w:right="60" w:firstLine="1"/>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Low efektive  44,64% (evika)</w:t>
            </w:r>
          </w:p>
        </w:tc>
      </w:tr>
      <w:tr w:rsidR="00E30AFB" w:rsidRPr="007A1F20" w14:paraId="51A186CE" w14:textId="77777777" w:rsidTr="001B74B6">
        <w:trPr>
          <w:trHeight w:val="72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BE0235"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Belitung  </w:t>
            </w:r>
          </w:p>
          <w:p w14:paraId="086753A5" w14:textId="77777777" w:rsidR="00E30AFB" w:rsidRPr="007A1F20" w:rsidRDefault="00E30AFB" w:rsidP="001B74B6">
            <w:pPr>
              <w:spacing w:before="27"/>
              <w:ind w:left="118" w:right="56" w:hanging="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Regional MPA  (P Memporang)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F0090BE"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2011</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3BDC4E1"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2017</w:t>
            </w: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236CF52"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124.320,7</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BBC3F9F"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19.395</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FE1B7DC" w14:textId="77777777" w:rsidR="00E30AFB" w:rsidRPr="007A1F20" w:rsidRDefault="00E30AFB" w:rsidP="001B74B6">
            <w:pPr>
              <w:jc w:val="right"/>
              <w:rPr>
                <w:rFonts w:ascii="Times New Roman" w:eastAsia="Times New Roman" w:hAnsi="Times New Roman" w:cs="Times New Roman"/>
                <w:lang w:val="en-ID"/>
              </w:rPr>
            </w:pP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15771EE" w14:textId="77777777" w:rsidR="00E30AFB" w:rsidRPr="007A1F20" w:rsidRDefault="00E30AFB" w:rsidP="001B74B6">
            <w:pPr>
              <w:ind w:left="115"/>
              <w:jc w:val="right"/>
              <w:rPr>
                <w:rFonts w:ascii="Times New Roman" w:eastAsia="Times New Roman" w:hAnsi="Times New Roman" w:cs="Times New Roman"/>
                <w:lang w:val="en-ID"/>
              </w:rPr>
            </w:pPr>
          </w:p>
          <w:p w14:paraId="62BA6670" w14:textId="77777777" w:rsidR="00E30AFB" w:rsidRPr="007A1F20" w:rsidRDefault="00E30AFB" w:rsidP="001B74B6">
            <w:pPr>
              <w:spacing w:before="22"/>
              <w:ind w:left="13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1842,9</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3F8D29F"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10.131</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B4E1E0" w14:textId="77777777" w:rsidR="00E30AFB" w:rsidRDefault="00E30AFB" w:rsidP="001B74B6">
            <w:pPr>
              <w:ind w:left="117" w:right="60" w:firstLine="1"/>
              <w:rPr>
                <w:rFonts w:ascii="Times New Roman" w:eastAsia="Times New Roman" w:hAnsi="Times New Roman" w:cs="Times New Roman"/>
                <w:color w:val="000000"/>
                <w:lang w:val="en-ID"/>
              </w:rPr>
            </w:pPr>
            <w:r w:rsidRPr="007A1F20">
              <w:rPr>
                <w:rFonts w:ascii="Times New Roman" w:eastAsia="Times New Roman" w:hAnsi="Times New Roman" w:cs="Times New Roman"/>
                <w:color w:val="000000"/>
                <w:lang w:val="en-ID"/>
              </w:rPr>
              <w:t xml:space="preserve">39,42% low  </w:t>
            </w:r>
          </w:p>
          <w:p w14:paraId="054A0620" w14:textId="77777777" w:rsidR="00E30AFB" w:rsidRPr="007A1F20" w:rsidRDefault="00E30AFB" w:rsidP="001B74B6">
            <w:pPr>
              <w:ind w:left="117" w:right="60" w:firstLine="1"/>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effective  </w:t>
            </w:r>
          </w:p>
          <w:p w14:paraId="03D9B280" w14:textId="77777777" w:rsidR="00E30AFB" w:rsidRPr="007A1F20" w:rsidRDefault="00E30AFB" w:rsidP="001B74B6">
            <w:pPr>
              <w:spacing w:before="5"/>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(evika)</w:t>
            </w:r>
          </w:p>
        </w:tc>
      </w:tr>
      <w:tr w:rsidR="00E30AFB" w:rsidRPr="007A1F20" w14:paraId="22B32521" w14:textId="77777777" w:rsidTr="001B74B6">
        <w:trPr>
          <w:trHeight w:val="960"/>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BD706B"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Karimata  </w:t>
            </w:r>
          </w:p>
          <w:p w14:paraId="4A8E7BB5" w14:textId="77777777" w:rsidR="00E30AFB" w:rsidRPr="007A1F20" w:rsidRDefault="00E30AFB" w:rsidP="001B74B6">
            <w:pPr>
              <w:spacing w:before="27"/>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Regional MPA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72CA97E"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2004</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76F1F56" w14:textId="77777777" w:rsidR="00E30AFB" w:rsidRPr="007A1F20" w:rsidRDefault="00E30AFB" w:rsidP="001B74B6">
            <w:pPr>
              <w:ind w:left="15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2014</w:t>
            </w: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D121AE8" w14:textId="77777777" w:rsidR="00E30AFB" w:rsidRPr="007A1F20" w:rsidRDefault="00E30AFB" w:rsidP="001B74B6">
            <w:pPr>
              <w:ind w:left="16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77.000</w:t>
            </w:r>
          </w:p>
          <w:p w14:paraId="2A9F0901" w14:textId="77777777" w:rsidR="00E30AFB" w:rsidRPr="007A1F20" w:rsidRDefault="00E30AFB" w:rsidP="001B74B6">
            <w:pPr>
              <w:spacing w:before="27"/>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(2004)</w:t>
            </w:r>
          </w:p>
          <w:p w14:paraId="32293338" w14:textId="77777777" w:rsidR="00E30AFB" w:rsidRPr="007A1F20" w:rsidRDefault="00E30AFB" w:rsidP="001B74B6">
            <w:pPr>
              <w:spacing w:before="22"/>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210.000</w:t>
            </w:r>
          </w:p>
          <w:p w14:paraId="719ECC99" w14:textId="77777777" w:rsidR="00E30AFB" w:rsidRPr="007A1F20" w:rsidRDefault="00E30AFB" w:rsidP="001B74B6">
            <w:pPr>
              <w:spacing w:before="27"/>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(2014)</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41C00F1" w14:textId="77777777" w:rsidR="00E30AFB" w:rsidRPr="007A1F20" w:rsidRDefault="00E30AFB" w:rsidP="001B74B6">
            <w:pPr>
              <w:ind w:left="17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1034</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15D0506" w14:textId="77777777" w:rsidR="00E30AFB" w:rsidRPr="007A1F20" w:rsidRDefault="00E30AFB" w:rsidP="001B74B6">
            <w:pPr>
              <w:jc w:val="right"/>
              <w:rPr>
                <w:rFonts w:ascii="Times New Roman" w:eastAsia="Times New Roman" w:hAnsi="Times New Roman" w:cs="Times New Roman"/>
                <w:lang w:val="en-ID"/>
              </w:rPr>
            </w:pP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896B18A" w14:textId="77777777" w:rsidR="00E30AFB" w:rsidRPr="007A1F20" w:rsidRDefault="00E30AFB" w:rsidP="001B74B6">
            <w:pPr>
              <w:ind w:left="115"/>
              <w:jc w:val="right"/>
              <w:rPr>
                <w:rFonts w:ascii="Times New Roman" w:eastAsia="Times New Roman" w:hAnsi="Times New Roman" w:cs="Times New Roman"/>
                <w:lang w:val="en-ID"/>
              </w:rPr>
            </w:pPr>
          </w:p>
          <w:p w14:paraId="6825C66F" w14:textId="77777777" w:rsidR="00E30AFB" w:rsidRPr="007A1F20" w:rsidRDefault="00E30AFB" w:rsidP="001B74B6">
            <w:pPr>
              <w:spacing w:before="2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1,041.0</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C3A7F39" w14:textId="77777777" w:rsidR="00E30AFB" w:rsidRPr="007A1F20" w:rsidRDefault="00E30AFB" w:rsidP="001B74B6">
            <w:pPr>
              <w:ind w:left="16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326</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2F5A97" w14:textId="77777777" w:rsidR="00E30AFB" w:rsidRPr="007A1F20" w:rsidRDefault="00E30AFB" w:rsidP="001B74B6">
            <w:pPr>
              <w:spacing w:before="5"/>
              <w:ind w:left="112" w:right="60" w:firstLine="5"/>
              <w:rPr>
                <w:rFonts w:ascii="Times New Roman" w:eastAsia="Times New Roman" w:hAnsi="Times New Roman" w:cs="Times New Roman"/>
                <w:lang w:val="en-ID"/>
              </w:rPr>
            </w:pPr>
            <w:r w:rsidRPr="003F541B">
              <w:rPr>
                <w:rFonts w:ascii="Times New Roman" w:eastAsia="Times New Roman" w:hAnsi="Times New Roman" w:cs="Times New Roman"/>
                <w:color w:val="000000"/>
                <w:lang w:val="en-ID"/>
              </w:rPr>
              <w:t>No effectiveness measurements have been conducted at the Ministry of Forestry.</w:t>
            </w:r>
          </w:p>
        </w:tc>
      </w:tr>
      <w:tr w:rsidR="00E30AFB" w:rsidRPr="007A1F20" w14:paraId="28CDC154" w14:textId="77777777" w:rsidTr="001B74B6">
        <w:trPr>
          <w:trHeight w:val="72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A42766" w14:textId="77777777" w:rsidR="00E30AFB" w:rsidRPr="007A1F20" w:rsidRDefault="00E30AFB" w:rsidP="001B74B6">
            <w:pPr>
              <w:ind w:left="12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Senayang  </w:t>
            </w:r>
          </w:p>
          <w:p w14:paraId="2D8847AD" w14:textId="77777777" w:rsidR="00E30AFB" w:rsidRPr="007A1F20" w:rsidRDefault="00E30AFB" w:rsidP="001B74B6">
            <w:pPr>
              <w:spacing w:before="22"/>
              <w:ind w:left="118" w:right="56" w:firstLine="1"/>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Lingga Regional  MPA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0328698"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2002</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D6271C1" w14:textId="77777777" w:rsidR="00E30AFB" w:rsidRPr="007A1F20" w:rsidRDefault="00E30AFB" w:rsidP="001B74B6">
            <w:pPr>
              <w:jc w:val="right"/>
              <w:rPr>
                <w:rFonts w:ascii="Times New Roman" w:eastAsia="Times New Roman" w:hAnsi="Times New Roman" w:cs="Times New Roman"/>
                <w:lang w:val="en-ID"/>
              </w:rPr>
            </w:pP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4B2A83F"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419.134,75</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4ED3608" w14:textId="77777777" w:rsidR="00E30AFB" w:rsidRPr="007A1F20" w:rsidRDefault="00E30AFB" w:rsidP="001B74B6">
            <w:pPr>
              <w:ind w:left="11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58</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B3E8CC6" w14:textId="77777777" w:rsidR="00E30AFB" w:rsidRPr="007A1F20" w:rsidRDefault="00E30AFB" w:rsidP="001B74B6">
            <w:pPr>
              <w:jc w:val="right"/>
              <w:rPr>
                <w:rFonts w:ascii="Times New Roman" w:eastAsia="Times New Roman" w:hAnsi="Times New Roman" w:cs="Times New Roman"/>
                <w:lang w:val="en-ID"/>
              </w:rPr>
            </w:pP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9AB66C9" w14:textId="77777777" w:rsidR="00E30AFB" w:rsidRPr="007A1F20" w:rsidRDefault="00E30AFB" w:rsidP="001B74B6">
            <w:pPr>
              <w:ind w:left="115"/>
              <w:jc w:val="right"/>
              <w:rPr>
                <w:rFonts w:ascii="Times New Roman" w:eastAsia="Times New Roman" w:hAnsi="Times New Roman" w:cs="Times New Roman"/>
                <w:lang w:val="en-ID"/>
              </w:rPr>
            </w:pPr>
          </w:p>
          <w:p w14:paraId="6F932B92" w14:textId="77777777" w:rsidR="00E30AFB" w:rsidRPr="007A1F20" w:rsidRDefault="00E30AFB" w:rsidP="001B74B6">
            <w:pPr>
              <w:spacing w:before="2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4,735.0</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BFB7839" w14:textId="77777777" w:rsidR="00E30AFB" w:rsidRPr="007A1F20" w:rsidRDefault="00E30AFB" w:rsidP="001B74B6">
            <w:pPr>
              <w:ind w:left="16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260</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400A08" w14:textId="77777777" w:rsidR="00E30AFB" w:rsidRPr="007A1F20" w:rsidRDefault="00E30AFB" w:rsidP="001B74B6">
            <w:pPr>
              <w:ind w:left="114" w:right="60" w:hanging="3"/>
              <w:rPr>
                <w:rFonts w:ascii="Times New Roman" w:eastAsia="Times New Roman" w:hAnsi="Times New Roman" w:cs="Times New Roman"/>
                <w:lang w:val="en-ID"/>
              </w:rPr>
            </w:pPr>
            <w:r w:rsidRPr="003F541B">
              <w:rPr>
                <w:rFonts w:ascii="Times New Roman" w:eastAsia="Times New Roman" w:hAnsi="Times New Roman" w:cs="Times New Roman"/>
                <w:color w:val="000000"/>
                <w:lang w:val="en-ID"/>
              </w:rPr>
              <w:t>Not yet measured with EVIKA</w:t>
            </w:r>
          </w:p>
        </w:tc>
      </w:tr>
      <w:tr w:rsidR="00E30AFB" w:rsidRPr="007A1F20" w14:paraId="3B0C77CA" w14:textId="77777777" w:rsidTr="001B74B6">
        <w:trPr>
          <w:trHeight w:val="72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7E870F" w14:textId="77777777" w:rsidR="00E30AFB" w:rsidRPr="007A1F20" w:rsidRDefault="00E30AFB" w:rsidP="001B74B6">
            <w:pPr>
              <w:ind w:left="118" w:right="56"/>
              <w:jc w:val="both"/>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Barelang &amp;  Bintan Regional  MPA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9103898"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2007</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6E57F9A8" w14:textId="77777777" w:rsidR="00E30AFB" w:rsidRPr="007A1F20" w:rsidRDefault="00E30AFB" w:rsidP="001B74B6">
            <w:pPr>
              <w:ind w:left="15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2022</w:t>
            </w: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0118516" w14:textId="77777777" w:rsidR="00E30AFB" w:rsidRPr="007A1F20" w:rsidRDefault="00E30AFB" w:rsidP="001B74B6">
            <w:pPr>
              <w:ind w:left="16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66.867</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B2B7BEC" w14:textId="77777777" w:rsidR="00E30AFB" w:rsidRPr="007A1F20" w:rsidRDefault="00E30AFB" w:rsidP="001B74B6">
            <w:pPr>
              <w:ind w:left="17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1.880</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E3E1242" w14:textId="77777777" w:rsidR="00E30AFB" w:rsidRPr="007A1F20" w:rsidRDefault="00E30AFB" w:rsidP="001B74B6">
            <w:pPr>
              <w:jc w:val="right"/>
              <w:rPr>
                <w:rFonts w:ascii="Times New Roman" w:eastAsia="Times New Roman" w:hAnsi="Times New Roman" w:cs="Times New Roman"/>
                <w:lang w:val="en-ID"/>
              </w:rPr>
            </w:pP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E4F3BD4" w14:textId="77777777" w:rsidR="00E30AFB" w:rsidRPr="007A1F20" w:rsidRDefault="00E30AFB" w:rsidP="001B74B6">
            <w:pPr>
              <w:ind w:left="115"/>
              <w:jc w:val="right"/>
              <w:rPr>
                <w:rFonts w:ascii="Times New Roman" w:eastAsia="Times New Roman" w:hAnsi="Times New Roman" w:cs="Times New Roman"/>
                <w:lang w:val="en-ID"/>
              </w:rPr>
            </w:pPr>
          </w:p>
          <w:p w14:paraId="00B7034B" w14:textId="77777777" w:rsidR="00E30AFB" w:rsidRPr="007A1F20" w:rsidRDefault="00E30AFB" w:rsidP="001B74B6">
            <w:pPr>
              <w:spacing w:before="2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6,145.0</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08060E78"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2.094</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65CA3D" w14:textId="77777777" w:rsidR="00E30AFB" w:rsidRPr="007A1F20" w:rsidRDefault="00E30AFB" w:rsidP="001B74B6">
            <w:pPr>
              <w:ind w:left="114" w:right="60" w:hanging="4"/>
              <w:rPr>
                <w:rFonts w:ascii="Times New Roman" w:eastAsia="Times New Roman" w:hAnsi="Times New Roman" w:cs="Times New Roman"/>
                <w:lang w:val="en-ID"/>
              </w:rPr>
            </w:pPr>
            <w:r w:rsidRPr="003F541B">
              <w:rPr>
                <w:rFonts w:ascii="Times New Roman" w:eastAsia="Times New Roman" w:hAnsi="Times New Roman" w:cs="Times New Roman"/>
                <w:color w:val="000000"/>
                <w:lang w:val="en-ID"/>
              </w:rPr>
              <w:t>Not yet measured with EVIKA</w:t>
            </w:r>
          </w:p>
        </w:tc>
      </w:tr>
      <w:tr w:rsidR="00E30AFB" w:rsidRPr="007A1F20" w14:paraId="1849C34C" w14:textId="77777777" w:rsidTr="001B74B6">
        <w:trPr>
          <w:trHeight w:val="48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5C58B9" w14:textId="77777777" w:rsidR="00E30AFB" w:rsidRPr="007A1F20" w:rsidRDefault="00E30AFB" w:rsidP="001B74B6">
            <w:pPr>
              <w:ind w:left="113" w:right="55" w:hanging="5"/>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Natuna Regional  MPA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9C490F7"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2007</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4FA32D1" w14:textId="77777777" w:rsidR="00E30AFB" w:rsidRPr="007A1F20" w:rsidRDefault="00E30AFB" w:rsidP="001B74B6">
            <w:pPr>
              <w:ind w:left="15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2007</w:t>
            </w: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D7C42A8" w14:textId="77777777" w:rsidR="00E30AFB" w:rsidRPr="007A1F20" w:rsidRDefault="00E30AFB" w:rsidP="001B74B6">
            <w:pPr>
              <w:ind w:left="13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142.977</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331612DB" w14:textId="77777777" w:rsidR="00E30AFB" w:rsidRPr="007A1F20" w:rsidRDefault="00E30AFB" w:rsidP="001B74B6">
            <w:pPr>
              <w:ind w:left="16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5.017</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0DE1DA5" w14:textId="77777777" w:rsidR="00E30AFB" w:rsidRPr="007A1F20" w:rsidRDefault="00E30AFB" w:rsidP="001B74B6">
            <w:pPr>
              <w:jc w:val="right"/>
              <w:rPr>
                <w:rFonts w:ascii="Times New Roman" w:eastAsia="Times New Roman" w:hAnsi="Times New Roman" w:cs="Times New Roman"/>
                <w:lang w:val="en-ID"/>
              </w:rPr>
            </w:pP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142424BA" w14:textId="77777777" w:rsidR="00E30AFB" w:rsidRPr="007A1F20" w:rsidRDefault="00E30AFB" w:rsidP="001B74B6">
            <w:pPr>
              <w:ind w:left="115"/>
              <w:jc w:val="right"/>
              <w:rPr>
                <w:rFonts w:ascii="Times New Roman" w:eastAsia="Times New Roman" w:hAnsi="Times New Roman" w:cs="Times New Roman"/>
                <w:lang w:val="en-ID"/>
              </w:rPr>
            </w:pPr>
          </w:p>
          <w:p w14:paraId="49A1A8B2" w14:textId="77777777" w:rsidR="00E30AFB" w:rsidRPr="007A1F20" w:rsidRDefault="00E30AFB" w:rsidP="001B74B6">
            <w:pPr>
              <w:spacing w:before="2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4,774.0</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9D1862F"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1060</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15AAE4" w14:textId="77777777" w:rsidR="00E30AFB" w:rsidRPr="007A1F20" w:rsidRDefault="00E30AFB" w:rsidP="001B74B6">
            <w:pPr>
              <w:ind w:left="114"/>
              <w:rPr>
                <w:rFonts w:ascii="Times New Roman" w:eastAsia="Times New Roman" w:hAnsi="Times New Roman" w:cs="Times New Roman"/>
                <w:lang w:val="en-ID"/>
              </w:rPr>
            </w:pPr>
            <w:r>
              <w:rPr>
                <w:rFonts w:ascii="Times New Roman" w:eastAsia="Times New Roman" w:hAnsi="Times New Roman" w:cs="Times New Roman"/>
                <w:color w:val="000000"/>
                <w:lang w:val="en-ID"/>
              </w:rPr>
              <w:t>Not yet measured</w:t>
            </w:r>
          </w:p>
        </w:tc>
      </w:tr>
      <w:tr w:rsidR="00E30AFB" w:rsidRPr="007A1F20" w14:paraId="516EDFA9" w14:textId="77777777" w:rsidTr="001B74B6">
        <w:trPr>
          <w:trHeight w:val="72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D6059C"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Batam/Abang  </w:t>
            </w:r>
          </w:p>
          <w:p w14:paraId="0DA22B0F" w14:textId="77777777" w:rsidR="00E30AFB" w:rsidRPr="007A1F20" w:rsidRDefault="00E30AFB" w:rsidP="001B74B6">
            <w:pPr>
              <w:spacing w:before="22"/>
              <w:ind w:left="118" w:right="56" w:firstLine="1"/>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lastRenderedPageBreak/>
              <w:t>Island Regional  MPA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15A9BD1"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lastRenderedPageBreak/>
              <w:t>2007</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C1871B3" w14:textId="77777777" w:rsidR="00E30AFB" w:rsidRPr="007A1F20" w:rsidRDefault="00E30AFB" w:rsidP="001B74B6">
            <w:pPr>
              <w:ind w:left="15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2007</w:t>
            </w: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40CEB286"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64,735</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54A397FE"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60</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30AD8E5" w14:textId="77777777" w:rsidR="00E30AFB" w:rsidRPr="007A1F20" w:rsidRDefault="00E30AFB" w:rsidP="001B74B6">
            <w:pPr>
              <w:jc w:val="right"/>
              <w:rPr>
                <w:rFonts w:ascii="Times New Roman" w:eastAsia="Times New Roman" w:hAnsi="Times New Roman" w:cs="Times New Roman"/>
                <w:lang w:val="en-ID"/>
              </w:rPr>
            </w:pP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722F9910"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44,539</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14:paraId="270FECC8" w14:textId="77777777" w:rsidR="00E30AFB" w:rsidRPr="007A1F20" w:rsidRDefault="00E30AFB" w:rsidP="001B74B6">
            <w:pPr>
              <w:ind w:left="16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FB72C6" w14:textId="77777777" w:rsidR="00E30AFB" w:rsidRPr="007A1F20" w:rsidRDefault="00E30AFB" w:rsidP="001B74B6">
            <w:pPr>
              <w:spacing w:before="27"/>
              <w:ind w:left="116"/>
              <w:rPr>
                <w:rFonts w:ascii="Times New Roman" w:eastAsia="Times New Roman" w:hAnsi="Times New Roman" w:cs="Times New Roman"/>
                <w:lang w:val="en-ID"/>
              </w:rPr>
            </w:pPr>
            <w:r>
              <w:rPr>
                <w:rFonts w:ascii="Times New Roman" w:eastAsia="Times New Roman" w:hAnsi="Times New Roman" w:cs="Times New Roman"/>
                <w:color w:val="000000"/>
                <w:lang w:val="en-ID"/>
              </w:rPr>
              <w:t>Not yet evaluated</w:t>
            </w:r>
          </w:p>
        </w:tc>
      </w:tr>
      <w:tr w:rsidR="00E30AFB" w:rsidRPr="007A1F20" w14:paraId="4425ACAA" w14:textId="77777777" w:rsidTr="001B74B6">
        <w:trPr>
          <w:trHeight w:val="490"/>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87260C" w14:textId="77777777" w:rsidR="00E30AFB" w:rsidRPr="007A1F20" w:rsidRDefault="00E30AFB" w:rsidP="001B74B6">
            <w:pPr>
              <w:ind w:left="119" w:right="56" w:hanging="5"/>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Lingga seagrass  sanctuaries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CB510E"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2019 </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F176DB" w14:textId="77777777" w:rsidR="00E30AFB" w:rsidRPr="007A1F20" w:rsidRDefault="00E30AFB" w:rsidP="001B74B6">
            <w:pPr>
              <w:ind w:left="15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2025 </w:t>
            </w: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697133" w14:textId="77777777" w:rsidR="00E30AFB" w:rsidRPr="007A1F20" w:rsidRDefault="00E30AFB" w:rsidP="001B74B6">
            <w:pPr>
              <w:ind w:left="17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17.500 </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28697F"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 </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642146" w14:textId="77777777" w:rsidR="00E30AFB" w:rsidRPr="007A1F20" w:rsidRDefault="00E30AFB" w:rsidP="001B74B6">
            <w:pPr>
              <w:ind w:left="16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 </w:t>
            </w: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5D777D" w14:textId="77777777" w:rsidR="00E30AFB" w:rsidRPr="007A1F20" w:rsidRDefault="00E30AFB" w:rsidP="001B74B6">
            <w:pPr>
              <w:ind w:left="12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BDB009" w14:textId="77777777" w:rsidR="00E30AFB" w:rsidRPr="007A1F20" w:rsidRDefault="00E30AFB" w:rsidP="001B74B6">
            <w:pPr>
              <w:ind w:left="115"/>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  </w:t>
            </w:r>
          </w:p>
          <w:p w14:paraId="6516F088" w14:textId="77777777" w:rsidR="00E30AFB" w:rsidRPr="007A1F20" w:rsidRDefault="00E30AFB" w:rsidP="001B74B6">
            <w:pPr>
              <w:spacing w:before="2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462.0 </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167224" w14:textId="77777777" w:rsidR="00E30AFB" w:rsidRPr="007A1F20" w:rsidRDefault="00E30AFB" w:rsidP="001B74B6">
            <w:pPr>
              <w:spacing w:before="27"/>
              <w:ind w:left="116"/>
              <w:rPr>
                <w:rFonts w:ascii="Times New Roman" w:eastAsia="Times New Roman" w:hAnsi="Times New Roman" w:cs="Times New Roman"/>
                <w:lang w:val="en-ID"/>
              </w:rPr>
            </w:pPr>
            <w:r>
              <w:rPr>
                <w:rFonts w:ascii="Times New Roman" w:eastAsia="Times New Roman" w:hAnsi="Times New Roman" w:cs="Times New Roman"/>
                <w:color w:val="000000"/>
                <w:lang w:val="en-ID"/>
              </w:rPr>
              <w:t>Not yet evaluated</w:t>
            </w:r>
          </w:p>
        </w:tc>
      </w:tr>
      <w:tr w:rsidR="00E30AFB" w:rsidRPr="007A1F20" w14:paraId="1E14E476" w14:textId="77777777" w:rsidTr="001B74B6">
        <w:trPr>
          <w:trHeight w:val="485"/>
        </w:trPr>
        <w:tc>
          <w:tcPr>
            <w:tcW w:w="14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5DCA93" w14:textId="77777777" w:rsidR="00E30AFB" w:rsidRPr="007A1F20" w:rsidRDefault="00E30AFB" w:rsidP="001B74B6">
            <w:pPr>
              <w:ind w:left="12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Sembilang  </w:t>
            </w:r>
          </w:p>
          <w:p w14:paraId="4D315AEB" w14:textId="77777777" w:rsidR="00E30AFB" w:rsidRPr="007A1F20" w:rsidRDefault="00E30AFB" w:rsidP="001B74B6">
            <w:pPr>
              <w:spacing w:before="22"/>
              <w:ind w:left="11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National Park </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79CA66"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2003 </w:t>
            </w:r>
          </w:p>
        </w:tc>
        <w:tc>
          <w:tcPr>
            <w:tcW w:w="8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56B3E0" w14:textId="77777777" w:rsidR="00E30AFB" w:rsidRPr="007A1F20" w:rsidRDefault="00E30AFB" w:rsidP="001B74B6">
            <w:pPr>
              <w:jc w:val="right"/>
              <w:rPr>
                <w:rFonts w:ascii="Times New Roman" w:eastAsia="Times New Roman" w:hAnsi="Times New Roman" w:cs="Times New Roman"/>
                <w:lang w:val="en-ID"/>
              </w:rPr>
            </w:pPr>
          </w:p>
        </w:tc>
        <w:tc>
          <w:tcPr>
            <w:tcW w:w="1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3F65ED"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202.896,31 </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360EDE"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88.586</w:t>
            </w:r>
          </w:p>
        </w:tc>
        <w:tc>
          <w:tcPr>
            <w:tcW w:w="100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E4FEFD" w14:textId="77777777" w:rsidR="00E30AFB" w:rsidRPr="007A1F20" w:rsidRDefault="00E30AFB" w:rsidP="001B74B6">
            <w:pPr>
              <w:ind w:left="110"/>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  </w:t>
            </w:r>
          </w:p>
          <w:p w14:paraId="50170D6C" w14:textId="77777777" w:rsidR="00E30AFB" w:rsidRPr="007A1F20" w:rsidRDefault="00E30AFB" w:rsidP="001B74B6">
            <w:pPr>
              <w:spacing w:before="22"/>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267,592.0 </w:t>
            </w:r>
          </w:p>
        </w:tc>
        <w:tc>
          <w:tcPr>
            <w:tcW w:w="9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6AC479" w14:textId="77777777" w:rsidR="00E30AFB" w:rsidRPr="007A1F20" w:rsidRDefault="00E30AFB" w:rsidP="001B74B6">
            <w:pPr>
              <w:ind w:left="16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 </w:t>
            </w:r>
          </w:p>
        </w:tc>
        <w:tc>
          <w:tcPr>
            <w:tcW w:w="8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00206F" w14:textId="77777777" w:rsidR="00E30AFB" w:rsidRPr="007A1F20" w:rsidRDefault="00E30AFB" w:rsidP="001B74B6">
            <w:pPr>
              <w:ind w:left="12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w:t>
            </w:r>
          </w:p>
        </w:tc>
        <w:tc>
          <w:tcPr>
            <w:tcW w:w="16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E9314B" w14:textId="77777777" w:rsidR="00E30AFB" w:rsidRPr="007A1F20" w:rsidRDefault="00E30AFB" w:rsidP="001B74B6">
            <w:pPr>
              <w:spacing w:before="22"/>
              <w:rPr>
                <w:rFonts w:ascii="Times New Roman" w:eastAsia="Times New Roman" w:hAnsi="Times New Roman" w:cs="Times New Roman"/>
                <w:lang w:val="en-ID"/>
              </w:rPr>
            </w:pPr>
            <w:r w:rsidRPr="003F541B">
              <w:rPr>
                <w:rFonts w:ascii="Times New Roman" w:eastAsia="Times New Roman" w:hAnsi="Times New Roman" w:cs="Times New Roman"/>
                <w:color w:val="000000"/>
                <w:lang w:val="en-ID"/>
              </w:rPr>
              <w:t>Not yet measured with EVIKA</w:t>
            </w:r>
          </w:p>
        </w:tc>
      </w:tr>
    </w:tbl>
    <w:p w14:paraId="228D5105" w14:textId="77777777" w:rsidR="00E30AFB" w:rsidRPr="007A1F20" w:rsidRDefault="00E30AFB" w:rsidP="00E30AFB">
      <w:pPr>
        <w:spacing w:after="240"/>
        <w:rPr>
          <w:rFonts w:ascii="Times New Roman" w:eastAsia="Times New Roman" w:hAnsi="Times New Roman" w:cs="Times New Roman"/>
          <w:lang w:val="en-ID"/>
        </w:rPr>
      </w:pPr>
    </w:p>
    <w:tbl>
      <w:tblPr>
        <w:tblW w:w="0" w:type="auto"/>
        <w:tblCellMar>
          <w:top w:w="15" w:type="dxa"/>
          <w:left w:w="15" w:type="dxa"/>
          <w:bottom w:w="15" w:type="dxa"/>
          <w:right w:w="15" w:type="dxa"/>
        </w:tblCellMar>
        <w:tblLook w:val="04A0" w:firstRow="1" w:lastRow="0" w:firstColumn="1" w:lastColumn="0" w:noHBand="0" w:noVBand="1"/>
      </w:tblPr>
      <w:tblGrid>
        <w:gridCol w:w="2117"/>
        <w:gridCol w:w="1196"/>
        <w:gridCol w:w="206"/>
        <w:gridCol w:w="1340"/>
        <w:gridCol w:w="1038"/>
        <w:gridCol w:w="1023"/>
        <w:gridCol w:w="206"/>
        <w:gridCol w:w="878"/>
        <w:gridCol w:w="1723"/>
      </w:tblGrid>
      <w:tr w:rsidR="00E30AFB" w:rsidRPr="007A1F20" w14:paraId="22D4CB18" w14:textId="77777777" w:rsidTr="001B74B6">
        <w:trPr>
          <w:trHeight w:val="725"/>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69F19A" w14:textId="77777777" w:rsidR="00E30AFB" w:rsidRPr="007A1F20" w:rsidRDefault="00E30AFB" w:rsidP="001B74B6">
            <w:pPr>
              <w:ind w:left="118" w:right="56" w:hanging="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Bintan 1  Conservation  </w:t>
            </w:r>
          </w:p>
          <w:p w14:paraId="5566710B" w14:textId="77777777" w:rsidR="00E30AFB" w:rsidRPr="007A1F20" w:rsidRDefault="00E30AFB" w:rsidP="001B74B6">
            <w:pPr>
              <w:spacing w:before="5"/>
              <w:ind w:left="11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Area </w:t>
            </w:r>
          </w:p>
        </w:tc>
        <w:tc>
          <w:tcPr>
            <w:tcW w:w="11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0B9381"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2024 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2693E8"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04EF2C" w14:textId="77777777" w:rsidR="00E30AFB" w:rsidRPr="007A1F20" w:rsidRDefault="00E30AFB" w:rsidP="001B74B6">
            <w:pPr>
              <w:jc w:val="center"/>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138.561,42 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580DD3"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17433F"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7BC1CC"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C676E3" w14:textId="77777777" w:rsidR="00E30AFB" w:rsidRPr="007A1F20" w:rsidRDefault="00E30AFB" w:rsidP="001B74B6">
            <w:pPr>
              <w:ind w:left="13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1,500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CBE31E" w14:textId="77777777" w:rsidR="00E30AFB" w:rsidRPr="007A1F20" w:rsidRDefault="00E30AFB" w:rsidP="001B74B6">
            <w:pPr>
              <w:ind w:left="114" w:right="60" w:hanging="4"/>
              <w:rPr>
                <w:rFonts w:ascii="Times New Roman" w:eastAsia="Times New Roman" w:hAnsi="Times New Roman" w:cs="Times New Roman"/>
                <w:lang w:val="en-ID"/>
              </w:rPr>
            </w:pPr>
            <w:r>
              <w:rPr>
                <w:rFonts w:ascii="Times New Roman" w:eastAsia="Times New Roman" w:hAnsi="Times New Roman" w:cs="Times New Roman"/>
                <w:color w:val="000000"/>
                <w:lang w:val="en-ID"/>
              </w:rPr>
              <w:t>Not yet evaluated</w:t>
            </w:r>
          </w:p>
        </w:tc>
      </w:tr>
      <w:tr w:rsidR="00E30AFB" w:rsidRPr="007A1F20" w14:paraId="486CDEFF" w14:textId="77777777" w:rsidTr="001B74B6">
        <w:trPr>
          <w:trHeight w:val="725"/>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801F59" w14:textId="77777777" w:rsidR="00E30AFB" w:rsidRPr="007A1F20" w:rsidRDefault="00E30AFB" w:rsidP="001B74B6">
            <w:pPr>
              <w:ind w:left="118" w:right="56" w:hanging="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Bintan 3  Conservation  </w:t>
            </w:r>
          </w:p>
          <w:p w14:paraId="463F8C0C" w14:textId="77777777" w:rsidR="00E30AFB" w:rsidRPr="007A1F20" w:rsidRDefault="00E30AFB" w:rsidP="001B74B6">
            <w:pPr>
              <w:spacing w:before="5"/>
              <w:ind w:left="11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Area </w:t>
            </w:r>
          </w:p>
        </w:tc>
        <w:tc>
          <w:tcPr>
            <w:tcW w:w="11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EC85B9"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2024 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D2CA1F"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A0DEC8"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8F5821"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34A9AD"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5E3AD3"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03767D" w14:textId="77777777" w:rsidR="00E30AFB" w:rsidRPr="007A1F20" w:rsidRDefault="00E30AFB" w:rsidP="001B74B6">
            <w:pPr>
              <w:ind w:left="119"/>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257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E557FA" w14:textId="77777777" w:rsidR="00E30AFB" w:rsidRPr="007A1F20" w:rsidRDefault="00E30AFB" w:rsidP="001B74B6">
            <w:pPr>
              <w:spacing w:before="22"/>
              <w:ind w:left="116"/>
              <w:rPr>
                <w:rFonts w:ascii="Times New Roman" w:eastAsia="Times New Roman" w:hAnsi="Times New Roman" w:cs="Times New Roman"/>
                <w:lang w:val="en-ID"/>
              </w:rPr>
            </w:pPr>
            <w:r w:rsidRPr="00B1791D">
              <w:rPr>
                <w:rFonts w:ascii="Times New Roman" w:eastAsia="Times New Roman" w:hAnsi="Times New Roman" w:cs="Times New Roman"/>
                <w:color w:val="000000"/>
                <w:lang w:val="en-ID"/>
              </w:rPr>
              <w:t>Not yet evaluated</w:t>
            </w:r>
          </w:p>
        </w:tc>
      </w:tr>
      <w:tr w:rsidR="00E30AFB" w:rsidRPr="007A1F20" w14:paraId="4A885C45" w14:textId="77777777" w:rsidTr="001B74B6">
        <w:trPr>
          <w:trHeight w:val="485"/>
        </w:trPr>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B3B9ED" w14:textId="77777777" w:rsidR="00E30AFB" w:rsidRPr="007A1F20" w:rsidRDefault="00E30AFB" w:rsidP="001B74B6">
            <w:pPr>
              <w:ind w:left="118" w:right="56"/>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Batu Ampar  Protected Forest </w:t>
            </w:r>
          </w:p>
        </w:tc>
        <w:tc>
          <w:tcPr>
            <w:tcW w:w="11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F0720A"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2014 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53EBA2"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838562"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65,585 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A0F125"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33,235 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4FEB8A" w14:textId="77777777" w:rsidR="00E30AFB" w:rsidRPr="007A1F20" w:rsidRDefault="00E30AFB" w:rsidP="001B74B6">
            <w:pPr>
              <w:ind w:left="16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33.140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0BD178"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6FB53F" w14:textId="77777777" w:rsidR="00E30AFB" w:rsidRPr="007A1F20" w:rsidRDefault="00E30AFB" w:rsidP="001B74B6">
            <w:pPr>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8904C2" w14:textId="77777777" w:rsidR="00E30AFB" w:rsidRPr="007A1F20" w:rsidRDefault="00E30AFB" w:rsidP="001B74B6">
            <w:pPr>
              <w:ind w:left="114" w:right="60" w:hanging="4"/>
              <w:rPr>
                <w:rFonts w:ascii="Times New Roman" w:eastAsia="Times New Roman" w:hAnsi="Times New Roman" w:cs="Times New Roman"/>
                <w:lang w:val="en-ID"/>
              </w:rPr>
            </w:pPr>
            <w:r w:rsidRPr="00B1791D">
              <w:rPr>
                <w:rFonts w:ascii="Times New Roman" w:eastAsia="Times New Roman" w:hAnsi="Times New Roman" w:cs="Times New Roman"/>
                <w:color w:val="000000"/>
                <w:lang w:val="en-ID"/>
              </w:rPr>
              <w:t>Not yet evaluated</w:t>
            </w:r>
          </w:p>
        </w:tc>
      </w:tr>
    </w:tbl>
    <w:p w14:paraId="6C489C14" w14:textId="77777777" w:rsidR="00E30AFB" w:rsidRPr="007A1F20" w:rsidRDefault="00E30AFB" w:rsidP="00E30AFB">
      <w:pPr>
        <w:spacing w:after="240"/>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Source: PPID LKKPN Pekanbaru, 2025. </w:t>
      </w:r>
    </w:p>
    <w:p w14:paraId="3898A360" w14:textId="77777777" w:rsidR="00E30AFB" w:rsidRPr="005A1594" w:rsidRDefault="00E30AFB" w:rsidP="00E30AFB">
      <w:pPr>
        <w:pStyle w:val="Caption"/>
        <w:numPr>
          <w:ilvl w:val="0"/>
          <w:numId w:val="197"/>
        </w:numPr>
        <w:rPr>
          <w:rFonts w:ascii="Times New Roman" w:eastAsia="Times New Roman" w:hAnsi="Times New Roman" w:cs="Times New Roman"/>
          <w:b/>
          <w:bCs/>
          <w:i w:val="0"/>
          <w:iCs w:val="0"/>
          <w:color w:val="000000" w:themeColor="text1"/>
          <w:sz w:val="24"/>
          <w:szCs w:val="24"/>
          <w:lang w:val="en-ID"/>
        </w:rPr>
      </w:pPr>
      <w:r w:rsidRPr="005A1594">
        <w:rPr>
          <w:rFonts w:ascii="Times New Roman" w:eastAsia="Times New Roman" w:hAnsi="Times New Roman" w:cs="Times New Roman"/>
          <w:b/>
          <w:bCs/>
          <w:i w:val="0"/>
          <w:iCs w:val="0"/>
          <w:color w:val="000000" w:themeColor="text1"/>
          <w:sz w:val="24"/>
          <w:szCs w:val="24"/>
          <w:lang w:val="en-ID"/>
        </w:rPr>
        <w:t xml:space="preserve"> Total Mangrove Coverage in Indonesia based on data from various resources </w:t>
      </w:r>
    </w:p>
    <w:tbl>
      <w:tblPr>
        <w:tblW w:w="0" w:type="auto"/>
        <w:tblInd w:w="-152" w:type="dxa"/>
        <w:tblCellMar>
          <w:top w:w="15" w:type="dxa"/>
          <w:left w:w="15" w:type="dxa"/>
          <w:bottom w:w="15" w:type="dxa"/>
          <w:right w:w="15" w:type="dxa"/>
        </w:tblCellMar>
        <w:tblLook w:val="04A0" w:firstRow="1" w:lastRow="0" w:firstColumn="1" w:lastColumn="0" w:noHBand="0" w:noVBand="1"/>
      </w:tblPr>
      <w:tblGrid>
        <w:gridCol w:w="1106"/>
        <w:gridCol w:w="998"/>
        <w:gridCol w:w="794"/>
        <w:gridCol w:w="789"/>
        <w:gridCol w:w="789"/>
        <w:gridCol w:w="795"/>
        <w:gridCol w:w="915"/>
        <w:gridCol w:w="915"/>
        <w:gridCol w:w="1005"/>
        <w:gridCol w:w="1020"/>
        <w:gridCol w:w="753"/>
      </w:tblGrid>
      <w:tr w:rsidR="00E30AFB" w:rsidRPr="007A1F20" w14:paraId="3D20F9C6" w14:textId="77777777" w:rsidTr="001B74B6">
        <w:trPr>
          <w:trHeight w:val="408"/>
        </w:trPr>
        <w:tc>
          <w:tcPr>
            <w:tcW w:w="9879" w:type="dxa"/>
            <w:gridSpan w:val="11"/>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C07A4F" w14:textId="77777777" w:rsidR="00E30AFB" w:rsidRPr="007A1F20" w:rsidRDefault="00E30AFB" w:rsidP="001B74B6">
            <w:pPr>
              <w:ind w:left="119"/>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Country/Area (Sites characterized by the SCS Project)</w:t>
            </w:r>
          </w:p>
        </w:tc>
      </w:tr>
      <w:tr w:rsidR="00E30AFB" w:rsidRPr="007A1F20" w14:paraId="3413E3F2" w14:textId="77777777" w:rsidTr="001B74B6">
        <w:trPr>
          <w:trHeight w:val="422"/>
        </w:trPr>
        <w:tc>
          <w:tcPr>
            <w:tcW w:w="12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1AE8F0" w14:textId="77777777" w:rsidR="00E30AFB" w:rsidRPr="007A1F20" w:rsidRDefault="00E30AFB" w:rsidP="001B74B6">
            <w:pPr>
              <w:ind w:left="115"/>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Indonesia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670804" w14:textId="77777777" w:rsidR="00E30AFB" w:rsidRPr="007A1F20" w:rsidRDefault="00E30AFB" w:rsidP="001B74B6">
            <w:pPr>
              <w:ind w:left="119"/>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2003</w:t>
            </w:r>
          </w:p>
          <w:p w14:paraId="5FAB7092" w14:textId="77777777" w:rsidR="00E30AFB" w:rsidRPr="007A1F20" w:rsidRDefault="00E30AFB" w:rsidP="001B74B6">
            <w:pPr>
              <w:ind w:left="123"/>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0A7930"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2008 </w:t>
            </w:r>
          </w:p>
          <w:p w14:paraId="5FD812B5" w14:textId="77777777" w:rsidR="00E30AFB" w:rsidRPr="007A1F20" w:rsidRDefault="00E30AFB" w:rsidP="001B74B6">
            <w:pPr>
              <w:ind w:left="118"/>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5295A6"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2013 </w:t>
            </w:r>
          </w:p>
          <w:p w14:paraId="1E43F0BA" w14:textId="77777777" w:rsidR="00E30AFB" w:rsidRPr="007A1F20" w:rsidRDefault="00E30AFB" w:rsidP="001B74B6">
            <w:pPr>
              <w:ind w:left="118"/>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76C6F2"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2017 </w:t>
            </w:r>
          </w:p>
          <w:p w14:paraId="7ABAEE4E" w14:textId="77777777" w:rsidR="00E30AFB" w:rsidRPr="007A1F20" w:rsidRDefault="00E30AFB" w:rsidP="001B74B6">
            <w:pPr>
              <w:ind w:left="118"/>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550F9C"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2018 </w:t>
            </w:r>
          </w:p>
          <w:p w14:paraId="0A44B575" w14:textId="77777777" w:rsidR="00E30AFB" w:rsidRPr="007A1F20" w:rsidRDefault="00E30AFB" w:rsidP="001B74B6">
            <w:pPr>
              <w:ind w:left="118"/>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F1FEA2" w14:textId="77777777" w:rsidR="00E30AFB" w:rsidRPr="007A1F20" w:rsidRDefault="00E30AFB" w:rsidP="001B74B6">
            <w:pPr>
              <w:ind w:left="119"/>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2021</w:t>
            </w:r>
          </w:p>
          <w:p w14:paraId="46C23803" w14:textId="77777777" w:rsidR="00E30AFB" w:rsidRPr="007A1F20" w:rsidRDefault="00E30AFB" w:rsidP="001B74B6">
            <w:pPr>
              <w:ind w:left="123"/>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EB968B"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2002</w:t>
            </w:r>
          </w:p>
          <w:p w14:paraId="1FFB28F7" w14:textId="77777777" w:rsidR="00E30AFB" w:rsidRPr="007A1F20" w:rsidRDefault="00E30AFB" w:rsidP="001B74B6">
            <w:pPr>
              <w:ind w:left="118"/>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5F56BD"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2023</w:t>
            </w:r>
          </w:p>
          <w:p w14:paraId="418F3D51" w14:textId="77777777" w:rsidR="00E30AFB" w:rsidRPr="007A1F20" w:rsidRDefault="00E30AFB" w:rsidP="001B74B6">
            <w:pPr>
              <w:ind w:left="118"/>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303028" w14:textId="77777777" w:rsidR="00E30AFB" w:rsidRPr="007A1F20" w:rsidRDefault="00E30AFB" w:rsidP="001B74B6">
            <w:pPr>
              <w:ind w:left="119"/>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2024</w:t>
            </w:r>
          </w:p>
          <w:p w14:paraId="66B44AC4" w14:textId="77777777" w:rsidR="00E30AFB" w:rsidRPr="007A1F20" w:rsidRDefault="00E30AFB" w:rsidP="001B74B6">
            <w:pPr>
              <w:ind w:left="123"/>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A5320C"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2025</w:t>
            </w:r>
          </w:p>
          <w:p w14:paraId="357DBEF7" w14:textId="77777777" w:rsidR="00E30AFB" w:rsidRPr="007A1F20" w:rsidRDefault="00E30AFB" w:rsidP="001B74B6">
            <w:pPr>
              <w:ind w:left="118"/>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(ha)</w:t>
            </w:r>
          </w:p>
        </w:tc>
      </w:tr>
      <w:tr w:rsidR="00E30AFB" w:rsidRPr="007A1F20" w14:paraId="73326110" w14:textId="77777777" w:rsidTr="001B74B6">
        <w:trPr>
          <w:trHeight w:val="634"/>
        </w:trPr>
        <w:tc>
          <w:tcPr>
            <w:tcW w:w="12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1C8910" w14:textId="77777777" w:rsidR="00E30AFB" w:rsidRPr="007A1F20" w:rsidRDefault="00E30AFB" w:rsidP="001B74B6">
            <w:pPr>
              <w:ind w:left="114" w:right="58" w:firstLine="2"/>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Total of Mangrove  </w:t>
            </w:r>
          </w:p>
          <w:p w14:paraId="33C315F6" w14:textId="77777777" w:rsidR="00E30AFB" w:rsidRPr="007A1F20" w:rsidRDefault="00E30AFB" w:rsidP="001B74B6">
            <w:pPr>
              <w:spacing w:before="9"/>
              <w:ind w:left="117"/>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Coverage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2E4E9D"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216209.29 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8ACB7B"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130,501 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ACFD7C"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118,674 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8542AE"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195,000 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5BF5BC"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79,229 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EF161F"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913,443.7 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30819A"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341,109.8 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E8985B"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467,464.83 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29C9BB"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529,066.54 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2CC947" w14:textId="77777777" w:rsidR="00E30AFB" w:rsidRPr="007A1F20" w:rsidRDefault="00E30AFB" w:rsidP="001B74B6">
            <w:pPr>
              <w:ind w:left="118"/>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67,417</w:t>
            </w:r>
          </w:p>
        </w:tc>
      </w:tr>
      <w:tr w:rsidR="00E30AFB" w:rsidRPr="007A1F20" w14:paraId="5C79196E" w14:textId="77777777" w:rsidTr="001B74B6">
        <w:trPr>
          <w:trHeight w:val="422"/>
        </w:trPr>
        <w:tc>
          <w:tcPr>
            <w:tcW w:w="12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C28C75"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Bangka </w:t>
            </w:r>
          </w:p>
          <w:p w14:paraId="38936934"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Belitung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37BDBF" w14:textId="77777777" w:rsidR="00E30AFB" w:rsidRPr="007A1F20" w:rsidRDefault="00E30AFB" w:rsidP="001B74B6">
            <w:pPr>
              <w:ind w:left="122"/>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76F14D" w14:textId="77777777" w:rsidR="00E30AFB" w:rsidRPr="007A1F20" w:rsidRDefault="00E30AFB" w:rsidP="001B74B6">
            <w:pPr>
              <w:ind w:left="114"/>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22,457 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13D131"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4D23D0"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63A253"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573A19"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275,299.7 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C92CB"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273,692.8</w:t>
            </w:r>
          </w:p>
          <w:p w14:paraId="4E785B0C" w14:textId="77777777" w:rsidR="00E30AFB" w:rsidRPr="007A1F20" w:rsidRDefault="00E30AFB" w:rsidP="001B74B6">
            <w:pPr>
              <w:ind w:left="132"/>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49CB60"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273,692.80 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0C10EA" w14:textId="77777777" w:rsidR="00E30AFB" w:rsidRPr="007A1F20" w:rsidRDefault="00E30AFB" w:rsidP="001B74B6">
            <w:pPr>
              <w:ind w:left="123"/>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61,832.44 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F1E8B3"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w:t>
            </w:r>
          </w:p>
        </w:tc>
      </w:tr>
      <w:tr w:rsidR="00E30AFB" w:rsidRPr="007A1F20" w14:paraId="5294002F" w14:textId="77777777" w:rsidTr="001B74B6">
        <w:trPr>
          <w:trHeight w:val="302"/>
        </w:trPr>
        <w:tc>
          <w:tcPr>
            <w:tcW w:w="12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D17B49"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Kep Riau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736FB1" w14:textId="77777777" w:rsidR="00E30AFB" w:rsidRPr="007A1F20" w:rsidRDefault="00E30AFB" w:rsidP="001B74B6">
            <w:pPr>
              <w:ind w:left="122"/>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90C0C8"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40664A"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A0F01D"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284A18"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79,229 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AF7873" w14:textId="77777777" w:rsidR="00E30AFB" w:rsidRPr="007A1F20" w:rsidRDefault="00E30AFB" w:rsidP="001B74B6">
            <w:pPr>
              <w:ind w:left="123"/>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67,417 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ACA5D2" w14:textId="77777777" w:rsidR="00E30AFB" w:rsidRPr="007A1F20" w:rsidRDefault="00E30AFB" w:rsidP="001B74B6">
            <w:pPr>
              <w:ind w:left="118"/>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67,417 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626584"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DD7F4C" w14:textId="77777777" w:rsidR="00E30AFB" w:rsidRPr="007A1F20" w:rsidRDefault="00E30AFB" w:rsidP="001B74B6">
            <w:pPr>
              <w:ind w:left="123"/>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67,417 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697AAB" w14:textId="77777777" w:rsidR="00E30AFB" w:rsidRPr="007A1F20" w:rsidRDefault="00E30AFB" w:rsidP="001B74B6">
            <w:pPr>
              <w:ind w:left="118"/>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67,417</w:t>
            </w:r>
          </w:p>
        </w:tc>
      </w:tr>
      <w:tr w:rsidR="00E30AFB" w:rsidRPr="007A1F20" w14:paraId="71FFD7D9" w14:textId="77777777" w:rsidTr="001B74B6">
        <w:trPr>
          <w:trHeight w:val="422"/>
        </w:trPr>
        <w:tc>
          <w:tcPr>
            <w:tcW w:w="12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D7F3E7" w14:textId="77777777" w:rsidR="00E30AFB" w:rsidRPr="007A1F20" w:rsidRDefault="00E30AFB" w:rsidP="001B74B6">
            <w:pPr>
              <w:ind w:left="122"/>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Sumatera </w:t>
            </w:r>
          </w:p>
          <w:p w14:paraId="01B49CD2" w14:textId="77777777" w:rsidR="00E30AFB" w:rsidRPr="007A1F20" w:rsidRDefault="00E30AFB" w:rsidP="001B74B6">
            <w:pPr>
              <w:ind w:left="122"/>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lastRenderedPageBreak/>
              <w:t>Selatan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F0C4BD"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lastRenderedPageBreak/>
              <w:t>115,072.29 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B82CBB"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98B088"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118,674 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B91B3F"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195,000 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572D2C"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6CB4CB" w14:textId="77777777" w:rsidR="00E30AFB" w:rsidRPr="007A1F20" w:rsidRDefault="00E30AFB" w:rsidP="001B74B6">
            <w:pPr>
              <w:ind w:left="13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171,629 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60B859"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8CF7AF" w14:textId="77777777" w:rsidR="00E30AFB" w:rsidRPr="007A1F20" w:rsidRDefault="00E30AFB" w:rsidP="001B74B6">
            <w:pPr>
              <w:ind w:left="118"/>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97,332.03 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06EE1C" w14:textId="77777777" w:rsidR="00E30AFB" w:rsidRPr="007A1F20" w:rsidRDefault="00E30AFB" w:rsidP="001B74B6">
            <w:pPr>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167,050.13 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E9737A"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w:t>
            </w:r>
          </w:p>
        </w:tc>
      </w:tr>
      <w:tr w:rsidR="00E30AFB" w:rsidRPr="007A1F20" w14:paraId="30C14137" w14:textId="77777777" w:rsidTr="001B74B6">
        <w:trPr>
          <w:trHeight w:val="298"/>
        </w:trPr>
        <w:tc>
          <w:tcPr>
            <w:tcW w:w="12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089970"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Jambi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F35667" w14:textId="77777777" w:rsidR="00E30AFB" w:rsidRPr="007A1F20" w:rsidRDefault="00E30AFB" w:rsidP="001B74B6">
            <w:pPr>
              <w:ind w:left="122"/>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465283"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D81BB2"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AB46AB"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C2E125"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4405CE" w14:textId="77777777" w:rsidR="00E30AFB" w:rsidRPr="007A1F20" w:rsidRDefault="00E30AFB" w:rsidP="001B74B6">
            <w:pPr>
              <w:ind w:left="13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12,236 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9FA6F8"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D570F4"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5B19F4" w14:textId="77777777" w:rsidR="00E30AFB" w:rsidRPr="007A1F20" w:rsidRDefault="00E30AFB" w:rsidP="001B74B6">
            <w:pPr>
              <w:ind w:left="13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11,515.55 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FF9342"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w:t>
            </w:r>
          </w:p>
        </w:tc>
      </w:tr>
      <w:tr w:rsidR="00E30AFB" w:rsidRPr="007A1F20" w14:paraId="023C084B" w14:textId="77777777" w:rsidTr="001B74B6">
        <w:trPr>
          <w:trHeight w:val="302"/>
        </w:trPr>
        <w:tc>
          <w:tcPr>
            <w:tcW w:w="12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EFA696"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Riau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D68689" w14:textId="77777777" w:rsidR="00E30AFB" w:rsidRPr="007A1F20" w:rsidRDefault="00E30AFB" w:rsidP="001B74B6">
            <w:pPr>
              <w:ind w:left="122"/>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F3F888" w14:textId="77777777" w:rsidR="00E30AFB" w:rsidRPr="007A1F20" w:rsidRDefault="00E30AFB" w:rsidP="001B74B6">
            <w:pPr>
              <w:ind w:left="113"/>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42,459 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9258AD"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60A22E"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3A78D1"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39D1AA" w14:textId="77777777" w:rsidR="00E30AFB" w:rsidRPr="007A1F20" w:rsidRDefault="00E30AFB" w:rsidP="001B74B6">
            <w:pPr>
              <w:ind w:left="119"/>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224,895 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2D3FEC"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FA206A"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BA80FC" w14:textId="77777777" w:rsidR="00E30AFB" w:rsidRPr="007A1F20" w:rsidRDefault="00E30AFB" w:rsidP="001B74B6">
            <w:pPr>
              <w:ind w:left="119"/>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230,000 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F334C3"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w:t>
            </w:r>
          </w:p>
        </w:tc>
      </w:tr>
      <w:tr w:rsidR="00E30AFB" w:rsidRPr="007A1F20" w14:paraId="051AC80C" w14:textId="77777777" w:rsidTr="001B74B6">
        <w:trPr>
          <w:trHeight w:val="422"/>
        </w:trPr>
        <w:tc>
          <w:tcPr>
            <w:tcW w:w="12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16C4A4" w14:textId="77777777" w:rsidR="00E30AFB" w:rsidRPr="007A1F20" w:rsidRDefault="00E30AFB" w:rsidP="001B74B6">
            <w:pPr>
              <w:ind w:left="113"/>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West </w:t>
            </w:r>
          </w:p>
          <w:p w14:paraId="0882A58B" w14:textId="77777777" w:rsidR="00E30AFB" w:rsidRPr="007A1F20" w:rsidRDefault="00E30AFB" w:rsidP="001B74B6">
            <w:pPr>
              <w:ind w:left="114"/>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Kalimantan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158770" w14:textId="77777777" w:rsidR="00E30AFB" w:rsidRPr="007A1F20" w:rsidRDefault="00E30AFB" w:rsidP="001B74B6">
            <w:pPr>
              <w:ind w:left="13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101,137 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F9812C" w14:textId="77777777" w:rsidR="00E30AFB" w:rsidRPr="007A1F20" w:rsidRDefault="00E30AFB" w:rsidP="001B74B6">
            <w:pPr>
              <w:ind w:left="118"/>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65,585 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DD3247"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DE9798"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6A9F34"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6A4079" w14:textId="77777777" w:rsidR="00E30AFB" w:rsidRPr="007A1F20" w:rsidRDefault="00E30AFB" w:rsidP="001B74B6">
            <w:pPr>
              <w:ind w:left="13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161,967 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38065F"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594EFD" w14:textId="77777777" w:rsidR="00E30AFB" w:rsidRPr="007A1F20" w:rsidRDefault="00E30AFB" w:rsidP="001B74B6">
            <w:pPr>
              <w:ind w:left="118"/>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96,440 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383014" w14:textId="77777777" w:rsidR="00E30AFB" w:rsidRPr="007A1F20" w:rsidRDefault="00E30AFB" w:rsidP="001B74B6">
            <w:pPr>
              <w:ind w:left="13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158,302 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9945E3" w14:textId="77777777" w:rsidR="00E30AFB" w:rsidRPr="007A1F20" w:rsidRDefault="00E30AFB" w:rsidP="001B74B6">
            <w:pPr>
              <w:ind w:left="117"/>
              <w:jc w:val="right"/>
              <w:rPr>
                <w:rFonts w:ascii="Times New Roman" w:eastAsia="Times New Roman" w:hAnsi="Times New Roman" w:cs="Times New Roman"/>
                <w:sz w:val="22"/>
                <w:szCs w:val="22"/>
                <w:lang w:val="en-ID"/>
              </w:rPr>
            </w:pPr>
            <w:r w:rsidRPr="007A1F20">
              <w:rPr>
                <w:rFonts w:ascii="Times New Roman" w:eastAsia="Times New Roman" w:hAnsi="Times New Roman" w:cs="Times New Roman"/>
                <w:color w:val="000000"/>
                <w:sz w:val="22"/>
                <w:szCs w:val="22"/>
                <w:lang w:val="en-ID"/>
              </w:rPr>
              <w:t>0</w:t>
            </w:r>
          </w:p>
        </w:tc>
      </w:tr>
    </w:tbl>
    <w:p w14:paraId="6F7918C6" w14:textId="77777777" w:rsidR="00E30AFB" w:rsidRDefault="00E30AFB" w:rsidP="00E30AFB">
      <w:pPr>
        <w:pStyle w:val="Caption"/>
        <w:rPr>
          <w:rFonts w:ascii="Times New Roman" w:eastAsia="Times New Roman" w:hAnsi="Times New Roman" w:cs="Times New Roman"/>
          <w:i w:val="0"/>
          <w:iCs w:val="0"/>
          <w:color w:val="000000" w:themeColor="text1"/>
          <w:sz w:val="24"/>
          <w:szCs w:val="24"/>
          <w:lang w:val="en-ID"/>
        </w:rPr>
      </w:pPr>
    </w:p>
    <w:p w14:paraId="13B84869" w14:textId="77777777" w:rsidR="00E30AFB" w:rsidRPr="005A1594" w:rsidRDefault="00E30AFB" w:rsidP="00E30AFB">
      <w:pPr>
        <w:pStyle w:val="Caption"/>
        <w:numPr>
          <w:ilvl w:val="0"/>
          <w:numId w:val="197"/>
        </w:numPr>
        <w:rPr>
          <w:rFonts w:ascii="Times New Roman" w:eastAsia="Times New Roman" w:hAnsi="Times New Roman" w:cs="Times New Roman"/>
          <w:b/>
          <w:bCs/>
          <w:i w:val="0"/>
          <w:iCs w:val="0"/>
          <w:color w:val="000000" w:themeColor="text1"/>
          <w:sz w:val="24"/>
          <w:szCs w:val="24"/>
          <w:lang w:val="en-ID"/>
        </w:rPr>
      </w:pPr>
      <w:r w:rsidRPr="005A1594">
        <w:rPr>
          <w:rFonts w:ascii="Times New Roman" w:eastAsia="Times New Roman" w:hAnsi="Times New Roman" w:cs="Times New Roman"/>
          <w:b/>
          <w:bCs/>
          <w:i w:val="0"/>
          <w:iCs w:val="0"/>
          <w:color w:val="000000" w:themeColor="text1"/>
          <w:sz w:val="24"/>
          <w:szCs w:val="24"/>
          <w:lang w:val="en-ID"/>
        </w:rPr>
        <w:t>Total Mangrove Coverage in Indonesia based on data from various resources </w:t>
      </w:r>
    </w:p>
    <w:tbl>
      <w:tblPr>
        <w:tblW w:w="0" w:type="auto"/>
        <w:tblInd w:w="-436" w:type="dxa"/>
        <w:tblLayout w:type="fixed"/>
        <w:tblCellMar>
          <w:top w:w="15" w:type="dxa"/>
          <w:left w:w="15" w:type="dxa"/>
          <w:bottom w:w="15" w:type="dxa"/>
          <w:right w:w="15" w:type="dxa"/>
        </w:tblCellMar>
        <w:tblLook w:val="04A0" w:firstRow="1" w:lastRow="0" w:firstColumn="1" w:lastColumn="0" w:noHBand="0" w:noVBand="1"/>
      </w:tblPr>
      <w:tblGrid>
        <w:gridCol w:w="1122"/>
        <w:gridCol w:w="1053"/>
        <w:gridCol w:w="739"/>
        <w:gridCol w:w="828"/>
        <w:gridCol w:w="828"/>
        <w:gridCol w:w="741"/>
        <w:gridCol w:w="1138"/>
        <w:gridCol w:w="739"/>
        <w:gridCol w:w="1138"/>
        <w:gridCol w:w="889"/>
        <w:gridCol w:w="948"/>
      </w:tblGrid>
      <w:tr w:rsidR="00E30AFB" w:rsidRPr="007A1F20" w14:paraId="712419E4" w14:textId="77777777" w:rsidTr="001B74B6">
        <w:trPr>
          <w:trHeight w:val="288"/>
        </w:trPr>
        <w:tc>
          <w:tcPr>
            <w:tcW w:w="10163" w:type="dxa"/>
            <w:gridSpan w:val="11"/>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BEADF4" w14:textId="77777777" w:rsidR="00E30AFB" w:rsidRPr="007A1F20" w:rsidRDefault="00E30AFB" w:rsidP="001B74B6">
            <w:pPr>
              <w:ind w:left="119"/>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Country/Area (Sites characterized by the SCS Project)</w:t>
            </w:r>
          </w:p>
        </w:tc>
      </w:tr>
      <w:tr w:rsidR="00E30AFB" w:rsidRPr="007A1F20" w14:paraId="1307D7F1" w14:textId="77777777" w:rsidTr="001B74B6">
        <w:trPr>
          <w:trHeight w:val="422"/>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023F22" w14:textId="77777777" w:rsidR="00E30AFB" w:rsidRPr="007A1F20" w:rsidRDefault="00E30AFB" w:rsidP="001B74B6">
            <w:pPr>
              <w:ind w:left="115"/>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Indonesia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3CC635"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2003 </w:t>
            </w:r>
          </w:p>
          <w:p w14:paraId="1C8CA457"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896336" w14:textId="77777777" w:rsidR="00E30AFB" w:rsidRPr="007A1F20" w:rsidRDefault="00E30AFB" w:rsidP="001B74B6">
            <w:pPr>
              <w:ind w:left="119"/>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2008 </w:t>
            </w:r>
          </w:p>
          <w:p w14:paraId="63B00501" w14:textId="77777777" w:rsidR="00E30AFB" w:rsidRPr="007A1F20" w:rsidRDefault="00E30AFB" w:rsidP="001B74B6">
            <w:pPr>
              <w:ind w:left="12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BCD0E6" w14:textId="77777777" w:rsidR="00E30AFB" w:rsidRPr="007A1F20" w:rsidRDefault="00E30AFB" w:rsidP="001B74B6">
            <w:pPr>
              <w:ind w:left="119"/>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2013 </w:t>
            </w:r>
          </w:p>
          <w:p w14:paraId="50A70A14" w14:textId="77777777" w:rsidR="00E30AFB" w:rsidRPr="007A1F20" w:rsidRDefault="00E30AFB" w:rsidP="001B74B6">
            <w:pPr>
              <w:ind w:left="12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3A8B4A"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2017 </w:t>
            </w:r>
          </w:p>
          <w:p w14:paraId="67FE708B"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307C75"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2018 </w:t>
            </w:r>
          </w:p>
          <w:p w14:paraId="0A2366EE"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306473"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2021</w:t>
            </w:r>
          </w:p>
          <w:p w14:paraId="5A8A34CA"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181F40"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2022</w:t>
            </w:r>
          </w:p>
          <w:p w14:paraId="4F738303"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75DCBE"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2023</w:t>
            </w:r>
          </w:p>
          <w:p w14:paraId="4DA2168D"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47FB88" w14:textId="77777777" w:rsidR="00E30AFB" w:rsidRPr="007A1F20" w:rsidRDefault="00E30AFB" w:rsidP="001B74B6">
            <w:pPr>
              <w:ind w:left="119"/>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2024</w:t>
            </w:r>
          </w:p>
          <w:p w14:paraId="0A898838" w14:textId="77777777" w:rsidR="00E30AFB" w:rsidRPr="007A1F20" w:rsidRDefault="00E30AFB" w:rsidP="001B74B6">
            <w:pPr>
              <w:ind w:left="12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3B90D4"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2025</w:t>
            </w:r>
          </w:p>
          <w:p w14:paraId="5D2FEF9A"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(ha)</w:t>
            </w:r>
          </w:p>
        </w:tc>
      </w:tr>
      <w:tr w:rsidR="00E30AFB" w:rsidRPr="007A1F20" w14:paraId="154ECB39" w14:textId="77777777" w:rsidTr="001B74B6">
        <w:trPr>
          <w:trHeight w:val="221"/>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F3E8BB"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Province</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341FE7" w14:textId="77777777" w:rsidR="00E30AFB" w:rsidRPr="007A1F20" w:rsidRDefault="00E30AFB" w:rsidP="001B74B6">
            <w:pPr>
              <w:rPr>
                <w:rFonts w:ascii="Times New Roman" w:eastAsia="Times New Roman" w:hAnsi="Times New Roman" w:cs="Times New Roman"/>
                <w:lang w:val="en-ID"/>
              </w:rPr>
            </w:pP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B8D62F" w14:textId="77777777" w:rsidR="00E30AFB" w:rsidRPr="007A1F20" w:rsidRDefault="00E30AFB" w:rsidP="001B74B6">
            <w:pPr>
              <w:rPr>
                <w:rFonts w:ascii="Times New Roman" w:eastAsia="Times New Roman" w:hAnsi="Times New Roman" w:cs="Times New Roman"/>
                <w:lang w:val="en-ID"/>
              </w:rPr>
            </w:pP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FD86D1" w14:textId="77777777" w:rsidR="00E30AFB" w:rsidRPr="007A1F20" w:rsidRDefault="00E30AFB" w:rsidP="001B74B6">
            <w:pPr>
              <w:rPr>
                <w:rFonts w:ascii="Times New Roman" w:eastAsia="Times New Roman" w:hAnsi="Times New Roman" w:cs="Times New Roman"/>
                <w:lang w:val="en-ID"/>
              </w:rPr>
            </w:pP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29CD2E" w14:textId="77777777" w:rsidR="00E30AFB" w:rsidRPr="007A1F20" w:rsidRDefault="00E30AFB" w:rsidP="001B74B6">
            <w:pPr>
              <w:rPr>
                <w:rFonts w:ascii="Times New Roman" w:eastAsia="Times New Roman" w:hAnsi="Times New Roman" w:cs="Times New Roman"/>
                <w:lang w:val="en-ID"/>
              </w:rPr>
            </w:pP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B11B9A" w14:textId="77777777" w:rsidR="00E30AFB" w:rsidRPr="007A1F20" w:rsidRDefault="00E30AFB" w:rsidP="001B74B6">
            <w:pPr>
              <w:rPr>
                <w:rFonts w:ascii="Times New Roman" w:eastAsia="Times New Roman" w:hAnsi="Times New Roman" w:cs="Times New Roman"/>
                <w:lang w:val="en-ID"/>
              </w:rPr>
            </w:pP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7CBE21" w14:textId="77777777" w:rsidR="00E30AFB" w:rsidRPr="007A1F20" w:rsidRDefault="00E30AFB" w:rsidP="001B74B6">
            <w:pPr>
              <w:rPr>
                <w:rFonts w:ascii="Times New Roman" w:eastAsia="Times New Roman" w:hAnsi="Times New Roman" w:cs="Times New Roman"/>
                <w:lang w:val="en-ID"/>
              </w:rPr>
            </w:pP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96FA5D" w14:textId="77777777" w:rsidR="00E30AFB" w:rsidRPr="007A1F20" w:rsidRDefault="00E30AFB" w:rsidP="001B74B6">
            <w:pPr>
              <w:rPr>
                <w:rFonts w:ascii="Times New Roman" w:eastAsia="Times New Roman" w:hAnsi="Times New Roman" w:cs="Times New Roman"/>
                <w:lang w:val="en-ID"/>
              </w:rPr>
            </w:pP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0F9DB8" w14:textId="77777777" w:rsidR="00E30AFB" w:rsidRPr="007A1F20" w:rsidRDefault="00E30AFB" w:rsidP="001B74B6">
            <w:pPr>
              <w:rPr>
                <w:rFonts w:ascii="Times New Roman" w:eastAsia="Times New Roman" w:hAnsi="Times New Roman" w:cs="Times New Roman"/>
                <w:lang w:val="en-ID"/>
              </w:rPr>
            </w:pP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22972C" w14:textId="77777777" w:rsidR="00E30AFB" w:rsidRPr="007A1F20" w:rsidRDefault="00E30AFB" w:rsidP="001B74B6">
            <w:pPr>
              <w:rPr>
                <w:rFonts w:ascii="Times New Roman" w:eastAsia="Times New Roman" w:hAnsi="Times New Roman" w:cs="Times New Roman"/>
                <w:lang w:val="en-ID"/>
              </w:rPr>
            </w:pP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0E7297" w14:textId="77777777" w:rsidR="00E30AFB" w:rsidRPr="007A1F20" w:rsidRDefault="00E30AFB" w:rsidP="001B74B6">
            <w:pPr>
              <w:rPr>
                <w:rFonts w:ascii="Times New Roman" w:eastAsia="Times New Roman" w:hAnsi="Times New Roman" w:cs="Times New Roman"/>
                <w:lang w:val="en-ID"/>
              </w:rPr>
            </w:pPr>
          </w:p>
        </w:tc>
      </w:tr>
      <w:tr w:rsidR="00E30AFB" w:rsidRPr="007A1F20" w14:paraId="12E0EDC3" w14:textId="77777777" w:rsidTr="001B74B6">
        <w:trPr>
          <w:trHeight w:val="422"/>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D6FE4F"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Bangka </w:t>
            </w:r>
          </w:p>
          <w:p w14:paraId="74E6E3CE"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Belitung</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BE3E23"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629890"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22,457 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83899C"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42C91E"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2A3428"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1FAC1B"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275,299.75 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1A3A4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0.00 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3A62F0"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273,692.80 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F268B4" w14:textId="77777777" w:rsidR="00E30AFB" w:rsidRPr="007A1F20" w:rsidRDefault="00E30AFB" w:rsidP="001B74B6">
            <w:pPr>
              <w:ind w:left="12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61832.439 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A7A13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01EA7EB3"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0E1473" w14:textId="77777777" w:rsidR="00E30AFB" w:rsidRPr="007A1F20" w:rsidRDefault="00E30AFB" w:rsidP="001B74B6">
            <w:pPr>
              <w:ind w:left="13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 Bangka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336BF9"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C21462"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94E724"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742D83"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02E7D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84D04A"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38,957.14 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376EA9"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9D4A0C"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2E838E"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79A638"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2C1FD11A" w14:textId="77777777" w:rsidTr="001B74B6">
        <w:trPr>
          <w:trHeight w:val="422"/>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0B5007"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 Bangka</w:t>
            </w:r>
          </w:p>
          <w:p w14:paraId="7909DC75" w14:textId="77777777" w:rsidR="00E30AFB" w:rsidRPr="007A1F20" w:rsidRDefault="00E30AFB" w:rsidP="001B74B6">
            <w:pPr>
              <w:ind w:left="340"/>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Barat</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5B6307"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F2B405"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F111A9"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3F6554"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1EEE68"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ACC9AD" w14:textId="77777777" w:rsidR="00E30AFB" w:rsidRPr="007A1F20" w:rsidRDefault="00E30AFB" w:rsidP="001B74B6">
            <w:pPr>
              <w:ind w:left="11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48,529.43 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C1A6AD"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23F080"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CE1414"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E4F1DF"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1346B71C" w14:textId="77777777" w:rsidTr="001B74B6">
        <w:trPr>
          <w:trHeight w:val="427"/>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A5AB29" w14:textId="77777777" w:rsidR="00E30AFB" w:rsidRPr="007A1F20" w:rsidRDefault="00E30AFB" w:rsidP="001B74B6">
            <w:pPr>
              <w:ind w:left="9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3.Bangka  </w:t>
            </w:r>
          </w:p>
          <w:p w14:paraId="7DA42021" w14:textId="77777777" w:rsidR="00E30AFB" w:rsidRPr="007A1F20" w:rsidRDefault="00E30AFB" w:rsidP="001B74B6">
            <w:pPr>
              <w:jc w:val="center"/>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Selatan</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7182D5"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B4EE22"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207681"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6EF8C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4A8977"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886348" w14:textId="77777777" w:rsidR="00E30AFB" w:rsidRPr="007A1F20" w:rsidRDefault="00E30AFB" w:rsidP="001B74B6">
            <w:pPr>
              <w:ind w:left="11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58,165.04 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55C52E"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7A51A7"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9B2245"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7EB085"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25E1B3DA" w14:textId="77777777" w:rsidTr="001B74B6">
        <w:trPr>
          <w:trHeight w:val="422"/>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EB6A04" w14:textId="77777777" w:rsidR="00E30AFB" w:rsidRPr="007A1F20" w:rsidRDefault="00E30AFB" w:rsidP="001B74B6">
            <w:pPr>
              <w:ind w:left="9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4.Bangka </w:t>
            </w:r>
          </w:p>
          <w:p w14:paraId="544EE1CF" w14:textId="77777777" w:rsidR="00E30AFB" w:rsidRPr="007A1F20" w:rsidRDefault="00E30AFB" w:rsidP="001B74B6">
            <w:pPr>
              <w:ind w:left="34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Tengah</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39B18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5CF830"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AA296D"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03E1DC"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FC95A9"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062B9E" w14:textId="77777777" w:rsidR="00E30AFB" w:rsidRPr="007A1F20" w:rsidRDefault="00E30AFB" w:rsidP="001B74B6">
            <w:pPr>
              <w:ind w:left="13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19,151 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C42138"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3B2C7F"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26E517"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2FA53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7416F93D"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BD849D" w14:textId="77777777" w:rsidR="00E30AFB" w:rsidRPr="007A1F20" w:rsidRDefault="00E30AFB" w:rsidP="001B74B6">
            <w:pPr>
              <w:ind w:left="119"/>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5. Belitung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9573BF"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8631C4"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22,457 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2FFBB3"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D7F785"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3F5599"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C3B5D5"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67,265.00 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2391C3"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9B9019"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273,692.80 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F3FA02" w14:textId="77777777" w:rsidR="00E30AFB" w:rsidRPr="007A1F20" w:rsidRDefault="00E30AFB" w:rsidP="001B74B6">
            <w:pPr>
              <w:ind w:left="12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61,832.44 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CAD9EC"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35A6845D" w14:textId="77777777" w:rsidTr="001B74B6">
        <w:trPr>
          <w:trHeight w:val="427"/>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649671" w14:textId="77777777" w:rsidR="00E30AFB" w:rsidRPr="007A1F20" w:rsidRDefault="00E30AFB" w:rsidP="001B74B6">
            <w:pPr>
              <w:ind w:left="9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6.Belitung </w:t>
            </w:r>
          </w:p>
          <w:p w14:paraId="1DEC3B81" w14:textId="77777777" w:rsidR="00E30AFB" w:rsidRPr="007A1F20" w:rsidRDefault="00E30AFB" w:rsidP="001B74B6">
            <w:pPr>
              <w:ind w:left="34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lastRenderedPageBreak/>
              <w:t>Timur</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B37E29"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lastRenderedPageBreak/>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FBAA83"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C91F3C"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C00AC0"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694C4E"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A11D0A" w14:textId="77777777" w:rsidR="00E30AFB" w:rsidRPr="007A1F20" w:rsidRDefault="00E30AFB" w:rsidP="001B74B6">
            <w:pPr>
              <w:ind w:left="11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43,232 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E3ADCD"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8F488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DEF53E"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732D88"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31B05254"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30A1FA"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Kep Riau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C2C484"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F9EDD7"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2654E9"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940F3D"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197187"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79,229 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24FDC5"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67,417 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282B1C"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67,417 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0AA205"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F67348" w14:textId="77777777" w:rsidR="00E30AFB" w:rsidRPr="007A1F20" w:rsidRDefault="00E30AFB" w:rsidP="001B74B6">
            <w:pPr>
              <w:ind w:left="12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67,417 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B16659"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67,417</w:t>
            </w:r>
          </w:p>
        </w:tc>
      </w:tr>
      <w:tr w:rsidR="00E30AFB" w:rsidRPr="007A1F20" w14:paraId="3AF31C88" w14:textId="77777777" w:rsidTr="001B74B6">
        <w:trPr>
          <w:trHeight w:val="422"/>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532CDE" w14:textId="77777777" w:rsidR="00E30AFB" w:rsidRPr="007A1F20" w:rsidRDefault="00E30AFB" w:rsidP="001B74B6">
            <w:pPr>
              <w:ind w:left="13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1.Tanjung </w:t>
            </w:r>
          </w:p>
          <w:p w14:paraId="15ED1E03" w14:textId="77777777" w:rsidR="00E30AFB" w:rsidRPr="007A1F20" w:rsidRDefault="00E30AFB" w:rsidP="001B74B6">
            <w:pPr>
              <w:ind w:left="340"/>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Pinang</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A51901"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BD12E2"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8A2192"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36C417"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0D8F54"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2,009 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4075B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F0AC0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05159D"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1AE5EE"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F3904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68D7E727"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9A6959"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 Batam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C829F1"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FDB547"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203D81"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E4807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211FB5"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20,698 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CA51E0"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B3C02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DFD12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682428"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3FDB95"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6B742FAD" w14:textId="77777777" w:rsidTr="001B74B6">
        <w:trPr>
          <w:trHeight w:val="221"/>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CB9F1B"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3. Bintan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A3A3C7"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CEE261"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CFA250"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92D9A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B51950"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8,327 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98E1A3"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15004F"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B9A53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046356"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6395BC"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5085A286"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55ECA4" w14:textId="77777777" w:rsidR="00E30AFB" w:rsidRPr="007A1F20" w:rsidRDefault="00E30AFB" w:rsidP="001B74B6">
            <w:pPr>
              <w:ind w:left="11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 Lingga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6445E3"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DA0E67"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673F7D"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FB6F7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F0B00D"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16,480 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9ED1E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E7ED20"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80CCC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3CB433"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D9F47F"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508D184E"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B8C838" w14:textId="77777777" w:rsidR="00E30AFB" w:rsidRPr="007A1F20" w:rsidRDefault="00E30AFB" w:rsidP="001B74B6">
            <w:pPr>
              <w:ind w:left="119"/>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5. Karimun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E5E882"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1586BD"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DECD64"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7A28CE"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7C3883"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14,875 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90AC9D"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3AF79F"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3A80E2"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6F03B7"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EE645D"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7292D853"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EA3DFA" w14:textId="77777777" w:rsidR="00E30AFB" w:rsidRPr="007A1F20" w:rsidRDefault="00E30AFB" w:rsidP="001B74B6">
            <w:pPr>
              <w:ind w:left="118"/>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 Natuna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589142"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C99155"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D9231F"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2553C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0BA1E7"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16,480 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4F05FE"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A5AA7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89F5E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AC0BEA"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51FE3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6F5CD138"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81DF84" w14:textId="77777777" w:rsidR="00E30AFB" w:rsidRPr="007A1F20" w:rsidRDefault="00E30AFB" w:rsidP="001B74B6">
            <w:pPr>
              <w:ind w:left="117"/>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7. Anambas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688C11"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D23C19"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584F58"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E8A8A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9AE5A8"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359 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6959E4"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AA3D0C"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F4B831"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4B30E8"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9FE68E"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4D8CF11A" w14:textId="77777777" w:rsidTr="001B74B6">
        <w:trPr>
          <w:trHeight w:val="427"/>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D33705" w14:textId="77777777" w:rsidR="00E30AFB" w:rsidRPr="007A1F20" w:rsidRDefault="00E30AFB" w:rsidP="001B74B6">
            <w:pPr>
              <w:ind w:left="12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Sumatera </w:t>
            </w:r>
          </w:p>
          <w:p w14:paraId="7FF2A762" w14:textId="77777777" w:rsidR="00E30AFB" w:rsidRPr="007A1F20" w:rsidRDefault="00E30AFB" w:rsidP="001B74B6">
            <w:pPr>
              <w:ind w:left="12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Selatan</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0C6260"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115,072.29 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26B572"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0BB592"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118,674 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41961A"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195,000 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284B38"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DA9324" w14:textId="77777777" w:rsidR="00E30AFB" w:rsidRPr="007A1F20" w:rsidRDefault="00E30AFB" w:rsidP="001B74B6">
            <w:pPr>
              <w:ind w:left="13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171,629 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4B7FD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4BBBD"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97,332.03 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5330EF"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167.050.134 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88EA30"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0F5102C1"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0A5F18"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Jambi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EEDDB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BD29BE"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F763EB"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C11EFC"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CEA9F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5B9C2E" w14:textId="77777777" w:rsidR="00E30AFB" w:rsidRPr="007A1F20" w:rsidRDefault="00E30AFB" w:rsidP="001B74B6">
            <w:pPr>
              <w:ind w:left="13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12,236 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83920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8650E3"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DA0AB3" w14:textId="77777777" w:rsidR="00E30AFB" w:rsidRPr="007A1F20" w:rsidRDefault="00E30AFB" w:rsidP="001B74B6">
            <w:pPr>
              <w:ind w:left="13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11,515.55 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D966FE"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45753E34"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E36FD8"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Riau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46811D"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D438F6"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42,459 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99FFEC"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FBD04F"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733CC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F00645" w14:textId="77777777" w:rsidR="00E30AFB" w:rsidRPr="007A1F20" w:rsidRDefault="00E30AFB" w:rsidP="001B74B6">
            <w:pPr>
              <w:ind w:left="11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224,895 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2D6CB1"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AFA43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3C54C8" w14:textId="77777777" w:rsidR="00E30AFB" w:rsidRPr="007A1F20" w:rsidRDefault="00E30AFB" w:rsidP="001B74B6">
            <w:pPr>
              <w:ind w:left="11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230,000 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8D6555"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0CC573B2"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E01FF1" w14:textId="77777777" w:rsidR="00E30AFB" w:rsidRPr="007A1F20" w:rsidRDefault="00E30AFB" w:rsidP="001B74B6">
            <w:pPr>
              <w:ind w:left="132"/>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 Bengkalis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62C3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4B9871"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42,459 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240C0E"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EF493B"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D9359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EA0E44"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321ED2"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D52924"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983586"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4A41A8"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1CB52772" w14:textId="77777777" w:rsidTr="001B74B6">
        <w:trPr>
          <w:trHeight w:val="427"/>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F426D8" w14:textId="77777777" w:rsidR="00E30AFB" w:rsidRPr="007A1F20" w:rsidRDefault="00E30AFB" w:rsidP="001B74B6">
            <w:pPr>
              <w:ind w:left="113"/>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West </w:t>
            </w:r>
          </w:p>
          <w:p w14:paraId="6A82E244" w14:textId="77777777" w:rsidR="00E30AFB" w:rsidRPr="007A1F20" w:rsidRDefault="00E30AFB" w:rsidP="001B74B6">
            <w:pPr>
              <w:ind w:left="114"/>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Kalimantan</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2F3494" w14:textId="77777777" w:rsidR="00E30AFB" w:rsidRPr="007A1F20" w:rsidRDefault="00E30AFB" w:rsidP="001B74B6">
            <w:pPr>
              <w:ind w:left="13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101,137 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00DE7E"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65,585 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64619C"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0195B5"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D91A4C"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D28B69" w14:textId="77777777" w:rsidR="00E30AFB" w:rsidRPr="007A1F20" w:rsidRDefault="00E30AFB" w:rsidP="001B74B6">
            <w:pPr>
              <w:ind w:left="13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161,967 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3AFEA9"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4856C0"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96,440 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350E1B" w14:textId="77777777" w:rsidR="00E30AFB" w:rsidRPr="007A1F20" w:rsidRDefault="00E30AFB" w:rsidP="001B74B6">
            <w:pPr>
              <w:ind w:left="13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158,302 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6AF7E7"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27E2278A"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B701AD" w14:textId="77777777" w:rsidR="00E30AFB" w:rsidRPr="007A1F20" w:rsidRDefault="00E30AFB" w:rsidP="001B74B6">
            <w:pPr>
              <w:jc w:val="center"/>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 Kubu Raya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C82BB4" w14:textId="77777777" w:rsidR="00E30AFB" w:rsidRPr="007A1F20" w:rsidRDefault="00E30AFB" w:rsidP="001B74B6">
            <w:pPr>
              <w:ind w:left="13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101,137 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417AEB"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15841A"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79C7A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EDA618"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09986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2844F1"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E99AC2" w14:textId="77777777" w:rsidR="00E30AFB" w:rsidRPr="007A1F20" w:rsidRDefault="00E30AFB" w:rsidP="001B74B6">
            <w:pPr>
              <w:ind w:left="118"/>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96,440 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E2C9B7"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611EA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r w:rsidR="00E30AFB" w:rsidRPr="007A1F20" w14:paraId="257AB054" w14:textId="77777777" w:rsidTr="001B74B6">
        <w:trPr>
          <w:trHeight w:val="216"/>
        </w:trPr>
        <w:tc>
          <w:tcPr>
            <w:tcW w:w="112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13B36C" w14:textId="77777777" w:rsidR="00E30AFB" w:rsidRPr="007A1F20" w:rsidRDefault="00E30AFB" w:rsidP="001B74B6">
            <w:pPr>
              <w:jc w:val="center"/>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lastRenderedPageBreak/>
              <w:t>2. Batu Ampar </w:t>
            </w:r>
          </w:p>
        </w:tc>
        <w:tc>
          <w:tcPr>
            <w:tcW w:w="10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D70B5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DB62B8" w14:textId="77777777" w:rsidR="00E30AFB" w:rsidRPr="007A1F20" w:rsidRDefault="00E30AFB" w:rsidP="001B74B6">
            <w:pPr>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65,585 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6723AE" w14:textId="77777777" w:rsidR="00E30AFB" w:rsidRPr="007A1F20" w:rsidRDefault="00E30AFB" w:rsidP="001B74B6">
            <w:pPr>
              <w:ind w:left="12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D0A732"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7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AB12F6"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03537E" w14:textId="77777777" w:rsidR="00E30AFB" w:rsidRPr="007A1F20" w:rsidRDefault="00E30AFB" w:rsidP="001B74B6">
            <w:pPr>
              <w:ind w:left="132"/>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161,967 </w:t>
            </w:r>
          </w:p>
        </w:tc>
        <w:tc>
          <w:tcPr>
            <w:tcW w:w="73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A6C060"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1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2ECDCE"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0 </w:t>
            </w:r>
          </w:p>
        </w:tc>
        <w:tc>
          <w:tcPr>
            <w:tcW w:w="8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A5B1D" w14:textId="77777777" w:rsidR="00E30AFB" w:rsidRPr="007A1F20" w:rsidRDefault="00E30AFB" w:rsidP="001B74B6">
            <w:pPr>
              <w:pStyle w:val="ListParagraph"/>
              <w:numPr>
                <w:ilvl w:val="0"/>
                <w:numId w:val="154"/>
              </w:numPr>
              <w:jc w:val="right"/>
              <w:rPr>
                <w:rFonts w:ascii="Times New Roman" w:eastAsia="Times New Roman" w:hAnsi="Times New Roman" w:cs="Times New Roman"/>
                <w:lang w:val="en-ID"/>
              </w:rPr>
            </w:pPr>
          </w:p>
        </w:tc>
        <w:tc>
          <w:tcPr>
            <w:tcW w:w="9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A62F8A" w14:textId="77777777" w:rsidR="00E30AFB" w:rsidRPr="007A1F20" w:rsidRDefault="00E30AFB" w:rsidP="001B74B6">
            <w:pPr>
              <w:ind w:left="11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0</w:t>
            </w:r>
          </w:p>
        </w:tc>
      </w:tr>
    </w:tbl>
    <w:p w14:paraId="6ECB4F45" w14:textId="77777777" w:rsidR="00E30AFB" w:rsidRPr="007A1F20" w:rsidRDefault="00E30AFB" w:rsidP="00E30AFB">
      <w:pPr>
        <w:spacing w:after="240"/>
        <w:rPr>
          <w:rFonts w:ascii="Times New Roman" w:eastAsia="Times New Roman" w:hAnsi="Times New Roman" w:cs="Times New Roman"/>
          <w:color w:val="000000" w:themeColor="text1"/>
          <w:lang w:val="en-ID"/>
        </w:rPr>
      </w:pPr>
    </w:p>
    <w:p w14:paraId="08ACF238" w14:textId="77777777" w:rsidR="00E30AFB" w:rsidRPr="005A1594" w:rsidRDefault="00E30AFB" w:rsidP="00E30AFB">
      <w:pPr>
        <w:pStyle w:val="Caption"/>
        <w:numPr>
          <w:ilvl w:val="0"/>
          <w:numId w:val="197"/>
        </w:numPr>
        <w:rPr>
          <w:rFonts w:ascii="Times New Roman" w:eastAsia="Times New Roman" w:hAnsi="Times New Roman" w:cs="Times New Roman"/>
          <w:b/>
          <w:bCs/>
          <w:i w:val="0"/>
          <w:iCs w:val="0"/>
          <w:color w:val="000000" w:themeColor="text1"/>
          <w:sz w:val="24"/>
          <w:szCs w:val="24"/>
          <w:lang w:val="en-ID"/>
        </w:rPr>
      </w:pPr>
      <w:r w:rsidRPr="005A1594">
        <w:rPr>
          <w:rFonts w:ascii="Times New Roman" w:eastAsia="Times New Roman" w:hAnsi="Times New Roman" w:cs="Times New Roman"/>
          <w:b/>
          <w:bCs/>
          <w:i w:val="0"/>
          <w:iCs w:val="0"/>
          <w:color w:val="000000" w:themeColor="text1"/>
          <w:sz w:val="24"/>
          <w:szCs w:val="24"/>
          <w:lang w:val="en-ID"/>
        </w:rPr>
        <w:t>The Coverage of Wetland (Sites characterized by the SCS Project) in Indonesia (Sumatra and Kalimantan) based on various  resources (by provinces)</w:t>
      </w:r>
    </w:p>
    <w:tbl>
      <w:tblPr>
        <w:tblW w:w="0" w:type="auto"/>
        <w:jc w:val="center"/>
        <w:tblCellMar>
          <w:top w:w="15" w:type="dxa"/>
          <w:left w:w="15" w:type="dxa"/>
          <w:bottom w:w="15" w:type="dxa"/>
          <w:right w:w="15" w:type="dxa"/>
        </w:tblCellMar>
        <w:tblLook w:val="04A0" w:firstRow="1" w:lastRow="0" w:firstColumn="1" w:lastColumn="0" w:noHBand="0" w:noVBand="1"/>
      </w:tblPr>
      <w:tblGrid>
        <w:gridCol w:w="2271"/>
        <w:gridCol w:w="1709"/>
        <w:gridCol w:w="1943"/>
      </w:tblGrid>
      <w:tr w:rsidR="00E30AFB" w:rsidRPr="007A1F20" w14:paraId="227C86E4" w14:textId="77777777" w:rsidTr="001B74B6">
        <w:trPr>
          <w:trHeight w:val="422"/>
          <w:jc w:val="center"/>
        </w:trPr>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D51466" w14:textId="77777777" w:rsidR="00E30AFB" w:rsidRPr="003F541B" w:rsidRDefault="00E30AFB" w:rsidP="001B74B6">
            <w:pPr>
              <w:ind w:left="124"/>
              <w:jc w:val="center"/>
              <w:rPr>
                <w:rFonts w:ascii="Times New Roman" w:eastAsia="Times New Roman" w:hAnsi="Times New Roman" w:cs="Times New Roman"/>
                <w:b/>
                <w:bCs/>
                <w:lang w:val="en-ID"/>
              </w:rPr>
            </w:pPr>
            <w:r w:rsidRPr="003F541B">
              <w:rPr>
                <w:rFonts w:ascii="Times New Roman" w:eastAsia="Times New Roman" w:hAnsi="Times New Roman" w:cs="Times New Roman"/>
                <w:b/>
                <w:bCs/>
                <w:color w:val="000000"/>
                <w:lang w:val="en-ID"/>
              </w:rPr>
              <w:t>Country/Area (Sites characterized by the SCS Project)</w:t>
            </w:r>
          </w:p>
        </w:tc>
      </w:tr>
      <w:tr w:rsidR="00E30AFB" w:rsidRPr="007A1F20" w14:paraId="314A4DB3" w14:textId="77777777" w:rsidTr="001B74B6">
        <w:trPr>
          <w:trHeight w:val="427"/>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4F99CB" w14:textId="77777777" w:rsidR="00E30AFB" w:rsidRPr="003F541B" w:rsidRDefault="00E30AFB" w:rsidP="001B74B6">
            <w:pPr>
              <w:ind w:left="121"/>
              <w:jc w:val="center"/>
              <w:rPr>
                <w:rFonts w:ascii="Times New Roman" w:eastAsia="Times New Roman" w:hAnsi="Times New Roman" w:cs="Times New Roman"/>
                <w:b/>
                <w:bCs/>
                <w:lang w:val="en-ID"/>
              </w:rPr>
            </w:pPr>
            <w:r w:rsidRPr="003F541B">
              <w:rPr>
                <w:rFonts w:ascii="Times New Roman" w:eastAsia="Times New Roman" w:hAnsi="Times New Roman" w:cs="Times New Roman"/>
                <w:b/>
                <w:bCs/>
                <w:color w:val="000000"/>
                <w:lang w:val="en-ID"/>
              </w:rPr>
              <w:t>Indonesia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CBC6BA" w14:textId="77777777" w:rsidR="00E30AFB" w:rsidRPr="003F541B" w:rsidRDefault="00E30AFB" w:rsidP="001B74B6">
            <w:pPr>
              <w:ind w:left="120"/>
              <w:jc w:val="center"/>
              <w:rPr>
                <w:rFonts w:ascii="Times New Roman" w:eastAsia="Times New Roman" w:hAnsi="Times New Roman" w:cs="Times New Roman"/>
                <w:b/>
                <w:bCs/>
                <w:lang w:val="en-ID"/>
              </w:rPr>
            </w:pPr>
            <w:r w:rsidRPr="003F541B">
              <w:rPr>
                <w:rFonts w:ascii="Times New Roman" w:eastAsia="Times New Roman" w:hAnsi="Times New Roman" w:cs="Times New Roman"/>
                <w:b/>
                <w:bCs/>
                <w:color w:val="000000"/>
                <w:lang w:val="en-ID"/>
              </w:rPr>
              <w:t>2023 (ha)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93C070" w14:textId="77777777" w:rsidR="00E30AFB" w:rsidRPr="003F541B" w:rsidRDefault="00E30AFB" w:rsidP="001B74B6">
            <w:pPr>
              <w:ind w:left="120"/>
              <w:jc w:val="center"/>
              <w:rPr>
                <w:rFonts w:ascii="Times New Roman" w:eastAsia="Times New Roman" w:hAnsi="Times New Roman" w:cs="Times New Roman"/>
                <w:b/>
                <w:bCs/>
                <w:lang w:val="en-ID"/>
              </w:rPr>
            </w:pPr>
            <w:r w:rsidRPr="003F541B">
              <w:rPr>
                <w:rFonts w:ascii="Times New Roman" w:eastAsia="Times New Roman" w:hAnsi="Times New Roman" w:cs="Times New Roman"/>
                <w:b/>
                <w:bCs/>
                <w:color w:val="000000"/>
                <w:lang w:val="en-ID"/>
              </w:rPr>
              <w:t>2024 (ha)</w:t>
            </w:r>
          </w:p>
        </w:tc>
      </w:tr>
      <w:tr w:rsidR="00E30AFB" w:rsidRPr="007A1F20" w14:paraId="55692F55" w14:textId="77777777" w:rsidTr="001B74B6">
        <w:trPr>
          <w:trHeight w:val="422"/>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938AAC" w14:textId="77777777" w:rsidR="00E30AFB" w:rsidRPr="007A1F20" w:rsidRDefault="00E30AFB" w:rsidP="001B74B6">
            <w:pPr>
              <w:ind w:left="119"/>
              <w:jc w:val="both"/>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Banka Belitung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3B9644" w14:textId="77777777" w:rsidR="00E30AFB" w:rsidRPr="007A1F20" w:rsidRDefault="00E30AFB" w:rsidP="001B74B6">
            <w:pPr>
              <w:ind w:left="14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150,000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0087DE" w14:textId="77777777" w:rsidR="00E30AFB" w:rsidRPr="007A1F20" w:rsidRDefault="00E30AFB" w:rsidP="001B74B6">
            <w:pPr>
              <w:ind w:left="119"/>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45,145.90</w:t>
            </w:r>
          </w:p>
        </w:tc>
      </w:tr>
      <w:tr w:rsidR="00E30AFB" w:rsidRPr="007A1F20" w14:paraId="56021787" w14:textId="77777777" w:rsidTr="001B74B6">
        <w:trPr>
          <w:trHeight w:val="422"/>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49A7FF" w14:textId="77777777" w:rsidR="00E30AFB" w:rsidRPr="007A1F20" w:rsidRDefault="00E30AFB" w:rsidP="001B74B6">
            <w:pPr>
              <w:ind w:left="119"/>
              <w:jc w:val="both"/>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Riau Island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BEAC7E" w14:textId="77777777" w:rsidR="00E30AFB" w:rsidRPr="007A1F20" w:rsidRDefault="00E30AFB" w:rsidP="001B74B6">
            <w:pPr>
              <w:ind w:left="127"/>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57,000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EC22DC" w14:textId="77777777" w:rsidR="00E30AFB" w:rsidRPr="007A1F20" w:rsidRDefault="00E30AFB" w:rsidP="001B74B6">
            <w:pPr>
              <w:ind w:left="130"/>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8,277,846</w:t>
            </w:r>
          </w:p>
        </w:tc>
      </w:tr>
      <w:tr w:rsidR="00E30AFB" w:rsidRPr="007A1F20" w14:paraId="5BF25844" w14:textId="77777777" w:rsidTr="001B74B6">
        <w:trPr>
          <w:trHeight w:val="427"/>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4D8C6E" w14:textId="77777777" w:rsidR="00E30AFB" w:rsidRPr="007A1F20" w:rsidRDefault="00E30AFB" w:rsidP="001B74B6">
            <w:pPr>
              <w:ind w:left="130"/>
              <w:jc w:val="both"/>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South Sumatera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113181" w14:textId="77777777" w:rsidR="00E30AFB" w:rsidRPr="007A1F20" w:rsidRDefault="00E30AFB" w:rsidP="001B74B6">
            <w:pPr>
              <w:ind w:left="130"/>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855,000.00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A4D7A9" w14:textId="77777777" w:rsidR="00E30AFB" w:rsidRPr="007A1F20" w:rsidRDefault="00E30AFB" w:rsidP="001B74B6">
            <w:pPr>
              <w:ind w:left="14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1,234,966.45</w:t>
            </w:r>
          </w:p>
        </w:tc>
      </w:tr>
      <w:tr w:rsidR="00E30AFB" w:rsidRPr="007A1F20" w14:paraId="7F71C4D9" w14:textId="77777777" w:rsidTr="001B74B6">
        <w:trPr>
          <w:trHeight w:val="422"/>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311BDD" w14:textId="77777777" w:rsidR="00E30AFB" w:rsidRPr="007A1F20" w:rsidRDefault="00E30AFB" w:rsidP="001B74B6">
            <w:pPr>
              <w:ind w:left="120"/>
              <w:jc w:val="both"/>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Jambi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06F475" w14:textId="77777777" w:rsidR="00E30AFB" w:rsidRPr="007A1F20" w:rsidRDefault="00E30AFB" w:rsidP="001B74B6">
            <w:pPr>
              <w:ind w:left="126"/>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682,000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DCFA0D" w14:textId="77777777" w:rsidR="00E30AFB" w:rsidRPr="007A1F20" w:rsidRDefault="00E30AFB" w:rsidP="001B74B6">
            <w:pPr>
              <w:ind w:left="126"/>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608,910</w:t>
            </w:r>
          </w:p>
        </w:tc>
      </w:tr>
      <w:tr w:rsidR="00E30AFB" w:rsidRPr="007A1F20" w14:paraId="2CCFA21D" w14:textId="77777777" w:rsidTr="001B74B6">
        <w:trPr>
          <w:trHeight w:val="422"/>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99AA0C" w14:textId="77777777" w:rsidR="00E30AFB" w:rsidRPr="007A1F20" w:rsidRDefault="00E30AFB" w:rsidP="001B74B6">
            <w:pPr>
              <w:ind w:left="119"/>
              <w:jc w:val="both"/>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Riau</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1D79E3" w14:textId="77777777" w:rsidR="00E30AFB" w:rsidRPr="007A1F20" w:rsidRDefault="00E30AFB" w:rsidP="001B74B6">
            <w:pPr>
              <w:ind w:left="124"/>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768,000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D99FAD" w14:textId="77777777" w:rsidR="00E30AFB" w:rsidRPr="007A1F20" w:rsidRDefault="00E30AFB" w:rsidP="001B74B6">
            <w:pPr>
              <w:ind w:left="120"/>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222,538.10</w:t>
            </w:r>
          </w:p>
        </w:tc>
      </w:tr>
      <w:tr w:rsidR="00E30AFB" w:rsidRPr="007A1F20" w14:paraId="384819E2" w14:textId="77777777" w:rsidTr="001B74B6">
        <w:trPr>
          <w:trHeight w:val="427"/>
          <w:jc w:val="center"/>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8B0C86" w14:textId="77777777" w:rsidR="00E30AFB" w:rsidRPr="007A1F20" w:rsidRDefault="00E30AFB" w:rsidP="001B74B6">
            <w:pPr>
              <w:jc w:val="both"/>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West Kalimantan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6C504A" w14:textId="77777777" w:rsidR="00E30AFB" w:rsidRPr="007A1F20" w:rsidRDefault="00E30AFB" w:rsidP="001B74B6">
            <w:pPr>
              <w:jc w:val="right"/>
              <w:rPr>
                <w:rFonts w:ascii="Times New Roman" w:eastAsia="Times New Roman" w:hAnsi="Times New Roman" w:cs="Times New Roman"/>
                <w:lang w:val="en-ID"/>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50F808" w14:textId="77777777" w:rsidR="00E30AFB" w:rsidRPr="007A1F20" w:rsidRDefault="00E30AFB" w:rsidP="001B74B6">
            <w:pPr>
              <w:ind w:left="143"/>
              <w:jc w:val="right"/>
              <w:rPr>
                <w:rFonts w:ascii="Times New Roman" w:eastAsia="Times New Roman" w:hAnsi="Times New Roman" w:cs="Times New Roman"/>
                <w:lang w:val="en-ID"/>
              </w:rPr>
            </w:pPr>
            <w:r w:rsidRPr="007A1F20">
              <w:rPr>
                <w:rFonts w:ascii="Times New Roman" w:eastAsia="Times New Roman" w:hAnsi="Times New Roman" w:cs="Times New Roman"/>
                <w:color w:val="000000"/>
                <w:lang w:val="en-ID"/>
              </w:rPr>
              <w:t>1,430,813</w:t>
            </w:r>
          </w:p>
        </w:tc>
      </w:tr>
    </w:tbl>
    <w:p w14:paraId="4115B7D0" w14:textId="77777777" w:rsidR="00E30AFB" w:rsidRPr="007A1F20" w:rsidRDefault="00E30AFB" w:rsidP="00E30AFB">
      <w:pPr>
        <w:spacing w:after="240"/>
        <w:rPr>
          <w:rFonts w:ascii="Times New Roman" w:eastAsia="Times New Roman" w:hAnsi="Times New Roman" w:cs="Times New Roman"/>
          <w:lang w:val="en-ID"/>
        </w:rPr>
      </w:pPr>
    </w:p>
    <w:p w14:paraId="79396FB0" w14:textId="77777777" w:rsidR="00E30AFB" w:rsidRDefault="00E30AFB" w:rsidP="00E30AFB">
      <w:pPr>
        <w:rPr>
          <w:rFonts w:ascii="Times New Roman" w:eastAsiaTheme="minorHAnsi" w:hAnsi="Times New Roman" w:cs="Times New Roman"/>
          <w:color w:val="000000" w:themeColor="text1"/>
          <w:kern w:val="2"/>
          <w:lang w:val="en-US" w:eastAsia="en-US"/>
          <w14:ligatures w14:val="standardContextual"/>
        </w:rPr>
      </w:pPr>
      <w:r>
        <w:rPr>
          <w:rFonts w:ascii="Times New Roman" w:hAnsi="Times New Roman" w:cs="Times New Roman"/>
          <w:i/>
          <w:iCs/>
          <w:color w:val="000000" w:themeColor="text1"/>
        </w:rPr>
        <w:br w:type="page"/>
      </w:r>
    </w:p>
    <w:p w14:paraId="2B7EBDEE" w14:textId="77777777" w:rsidR="00E30AFB" w:rsidRPr="005A1594" w:rsidRDefault="00E30AFB" w:rsidP="00E30AFB">
      <w:pPr>
        <w:pStyle w:val="Caption"/>
        <w:numPr>
          <w:ilvl w:val="0"/>
          <w:numId w:val="197"/>
        </w:numPr>
        <w:jc w:val="both"/>
        <w:rPr>
          <w:rFonts w:ascii="Times New Roman" w:eastAsia="Times New Roman" w:hAnsi="Times New Roman" w:cs="Times New Roman"/>
          <w:b/>
          <w:bCs/>
          <w:i w:val="0"/>
          <w:iCs w:val="0"/>
          <w:color w:val="000000" w:themeColor="text1"/>
          <w:sz w:val="24"/>
          <w:szCs w:val="24"/>
          <w:lang w:val="en-ID"/>
        </w:rPr>
      </w:pPr>
      <w:r w:rsidRPr="005A1594">
        <w:rPr>
          <w:rFonts w:ascii="Times New Roman" w:eastAsia="Times New Roman" w:hAnsi="Times New Roman" w:cs="Times New Roman"/>
          <w:b/>
          <w:bCs/>
          <w:i w:val="0"/>
          <w:iCs w:val="0"/>
          <w:color w:val="000000" w:themeColor="text1"/>
          <w:sz w:val="24"/>
          <w:szCs w:val="24"/>
          <w:lang w:val="en-ID"/>
        </w:rPr>
        <w:lastRenderedPageBreak/>
        <w:t>Site level Risk Assessment of Seagrass and Coral Reef Ecosystems in the Western South China Sea. Qualitative categories  retained as provided (High, Medium, Low–Medium, Low). Quantitative equivalence for reviewers: High = 3; Medium = 2;  Low = 1. Scores represent relative pressure or vulnerability across stressor categories and sites.</w:t>
      </w:r>
    </w:p>
    <w:tbl>
      <w:tblPr>
        <w:tblW w:w="0" w:type="auto"/>
        <w:tblInd w:w="-294" w:type="dxa"/>
        <w:tblLayout w:type="fixed"/>
        <w:tblCellMar>
          <w:top w:w="15" w:type="dxa"/>
          <w:left w:w="15" w:type="dxa"/>
          <w:bottom w:w="15" w:type="dxa"/>
          <w:right w:w="15" w:type="dxa"/>
        </w:tblCellMar>
        <w:tblLook w:val="04A0" w:firstRow="1" w:lastRow="0" w:firstColumn="1" w:lastColumn="0" w:noHBand="0" w:noVBand="1"/>
      </w:tblPr>
      <w:tblGrid>
        <w:gridCol w:w="635"/>
        <w:gridCol w:w="685"/>
        <w:gridCol w:w="949"/>
        <w:gridCol w:w="1153"/>
        <w:gridCol w:w="928"/>
        <w:gridCol w:w="810"/>
        <w:gridCol w:w="774"/>
        <w:gridCol w:w="1013"/>
        <w:gridCol w:w="1201"/>
        <w:gridCol w:w="902"/>
        <w:gridCol w:w="971"/>
      </w:tblGrid>
      <w:tr w:rsidR="00E30AFB" w:rsidRPr="000457AF" w14:paraId="0AD63038" w14:textId="77777777" w:rsidTr="001B74B6">
        <w:trPr>
          <w:trHeight w:val="427"/>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492B34"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No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0B3843"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Location </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7A6264" w14:textId="77777777" w:rsidR="00E30AFB" w:rsidRPr="007A1F20" w:rsidRDefault="00E30AFB" w:rsidP="001B74B6">
            <w:pPr>
              <w:ind w:left="122"/>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Overfishing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1D806E"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Illegal fishing </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D4B73A" w14:textId="77777777" w:rsidR="00E30AFB" w:rsidRPr="007A1F20" w:rsidRDefault="00E30AFB" w:rsidP="001B74B6">
            <w:pPr>
              <w:ind w:left="125"/>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Sedimentation </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61FE9" w14:textId="77777777" w:rsidR="00E30AFB" w:rsidRPr="007A1F20" w:rsidRDefault="00E30AFB" w:rsidP="001B74B6">
            <w:pPr>
              <w:ind w:left="114" w:right="133" w:hanging="5"/>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Eutrophic ation</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830072"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Uncontrol  </w:t>
            </w:r>
          </w:p>
          <w:p w14:paraId="52B4BDE0"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tourism</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E51782"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Landfills </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C3CDF6"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Habitat loss </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C13A66" w14:textId="77777777" w:rsidR="00E30AFB" w:rsidRPr="007A1F20" w:rsidRDefault="00E30AFB" w:rsidP="001B74B6">
            <w:pPr>
              <w:ind w:left="122"/>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Community  </w:t>
            </w:r>
          </w:p>
          <w:p w14:paraId="02EA2157" w14:textId="77777777" w:rsidR="00E30AFB" w:rsidRPr="007A1F20" w:rsidRDefault="00E30AFB" w:rsidP="001B74B6">
            <w:pPr>
              <w:ind w:left="122"/>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change</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0DC89D" w14:textId="77777777" w:rsidR="00E30AFB" w:rsidRPr="007A1F20" w:rsidRDefault="00E30AFB" w:rsidP="001B74B6">
            <w:pPr>
              <w:ind w:left="119" w:right="56" w:hanging="4"/>
              <w:rPr>
                <w:rFonts w:ascii="Times New Roman" w:eastAsia="Times New Roman" w:hAnsi="Times New Roman" w:cs="Times New Roman"/>
                <w:sz w:val="20"/>
                <w:szCs w:val="20"/>
                <w:lang w:val="en-ID"/>
              </w:rPr>
            </w:pPr>
            <w:r w:rsidRPr="007A1F20">
              <w:rPr>
                <w:rFonts w:ascii="Times New Roman" w:eastAsia="Times New Roman" w:hAnsi="Times New Roman" w:cs="Times New Roman"/>
                <w:b/>
                <w:bCs/>
                <w:color w:val="000000"/>
                <w:sz w:val="20"/>
                <w:szCs w:val="20"/>
                <w:shd w:val="clear" w:color="auto" w:fill="D9D9D9"/>
                <w:lang w:val="en-ID"/>
              </w:rPr>
              <w:t xml:space="preserve">LC/SG cover </w:t>
            </w:r>
            <w:r w:rsidRPr="007A1F20">
              <w:rPr>
                <w:rFonts w:ascii="Times New Roman" w:eastAsia="Times New Roman" w:hAnsi="Times New Roman" w:cs="Times New Roman"/>
                <w:b/>
                <w:bCs/>
                <w:color w:val="000000"/>
                <w:sz w:val="20"/>
                <w:szCs w:val="20"/>
                <w:lang w:val="en-ID"/>
              </w:rPr>
              <w:t> </w:t>
            </w:r>
            <w:r w:rsidRPr="007A1F20">
              <w:rPr>
                <w:rFonts w:ascii="Times New Roman" w:eastAsia="Times New Roman" w:hAnsi="Times New Roman" w:cs="Times New Roman"/>
                <w:b/>
                <w:bCs/>
                <w:color w:val="000000"/>
                <w:sz w:val="20"/>
                <w:szCs w:val="20"/>
                <w:shd w:val="clear" w:color="auto" w:fill="D9D9D9"/>
                <w:lang w:val="en-ID"/>
              </w:rPr>
              <w:t>decline</w:t>
            </w:r>
          </w:p>
        </w:tc>
      </w:tr>
      <w:tr w:rsidR="00E30AFB" w:rsidRPr="000457AF" w14:paraId="6CB20B3B" w14:textId="77777777" w:rsidTr="001B74B6">
        <w:trPr>
          <w:trHeight w:val="835"/>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047E3A" w14:textId="77777777" w:rsidR="00E30AFB" w:rsidRPr="007A1F20" w:rsidRDefault="00E30AFB" w:rsidP="001B74B6">
            <w:pPr>
              <w:ind w:left="137"/>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1 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B6585" w14:textId="77777777" w:rsidR="00E30AFB" w:rsidRPr="007A1F20" w:rsidRDefault="00E30AFB" w:rsidP="001B74B6">
            <w:pPr>
              <w:ind w:left="11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Anambas </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2248C1"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4DD8C0"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Present </w:t>
            </w:r>
          </w:p>
          <w:p w14:paraId="6F80FFE9" w14:textId="77777777" w:rsidR="00E30AFB" w:rsidRPr="007A1F20" w:rsidRDefault="00E30AFB" w:rsidP="001B74B6">
            <w:pPr>
              <w:ind w:left="116" w:right="54" w:firstLine="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(domestic/dest ructive fishing  historically)</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E67665"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Local </w:t>
            </w:r>
          </w:p>
          <w:p w14:paraId="1E58D823" w14:textId="77777777" w:rsidR="00E30AFB" w:rsidRPr="007A1F20" w:rsidRDefault="00E30AFB" w:rsidP="001B74B6">
            <w:pPr>
              <w:ind w:left="119" w:right="100" w:firstLine="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(port/settlement) – Low/Med</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686937"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Localized </w:t>
            </w:r>
          </w:p>
          <w:p w14:paraId="2D994D28" w14:textId="77777777" w:rsidR="00E30AFB" w:rsidRPr="007A1F20" w:rsidRDefault="00E30AFB" w:rsidP="001B74B6">
            <w:pPr>
              <w:ind w:left="11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near  </w:t>
            </w:r>
          </w:p>
          <w:p w14:paraId="6D31B9C4" w14:textId="77777777" w:rsidR="00E30AFB" w:rsidRPr="007A1F20" w:rsidRDefault="00E30AFB" w:rsidP="001B74B6">
            <w:pPr>
              <w:ind w:left="11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villages</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B083EC" w14:textId="77777777" w:rsidR="00E30AFB" w:rsidRPr="007A1F20" w:rsidRDefault="00E30AFB" w:rsidP="001B74B6">
            <w:pPr>
              <w:ind w:left="118" w:right="58" w:hanging="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Rising risk (island </w:t>
            </w:r>
          </w:p>
          <w:p w14:paraId="39C1C7FB" w14:textId="77777777" w:rsidR="00E30AFB" w:rsidRPr="007A1F20" w:rsidRDefault="00E30AFB" w:rsidP="001B74B6">
            <w:pPr>
              <w:spacing w:before="4"/>
              <w:ind w:left="11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hopping  </w:t>
            </w:r>
          </w:p>
          <w:p w14:paraId="5A21BA74"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growth)</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FADEEA"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Spot trash issues </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468AA0" w14:textId="77777777" w:rsidR="00E30AFB" w:rsidRPr="007A1F20" w:rsidRDefault="00E30AFB" w:rsidP="001B74B6">
            <w:pPr>
              <w:ind w:left="110" w:right="58" w:firstLine="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Turtle nesting &amp; reef pressure sites</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41113D" w14:textId="77777777" w:rsidR="00E30AFB" w:rsidRPr="007A1F20" w:rsidRDefault="00E30AFB" w:rsidP="001B74B6">
            <w:pPr>
              <w:ind w:left="121" w:right="107" w:hanging="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Tourism &amp; gear shift in fishing</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3F2755" w14:textId="77777777" w:rsidR="00E30AFB" w:rsidRPr="007A1F20" w:rsidRDefault="00E30AFB" w:rsidP="001B74B6">
            <w:pPr>
              <w:ind w:left="117" w:right="55" w:firstLine="2"/>
              <w:jc w:val="both"/>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LC: variable; reef monitoring &amp;  elasmobranch  </w:t>
            </w:r>
          </w:p>
          <w:p w14:paraId="6ED49702" w14:textId="77777777" w:rsidR="00E30AFB" w:rsidRPr="007A1F20" w:rsidRDefault="00E30AFB" w:rsidP="001B74B6">
            <w:pPr>
              <w:spacing w:before="4"/>
              <w:ind w:left="12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survey sites</w:t>
            </w:r>
          </w:p>
        </w:tc>
      </w:tr>
      <w:tr w:rsidR="00E30AFB" w:rsidRPr="000457AF" w14:paraId="1989DCEB" w14:textId="77777777" w:rsidTr="001B74B6">
        <w:trPr>
          <w:trHeight w:val="634"/>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5C435"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2 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24DCC7"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Bangka </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3688A0"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241CCB"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Present </w:t>
            </w:r>
          </w:p>
          <w:p w14:paraId="14717A34" w14:textId="77777777" w:rsidR="00E30AFB" w:rsidRPr="007A1F20" w:rsidRDefault="00E30AFB" w:rsidP="001B74B6">
            <w:pPr>
              <w:ind w:left="116" w:right="121" w:firstLine="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(blast/cyanide  historically)</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69EA4A" w14:textId="77777777" w:rsidR="00E30AFB" w:rsidRPr="007A1F20" w:rsidRDefault="00E30AFB" w:rsidP="001B74B6">
            <w:pPr>
              <w:ind w:left="117" w:right="57" w:firstLine="1"/>
              <w:jc w:val="both"/>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High (tin mining on/offshore -&gt;  turbidity)</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4E0B12"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Estuaries </w:t>
            </w:r>
          </w:p>
          <w:p w14:paraId="7F0BAAD8"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near towns</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A62397" w14:textId="77777777" w:rsidR="00E30AFB" w:rsidRPr="007A1F20" w:rsidRDefault="00E30AFB" w:rsidP="001B74B6">
            <w:pPr>
              <w:ind w:left="12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Growing </w:t>
            </w:r>
          </w:p>
          <w:p w14:paraId="69B05343"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coastal  </w:t>
            </w:r>
          </w:p>
          <w:p w14:paraId="2C771179" w14:textId="77777777" w:rsidR="00E30AFB" w:rsidRPr="007A1F20" w:rsidRDefault="00E30AFB" w:rsidP="001B74B6">
            <w:pPr>
              <w:ind w:left="117"/>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tourism</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E62A84" w14:textId="77777777" w:rsidR="00E30AFB" w:rsidRPr="007A1F20" w:rsidRDefault="00E30AFB" w:rsidP="001B74B6">
            <w:pPr>
              <w:ind w:left="117" w:right="56" w:firstLine="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Local dumps &amp; marine debris</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FA08CF"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Mangrove/reef </w:t>
            </w:r>
          </w:p>
          <w:p w14:paraId="2930B49C"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damage from mining</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8D7C1E" w14:textId="77777777" w:rsidR="00E30AFB" w:rsidRPr="007A1F20" w:rsidRDefault="00E30AFB" w:rsidP="001B74B6">
            <w:pPr>
              <w:ind w:left="117" w:right="55" w:firstLine="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Livelihood shift mining↔fishing</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DF749F" w14:textId="77777777" w:rsidR="00E30AFB" w:rsidRPr="007A1F20" w:rsidRDefault="00E30AFB" w:rsidP="001B74B6">
            <w:pPr>
              <w:ind w:left="116" w:right="55" w:firstLine="10"/>
              <w:jc w:val="both"/>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SG impacted near sea</w:t>
            </w:r>
            <w:r w:rsidRPr="007A1F20">
              <w:rPr>
                <w:rFonts w:ascii="Times New Roman" w:eastAsia="Times New Roman" w:hAnsi="Times New Roman" w:cs="Times New Roman"/>
                <w:color w:val="000000"/>
                <w:sz w:val="20"/>
                <w:szCs w:val="20"/>
                <w:lang w:val="en-ID"/>
              </w:rPr>
              <w:noBreakHyphen/>
              <w:t>based  tin mining</w:t>
            </w:r>
          </w:p>
        </w:tc>
      </w:tr>
      <w:tr w:rsidR="00E30AFB" w:rsidRPr="000457AF" w14:paraId="1114D21B" w14:textId="77777777" w:rsidTr="001B74B6">
        <w:trPr>
          <w:trHeight w:val="835"/>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ECDF3D"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3 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3D0606"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Belitung </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1CC602"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E50C8C"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Present </w:t>
            </w:r>
          </w:p>
          <w:p w14:paraId="0A1F3E30"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(historical)</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A17D6B"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High </w:t>
            </w:r>
          </w:p>
          <w:p w14:paraId="2D5564BD"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(river/nearshore  </w:t>
            </w:r>
          </w:p>
          <w:p w14:paraId="40066BAB" w14:textId="77777777" w:rsidR="00E30AFB" w:rsidRPr="007A1F20" w:rsidRDefault="00E30AFB" w:rsidP="001B74B6">
            <w:pPr>
              <w:ind w:left="115" w:right="109" w:firstLine="7"/>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from mining/land use)</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5D6420" w14:textId="77777777" w:rsidR="00E30AFB" w:rsidRPr="007A1F20" w:rsidRDefault="00E30AFB" w:rsidP="001B74B6">
            <w:pPr>
              <w:ind w:left="114" w:right="57" w:hanging="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Ports &amp; settlement </w:t>
            </w:r>
          </w:p>
          <w:p w14:paraId="06D6F3C6" w14:textId="77777777" w:rsidR="00E30AFB" w:rsidRPr="007A1F20" w:rsidRDefault="00E30AFB" w:rsidP="001B74B6">
            <w:pPr>
              <w:spacing w:before="4"/>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52A5BA"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p w14:paraId="20ACD69F"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(island </w:t>
            </w:r>
          </w:p>
          <w:p w14:paraId="21B24397" w14:textId="77777777" w:rsidR="00E30AFB" w:rsidRPr="007A1F20" w:rsidRDefault="00E30AFB" w:rsidP="001B74B6">
            <w:pPr>
              <w:ind w:left="11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hopping  </w:t>
            </w:r>
          </w:p>
          <w:p w14:paraId="4ED7C9AD" w14:textId="77777777" w:rsidR="00E30AFB" w:rsidRPr="007A1F20" w:rsidRDefault="00E30AFB" w:rsidP="001B74B6">
            <w:pPr>
              <w:ind w:left="12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sites)</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60D92C" w14:textId="77777777" w:rsidR="00E30AFB" w:rsidRPr="007A1F20" w:rsidRDefault="00E30AFB" w:rsidP="001B74B6">
            <w:pPr>
              <w:ind w:left="119" w:right="57" w:hanging="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Local waste issues</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785954"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Reef/shoreline </w:t>
            </w:r>
          </w:p>
          <w:p w14:paraId="4907DE61" w14:textId="77777777" w:rsidR="00E30AFB" w:rsidRPr="007A1F20" w:rsidRDefault="00E30AFB" w:rsidP="001B74B6">
            <w:pPr>
              <w:ind w:left="117"/>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alteration</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EB1A89"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Tourism expansion </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65D7CE" w14:textId="77777777" w:rsidR="00E30AFB" w:rsidRPr="007A1F20" w:rsidRDefault="00E30AFB" w:rsidP="001B74B6">
            <w:pPr>
              <w:ind w:left="118" w:right="56" w:hanging="1"/>
              <w:jc w:val="both"/>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Reef condition East Belitung  sites</w:t>
            </w:r>
          </w:p>
        </w:tc>
      </w:tr>
      <w:tr w:rsidR="00E30AFB" w:rsidRPr="000457AF" w14:paraId="79831710" w14:textId="77777777" w:rsidTr="001B74B6">
        <w:trPr>
          <w:trHeight w:val="634"/>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CD083C"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4 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C1C900"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Karimata </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48F1B9"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6E0F2F"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Present </w:t>
            </w:r>
          </w:p>
          <w:p w14:paraId="55497B21"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(small</w:t>
            </w:r>
            <w:r w:rsidRPr="007A1F20">
              <w:rPr>
                <w:rFonts w:ascii="Times New Roman" w:eastAsia="Times New Roman" w:hAnsi="Times New Roman" w:cs="Times New Roman"/>
                <w:color w:val="000000"/>
                <w:sz w:val="20"/>
                <w:szCs w:val="20"/>
                <w:lang w:val="en-ID"/>
              </w:rPr>
              <w:noBreakHyphen/>
              <w:t>scale)</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0580F8" w14:textId="77777777" w:rsidR="00E30AFB" w:rsidRPr="007A1F20" w:rsidRDefault="00E30AFB" w:rsidP="001B74B6">
            <w:pPr>
              <w:ind w:left="117" w:right="57" w:firstLine="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Local (near villages/boat traffic)</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319E16"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 </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8A6C5D"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 </w:t>
            </w:r>
          </w:p>
          <w:p w14:paraId="546BF25E"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(access </w:t>
            </w:r>
          </w:p>
          <w:p w14:paraId="4C3DDE08"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limited)</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7BC998"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 </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F1D39E" w14:textId="77777777" w:rsidR="00E30AFB" w:rsidRPr="007A1F20" w:rsidRDefault="00E30AFB" w:rsidP="001B74B6">
            <w:pPr>
              <w:ind w:left="112" w:right="58" w:firstLine="10"/>
              <w:jc w:val="both"/>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Sensitive reefs &amp; turtle sites; boat  traffic</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501090" w14:textId="77777777" w:rsidR="00E30AFB" w:rsidRPr="007A1F20" w:rsidRDefault="00E30AFB" w:rsidP="001B74B6">
            <w:pPr>
              <w:ind w:left="121" w:right="55" w:firstLine="5"/>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Small island out</w:t>
            </w:r>
            <w:r w:rsidRPr="007A1F20">
              <w:rPr>
                <w:rFonts w:ascii="Times New Roman" w:eastAsia="Times New Roman" w:hAnsi="Times New Roman" w:cs="Times New Roman"/>
                <w:color w:val="000000"/>
                <w:sz w:val="20"/>
                <w:szCs w:val="20"/>
                <w:lang w:val="en-ID"/>
              </w:rPr>
              <w:noBreakHyphen/>
              <w:t>migration</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985F0C" w14:textId="77777777" w:rsidR="00E30AFB" w:rsidRPr="007A1F20" w:rsidRDefault="00E30AFB" w:rsidP="001B74B6">
            <w:pPr>
              <w:ind w:left="119" w:right="99"/>
              <w:jc w:val="both"/>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LC Pelapis: site specific (2023– 2024 study)</w:t>
            </w:r>
          </w:p>
        </w:tc>
      </w:tr>
      <w:tr w:rsidR="00E30AFB" w:rsidRPr="000457AF" w14:paraId="67A70D94" w14:textId="77777777" w:rsidTr="001B74B6">
        <w:trPr>
          <w:trHeight w:val="835"/>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18BA7F" w14:textId="77777777" w:rsidR="00E30AFB" w:rsidRPr="007A1F20" w:rsidRDefault="00E30AFB" w:rsidP="001B74B6">
            <w:pPr>
              <w:ind w:left="12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5 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B77361" w14:textId="77777777" w:rsidR="00E30AFB" w:rsidRPr="007A1F20" w:rsidRDefault="00E30AFB" w:rsidP="001B74B6">
            <w:pPr>
              <w:ind w:left="12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Senayang </w:t>
            </w:r>
          </w:p>
          <w:p w14:paraId="68D21086"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Lingga</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D0DF09"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094DDD"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Present </w:t>
            </w:r>
          </w:p>
          <w:p w14:paraId="4CFCD8D9"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(small</w:t>
            </w:r>
            <w:r w:rsidRPr="007A1F20">
              <w:rPr>
                <w:rFonts w:ascii="Times New Roman" w:eastAsia="Times New Roman" w:hAnsi="Times New Roman" w:cs="Times New Roman"/>
                <w:color w:val="000000"/>
                <w:sz w:val="20"/>
                <w:szCs w:val="20"/>
                <w:lang w:val="en-ID"/>
              </w:rPr>
              <w:noBreakHyphen/>
              <w:t>scale  </w:t>
            </w:r>
          </w:p>
          <w:p w14:paraId="1B17D433"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destructive  </w:t>
            </w:r>
          </w:p>
          <w:p w14:paraId="7C347A6C"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gear)</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496F88" w14:textId="77777777" w:rsidR="00E30AFB" w:rsidRPr="007A1F20" w:rsidRDefault="00E30AFB" w:rsidP="001B74B6">
            <w:pPr>
              <w:ind w:left="117" w:right="57" w:firstLine="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(near river mouths)</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487645"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Localized </w:t>
            </w:r>
          </w:p>
          <w:p w14:paraId="46EE01F1" w14:textId="77777777" w:rsidR="00E30AFB" w:rsidRPr="007A1F20" w:rsidRDefault="00E30AFB" w:rsidP="001B74B6">
            <w:pPr>
              <w:ind w:left="11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nutrients</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CD6254"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Rising </w:t>
            </w:r>
          </w:p>
          <w:p w14:paraId="6941F9F1"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(Benan, etc.)</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1E930E" w14:textId="77777777" w:rsidR="00E30AFB" w:rsidRPr="007A1F20" w:rsidRDefault="00E30AFB" w:rsidP="001B74B6">
            <w:pPr>
              <w:ind w:left="119" w:right="57" w:hanging="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Local waste leakage</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FC4744" w14:textId="77777777" w:rsidR="00E30AFB" w:rsidRPr="007A1F20" w:rsidRDefault="00E30AFB" w:rsidP="001B74B6">
            <w:pPr>
              <w:ind w:left="12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Seagrass/reef </w:t>
            </w:r>
          </w:p>
          <w:p w14:paraId="7746EAF8" w14:textId="77777777" w:rsidR="00E30AFB" w:rsidRPr="007A1F20" w:rsidRDefault="00E30AFB" w:rsidP="001B74B6">
            <w:pPr>
              <w:ind w:left="110"/>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pressure</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B1222D"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Tourism-based </w:t>
            </w:r>
          </w:p>
          <w:p w14:paraId="047922BF"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livelihood shift</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369962"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w:t>
            </w:r>
          </w:p>
        </w:tc>
      </w:tr>
      <w:tr w:rsidR="00E30AFB" w:rsidRPr="000457AF" w14:paraId="7A61EEB3" w14:textId="77777777" w:rsidTr="001B74B6">
        <w:trPr>
          <w:trHeight w:val="1253"/>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C0E3D3"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lastRenderedPageBreak/>
              <w:t>6 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F0CF33" w14:textId="77777777" w:rsidR="00E30AFB" w:rsidRPr="007A1F20" w:rsidRDefault="00E30AFB" w:rsidP="001B74B6">
            <w:pPr>
              <w:ind w:left="114" w:right="57"/>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Barelang dan Bintan</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499E2F"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4655ED"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Present </w:t>
            </w:r>
          </w:p>
          <w:p w14:paraId="4D5B51AB"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(small</w:t>
            </w:r>
            <w:r w:rsidRPr="007A1F20">
              <w:rPr>
                <w:rFonts w:ascii="Times New Roman" w:eastAsia="Times New Roman" w:hAnsi="Times New Roman" w:cs="Times New Roman"/>
                <w:color w:val="000000"/>
                <w:sz w:val="20"/>
                <w:szCs w:val="20"/>
                <w:lang w:val="en-ID"/>
              </w:rPr>
              <w:noBreakHyphen/>
              <w:t>scale)</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58EE87" w14:textId="77777777" w:rsidR="00E30AFB" w:rsidRPr="007A1F20" w:rsidRDefault="00E30AFB" w:rsidP="001B74B6">
            <w:pPr>
              <w:ind w:left="118" w:right="57" w:hanging="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(coastal development)</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C38FFA"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w:t>
            </w:r>
          </w:p>
          <w:p w14:paraId="7A7748FA"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High  </w:t>
            </w:r>
          </w:p>
          <w:p w14:paraId="4D3792E2"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(urban  </w:t>
            </w:r>
          </w:p>
          <w:p w14:paraId="680ACFE0"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wastewate </w:t>
            </w:r>
          </w:p>
          <w:p w14:paraId="01D5B42C" w14:textId="77777777" w:rsidR="00E30AFB" w:rsidRPr="007A1F20" w:rsidRDefault="00E30AFB" w:rsidP="001B74B6">
            <w:pPr>
              <w:ind w:left="111" w:right="56" w:hanging="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 &amp; oil  incidents)</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6DAFC2"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High </w:t>
            </w:r>
          </w:p>
          <w:p w14:paraId="50FC9306" w14:textId="77777777" w:rsidR="00E30AFB" w:rsidRPr="007A1F20" w:rsidRDefault="00E30AFB" w:rsidP="001B74B6">
            <w:pPr>
              <w:ind w:left="123" w:right="143" w:hanging="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(resorts/mas s tourism)</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A12D2B" w14:textId="77777777" w:rsidR="00E30AFB" w:rsidRPr="007A1F20" w:rsidRDefault="00E30AFB" w:rsidP="001B74B6">
            <w:pPr>
              <w:ind w:left="116" w:right="56" w:hanging="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Urban waste issues</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4E71E2" w14:textId="77777777" w:rsidR="00E30AFB" w:rsidRPr="007A1F20" w:rsidRDefault="00E30AFB" w:rsidP="001B74B6">
            <w:pPr>
              <w:ind w:left="117" w:right="5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Coastal habitat conversion &amp; oiling</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73CBD5" w14:textId="77777777" w:rsidR="00E30AFB" w:rsidRPr="007A1F20" w:rsidRDefault="00E30AFB" w:rsidP="001B74B6">
            <w:pPr>
              <w:ind w:left="118" w:right="55" w:hanging="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Rapid coastal development</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5F9753" w14:textId="77777777" w:rsidR="00E30AFB" w:rsidRPr="007A1F20" w:rsidRDefault="00E30AFB" w:rsidP="001B74B6">
            <w:pPr>
              <w:ind w:left="118" w:right="56" w:hanging="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Bintan: oil spill governance;  </w:t>
            </w:r>
          </w:p>
          <w:p w14:paraId="393D2930" w14:textId="77777777" w:rsidR="00E30AFB" w:rsidRPr="007A1F20" w:rsidRDefault="00E30AFB" w:rsidP="001B74B6">
            <w:pPr>
              <w:ind w:left="116" w:right="56" w:firstLine="1"/>
              <w:jc w:val="both"/>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tourism sewage  risk (regional  refs)</w:t>
            </w:r>
          </w:p>
        </w:tc>
      </w:tr>
      <w:tr w:rsidR="00E30AFB" w:rsidRPr="000457AF" w14:paraId="4628730B" w14:textId="77777777" w:rsidTr="001B74B6">
        <w:trPr>
          <w:trHeight w:val="840"/>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0F482F" w14:textId="77777777" w:rsidR="00E30AFB" w:rsidRPr="007A1F20" w:rsidRDefault="00E30AFB" w:rsidP="001B74B6">
            <w:pPr>
              <w:ind w:left="12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7 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50EFFD" w14:textId="77777777" w:rsidR="00E30AFB" w:rsidRPr="007A1F20" w:rsidRDefault="00E30AFB" w:rsidP="001B74B6">
            <w:pPr>
              <w:ind w:left="10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Natuna </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13B099"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6AC8CE" w14:textId="77777777" w:rsidR="00E30AFB" w:rsidRPr="007A1F20" w:rsidRDefault="00E30AFB" w:rsidP="001B74B6">
            <w:pPr>
              <w:ind w:left="118" w:right="54" w:hanging="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High (foreign IUU focus)</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A65DE8"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Low–Medium </w:t>
            </w:r>
          </w:p>
          <w:p w14:paraId="096D434F" w14:textId="77777777" w:rsidR="00E30AFB" w:rsidRPr="007A1F20" w:rsidRDefault="00E30AFB" w:rsidP="001B74B6">
            <w:pPr>
              <w:ind w:left="12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(localized)</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BBDFC1"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 </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83BAFB"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 </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A8F278"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 </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6AC3C7" w14:textId="77777777" w:rsidR="00E30AFB" w:rsidRPr="007A1F20" w:rsidRDefault="00E30AFB" w:rsidP="001B74B6">
            <w:pPr>
              <w:ind w:left="110" w:right="58" w:firstLine="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Fishing ground pressure;  </w:t>
            </w:r>
          </w:p>
          <w:p w14:paraId="27E58F7F" w14:textId="77777777" w:rsidR="00E30AFB" w:rsidRPr="007A1F20" w:rsidRDefault="00E30AFB" w:rsidP="001B74B6">
            <w:pPr>
              <w:spacing w:before="9"/>
              <w:ind w:left="117" w:right="58" w:firstLine="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seagrass/reef intact  offshore</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BECBB0"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Fisheries </w:t>
            </w:r>
          </w:p>
          <w:p w14:paraId="2E98DC88"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dominated  </w:t>
            </w:r>
          </w:p>
          <w:p w14:paraId="39510CB9" w14:textId="77777777" w:rsidR="00E30AFB" w:rsidRPr="007A1F20" w:rsidRDefault="00E30AFB" w:rsidP="001B74B6">
            <w:pPr>
              <w:ind w:left="12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economy</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61DB56"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w:t>
            </w:r>
          </w:p>
        </w:tc>
      </w:tr>
      <w:tr w:rsidR="00E30AFB" w:rsidRPr="000457AF" w14:paraId="2DCD327E" w14:textId="77777777" w:rsidTr="001B74B6">
        <w:trPr>
          <w:trHeight w:val="835"/>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D25021" w14:textId="77777777" w:rsidR="00E30AFB" w:rsidRPr="007A1F20" w:rsidRDefault="00E30AFB" w:rsidP="001B74B6">
            <w:pPr>
              <w:ind w:left="12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8 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58C160"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Batam/Aban</w:t>
            </w:r>
          </w:p>
          <w:p w14:paraId="02FF7358" w14:textId="77777777" w:rsidR="00E30AFB" w:rsidRPr="007A1F20" w:rsidRDefault="00E30AFB" w:rsidP="001B74B6">
            <w:pPr>
              <w:ind w:left="11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g Island</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F8A6ED"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288F2C"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Present </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093086" w14:textId="77777777" w:rsidR="00E30AFB" w:rsidRPr="007A1F20" w:rsidRDefault="00E30AFB" w:rsidP="001B74B6">
            <w:pPr>
              <w:ind w:left="115" w:right="57" w:firstLine="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(urban + boat traffic)</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975E97"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p w14:paraId="1214C5DD" w14:textId="77777777" w:rsidR="00E30AFB" w:rsidRPr="007A1F20" w:rsidRDefault="00E30AFB" w:rsidP="001B74B6">
            <w:pPr>
              <w:ind w:left="111" w:right="57" w:firstLine="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(sewage to  rivers/bays )</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F75E31"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High </w:t>
            </w:r>
          </w:p>
          <w:p w14:paraId="49E54C66" w14:textId="77777777" w:rsidR="00E30AFB" w:rsidRPr="007A1F20" w:rsidRDefault="00E30AFB" w:rsidP="001B74B6">
            <w:pPr>
              <w:ind w:left="121" w:right="147" w:firstLine="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(snorkeling/ diving)</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B0D3A5" w14:textId="77777777" w:rsidR="00E30AFB" w:rsidRPr="007A1F20" w:rsidRDefault="00E30AFB" w:rsidP="001B74B6">
            <w:pPr>
              <w:ind w:left="116" w:right="56" w:hanging="5"/>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Urban landfill &amp; leakage</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B4650B"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Reef </w:t>
            </w:r>
          </w:p>
          <w:p w14:paraId="71951376" w14:textId="77777777" w:rsidR="00E30AFB" w:rsidRPr="007A1F20" w:rsidRDefault="00E30AFB" w:rsidP="001B74B6">
            <w:pPr>
              <w:ind w:left="112" w:right="309" w:hanging="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trampling/anchor  damage</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18861B"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Tourism-driven </w:t>
            </w:r>
          </w:p>
          <w:p w14:paraId="6ADDBDE8"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change</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CB501C" w14:textId="77777777" w:rsidR="00E30AFB" w:rsidRPr="007A1F20" w:rsidRDefault="00E30AFB" w:rsidP="001B74B6">
            <w:pPr>
              <w:ind w:left="116" w:right="56" w:firstLine="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LC Abang: 38.8–84.9% (station  range)</w:t>
            </w:r>
          </w:p>
        </w:tc>
      </w:tr>
      <w:tr w:rsidR="00E30AFB" w:rsidRPr="000457AF" w14:paraId="65DB731C" w14:textId="77777777" w:rsidTr="001B74B6">
        <w:trPr>
          <w:trHeight w:val="1253"/>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16C9F7" w14:textId="77777777" w:rsidR="00E30AFB" w:rsidRPr="007A1F20" w:rsidRDefault="00E30AFB" w:rsidP="001B74B6">
            <w:pPr>
              <w:ind w:left="122"/>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9 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4ED96D"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Bintan </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F81C7E"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69C4D9"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Present </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B17FB8" w14:textId="77777777" w:rsidR="00E30AFB" w:rsidRPr="007A1F20" w:rsidRDefault="00E30AFB" w:rsidP="001B74B6">
            <w:pPr>
              <w:ind w:left="118" w:right="57" w:hanging="3"/>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(coastal dev.)</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7D62DF"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p w14:paraId="5A470B95"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(resort  </w:t>
            </w:r>
          </w:p>
          <w:p w14:paraId="729435A8" w14:textId="77777777" w:rsidR="00E30AFB" w:rsidRPr="007A1F20" w:rsidRDefault="00E30AFB" w:rsidP="001B74B6">
            <w:pPr>
              <w:jc w:val="center"/>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wastewate </w:t>
            </w:r>
          </w:p>
          <w:p w14:paraId="3ADB68C4" w14:textId="77777777" w:rsidR="00E30AFB" w:rsidRPr="007A1F20" w:rsidRDefault="00E30AFB" w:rsidP="001B74B6">
            <w:pPr>
              <w:ind w:left="111" w:right="56" w:hanging="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r); oil  sludge  </w:t>
            </w:r>
          </w:p>
          <w:p w14:paraId="0E4EEF10" w14:textId="77777777" w:rsidR="00E30AFB" w:rsidRPr="007A1F20" w:rsidRDefault="00E30AFB" w:rsidP="001B74B6">
            <w:pPr>
              <w:spacing w:before="4"/>
              <w:ind w:left="117"/>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cases</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35F3B6" w14:textId="77777777" w:rsidR="00E30AFB" w:rsidRPr="007A1F20" w:rsidRDefault="00E30AFB" w:rsidP="001B74B6">
            <w:pPr>
              <w:ind w:left="118" w:right="58" w:hanging="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High (Lagoi etc.)</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D337C1" w14:textId="77777777" w:rsidR="00E30AFB" w:rsidRPr="007A1F20" w:rsidRDefault="00E30AFB" w:rsidP="001B74B6">
            <w:pPr>
              <w:ind w:left="121"/>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Tourism/urban </w:t>
            </w:r>
          </w:p>
          <w:p w14:paraId="1F0EA827" w14:textId="77777777" w:rsidR="00E30AFB" w:rsidRPr="007A1F20" w:rsidRDefault="00E30AFB" w:rsidP="001B74B6">
            <w:pPr>
              <w:ind w:left="11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waste</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55AD20"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Mangrove/reef </w:t>
            </w:r>
          </w:p>
          <w:p w14:paraId="41DF5DA5" w14:textId="77777777" w:rsidR="00E30AFB" w:rsidRPr="007A1F20" w:rsidRDefault="00E30AFB" w:rsidP="001B74B6">
            <w:pPr>
              <w:ind w:left="110" w:right="59" w:firstLine="7"/>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conversion in  pockets</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18658C" w14:textId="77777777" w:rsidR="00E30AFB" w:rsidRPr="007A1F20" w:rsidRDefault="00E30AFB" w:rsidP="001B74B6">
            <w:pPr>
              <w:ind w:left="121" w:right="55" w:firstLine="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Service economy growth</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FC8733"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w:t>
            </w:r>
          </w:p>
        </w:tc>
      </w:tr>
      <w:tr w:rsidR="00E30AFB" w:rsidRPr="000457AF" w14:paraId="657782DB" w14:textId="77777777" w:rsidTr="001B74B6">
        <w:trPr>
          <w:trHeight w:val="1253"/>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DBF33B" w14:textId="77777777" w:rsidR="00E30AFB" w:rsidRPr="000457AF" w:rsidRDefault="00E30AFB" w:rsidP="001B74B6">
            <w:pPr>
              <w:ind w:left="122"/>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10 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0EF427"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Medang-</w:t>
            </w:r>
          </w:p>
          <w:p w14:paraId="23B94E37"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Mesanak  </w:t>
            </w:r>
          </w:p>
          <w:p w14:paraId="16FA69DA"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(Lingga)</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BB89D1"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A2E48C"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Present </w:t>
            </w:r>
          </w:p>
          <w:p w14:paraId="1C26D5F5"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(small</w:t>
            </w:r>
            <w:r w:rsidRPr="007A1F20">
              <w:rPr>
                <w:rFonts w:ascii="Times New Roman" w:eastAsia="Times New Roman" w:hAnsi="Times New Roman" w:cs="Times New Roman"/>
                <w:color w:val="000000"/>
                <w:sz w:val="20"/>
                <w:szCs w:val="20"/>
                <w:lang w:val="en-ID"/>
              </w:rPr>
              <w:noBreakHyphen/>
              <w:t>scale)</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EADEAA"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Medium </w:t>
            </w:r>
          </w:p>
          <w:p w14:paraId="056CDE40" w14:textId="77777777" w:rsidR="00E30AFB" w:rsidRPr="000457AF" w:rsidRDefault="00E30AFB" w:rsidP="001B74B6">
            <w:pPr>
              <w:ind w:left="118" w:right="57" w:hanging="3"/>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(nearshore)</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970375"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Low </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6C80EA"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w:t>
            </w:r>
          </w:p>
          <w:p w14:paraId="459A4994" w14:textId="77777777" w:rsidR="00E30AFB" w:rsidRPr="000457AF" w:rsidRDefault="00E30AFB" w:rsidP="001B74B6">
            <w:pPr>
              <w:ind w:left="118" w:right="58" w:hanging="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0591ED" w14:textId="77777777" w:rsidR="00E30AFB" w:rsidRPr="000457AF" w:rsidRDefault="00E30AFB" w:rsidP="001B74B6">
            <w:pPr>
              <w:ind w:left="121"/>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Local dumping </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BBFECD"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Reef pressure </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2ABFCF" w14:textId="77777777" w:rsidR="00E30AFB" w:rsidRPr="007A1F20" w:rsidRDefault="00E30AFB" w:rsidP="001B74B6">
            <w:pPr>
              <w:ind w:left="118"/>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Demographic </w:t>
            </w:r>
          </w:p>
          <w:p w14:paraId="350D5106" w14:textId="77777777" w:rsidR="00E30AFB" w:rsidRPr="000457AF" w:rsidRDefault="00E30AFB" w:rsidP="001B74B6">
            <w:pPr>
              <w:ind w:left="121" w:right="55" w:firstLine="6"/>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change small isles</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EA3170" w14:textId="77777777" w:rsidR="00E30AFB" w:rsidRPr="007A1F20" w:rsidRDefault="00E30AFB" w:rsidP="001B74B6">
            <w:pPr>
              <w:ind w:left="114"/>
              <w:rPr>
                <w:rFonts w:ascii="Times New Roman" w:eastAsia="Times New Roman" w:hAnsi="Times New Roman" w:cs="Times New Roman"/>
                <w:color w:val="000000"/>
                <w:sz w:val="20"/>
                <w:szCs w:val="20"/>
                <w:lang w:val="en-ID"/>
              </w:rPr>
            </w:pPr>
          </w:p>
        </w:tc>
      </w:tr>
      <w:tr w:rsidR="00E30AFB" w:rsidRPr="000457AF" w14:paraId="119D731D" w14:textId="77777777" w:rsidTr="001B74B6">
        <w:trPr>
          <w:trHeight w:val="1253"/>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E3FE5A" w14:textId="77777777" w:rsidR="00E30AFB" w:rsidRPr="000457AF" w:rsidRDefault="00E30AFB" w:rsidP="001B74B6">
            <w:pPr>
              <w:ind w:left="122"/>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11 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A180AA" w14:textId="77777777" w:rsidR="00E30AFB" w:rsidRPr="007A1F20" w:rsidRDefault="00E30AFB" w:rsidP="001B74B6">
            <w:pPr>
              <w:ind w:left="116"/>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Temiang  </w:t>
            </w:r>
          </w:p>
          <w:p w14:paraId="33D1B58D"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(Lingga)</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2EBA1E"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A6C6DA"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Present </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274448"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 </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7342A5"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Low </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D0682B" w14:textId="77777777" w:rsidR="00E30AFB" w:rsidRPr="007A1F20" w:rsidRDefault="00E30AFB" w:rsidP="001B74B6">
            <w:pPr>
              <w:ind w:left="119"/>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 </w:t>
            </w:r>
          </w:p>
          <w:p w14:paraId="46390440" w14:textId="77777777" w:rsidR="00E30AFB" w:rsidRPr="000457AF" w:rsidRDefault="00E30AFB" w:rsidP="001B74B6">
            <w:pPr>
              <w:ind w:left="119"/>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64E1CC" w14:textId="77777777" w:rsidR="00E30AFB" w:rsidRPr="000457AF" w:rsidRDefault="00E30AFB" w:rsidP="001B74B6">
            <w:pPr>
              <w:ind w:left="121"/>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Local dumping </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36FAB7"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Reef pressure </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3D33BE"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Tourism village  shift</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F6E433"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w:t>
            </w:r>
          </w:p>
        </w:tc>
      </w:tr>
      <w:tr w:rsidR="00E30AFB" w:rsidRPr="000457AF" w14:paraId="50250A82" w14:textId="77777777" w:rsidTr="001B74B6">
        <w:trPr>
          <w:trHeight w:val="1253"/>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55D94E" w14:textId="77777777" w:rsidR="00E30AFB" w:rsidRPr="000457AF" w:rsidRDefault="00E30AFB" w:rsidP="001B74B6">
            <w:pPr>
              <w:ind w:left="122"/>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lastRenderedPageBreak/>
              <w:t>12 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7E60E6" w14:textId="77777777" w:rsidR="00E30AFB" w:rsidRPr="000457AF" w:rsidRDefault="00E30AFB" w:rsidP="001B74B6">
            <w:pPr>
              <w:ind w:left="116"/>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Mapor </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58300D"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3803B0"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Present </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F27425"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Low–Medium </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5E76ED"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Low </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052084" w14:textId="77777777" w:rsidR="00E30AFB" w:rsidRPr="000457AF" w:rsidRDefault="00E30AFB" w:rsidP="001B74B6">
            <w:pPr>
              <w:ind w:left="119"/>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Emerging </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BD2731" w14:textId="77777777" w:rsidR="00E30AFB" w:rsidRPr="000457AF" w:rsidRDefault="00E30AFB" w:rsidP="001B74B6">
            <w:pPr>
              <w:ind w:left="121"/>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Local dumping </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956855"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Reef pressure </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D03D13"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Potential tourism shift</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C3E496"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w:t>
            </w:r>
          </w:p>
        </w:tc>
      </w:tr>
      <w:tr w:rsidR="00E30AFB" w:rsidRPr="000457AF" w14:paraId="42F812B3" w14:textId="77777777" w:rsidTr="001B74B6">
        <w:trPr>
          <w:trHeight w:val="1253"/>
        </w:trPr>
        <w:tc>
          <w:tcPr>
            <w:tcW w:w="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110A06" w14:textId="77777777" w:rsidR="00E30AFB" w:rsidRPr="000457AF" w:rsidRDefault="00E30AFB" w:rsidP="001B74B6">
            <w:pPr>
              <w:ind w:left="122"/>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13 </w:t>
            </w:r>
          </w:p>
        </w:tc>
        <w:tc>
          <w:tcPr>
            <w:tcW w:w="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BA5822" w14:textId="77777777" w:rsidR="00E30AFB" w:rsidRPr="000457AF" w:rsidRDefault="00E30AFB" w:rsidP="001B74B6">
            <w:pPr>
              <w:ind w:left="116"/>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Senayang </w:t>
            </w:r>
          </w:p>
        </w:tc>
        <w:tc>
          <w:tcPr>
            <w:tcW w:w="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D3BC90"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 </w:t>
            </w:r>
          </w:p>
        </w:tc>
        <w:tc>
          <w:tcPr>
            <w:tcW w:w="11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F59A3B"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Present </w:t>
            </w:r>
          </w:p>
        </w:tc>
        <w:tc>
          <w:tcPr>
            <w:tcW w:w="9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2ABE6F"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 </w:t>
            </w:r>
          </w:p>
        </w:tc>
        <w:tc>
          <w:tcPr>
            <w:tcW w:w="8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D88730" w14:textId="77777777" w:rsidR="00E30AFB" w:rsidRPr="007A1F20" w:rsidRDefault="00E30AFB" w:rsidP="001B74B6">
            <w:pPr>
              <w:ind w:left="114"/>
              <w:rPr>
                <w:rFonts w:ascii="Times New Roman" w:eastAsia="Times New Roman" w:hAnsi="Times New Roman" w:cs="Times New Roman"/>
                <w:sz w:val="20"/>
                <w:szCs w:val="20"/>
                <w:lang w:val="en-ID"/>
              </w:rPr>
            </w:pPr>
            <w:r w:rsidRPr="007A1F20">
              <w:rPr>
                <w:rFonts w:ascii="Times New Roman" w:eastAsia="Times New Roman" w:hAnsi="Times New Roman" w:cs="Times New Roman"/>
                <w:color w:val="000000"/>
                <w:sz w:val="20"/>
                <w:szCs w:val="20"/>
                <w:lang w:val="en-ID"/>
              </w:rPr>
              <w:t>Low–</w:t>
            </w:r>
          </w:p>
          <w:p w14:paraId="18C6EE44"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w:t>
            </w:r>
          </w:p>
        </w:tc>
        <w:tc>
          <w:tcPr>
            <w:tcW w:w="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AF7887" w14:textId="77777777" w:rsidR="00E30AFB" w:rsidRPr="000457AF" w:rsidRDefault="00E30AFB" w:rsidP="001B74B6">
            <w:pPr>
              <w:ind w:left="119"/>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Medium </w:t>
            </w:r>
          </w:p>
        </w:tc>
        <w:tc>
          <w:tcPr>
            <w:tcW w:w="1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AF9402" w14:textId="77777777" w:rsidR="00E30AFB" w:rsidRPr="000457AF" w:rsidRDefault="00E30AFB" w:rsidP="001B74B6">
            <w:pPr>
              <w:ind w:left="121"/>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Local dumping </w:t>
            </w:r>
          </w:p>
        </w:tc>
        <w:tc>
          <w:tcPr>
            <w:tcW w:w="12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CDD6B6"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Reef/Seagrass stress </w:t>
            </w:r>
          </w:p>
        </w:tc>
        <w:tc>
          <w:tcPr>
            <w:tcW w:w="90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B2D09F" w14:textId="77777777" w:rsidR="00E30AFB" w:rsidRPr="000457AF" w:rsidRDefault="00E30AFB" w:rsidP="001B74B6">
            <w:pPr>
              <w:ind w:left="118"/>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Tourism gateway shift</w:t>
            </w:r>
          </w:p>
        </w:tc>
        <w:tc>
          <w:tcPr>
            <w:tcW w:w="97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FA28B3" w14:textId="77777777" w:rsidR="00E30AFB" w:rsidRPr="000457AF" w:rsidRDefault="00E30AFB" w:rsidP="001B74B6">
            <w:pPr>
              <w:ind w:left="114"/>
              <w:rPr>
                <w:rFonts w:ascii="Times New Roman" w:eastAsia="Times New Roman" w:hAnsi="Times New Roman" w:cs="Times New Roman"/>
                <w:color w:val="000000"/>
                <w:sz w:val="20"/>
                <w:szCs w:val="20"/>
                <w:lang w:val="en-ID"/>
              </w:rPr>
            </w:pPr>
            <w:r w:rsidRPr="007A1F20">
              <w:rPr>
                <w:rFonts w:ascii="Times New Roman" w:eastAsia="Times New Roman" w:hAnsi="Times New Roman" w:cs="Times New Roman"/>
                <w:color w:val="000000"/>
                <w:sz w:val="20"/>
                <w:szCs w:val="20"/>
                <w:lang w:val="en-ID"/>
              </w:rPr>
              <w:t>—</w:t>
            </w:r>
          </w:p>
        </w:tc>
      </w:tr>
    </w:tbl>
    <w:p w14:paraId="41F2354B" w14:textId="77777777" w:rsidR="00E30AFB" w:rsidRDefault="00E30AFB" w:rsidP="00E30AFB">
      <w:pPr>
        <w:pStyle w:val="BodyText"/>
        <w:spacing w:before="188"/>
        <w:rPr>
          <w:rFonts w:ascii="Times New Roman" w:hAnsi="Times New Roman" w:cs="Times New Roman"/>
          <w:b/>
          <w:bCs/>
          <w:color w:val="0070C0"/>
          <w:sz w:val="24"/>
          <w:szCs w:val="24"/>
        </w:rPr>
      </w:pPr>
    </w:p>
    <w:p w14:paraId="03F3570A" w14:textId="77777777" w:rsidR="00E30AFB" w:rsidRDefault="00E30AFB" w:rsidP="00E30AFB">
      <w:pPr>
        <w:rPr>
          <w:rFonts w:ascii="Times New Roman" w:eastAsiaTheme="minorEastAsia" w:hAnsi="Times New Roman" w:cs="Times New Roman"/>
          <w:b/>
          <w:bCs/>
          <w:color w:val="0070C0"/>
          <w:sz w:val="22"/>
          <w:szCs w:val="22"/>
        </w:rPr>
      </w:pPr>
      <w:r>
        <w:rPr>
          <w:rFonts w:ascii="Times New Roman" w:hAnsi="Times New Roman" w:cs="Times New Roman"/>
          <w:b/>
          <w:bCs/>
          <w:color w:val="0070C0"/>
        </w:rPr>
        <w:br w:type="page"/>
      </w:r>
    </w:p>
    <w:p w14:paraId="295ED77A" w14:textId="77777777" w:rsidR="00E30AFB" w:rsidRPr="0012520D" w:rsidRDefault="00E30AFB" w:rsidP="00E30AFB">
      <w:pPr>
        <w:pStyle w:val="BodyText"/>
        <w:spacing w:before="188"/>
        <w:outlineLvl w:val="1"/>
        <w:rPr>
          <w:rFonts w:ascii="Times New Roman" w:hAnsi="Times New Roman" w:cs="Times New Roman"/>
          <w:b/>
          <w:bCs/>
          <w:color w:val="0070C0"/>
        </w:rPr>
      </w:pPr>
      <w:bookmarkStart w:id="206" w:name="_Toc217295439"/>
      <w:bookmarkStart w:id="207" w:name="_Toc217297585"/>
      <w:r w:rsidRPr="0012520D">
        <w:rPr>
          <w:rFonts w:ascii="Times New Roman" w:hAnsi="Times New Roman" w:cs="Times New Roman"/>
          <w:b/>
          <w:bCs/>
          <w:color w:val="0070C0"/>
        </w:rPr>
        <w:lastRenderedPageBreak/>
        <w:t>Appendix Chapter 4 (Pollution)</w:t>
      </w:r>
      <w:bookmarkEnd w:id="206"/>
      <w:bookmarkEnd w:id="207"/>
    </w:p>
    <w:p w14:paraId="367D29AE" w14:textId="77777777" w:rsidR="00E30AFB" w:rsidRPr="0012520D" w:rsidRDefault="00E30AFB" w:rsidP="00E30AFB">
      <w:pPr>
        <w:pStyle w:val="Caption"/>
        <w:numPr>
          <w:ilvl w:val="0"/>
          <w:numId w:val="194"/>
        </w:numPr>
        <w:ind w:left="426" w:hanging="426"/>
        <w:rPr>
          <w:rFonts w:ascii="Times New Roman" w:hAnsi="Times New Roman" w:cs="Times New Roman"/>
          <w:i w:val="0"/>
          <w:iCs w:val="0"/>
          <w:color w:val="000000" w:themeColor="text1"/>
          <w:sz w:val="22"/>
          <w:szCs w:val="22"/>
          <w:lang w:val="en-ID"/>
        </w:rPr>
      </w:pPr>
      <w:r w:rsidRPr="000457AF">
        <w:rPr>
          <w:rFonts w:ascii="Times New Roman" w:eastAsiaTheme="minorEastAsia" w:hAnsi="Times New Roman" w:cs="Times New Roman"/>
          <w:b/>
          <w:bCs/>
          <w:i w:val="0"/>
          <w:iCs w:val="0"/>
          <w:color w:val="000000" w:themeColor="text1"/>
          <w:sz w:val="22"/>
          <w:szCs w:val="22"/>
          <w:lang w:val="en-ID"/>
        </w:rPr>
        <w:t>Analysis of Aquaculture Waste Load Estimates</w:t>
      </w:r>
    </w:p>
    <w:p w14:paraId="7AB4C130"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Analysis of estimates of pollutant load from aquaculture activities was conducted using formulae from Gompi et al. (2023):</w:t>
      </w:r>
    </w:p>
    <w:p w14:paraId="03644B7F" w14:textId="77777777" w:rsidR="00E30AFB" w:rsidRPr="000457AF" w:rsidRDefault="00E30AFB" w:rsidP="00E30AFB">
      <w:pPr>
        <w:pStyle w:val="BodyText"/>
        <w:numPr>
          <w:ilvl w:val="0"/>
          <w:numId w:val="155"/>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Food conversion rate = 1.8</w:t>
      </w:r>
    </w:p>
    <w:p w14:paraId="39B100C2" w14:textId="77777777" w:rsidR="00E30AFB" w:rsidRPr="000457AF" w:rsidRDefault="00E30AFB" w:rsidP="00E30AFB">
      <w:pPr>
        <w:pStyle w:val="BodyText"/>
        <w:numPr>
          <w:ilvl w:val="0"/>
          <w:numId w:val="155"/>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Left uneaten food = 15% of the food  </w:t>
      </w:r>
    </w:p>
    <w:p w14:paraId="5676E01A"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Food waste =  15%*(P/FCR)</w:t>
      </w:r>
    </w:p>
    <w:p w14:paraId="2980262E"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Where,</w:t>
      </w:r>
    </w:p>
    <w:p w14:paraId="3445794B"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FCR = food conversion rate, 1.8</w:t>
      </w:r>
    </w:p>
    <w:p w14:paraId="684B1021"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P     = aquaculture production, tonnes/year</w:t>
      </w:r>
    </w:p>
    <w:p w14:paraId="22B6B2AF" w14:textId="77777777" w:rsidR="00E30AFB" w:rsidRPr="000457AF" w:rsidRDefault="00E30AFB" w:rsidP="00E30AFB">
      <w:pPr>
        <w:pStyle w:val="BodyText"/>
        <w:numPr>
          <w:ilvl w:val="0"/>
          <w:numId w:val="194"/>
        </w:numPr>
        <w:spacing w:before="188"/>
        <w:ind w:left="426" w:hanging="426"/>
        <w:rPr>
          <w:rFonts w:ascii="Times New Roman" w:hAnsi="Times New Roman" w:cs="Times New Roman"/>
          <w:color w:val="000000" w:themeColor="text1"/>
          <w:lang w:val="en-ID"/>
        </w:rPr>
      </w:pPr>
      <w:r w:rsidRPr="000457AF">
        <w:rPr>
          <w:rFonts w:ascii="Times New Roman" w:hAnsi="Times New Roman" w:cs="Times New Roman"/>
          <w:b/>
          <w:bCs/>
          <w:color w:val="000000" w:themeColor="text1"/>
          <w:lang w:val="en-ID"/>
        </w:rPr>
        <w:t>Analysis of Riverine Pollution Load Estimates</w:t>
      </w:r>
    </w:p>
    <w:p w14:paraId="55F19E3E"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The analysis of river pollution load estimates use the formulae of (Environmental Ministry Decree Number 28/2009 about Carrying Capacity and Assimilative Capacity):</w:t>
      </w:r>
    </w:p>
    <w:p w14:paraId="315092FB"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Pollution load</w:t>
      </w:r>
      <w:r w:rsidRPr="000457AF">
        <w:rPr>
          <w:rFonts w:ascii="Times New Roman" w:hAnsi="Times New Roman" w:cs="Times New Roman"/>
          <w:color w:val="000000" w:themeColor="text1"/>
          <w:vertAlign w:val="subscript"/>
          <w:lang w:val="en-ID"/>
        </w:rPr>
        <w:t>i</w:t>
      </w:r>
      <w:r w:rsidRPr="000457AF">
        <w:rPr>
          <w:rFonts w:ascii="Times New Roman" w:hAnsi="Times New Roman" w:cs="Times New Roman"/>
          <w:color w:val="000000" w:themeColor="text1"/>
          <w:lang w:val="en-ID"/>
        </w:rPr>
        <w:t xml:space="preserve"> = C</w:t>
      </w:r>
      <w:r w:rsidRPr="000457AF">
        <w:rPr>
          <w:rFonts w:ascii="Times New Roman" w:hAnsi="Times New Roman" w:cs="Times New Roman"/>
          <w:color w:val="000000" w:themeColor="text1"/>
          <w:vertAlign w:val="subscript"/>
          <w:lang w:val="en-ID"/>
        </w:rPr>
        <w:t>i</w:t>
      </w:r>
      <w:r w:rsidRPr="000457AF">
        <w:rPr>
          <w:rFonts w:ascii="Times New Roman" w:hAnsi="Times New Roman" w:cs="Times New Roman"/>
          <w:color w:val="000000" w:themeColor="text1"/>
          <w:lang w:val="en-ID"/>
        </w:rPr>
        <w:t xml:space="preserve"> x Q</w:t>
      </w:r>
    </w:p>
    <w:p w14:paraId="7B237495"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Where:</w:t>
      </w:r>
    </w:p>
    <w:p w14:paraId="1A3C6A52" w14:textId="77777777" w:rsidR="00E30AFB" w:rsidRPr="000457AF" w:rsidRDefault="00E30AFB" w:rsidP="00E30AFB">
      <w:pPr>
        <w:pStyle w:val="BodyText"/>
        <w:numPr>
          <w:ilvl w:val="0"/>
          <w:numId w:val="156"/>
        </w:numPr>
        <w:spacing w:before="188"/>
        <w:rPr>
          <w:rFonts w:ascii="Times New Roman" w:hAnsi="Times New Roman" w:cs="Times New Roman"/>
          <w:color w:val="000000" w:themeColor="text1"/>
          <w:lang w:val="en-ID"/>
        </w:rPr>
      </w:pPr>
      <w:r w:rsidRPr="000457AF">
        <w:rPr>
          <w:rFonts w:ascii="Times New Roman" w:hAnsi="Times New Roman" w:cs="Times New Roman"/>
          <w:i/>
          <w:iCs/>
          <w:color w:val="000000" w:themeColor="text1"/>
          <w:lang w:val="en-ID"/>
        </w:rPr>
        <w:t>C</w:t>
      </w:r>
      <w:r w:rsidRPr="000457AF">
        <w:rPr>
          <w:rFonts w:ascii="Times New Roman" w:hAnsi="Times New Roman" w:cs="Times New Roman"/>
          <w:i/>
          <w:iCs/>
          <w:color w:val="000000" w:themeColor="text1"/>
          <w:vertAlign w:val="subscript"/>
          <w:lang w:val="en-ID"/>
        </w:rPr>
        <w:t>i</w:t>
      </w:r>
      <w:r w:rsidRPr="000457AF">
        <w:rPr>
          <w:rFonts w:ascii="Times New Roman" w:hAnsi="Times New Roman" w:cs="Times New Roman"/>
          <w:color w:val="000000" w:themeColor="text1"/>
          <w:vertAlign w:val="subscript"/>
          <w:lang w:val="en-ID"/>
        </w:rPr>
        <w:t xml:space="preserve"> </w:t>
      </w:r>
      <w:r w:rsidRPr="000457AF">
        <w:rPr>
          <w:rFonts w:ascii="Times New Roman" w:hAnsi="Times New Roman" w:cs="Times New Roman"/>
          <w:color w:val="000000" w:themeColor="text1"/>
          <w:lang w:val="en-ID"/>
        </w:rPr>
        <w:t xml:space="preserve">= Concentration of the </w:t>
      </w:r>
      <w:r w:rsidRPr="000457AF">
        <w:rPr>
          <w:rFonts w:ascii="Times New Roman" w:hAnsi="Times New Roman" w:cs="Times New Roman"/>
          <w:i/>
          <w:iCs/>
          <w:color w:val="000000" w:themeColor="text1"/>
          <w:lang w:val="en-ID"/>
        </w:rPr>
        <w:t>i</w:t>
      </w:r>
      <w:r w:rsidRPr="000457AF">
        <w:rPr>
          <w:rFonts w:ascii="Times New Roman" w:hAnsi="Times New Roman" w:cs="Times New Roman"/>
          <w:color w:val="000000" w:themeColor="text1"/>
          <w:lang w:val="en-ID"/>
        </w:rPr>
        <w:t xml:space="preserve">-pollutant (e.g., in </w:t>
      </w:r>
      <w:r w:rsidRPr="000457AF">
        <w:rPr>
          <w:rFonts w:ascii="Times New Roman" w:hAnsi="Times New Roman" w:cs="Times New Roman"/>
          <w:b/>
          <w:bCs/>
          <w:color w:val="000000" w:themeColor="text1"/>
          <w:lang w:val="en-ID"/>
        </w:rPr>
        <w:t>mg/L</w:t>
      </w:r>
      <w:r w:rsidRPr="000457AF">
        <w:rPr>
          <w:rFonts w:ascii="Times New Roman" w:hAnsi="Times New Roman" w:cs="Times New Roman"/>
          <w:color w:val="000000" w:themeColor="text1"/>
          <w:lang w:val="en-ID"/>
        </w:rPr>
        <w:t>)</w:t>
      </w:r>
    </w:p>
    <w:p w14:paraId="1AC79EBD" w14:textId="77777777" w:rsidR="00E30AFB" w:rsidRPr="000457AF" w:rsidRDefault="00E30AFB" w:rsidP="00E30AFB">
      <w:pPr>
        <w:pStyle w:val="BodyText"/>
        <w:numPr>
          <w:ilvl w:val="0"/>
          <w:numId w:val="156"/>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Q= Mean river flow rate or mean discharge (e.g., in </w:t>
      </w:r>
      <w:r w:rsidRPr="000457AF">
        <w:rPr>
          <w:rFonts w:ascii="Times New Roman" w:hAnsi="Times New Roman" w:cs="Times New Roman"/>
          <w:b/>
          <w:bCs/>
          <w:color w:val="000000" w:themeColor="text1"/>
          <w:lang w:val="en-ID"/>
        </w:rPr>
        <w:t>L/s</w:t>
      </w:r>
      <w:r w:rsidRPr="000457AF">
        <w:rPr>
          <w:rFonts w:ascii="Times New Roman" w:hAnsi="Times New Roman" w:cs="Times New Roman"/>
          <w:color w:val="000000" w:themeColor="text1"/>
          <w:lang w:val="en-ID"/>
        </w:rPr>
        <w:t xml:space="preserve"> or </w:t>
      </w:r>
      <w:r w:rsidRPr="000457AF">
        <w:rPr>
          <w:rFonts w:ascii="Times New Roman" w:hAnsi="Times New Roman" w:cs="Times New Roman"/>
          <w:b/>
          <w:bCs/>
          <w:color w:val="000000" w:themeColor="text1"/>
          <w:lang w:val="en-ID"/>
        </w:rPr>
        <w:t>m³/s</w:t>
      </w:r>
      <w:r w:rsidRPr="000457AF">
        <w:rPr>
          <w:rFonts w:ascii="Times New Roman" w:hAnsi="Times New Roman" w:cs="Times New Roman"/>
          <w:color w:val="000000" w:themeColor="text1"/>
          <w:lang w:val="en-ID"/>
        </w:rPr>
        <w:t>)</w:t>
      </w:r>
    </w:p>
    <w:p w14:paraId="77216F0E" w14:textId="77777777" w:rsidR="00E30AFB" w:rsidRPr="000457AF" w:rsidRDefault="00E30AFB" w:rsidP="00E30AFB">
      <w:pPr>
        <w:pStyle w:val="BodyText"/>
        <w:numPr>
          <w:ilvl w:val="0"/>
          <w:numId w:val="156"/>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Pollution Load</w:t>
      </w:r>
      <w:r w:rsidRPr="000457AF">
        <w:rPr>
          <w:rFonts w:ascii="Times New Roman" w:hAnsi="Times New Roman" w:cs="Times New Roman"/>
          <w:color w:val="000000" w:themeColor="text1"/>
          <w:vertAlign w:val="subscript"/>
          <w:lang w:val="en-ID"/>
        </w:rPr>
        <w:t xml:space="preserve">i </w:t>
      </w:r>
      <w:r w:rsidRPr="000457AF">
        <w:rPr>
          <w:rFonts w:ascii="Times New Roman" w:hAnsi="Times New Roman" w:cs="Times New Roman"/>
          <w:color w:val="000000" w:themeColor="text1"/>
          <w:lang w:val="en-ID"/>
        </w:rPr>
        <w:t xml:space="preserve">  (e.g., in </w:t>
      </w:r>
      <w:r w:rsidRPr="000457AF">
        <w:rPr>
          <w:rFonts w:ascii="Times New Roman" w:hAnsi="Times New Roman" w:cs="Times New Roman"/>
          <w:b/>
          <w:bCs/>
          <w:color w:val="000000" w:themeColor="text1"/>
          <w:lang w:val="en-ID"/>
        </w:rPr>
        <w:t>mg/s</w:t>
      </w:r>
      <w:r w:rsidRPr="000457AF">
        <w:rPr>
          <w:rFonts w:ascii="Times New Roman" w:hAnsi="Times New Roman" w:cs="Times New Roman"/>
          <w:color w:val="000000" w:themeColor="text1"/>
          <w:lang w:val="en-ID"/>
        </w:rPr>
        <w:t xml:space="preserve">, </w:t>
      </w:r>
      <w:r w:rsidRPr="000457AF">
        <w:rPr>
          <w:rFonts w:ascii="Times New Roman" w:hAnsi="Times New Roman" w:cs="Times New Roman"/>
          <w:b/>
          <w:bCs/>
          <w:color w:val="000000" w:themeColor="text1"/>
          <w:lang w:val="en-ID"/>
        </w:rPr>
        <w:t>kg/day</w:t>
      </w:r>
      <w:r w:rsidRPr="000457AF">
        <w:rPr>
          <w:rFonts w:ascii="Times New Roman" w:hAnsi="Times New Roman" w:cs="Times New Roman"/>
          <w:color w:val="000000" w:themeColor="text1"/>
          <w:lang w:val="en-ID"/>
        </w:rPr>
        <w:t>, depending on the unit conversion)</w:t>
      </w:r>
    </w:p>
    <w:p w14:paraId="58AE6758"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Data on annual mean concentration of the I- water quality parameter and mean river discharge were collected from environmental statistics of Indonesia.    </w:t>
      </w:r>
    </w:p>
    <w:p w14:paraId="35BF6D2B" w14:textId="77777777" w:rsidR="00E30AFB" w:rsidRPr="000457AF" w:rsidRDefault="00E30AFB" w:rsidP="00E30AFB">
      <w:pPr>
        <w:pStyle w:val="BodyText"/>
        <w:spacing w:before="188"/>
        <w:ind w:left="360"/>
        <w:rPr>
          <w:rFonts w:ascii="Times New Roman" w:hAnsi="Times New Roman" w:cs="Times New Roman"/>
          <w:color w:val="000000" w:themeColor="text1"/>
          <w:lang w:val="en-ID"/>
        </w:rPr>
      </w:pPr>
    </w:p>
    <w:p w14:paraId="0BCBC811" w14:textId="77777777" w:rsidR="00E30AFB" w:rsidRDefault="00E30AFB" w:rsidP="00E30AFB">
      <w:pPr>
        <w:pStyle w:val="BodyText"/>
        <w:numPr>
          <w:ilvl w:val="0"/>
          <w:numId w:val="194"/>
        </w:numPr>
        <w:spacing w:before="188"/>
        <w:ind w:left="426" w:hanging="426"/>
        <w:rPr>
          <w:rFonts w:ascii="Times New Roman" w:hAnsi="Times New Roman" w:cs="Times New Roman"/>
          <w:b/>
          <w:bCs/>
          <w:color w:val="000000" w:themeColor="text1"/>
          <w:lang w:val="en-ID"/>
        </w:rPr>
      </w:pPr>
      <w:r w:rsidRPr="000457AF">
        <w:rPr>
          <w:rFonts w:ascii="Times New Roman" w:hAnsi="Times New Roman" w:cs="Times New Roman"/>
          <w:b/>
          <w:bCs/>
          <w:color w:val="000000" w:themeColor="text1"/>
          <w:lang w:val="en-ID"/>
        </w:rPr>
        <w:t>Methods for calculating River Water Quality (WRQI-IKA) (Environment and Forestry Ministerial Regulation No. 27 of 2021) </w:t>
      </w:r>
    </w:p>
    <w:p w14:paraId="23C6E58E"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The IKA is a composite index summarizing key water quality parameters—including pH, BOD, COD, TSS, DO, NO₃</w:t>
      </w:r>
      <w:r w:rsidRPr="000457AF">
        <w:rPr>
          <w:rFonts w:ascii="Times New Roman" w:hAnsi="Times New Roman" w:cs="Times New Roman"/>
          <w:color w:val="000000" w:themeColor="text1"/>
          <w:lang w:val="en-ID"/>
        </w:rPr>
        <w:noBreakHyphen/>
        <w:t>N, total phosphate, and fecal coliform counts—and is calculated using weighted sub</w:t>
      </w:r>
      <w:r w:rsidRPr="000457AF">
        <w:rPr>
          <w:rFonts w:ascii="Times New Roman" w:hAnsi="Times New Roman" w:cs="Times New Roman"/>
          <w:color w:val="000000" w:themeColor="text1"/>
          <w:lang w:val="en-ID"/>
        </w:rPr>
        <w:noBreakHyphen/>
        <w:t>indices on a 0–100 scale.  The classification thresholds used above are based on the standard national interpretation:  </w:t>
      </w:r>
    </w:p>
    <w:p w14:paraId="206146F7" w14:textId="77777777" w:rsidR="00E30AFB" w:rsidRPr="000457AF" w:rsidRDefault="00E30AFB" w:rsidP="00E30AFB">
      <w:pPr>
        <w:pStyle w:val="BodyText"/>
        <w:numPr>
          <w:ilvl w:val="0"/>
          <w:numId w:val="15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Very Good: 90-100</w:t>
      </w:r>
    </w:p>
    <w:p w14:paraId="4EEC250E" w14:textId="77777777" w:rsidR="00E30AFB" w:rsidRPr="000457AF" w:rsidRDefault="00E30AFB" w:rsidP="00E30AFB">
      <w:pPr>
        <w:pStyle w:val="BodyText"/>
        <w:numPr>
          <w:ilvl w:val="0"/>
          <w:numId w:val="15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Good: 70-89</w:t>
      </w:r>
    </w:p>
    <w:p w14:paraId="5456742F" w14:textId="77777777" w:rsidR="00E30AFB" w:rsidRPr="000457AF" w:rsidRDefault="00E30AFB" w:rsidP="00E30AFB">
      <w:pPr>
        <w:pStyle w:val="BodyText"/>
        <w:numPr>
          <w:ilvl w:val="0"/>
          <w:numId w:val="15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Moderate: 50-69</w:t>
      </w:r>
    </w:p>
    <w:p w14:paraId="13B410B5" w14:textId="77777777" w:rsidR="00E30AFB" w:rsidRPr="000457AF" w:rsidRDefault="00E30AFB" w:rsidP="00E30AFB">
      <w:pPr>
        <w:pStyle w:val="BodyText"/>
        <w:numPr>
          <w:ilvl w:val="0"/>
          <w:numId w:val="15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Poor: 25-49</w:t>
      </w:r>
    </w:p>
    <w:p w14:paraId="7DF1BD3A" w14:textId="77777777" w:rsidR="00E30AFB" w:rsidRPr="000457AF" w:rsidRDefault="00E30AFB" w:rsidP="00E30AFB">
      <w:pPr>
        <w:pStyle w:val="BodyText"/>
        <w:numPr>
          <w:ilvl w:val="0"/>
          <w:numId w:val="15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Very Poor: 10-24</w:t>
      </w:r>
    </w:p>
    <w:p w14:paraId="3DF5533B"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For each water-use category </w:t>
      </w:r>
      <w:r w:rsidRPr="000457AF">
        <w:rPr>
          <w:rFonts w:ascii="Times New Roman" w:hAnsi="Times New Roman" w:cs="Times New Roman"/>
          <w:i/>
          <w:iCs/>
          <w:color w:val="000000" w:themeColor="text1"/>
          <w:lang w:val="en-ID"/>
        </w:rPr>
        <w:t>j</w:t>
      </w:r>
      <w:r w:rsidRPr="000457AF">
        <w:rPr>
          <w:rFonts w:ascii="Times New Roman" w:hAnsi="Times New Roman" w:cs="Times New Roman"/>
          <w:color w:val="000000" w:themeColor="text1"/>
          <w:lang w:val="en-ID"/>
        </w:rPr>
        <w:t xml:space="preserve"> (e.g. domestic use, aquatic life), a Pollution Index (IPₙ) is calculated using multiple water quality parameters:</w:t>
      </w:r>
    </w:p>
    <w:p w14:paraId="0786CD56" w14:textId="77777777" w:rsidR="00E30AFB" w:rsidRPr="000457AF" w:rsidRDefault="00E30AFB" w:rsidP="00E30AFB">
      <w:pPr>
        <w:pStyle w:val="BodyText"/>
        <w:spacing w:before="188"/>
        <w:jc w:val="center"/>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IP</w:t>
      </w:r>
      <w:r w:rsidRPr="000457AF">
        <w:rPr>
          <w:rFonts w:ascii="Times New Roman" w:hAnsi="Times New Roman" w:cs="Times New Roman"/>
          <w:color w:val="000000" w:themeColor="text1"/>
          <w:vertAlign w:val="subscript"/>
          <w:lang w:val="en-ID"/>
        </w:rPr>
        <w:t>j</w:t>
      </w:r>
      <w:r w:rsidRPr="000457AF">
        <w:rPr>
          <w:rFonts w:ascii="Times New Roman" w:hAnsi="Times New Roman" w:cs="Times New Roman"/>
          <w:color w:val="000000" w:themeColor="text1"/>
          <w:lang w:val="en-ID"/>
        </w:rPr>
        <w:t xml:space="preserve"> = CiLij M2 + CiLijR22</w:t>
      </w:r>
    </w:p>
    <w:p w14:paraId="598019FB" w14:textId="77777777" w:rsidR="00E30AFB" w:rsidRPr="000457AF" w:rsidRDefault="00E30AFB" w:rsidP="00E30AFB">
      <w:pPr>
        <w:pStyle w:val="BodyText"/>
        <w:numPr>
          <w:ilvl w:val="0"/>
          <w:numId w:val="15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Ci is the measured concentration of parameter </w:t>
      </w:r>
      <w:r w:rsidRPr="000457AF">
        <w:rPr>
          <w:rFonts w:ascii="Times New Roman" w:hAnsi="Times New Roman" w:cs="Times New Roman"/>
          <w:i/>
          <w:iCs/>
          <w:color w:val="000000" w:themeColor="text1"/>
          <w:lang w:val="en-ID"/>
        </w:rPr>
        <w:t>i</w:t>
      </w:r>
      <w:r w:rsidRPr="000457AF">
        <w:rPr>
          <w:rFonts w:ascii="Times New Roman" w:hAnsi="Times New Roman" w:cs="Times New Roman"/>
          <w:color w:val="000000" w:themeColor="text1"/>
          <w:lang w:val="en-ID"/>
        </w:rPr>
        <w:t xml:space="preserve"> (e.g. DO, BOD, COD, pH, TSS, total phosphate, nitrate, fecal coliform).</w:t>
      </w:r>
    </w:p>
    <w:p w14:paraId="2271A5CD" w14:textId="77777777" w:rsidR="00E30AFB" w:rsidRPr="00B72984" w:rsidRDefault="00E30AFB" w:rsidP="00E30AFB">
      <w:pPr>
        <w:pStyle w:val="BodyText"/>
        <w:numPr>
          <w:ilvl w:val="0"/>
          <w:numId w:val="15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Lij​ is the regulatory standard (limit) for that parameter relative to water use </w:t>
      </w:r>
      <w:r w:rsidRPr="000457AF">
        <w:rPr>
          <w:rFonts w:ascii="Times New Roman" w:hAnsi="Times New Roman" w:cs="Times New Roman"/>
          <w:i/>
          <w:iCs/>
          <w:color w:val="000000" w:themeColor="text1"/>
          <w:lang w:val="en-ID"/>
        </w:rPr>
        <w:t>j</w:t>
      </w:r>
      <w:r w:rsidRPr="000457AF">
        <w:rPr>
          <w:rFonts w:ascii="Times New Roman" w:hAnsi="Times New Roman" w:cs="Times New Roman"/>
          <w:color w:val="000000" w:themeColor="text1"/>
          <w:lang w:val="en-ID"/>
        </w:rPr>
        <w:t xml:space="preserve"> (e.g. Class II river standard per PP 22/2021).</w:t>
      </w:r>
    </w:p>
    <w:p w14:paraId="7CF2675C"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Commonly measured parameters for Indonesian river WQI include:</w:t>
      </w:r>
    </w:p>
    <w:p w14:paraId="7A7435F8" w14:textId="77777777" w:rsidR="00E30AFB" w:rsidRPr="000457AF" w:rsidRDefault="00E30AFB" w:rsidP="00E30AFB">
      <w:pPr>
        <w:pStyle w:val="BodyText"/>
        <w:numPr>
          <w:ilvl w:val="0"/>
          <w:numId w:val="15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pH</w:t>
      </w:r>
    </w:p>
    <w:p w14:paraId="57476D8B" w14:textId="77777777" w:rsidR="00E30AFB" w:rsidRPr="000457AF" w:rsidRDefault="00E30AFB" w:rsidP="00E30AFB">
      <w:pPr>
        <w:pStyle w:val="BodyText"/>
        <w:numPr>
          <w:ilvl w:val="0"/>
          <w:numId w:val="15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Dissolved Oxygen (DO)</w:t>
      </w:r>
    </w:p>
    <w:p w14:paraId="6A425079" w14:textId="77777777" w:rsidR="00E30AFB" w:rsidRPr="000457AF" w:rsidRDefault="00E30AFB" w:rsidP="00E30AFB">
      <w:pPr>
        <w:pStyle w:val="BodyText"/>
        <w:numPr>
          <w:ilvl w:val="0"/>
          <w:numId w:val="15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Biochemical Oxygen Demand (BOD₅)</w:t>
      </w:r>
    </w:p>
    <w:p w14:paraId="0D163024" w14:textId="77777777" w:rsidR="00E30AFB" w:rsidRPr="000457AF" w:rsidRDefault="00E30AFB" w:rsidP="00E30AFB">
      <w:pPr>
        <w:pStyle w:val="BodyText"/>
        <w:numPr>
          <w:ilvl w:val="0"/>
          <w:numId w:val="15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Chemical Oxygen Demand (COD)</w:t>
      </w:r>
    </w:p>
    <w:p w14:paraId="2741840F" w14:textId="77777777" w:rsidR="00E30AFB" w:rsidRPr="000457AF" w:rsidRDefault="00E30AFB" w:rsidP="00E30AFB">
      <w:pPr>
        <w:pStyle w:val="BodyText"/>
        <w:numPr>
          <w:ilvl w:val="0"/>
          <w:numId w:val="15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Total Suspended Solids (TSS)</w:t>
      </w:r>
    </w:p>
    <w:p w14:paraId="17740905" w14:textId="77777777" w:rsidR="00E30AFB" w:rsidRPr="000457AF" w:rsidRDefault="00E30AFB" w:rsidP="00E30AFB">
      <w:pPr>
        <w:pStyle w:val="BodyText"/>
        <w:numPr>
          <w:ilvl w:val="0"/>
          <w:numId w:val="15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Nitrate (NO₃-N)</w:t>
      </w:r>
    </w:p>
    <w:p w14:paraId="598AC8ED" w14:textId="77777777" w:rsidR="00E30AFB" w:rsidRPr="000457AF" w:rsidRDefault="00E30AFB" w:rsidP="00E30AFB">
      <w:pPr>
        <w:pStyle w:val="BodyText"/>
        <w:numPr>
          <w:ilvl w:val="0"/>
          <w:numId w:val="15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Total Phosphate (T-Phosphate)</w:t>
      </w:r>
    </w:p>
    <w:p w14:paraId="3C4B0A35" w14:textId="77777777" w:rsidR="00E30AFB" w:rsidRDefault="00E30AFB" w:rsidP="00E30AFB">
      <w:pPr>
        <w:pStyle w:val="BodyText"/>
        <w:numPr>
          <w:ilvl w:val="0"/>
          <w:numId w:val="15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Fecal Coliform (or Total Coliform)</w:t>
      </w:r>
    </w:p>
    <w:p w14:paraId="25D3727D" w14:textId="77777777" w:rsidR="00E30AFB" w:rsidRPr="00B72984" w:rsidRDefault="00E30AFB" w:rsidP="00E30AFB">
      <w:pPr>
        <w:pStyle w:val="BodyText"/>
        <w:spacing w:before="188"/>
        <w:ind w:left="720"/>
        <w:rPr>
          <w:rFonts w:ascii="Times New Roman" w:hAnsi="Times New Roman" w:cs="Times New Roman"/>
          <w:color w:val="000000" w:themeColor="text1"/>
          <w:lang w:val="en-ID"/>
        </w:rPr>
      </w:pPr>
    </w:p>
    <w:p w14:paraId="3BDBFA14" w14:textId="77777777" w:rsidR="00E30AFB" w:rsidRPr="003C315D" w:rsidRDefault="00E30AFB" w:rsidP="00E30AFB">
      <w:pPr>
        <w:pStyle w:val="BodyText"/>
        <w:numPr>
          <w:ilvl w:val="0"/>
          <w:numId w:val="194"/>
        </w:numPr>
        <w:spacing w:before="188"/>
        <w:ind w:left="426" w:hanging="426"/>
        <w:rPr>
          <w:rFonts w:ascii="Times New Roman" w:hAnsi="Times New Roman" w:cs="Times New Roman"/>
          <w:color w:val="000000" w:themeColor="text1"/>
          <w:lang w:val="en-ID"/>
        </w:rPr>
      </w:pPr>
      <w:r w:rsidRPr="000457AF">
        <w:rPr>
          <w:rFonts w:ascii="Times New Roman" w:hAnsi="Times New Roman" w:cs="Times New Roman"/>
          <w:b/>
          <w:bCs/>
          <w:color w:val="000000" w:themeColor="text1"/>
          <w:lang w:val="en-ID"/>
        </w:rPr>
        <w:t>Methods for calculating Sea Water Quality Index (SWQI-IKAL)</w:t>
      </w:r>
    </w:p>
    <w:p w14:paraId="0115B4D9"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Under Indonesia’s Ministerial Regulation No. 27 of 2021, the IKAL is calculated using five key parameters, based on the NSF</w:t>
      </w:r>
      <w:r w:rsidRPr="000457AF">
        <w:rPr>
          <w:rFonts w:ascii="Times New Roman" w:hAnsi="Times New Roman" w:cs="Times New Roman"/>
          <w:color w:val="000000" w:themeColor="text1"/>
          <w:lang w:val="en-ID"/>
        </w:rPr>
        <w:noBreakHyphen/>
        <w:t>WQI model adapted for marine waters:</w:t>
      </w:r>
    </w:p>
    <w:p w14:paraId="38C7ABAB" w14:textId="77777777" w:rsidR="00E30AFB" w:rsidRPr="000457AF" w:rsidRDefault="00E30AFB" w:rsidP="00E30AFB">
      <w:pPr>
        <w:pStyle w:val="BodyText"/>
        <w:numPr>
          <w:ilvl w:val="0"/>
          <w:numId w:val="160"/>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Total Suspended Solids (TSS)</w:t>
      </w:r>
    </w:p>
    <w:p w14:paraId="5F1199DC" w14:textId="77777777" w:rsidR="00E30AFB" w:rsidRPr="000457AF" w:rsidRDefault="00E30AFB" w:rsidP="00E30AFB">
      <w:pPr>
        <w:pStyle w:val="BodyText"/>
        <w:numPr>
          <w:ilvl w:val="0"/>
          <w:numId w:val="160"/>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Dissolved Oxygen (DO)</w:t>
      </w:r>
    </w:p>
    <w:p w14:paraId="414870F4" w14:textId="77777777" w:rsidR="00E30AFB" w:rsidRPr="000457AF" w:rsidRDefault="00E30AFB" w:rsidP="00E30AFB">
      <w:pPr>
        <w:pStyle w:val="BodyText"/>
        <w:numPr>
          <w:ilvl w:val="0"/>
          <w:numId w:val="160"/>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Oil and Grease</w:t>
      </w:r>
    </w:p>
    <w:p w14:paraId="132206ED" w14:textId="77777777" w:rsidR="00E30AFB" w:rsidRPr="000457AF" w:rsidRDefault="00E30AFB" w:rsidP="00E30AFB">
      <w:pPr>
        <w:pStyle w:val="BodyText"/>
        <w:numPr>
          <w:ilvl w:val="0"/>
          <w:numId w:val="160"/>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Total Ammonia (NH₃</w:t>
      </w:r>
      <w:r w:rsidRPr="000457AF">
        <w:rPr>
          <w:rFonts w:ascii="Times New Roman" w:hAnsi="Times New Roman" w:cs="Times New Roman"/>
          <w:color w:val="000000" w:themeColor="text1"/>
          <w:lang w:val="en-ID"/>
        </w:rPr>
        <w:noBreakHyphen/>
        <w:t>N)</w:t>
      </w:r>
    </w:p>
    <w:p w14:paraId="1B70741D" w14:textId="77777777" w:rsidR="00E30AFB" w:rsidRPr="000457AF" w:rsidRDefault="00E30AFB" w:rsidP="00E30AFB">
      <w:pPr>
        <w:pStyle w:val="BodyText"/>
        <w:numPr>
          <w:ilvl w:val="0"/>
          <w:numId w:val="160"/>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Ortho</w:t>
      </w:r>
      <w:r w:rsidRPr="000457AF">
        <w:rPr>
          <w:rFonts w:ascii="Times New Roman" w:hAnsi="Times New Roman" w:cs="Times New Roman"/>
          <w:color w:val="000000" w:themeColor="text1"/>
          <w:lang w:val="en-ID"/>
        </w:rPr>
        <w:noBreakHyphen/>
        <w:t>Phosphate (PO₄</w:t>
      </w:r>
      <w:r w:rsidRPr="000457AF">
        <w:rPr>
          <w:rFonts w:ascii="Times New Roman" w:hAnsi="Times New Roman" w:cs="Times New Roman"/>
          <w:color w:val="000000" w:themeColor="text1"/>
          <w:lang w:val="en-ID"/>
        </w:rPr>
        <w:noBreakHyphen/>
        <w:t>P)</w:t>
      </w:r>
    </w:p>
    <w:p w14:paraId="442330FC"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These parameters were selected for their relevance to marine pollution sources and ecological impact, including turbidity, hypoxia, toxicity, and eutrophication potential.</w:t>
      </w:r>
    </w:p>
    <w:p w14:paraId="151B1315"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The Marine Water Quality Index (IKAL) is calculated as the sum of the sub-indices of each seawater parameter, multiplied by the weight of each parameter</w:t>
      </w:r>
    </w:p>
    <w:p w14:paraId="4AB7D6CF" w14:textId="77777777" w:rsidR="00E30AFB" w:rsidRPr="000457AF" w:rsidRDefault="00E30AFB" w:rsidP="00E30AFB">
      <w:pPr>
        <w:pStyle w:val="BodyText"/>
        <w:spacing w:before="188"/>
        <w:ind w:left="360"/>
        <w:jc w:val="center"/>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IKAL=i=1n(WiQi)</w:t>
      </w:r>
    </w:p>
    <w:p w14:paraId="09B8964C" w14:textId="77777777" w:rsidR="00E30AFB" w:rsidRPr="000457AF" w:rsidRDefault="00E30AFB" w:rsidP="00E30AFB">
      <w:pPr>
        <w:pStyle w:val="BodyText"/>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where:</w:t>
      </w:r>
    </w:p>
    <w:p w14:paraId="096AA5F3" w14:textId="77777777" w:rsidR="00E30AFB" w:rsidRPr="000457AF" w:rsidRDefault="00E30AFB" w:rsidP="00E30AFB">
      <w:pPr>
        <w:pStyle w:val="BodyText"/>
        <w:numPr>
          <w:ilvl w:val="0"/>
          <w:numId w:val="161"/>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Qi= sub-index of i-parameter ke-i </w:t>
      </w:r>
    </w:p>
    <w:p w14:paraId="5B6D0190" w14:textId="77777777" w:rsidR="00E30AFB" w:rsidRPr="000457AF" w:rsidRDefault="00E30AFB" w:rsidP="00E30AFB">
      <w:pPr>
        <w:pStyle w:val="BodyText"/>
        <w:numPr>
          <w:ilvl w:val="0"/>
          <w:numId w:val="161"/>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Wi= weighted score of i-parameter</w:t>
      </w:r>
    </w:p>
    <w:p w14:paraId="7FE1EA8B" w14:textId="77777777" w:rsidR="00E30AFB" w:rsidRPr="000457AF" w:rsidRDefault="00E30AFB" w:rsidP="00E30AFB">
      <w:pPr>
        <w:pStyle w:val="BodyText"/>
        <w:numPr>
          <w:ilvl w:val="0"/>
          <w:numId w:val="161"/>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n=  number of  parameter  </w:t>
      </w:r>
    </w:p>
    <w:p w14:paraId="18EFD2A8" w14:textId="77777777" w:rsidR="00E30AFB" w:rsidRPr="003C315D" w:rsidRDefault="00E30AFB" w:rsidP="00E30AFB">
      <w:pPr>
        <w:pStyle w:val="BodyText"/>
        <w:spacing w:before="188"/>
        <w:ind w:left="360"/>
        <w:rPr>
          <w:rFonts w:ascii="Times New Roman" w:hAnsi="Times New Roman" w:cs="Times New Roman"/>
          <w:color w:val="000000" w:themeColor="text1"/>
          <w:lang w:val="en-ID"/>
        </w:rPr>
      </w:pPr>
    </w:p>
    <w:p w14:paraId="437129C2" w14:textId="77777777" w:rsidR="00E30AFB" w:rsidRPr="003C315D" w:rsidRDefault="00E30AFB" w:rsidP="00E30AFB">
      <w:pPr>
        <w:pStyle w:val="BodyText"/>
        <w:numPr>
          <w:ilvl w:val="0"/>
          <w:numId w:val="194"/>
        </w:numPr>
        <w:spacing w:before="188"/>
        <w:ind w:left="426" w:hanging="426"/>
        <w:rPr>
          <w:rFonts w:ascii="Times New Roman" w:hAnsi="Times New Roman" w:cs="Times New Roman"/>
          <w:color w:val="000000" w:themeColor="text1"/>
          <w:lang w:val="en-ID"/>
        </w:rPr>
      </w:pPr>
      <w:r>
        <w:rPr>
          <w:rFonts w:ascii="Times New Roman" w:hAnsi="Times New Roman" w:cs="Times New Roman"/>
          <w:b/>
          <w:bCs/>
          <w:color w:val="000000" w:themeColor="text1"/>
          <w:lang w:val="en-ID"/>
        </w:rPr>
        <w:t>Analysis of Risk Assessment</w:t>
      </w:r>
    </w:p>
    <w:p w14:paraId="675BD031" w14:textId="77777777" w:rsidR="00E30AFB" w:rsidRPr="000457AF" w:rsidRDefault="00E30AFB" w:rsidP="00E30AFB">
      <w:pPr>
        <w:pStyle w:val="BodyText"/>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Risk assessment is conducted using a risk analysis approach based on a simple formula that incorporates three key variables: probability, impacts, and adaptive capacity, within the context of a specific pollution scenario (Cornelly et al., 2018; Ortega et al., 2014).</w:t>
      </w:r>
    </w:p>
    <w:p w14:paraId="484EC40A" w14:textId="77777777" w:rsidR="00E30AFB" w:rsidRPr="000457AF" w:rsidRDefault="00E30AFB" w:rsidP="00E30AFB">
      <w:pPr>
        <w:pStyle w:val="BodyText"/>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The variables probability and impacts are positively correlated with the level of risk—meaning that as their values increase, the overall risk also increases. Conversely, adaptive capacity is negatively correlated to risk value.</w:t>
      </w:r>
    </w:p>
    <w:p w14:paraId="10C37E1D" w14:textId="77777777" w:rsidR="00E30AFB" w:rsidRDefault="00E30AFB" w:rsidP="00E30AFB">
      <w:pPr>
        <w:pStyle w:val="BodyText"/>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Probability refers to the likelihood or potential for a specific pollution event to occur, which in this context is represented by the magnitude of pollution sources within a given area. Higher probability values indicate a greater risk. The probability is measured on a scale from 1 to 5.   The data for this variable represents the likelihood of a specific type of pollution occurring, based on its pollution source. The data was collected through discussions during focus group discussions (FGDs) as well as from available secondary data, such as environmental statistics from a given region. FGD participants were asked to assign a probability score ranging from 1 to 5, where a score of 1 indicates low probability, and a score of 5 indicates high probability.</w:t>
      </w:r>
    </w:p>
    <w:p w14:paraId="36C9E724" w14:textId="77777777" w:rsidR="00E30AFB" w:rsidRPr="000457AF" w:rsidRDefault="00E30AFB" w:rsidP="00E30AFB">
      <w:pPr>
        <w:pStyle w:val="BodyText"/>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The next variable, impacts, comprises several sub-variables, including the existing water quality in the relevant coastal or marine waters, the deviation of parameter values from quality standards, social impacts, and ecological impacts. This variable is also positively correlated with the risk value—greater impacts are associated with higher levels of risk. Impacts are also scored on a scale from 1 to 5.   Impact data represents the severity of the consequences resulting from a specific pollution contamination event in a given area. The impact data consists of the following variables: (1) sea water quality index (IPAL), (2) water quality status relative to standards, (3) social impacts, and (4) ecological impacts. Each variable is assigned a score ranging from 1 to 5. FGD participants were asked to determine the score, where a score of 1 indicates low impact and a score of 5 indicates high impact.</w:t>
      </w:r>
    </w:p>
    <w:p w14:paraId="7AB52A4A" w14:textId="77777777" w:rsidR="00E30AFB" w:rsidRPr="000457AF" w:rsidRDefault="00E30AFB" w:rsidP="00E30AFB">
      <w:pPr>
        <w:pStyle w:val="BodyText"/>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The final variable, adaptive capacity, represents the ability of a management unit to effectively manage a specific type of pollution within its administrative area. A higher adaptive capacity indicates stronger management capability, and therefore, is negatively correlated with risk. Adaptive capacity is also rated on a scale from 1 to 5.  Based on this assessment, adaptive capacity consists of the following variables: (1) the level of existing pollution management, (2) availability of financial allocation, and (3) availability of regulations. The higher the aggregate capacity of a unit to manage pollution, the lower the resulting pollution risk. The formula for risk calculation is as follows:</w:t>
      </w:r>
    </w:p>
    <w:p w14:paraId="13244D66" w14:textId="77777777" w:rsidR="00E30AFB" w:rsidRPr="000457AF" w:rsidRDefault="00E30AFB" w:rsidP="00E30AFB">
      <w:pPr>
        <w:pStyle w:val="BodyText"/>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Risk = (P * I)/AC, where:</w:t>
      </w:r>
    </w:p>
    <w:p w14:paraId="72BA06E9" w14:textId="77777777" w:rsidR="00E30AFB" w:rsidRPr="000457AF" w:rsidRDefault="00E30AFB" w:rsidP="00E30AFB">
      <w:pPr>
        <w:pStyle w:val="BodyText"/>
        <w:numPr>
          <w:ilvl w:val="0"/>
          <w:numId w:val="162"/>
        </w:numPr>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P </w:t>
      </w:r>
      <w:r w:rsidRPr="000457AF">
        <w:rPr>
          <w:rFonts w:ascii="Times New Roman" w:hAnsi="Times New Roman" w:cs="Times New Roman"/>
          <w:color w:val="000000" w:themeColor="text1"/>
          <w:lang w:val="en-ID"/>
        </w:rPr>
        <w:tab/>
        <w:t>= probability </w:t>
      </w:r>
    </w:p>
    <w:p w14:paraId="65A81613" w14:textId="77777777" w:rsidR="00E30AFB" w:rsidRPr="000457AF" w:rsidRDefault="00E30AFB" w:rsidP="00E30AFB">
      <w:pPr>
        <w:pStyle w:val="BodyText"/>
        <w:numPr>
          <w:ilvl w:val="0"/>
          <w:numId w:val="162"/>
        </w:numPr>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I </w:t>
      </w:r>
      <w:r w:rsidRPr="000457AF">
        <w:rPr>
          <w:rFonts w:ascii="Times New Roman" w:hAnsi="Times New Roman" w:cs="Times New Roman"/>
          <w:color w:val="000000" w:themeColor="text1"/>
          <w:lang w:val="en-ID"/>
        </w:rPr>
        <w:tab/>
        <w:t>= Impacts</w:t>
      </w:r>
    </w:p>
    <w:p w14:paraId="7C63B36F" w14:textId="77777777" w:rsidR="00E30AFB" w:rsidRPr="000457AF" w:rsidRDefault="00E30AFB" w:rsidP="00E30AFB">
      <w:pPr>
        <w:pStyle w:val="BodyText"/>
        <w:numPr>
          <w:ilvl w:val="0"/>
          <w:numId w:val="162"/>
        </w:numPr>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AC </w:t>
      </w:r>
      <w:r w:rsidRPr="000457AF">
        <w:rPr>
          <w:rFonts w:ascii="Times New Roman" w:hAnsi="Times New Roman" w:cs="Times New Roman"/>
          <w:color w:val="000000" w:themeColor="text1"/>
          <w:lang w:val="en-ID"/>
        </w:rPr>
        <w:tab/>
        <w:t>= Adaptive Capacity</w:t>
      </w:r>
    </w:p>
    <w:p w14:paraId="17E7B60B" w14:textId="77777777" w:rsidR="00E30AFB" w:rsidRPr="000457AF" w:rsidRDefault="00E30AFB" w:rsidP="00E30AFB">
      <w:pPr>
        <w:pStyle w:val="BodyText"/>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The risk value, ranges from 0.2 to 25, with the following risk classification levels:</w:t>
      </w:r>
    </w:p>
    <w:p w14:paraId="2F3F7C45" w14:textId="77777777" w:rsidR="00E30AFB" w:rsidRPr="000457AF" w:rsidRDefault="00E30AFB" w:rsidP="00E30AFB">
      <w:pPr>
        <w:pStyle w:val="BodyText"/>
        <w:numPr>
          <w:ilvl w:val="0"/>
          <w:numId w:val="163"/>
        </w:numPr>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Very low </w:t>
      </w:r>
      <w:r w:rsidRPr="000457AF">
        <w:rPr>
          <w:rFonts w:ascii="Times New Roman" w:hAnsi="Times New Roman" w:cs="Times New Roman"/>
          <w:color w:val="000000" w:themeColor="text1"/>
          <w:lang w:val="en-ID"/>
        </w:rPr>
        <w:tab/>
        <w:t>= 0.2 - 1.0</w:t>
      </w:r>
    </w:p>
    <w:p w14:paraId="318F265A" w14:textId="77777777" w:rsidR="00E30AFB" w:rsidRPr="000457AF" w:rsidRDefault="00E30AFB" w:rsidP="00E30AFB">
      <w:pPr>
        <w:pStyle w:val="BodyText"/>
        <w:numPr>
          <w:ilvl w:val="0"/>
          <w:numId w:val="163"/>
        </w:numPr>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Low </w:t>
      </w:r>
      <w:r w:rsidRPr="000457AF">
        <w:rPr>
          <w:rFonts w:ascii="Times New Roman" w:hAnsi="Times New Roman" w:cs="Times New Roman"/>
          <w:color w:val="000000" w:themeColor="text1"/>
          <w:lang w:val="en-ID"/>
        </w:rPr>
        <w:tab/>
      </w:r>
      <w:r w:rsidRPr="000457AF">
        <w:rPr>
          <w:rFonts w:ascii="Times New Roman" w:hAnsi="Times New Roman" w:cs="Times New Roman"/>
          <w:color w:val="000000" w:themeColor="text1"/>
          <w:lang w:val="en-ID"/>
        </w:rPr>
        <w:tab/>
        <w:t>= 1.0 - 3.0</w:t>
      </w:r>
    </w:p>
    <w:p w14:paraId="5BBF28E1" w14:textId="77777777" w:rsidR="00E30AFB" w:rsidRPr="000457AF" w:rsidRDefault="00E30AFB" w:rsidP="00E30AFB">
      <w:pPr>
        <w:pStyle w:val="BodyText"/>
        <w:numPr>
          <w:ilvl w:val="0"/>
          <w:numId w:val="163"/>
        </w:numPr>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Moderate </w:t>
      </w:r>
      <w:r w:rsidRPr="000457AF">
        <w:rPr>
          <w:rFonts w:ascii="Times New Roman" w:hAnsi="Times New Roman" w:cs="Times New Roman"/>
          <w:color w:val="000000" w:themeColor="text1"/>
          <w:lang w:val="en-ID"/>
        </w:rPr>
        <w:tab/>
        <w:t>= 3.0 - 8.0</w:t>
      </w:r>
    </w:p>
    <w:p w14:paraId="4F9025F1" w14:textId="77777777" w:rsidR="00E30AFB" w:rsidRPr="000457AF" w:rsidRDefault="00E30AFB" w:rsidP="00E30AFB">
      <w:pPr>
        <w:pStyle w:val="BodyText"/>
        <w:numPr>
          <w:ilvl w:val="0"/>
          <w:numId w:val="163"/>
        </w:numPr>
        <w:spacing w:before="188"/>
        <w:jc w:val="both"/>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High</w:t>
      </w:r>
      <w:r w:rsidRPr="000457AF">
        <w:rPr>
          <w:rFonts w:ascii="Times New Roman" w:hAnsi="Times New Roman" w:cs="Times New Roman"/>
          <w:color w:val="000000" w:themeColor="text1"/>
          <w:lang w:val="en-ID"/>
        </w:rPr>
        <w:tab/>
      </w:r>
      <w:r w:rsidRPr="000457AF">
        <w:rPr>
          <w:rFonts w:ascii="Times New Roman" w:hAnsi="Times New Roman" w:cs="Times New Roman"/>
          <w:color w:val="000000" w:themeColor="text1"/>
          <w:lang w:val="en-ID"/>
        </w:rPr>
        <w:tab/>
        <w:t>= 8.0 - 12.5</w:t>
      </w:r>
    </w:p>
    <w:p w14:paraId="680C5F19" w14:textId="77777777" w:rsidR="00E30AFB" w:rsidRPr="000457AF" w:rsidRDefault="00E30AFB" w:rsidP="00E30AFB">
      <w:pPr>
        <w:pStyle w:val="BodyText"/>
        <w:numPr>
          <w:ilvl w:val="0"/>
          <w:numId w:val="163"/>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Very High </w:t>
      </w:r>
      <w:r w:rsidRPr="000457AF">
        <w:rPr>
          <w:rFonts w:ascii="Times New Roman" w:hAnsi="Times New Roman" w:cs="Times New Roman"/>
          <w:color w:val="000000" w:themeColor="text1"/>
          <w:lang w:val="en-ID"/>
        </w:rPr>
        <w:tab/>
        <w:t>=</w:t>
      </w:r>
      <w:r>
        <w:rPr>
          <w:rFonts w:ascii="Times New Roman" w:hAnsi="Times New Roman" w:cs="Times New Roman"/>
          <w:color w:val="000000" w:themeColor="text1"/>
          <w:lang w:val="en-ID"/>
        </w:rPr>
        <w:t xml:space="preserve"> </w:t>
      </w:r>
      <w:r w:rsidRPr="000457AF">
        <w:rPr>
          <w:rFonts w:ascii="Times New Roman" w:hAnsi="Times New Roman" w:cs="Times New Roman"/>
          <w:color w:val="000000" w:themeColor="text1"/>
          <w:lang w:val="en-ID"/>
        </w:rPr>
        <w:t>12.5 - 25</w:t>
      </w:r>
      <w:r w:rsidRPr="000457AF">
        <w:rPr>
          <w:rFonts w:ascii="Times New Roman" w:hAnsi="Times New Roman" w:cs="Times New Roman"/>
          <w:color w:val="000000" w:themeColor="text1"/>
          <w:lang w:val="en-ID"/>
        </w:rPr>
        <w:br/>
      </w:r>
    </w:p>
    <w:p w14:paraId="3DA92609" w14:textId="77777777" w:rsidR="00E30AFB" w:rsidRPr="003C315D" w:rsidRDefault="00E30AFB" w:rsidP="00E30AFB">
      <w:pPr>
        <w:pStyle w:val="BodyText"/>
        <w:spacing w:before="188"/>
        <w:ind w:left="360"/>
        <w:rPr>
          <w:rFonts w:ascii="Times New Roman" w:hAnsi="Times New Roman" w:cs="Times New Roman"/>
          <w:color w:val="000000" w:themeColor="text1"/>
          <w:lang w:val="en-ID"/>
        </w:rPr>
      </w:pPr>
    </w:p>
    <w:p w14:paraId="1D250CF3" w14:textId="77777777" w:rsidR="00E30AFB" w:rsidRDefault="00E30AFB" w:rsidP="00E30AFB">
      <w:pPr>
        <w:pStyle w:val="ListParagraph"/>
        <w:rPr>
          <w:rFonts w:ascii="Times New Roman" w:hAnsi="Times New Roman" w:cs="Times New Roman"/>
          <w:b/>
          <w:bCs/>
        </w:rPr>
        <w:sectPr w:rsidR="00E30AFB" w:rsidSect="002248A5">
          <w:headerReference w:type="default" r:id="rId127"/>
          <w:footerReference w:type="even" r:id="rId128"/>
          <w:footerReference w:type="default" r:id="rId129"/>
          <w:pgSz w:w="11901" w:h="16817"/>
          <w:pgMar w:top="1440" w:right="1077" w:bottom="1440" w:left="1077" w:header="709" w:footer="709" w:gutter="0"/>
          <w:pgNumType w:start="1"/>
          <w:cols w:space="720"/>
          <w:titlePg/>
          <w:docGrid w:linePitch="326"/>
        </w:sectPr>
      </w:pPr>
    </w:p>
    <w:p w14:paraId="316E8C69" w14:textId="77777777" w:rsidR="00E30AFB" w:rsidRPr="0012520D" w:rsidRDefault="00E30AFB" w:rsidP="00E30AFB">
      <w:pPr>
        <w:pStyle w:val="ListParagraph"/>
        <w:numPr>
          <w:ilvl w:val="0"/>
          <w:numId w:val="194"/>
        </w:numPr>
        <w:rPr>
          <w:rFonts w:ascii="Times New Roman" w:hAnsi="Times New Roman" w:cs="Times New Roman"/>
          <w:b/>
          <w:bCs/>
        </w:rPr>
      </w:pPr>
      <w:r>
        <w:rPr>
          <w:rFonts w:ascii="Times New Roman" w:hAnsi="Times New Roman" w:cs="Times New Roman"/>
          <w:b/>
          <w:bCs/>
        </w:rPr>
        <w:lastRenderedPageBreak/>
        <w:t xml:space="preserve"> </w:t>
      </w:r>
      <w:r w:rsidRPr="0012520D">
        <w:rPr>
          <w:rFonts w:ascii="Times New Roman" w:hAnsi="Times New Roman" w:cs="Times New Roman"/>
          <w:b/>
          <w:bCs/>
        </w:rPr>
        <w:t>Results of the risk assessment analysis for each type of pollution and administrative region (source: data analysis 2025)</w:t>
      </w:r>
    </w:p>
    <w:tbl>
      <w:tblPr>
        <w:tblW w:w="15891" w:type="dxa"/>
        <w:jc w:val="center"/>
        <w:tblLook w:val="04A0" w:firstRow="1" w:lastRow="0" w:firstColumn="1" w:lastColumn="0" w:noHBand="0" w:noVBand="1"/>
      </w:tblPr>
      <w:tblGrid>
        <w:gridCol w:w="1341"/>
        <w:gridCol w:w="1677"/>
        <w:gridCol w:w="1165"/>
        <w:gridCol w:w="922"/>
        <w:gridCol w:w="1050"/>
        <w:gridCol w:w="774"/>
        <w:gridCol w:w="929"/>
        <w:gridCol w:w="762"/>
        <w:gridCol w:w="1024"/>
        <w:gridCol w:w="837"/>
        <w:gridCol w:w="1248"/>
        <w:gridCol w:w="1048"/>
        <w:gridCol w:w="1050"/>
        <w:gridCol w:w="837"/>
        <w:gridCol w:w="574"/>
        <w:gridCol w:w="659"/>
      </w:tblGrid>
      <w:tr w:rsidR="00E30AFB" w:rsidRPr="00A803B9" w14:paraId="7E9E6455" w14:textId="77777777" w:rsidTr="001B74B6">
        <w:trPr>
          <w:trHeight w:val="480"/>
          <w:tblHeader/>
          <w:jc w:val="center"/>
        </w:trPr>
        <w:tc>
          <w:tcPr>
            <w:tcW w:w="1341" w:type="dxa"/>
            <w:vMerge w:val="restart"/>
            <w:tcBorders>
              <w:top w:val="single" w:sz="8" w:space="0" w:color="auto"/>
              <w:left w:val="single" w:sz="8" w:space="0" w:color="auto"/>
              <w:right w:val="single" w:sz="4" w:space="0" w:color="auto"/>
            </w:tcBorders>
            <w:vAlign w:val="center"/>
            <w:hideMark/>
          </w:tcPr>
          <w:p w14:paraId="790D729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Administrative Area</w:t>
            </w:r>
          </w:p>
          <w:p w14:paraId="13F1A130"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vMerge w:val="restart"/>
            <w:tcBorders>
              <w:top w:val="single" w:sz="8" w:space="0" w:color="auto"/>
              <w:left w:val="nil"/>
              <w:right w:val="single" w:sz="4" w:space="0" w:color="auto"/>
            </w:tcBorders>
            <w:vAlign w:val="center"/>
            <w:hideMark/>
          </w:tcPr>
          <w:p w14:paraId="37C1670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Type of pollution</w:t>
            </w:r>
          </w:p>
          <w:p w14:paraId="119996E3"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165" w:type="dxa"/>
            <w:vMerge w:val="restart"/>
            <w:tcBorders>
              <w:top w:val="single" w:sz="8" w:space="0" w:color="auto"/>
              <w:left w:val="nil"/>
              <w:right w:val="single" w:sz="4" w:space="0" w:color="auto"/>
            </w:tcBorders>
            <w:vAlign w:val="center"/>
            <w:hideMark/>
          </w:tcPr>
          <w:p w14:paraId="4C3E502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Source of pollution</w:t>
            </w:r>
          </w:p>
          <w:p w14:paraId="0D9642F6"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972" w:type="dxa"/>
            <w:gridSpan w:val="2"/>
            <w:tcBorders>
              <w:top w:val="single" w:sz="8" w:space="0" w:color="auto"/>
              <w:left w:val="nil"/>
              <w:bottom w:val="single" w:sz="4" w:space="0" w:color="auto"/>
              <w:right w:val="single" w:sz="4" w:space="0" w:color="auto"/>
            </w:tcBorders>
            <w:vAlign w:val="center"/>
            <w:hideMark/>
          </w:tcPr>
          <w:p w14:paraId="589399D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Probability</w:t>
            </w:r>
          </w:p>
        </w:tc>
        <w:tc>
          <w:tcPr>
            <w:tcW w:w="4326" w:type="dxa"/>
            <w:gridSpan w:val="5"/>
            <w:tcBorders>
              <w:top w:val="single" w:sz="8" w:space="0" w:color="auto"/>
              <w:left w:val="nil"/>
              <w:bottom w:val="single" w:sz="4" w:space="0" w:color="auto"/>
              <w:right w:val="single" w:sz="4" w:space="0" w:color="auto"/>
            </w:tcBorders>
            <w:vAlign w:val="center"/>
            <w:hideMark/>
          </w:tcPr>
          <w:p w14:paraId="3181384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Impact</w:t>
            </w:r>
          </w:p>
        </w:tc>
        <w:tc>
          <w:tcPr>
            <w:tcW w:w="4183" w:type="dxa"/>
            <w:gridSpan w:val="4"/>
            <w:tcBorders>
              <w:top w:val="single" w:sz="8" w:space="0" w:color="auto"/>
              <w:left w:val="nil"/>
              <w:bottom w:val="single" w:sz="4" w:space="0" w:color="auto"/>
              <w:right w:val="single" w:sz="4" w:space="0" w:color="auto"/>
            </w:tcBorders>
            <w:vAlign w:val="center"/>
            <w:hideMark/>
          </w:tcPr>
          <w:p w14:paraId="4558C29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Adaptive Capacity</w:t>
            </w:r>
          </w:p>
        </w:tc>
        <w:tc>
          <w:tcPr>
            <w:tcW w:w="568" w:type="dxa"/>
            <w:tcBorders>
              <w:top w:val="single" w:sz="8" w:space="0" w:color="auto"/>
              <w:left w:val="nil"/>
              <w:bottom w:val="single" w:sz="4" w:space="0" w:color="auto"/>
              <w:right w:val="single" w:sz="8" w:space="0" w:color="auto"/>
            </w:tcBorders>
            <w:vAlign w:val="center"/>
            <w:hideMark/>
          </w:tcPr>
          <w:p w14:paraId="792E5A5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Risk</w:t>
            </w:r>
          </w:p>
        </w:tc>
        <w:tc>
          <w:tcPr>
            <w:tcW w:w="659" w:type="dxa"/>
            <w:tcBorders>
              <w:top w:val="single" w:sz="8" w:space="0" w:color="auto"/>
              <w:left w:val="nil"/>
              <w:bottom w:val="single" w:sz="4" w:space="0" w:color="auto"/>
              <w:right w:val="single" w:sz="8" w:space="0" w:color="auto"/>
            </w:tcBorders>
            <w:vAlign w:val="center"/>
          </w:tcPr>
          <w:p w14:paraId="024DD2D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Class</w:t>
            </w:r>
          </w:p>
        </w:tc>
      </w:tr>
      <w:tr w:rsidR="00E30AFB" w:rsidRPr="00A803B9" w14:paraId="76488961" w14:textId="77777777" w:rsidTr="001B74B6">
        <w:trPr>
          <w:trHeight w:val="1200"/>
          <w:tblHeader/>
          <w:jc w:val="center"/>
        </w:trPr>
        <w:tc>
          <w:tcPr>
            <w:tcW w:w="1341" w:type="dxa"/>
            <w:vMerge/>
            <w:tcBorders>
              <w:left w:val="single" w:sz="8" w:space="0" w:color="auto"/>
              <w:bottom w:val="single" w:sz="4" w:space="0" w:color="auto"/>
              <w:right w:val="single" w:sz="4" w:space="0" w:color="auto"/>
            </w:tcBorders>
            <w:vAlign w:val="center"/>
            <w:hideMark/>
          </w:tcPr>
          <w:p w14:paraId="1D7C161B" w14:textId="77777777" w:rsidR="00E30AFB" w:rsidRPr="00A803B9" w:rsidRDefault="00E30AFB" w:rsidP="001B74B6">
            <w:pPr>
              <w:rPr>
                <w:rFonts w:ascii="Aptos" w:eastAsia="Times New Roman" w:hAnsi="Aptos"/>
                <w:color w:val="000000"/>
                <w:sz w:val="18"/>
                <w:szCs w:val="18"/>
                <w:lang w:val="en-ID"/>
              </w:rPr>
            </w:pPr>
          </w:p>
        </w:tc>
        <w:tc>
          <w:tcPr>
            <w:tcW w:w="1677" w:type="dxa"/>
            <w:vMerge/>
            <w:tcBorders>
              <w:left w:val="nil"/>
              <w:bottom w:val="single" w:sz="4" w:space="0" w:color="auto"/>
              <w:right w:val="single" w:sz="4" w:space="0" w:color="auto"/>
            </w:tcBorders>
            <w:vAlign w:val="center"/>
            <w:hideMark/>
          </w:tcPr>
          <w:p w14:paraId="3C68D2B7" w14:textId="77777777" w:rsidR="00E30AFB" w:rsidRPr="00A803B9" w:rsidRDefault="00E30AFB" w:rsidP="001B74B6">
            <w:pPr>
              <w:rPr>
                <w:rFonts w:ascii="Aptos" w:eastAsia="Times New Roman" w:hAnsi="Aptos"/>
                <w:color w:val="000000"/>
                <w:sz w:val="18"/>
                <w:szCs w:val="18"/>
                <w:lang w:val="en-ID"/>
              </w:rPr>
            </w:pPr>
          </w:p>
        </w:tc>
        <w:tc>
          <w:tcPr>
            <w:tcW w:w="1165" w:type="dxa"/>
            <w:vMerge/>
            <w:tcBorders>
              <w:left w:val="nil"/>
              <w:bottom w:val="single" w:sz="4" w:space="0" w:color="auto"/>
              <w:right w:val="single" w:sz="4" w:space="0" w:color="auto"/>
            </w:tcBorders>
            <w:vAlign w:val="center"/>
            <w:hideMark/>
          </w:tcPr>
          <w:p w14:paraId="1C688635" w14:textId="77777777" w:rsidR="00E30AFB" w:rsidRPr="00A803B9" w:rsidRDefault="00E30AFB" w:rsidP="001B74B6">
            <w:pPr>
              <w:rPr>
                <w:rFonts w:ascii="Aptos" w:eastAsia="Times New Roman" w:hAnsi="Aptos"/>
                <w:color w:val="000000"/>
                <w:sz w:val="18"/>
                <w:szCs w:val="18"/>
                <w:lang w:val="en-ID"/>
              </w:rPr>
            </w:pPr>
          </w:p>
        </w:tc>
        <w:tc>
          <w:tcPr>
            <w:tcW w:w="922" w:type="dxa"/>
            <w:tcBorders>
              <w:top w:val="nil"/>
              <w:left w:val="nil"/>
              <w:bottom w:val="single" w:sz="4" w:space="0" w:color="auto"/>
              <w:right w:val="single" w:sz="4" w:space="0" w:color="auto"/>
            </w:tcBorders>
            <w:vAlign w:val="center"/>
            <w:hideMark/>
          </w:tcPr>
          <w:p w14:paraId="70F15CE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Source of pollutant (1-5)</w:t>
            </w:r>
          </w:p>
        </w:tc>
        <w:tc>
          <w:tcPr>
            <w:tcW w:w="1050" w:type="dxa"/>
            <w:tcBorders>
              <w:top w:val="nil"/>
              <w:left w:val="nil"/>
              <w:bottom w:val="single" w:sz="4" w:space="0" w:color="auto"/>
              <w:right w:val="single" w:sz="4" w:space="0" w:color="auto"/>
            </w:tcBorders>
            <w:vAlign w:val="center"/>
            <w:hideMark/>
          </w:tcPr>
          <w:p w14:paraId="7686900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Average Probability (1-5)</w:t>
            </w:r>
          </w:p>
        </w:tc>
        <w:tc>
          <w:tcPr>
            <w:tcW w:w="774" w:type="dxa"/>
            <w:tcBorders>
              <w:top w:val="nil"/>
              <w:left w:val="nil"/>
              <w:bottom w:val="single" w:sz="4" w:space="0" w:color="auto"/>
              <w:right w:val="single" w:sz="4" w:space="0" w:color="auto"/>
            </w:tcBorders>
            <w:vAlign w:val="center"/>
            <w:hideMark/>
          </w:tcPr>
          <w:p w14:paraId="234FD1F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Sea Water Quality Index (1-5)</w:t>
            </w:r>
          </w:p>
        </w:tc>
        <w:tc>
          <w:tcPr>
            <w:tcW w:w="929" w:type="dxa"/>
            <w:tcBorders>
              <w:top w:val="nil"/>
              <w:left w:val="nil"/>
              <w:bottom w:val="single" w:sz="4" w:space="0" w:color="auto"/>
              <w:right w:val="single" w:sz="4" w:space="0" w:color="auto"/>
            </w:tcBorders>
            <w:vAlign w:val="center"/>
            <w:hideMark/>
          </w:tcPr>
          <w:p w14:paraId="48374CA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Status towards Standard (1-5)</w:t>
            </w:r>
          </w:p>
        </w:tc>
        <w:tc>
          <w:tcPr>
            <w:tcW w:w="762" w:type="dxa"/>
            <w:tcBorders>
              <w:top w:val="nil"/>
              <w:left w:val="nil"/>
              <w:bottom w:val="single" w:sz="4" w:space="0" w:color="auto"/>
              <w:right w:val="single" w:sz="4" w:space="0" w:color="auto"/>
            </w:tcBorders>
            <w:vAlign w:val="center"/>
            <w:hideMark/>
          </w:tcPr>
          <w:p w14:paraId="0C84343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Social impact (1-5)</w:t>
            </w:r>
          </w:p>
        </w:tc>
        <w:tc>
          <w:tcPr>
            <w:tcW w:w="1024" w:type="dxa"/>
            <w:tcBorders>
              <w:top w:val="nil"/>
              <w:left w:val="nil"/>
              <w:bottom w:val="single" w:sz="4" w:space="0" w:color="auto"/>
              <w:right w:val="single" w:sz="4" w:space="0" w:color="auto"/>
            </w:tcBorders>
            <w:vAlign w:val="center"/>
            <w:hideMark/>
          </w:tcPr>
          <w:p w14:paraId="46D375B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Ecological Impact (1-5)</w:t>
            </w:r>
          </w:p>
        </w:tc>
        <w:tc>
          <w:tcPr>
            <w:tcW w:w="837" w:type="dxa"/>
            <w:tcBorders>
              <w:top w:val="nil"/>
              <w:left w:val="nil"/>
              <w:bottom w:val="single" w:sz="4" w:space="0" w:color="auto"/>
              <w:right w:val="single" w:sz="4" w:space="0" w:color="auto"/>
            </w:tcBorders>
            <w:vAlign w:val="center"/>
            <w:hideMark/>
          </w:tcPr>
          <w:p w14:paraId="3957207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Average Impact (1-5)</w:t>
            </w:r>
          </w:p>
        </w:tc>
        <w:tc>
          <w:tcPr>
            <w:tcW w:w="1248" w:type="dxa"/>
            <w:tcBorders>
              <w:top w:val="nil"/>
              <w:left w:val="nil"/>
              <w:bottom w:val="single" w:sz="4" w:space="0" w:color="auto"/>
              <w:right w:val="single" w:sz="4" w:space="0" w:color="auto"/>
            </w:tcBorders>
            <w:vAlign w:val="center"/>
            <w:hideMark/>
          </w:tcPr>
          <w:p w14:paraId="5E84E67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Existing pollution management level (1-5)</w:t>
            </w:r>
          </w:p>
        </w:tc>
        <w:tc>
          <w:tcPr>
            <w:tcW w:w="1048" w:type="dxa"/>
            <w:tcBorders>
              <w:top w:val="nil"/>
              <w:left w:val="nil"/>
              <w:bottom w:val="single" w:sz="4" w:space="0" w:color="auto"/>
              <w:right w:val="single" w:sz="4" w:space="0" w:color="auto"/>
            </w:tcBorders>
            <w:vAlign w:val="center"/>
            <w:hideMark/>
          </w:tcPr>
          <w:p w14:paraId="2B8A6BC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Financial allocation availability (1-5)</w:t>
            </w:r>
          </w:p>
        </w:tc>
        <w:tc>
          <w:tcPr>
            <w:tcW w:w="1050" w:type="dxa"/>
            <w:tcBorders>
              <w:top w:val="nil"/>
              <w:left w:val="nil"/>
              <w:bottom w:val="single" w:sz="4" w:space="0" w:color="auto"/>
              <w:right w:val="single" w:sz="4" w:space="0" w:color="auto"/>
            </w:tcBorders>
            <w:vAlign w:val="center"/>
            <w:hideMark/>
          </w:tcPr>
          <w:p w14:paraId="78547CA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Regulation availability (1-5)</w:t>
            </w:r>
          </w:p>
        </w:tc>
        <w:tc>
          <w:tcPr>
            <w:tcW w:w="837" w:type="dxa"/>
            <w:tcBorders>
              <w:top w:val="nil"/>
              <w:left w:val="nil"/>
              <w:bottom w:val="single" w:sz="4" w:space="0" w:color="auto"/>
              <w:right w:val="single" w:sz="4" w:space="0" w:color="auto"/>
            </w:tcBorders>
            <w:vAlign w:val="center"/>
            <w:hideMark/>
          </w:tcPr>
          <w:p w14:paraId="5C3E7BE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Average AC</w:t>
            </w:r>
          </w:p>
        </w:tc>
        <w:tc>
          <w:tcPr>
            <w:tcW w:w="574" w:type="dxa"/>
            <w:tcBorders>
              <w:top w:val="nil"/>
              <w:left w:val="nil"/>
              <w:bottom w:val="single" w:sz="4" w:space="0" w:color="auto"/>
              <w:right w:val="single" w:sz="8" w:space="0" w:color="auto"/>
            </w:tcBorders>
            <w:vAlign w:val="center"/>
            <w:hideMark/>
          </w:tcPr>
          <w:p w14:paraId="6423AB4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(0.2-25)</w:t>
            </w:r>
          </w:p>
        </w:tc>
        <w:tc>
          <w:tcPr>
            <w:tcW w:w="653" w:type="dxa"/>
            <w:tcBorders>
              <w:top w:val="nil"/>
              <w:left w:val="nil"/>
              <w:bottom w:val="single" w:sz="4" w:space="0" w:color="auto"/>
              <w:right w:val="single" w:sz="8" w:space="0" w:color="auto"/>
            </w:tcBorders>
          </w:tcPr>
          <w:p w14:paraId="476E8747" w14:textId="77777777" w:rsidR="00E30AFB" w:rsidRPr="00A803B9" w:rsidRDefault="00E30AFB" w:rsidP="001B74B6">
            <w:pPr>
              <w:jc w:val="center"/>
              <w:rPr>
                <w:rFonts w:ascii="Aptos" w:eastAsia="Times New Roman" w:hAnsi="Aptos"/>
                <w:color w:val="000000"/>
                <w:sz w:val="18"/>
                <w:szCs w:val="18"/>
                <w:lang w:val="en-ID"/>
              </w:rPr>
            </w:pPr>
          </w:p>
        </w:tc>
      </w:tr>
      <w:tr w:rsidR="00E30AFB" w:rsidRPr="00A803B9" w14:paraId="2B4590FA" w14:textId="77777777" w:rsidTr="001B74B6">
        <w:trPr>
          <w:trHeight w:val="375"/>
          <w:jc w:val="center"/>
        </w:trPr>
        <w:tc>
          <w:tcPr>
            <w:tcW w:w="15891" w:type="dxa"/>
            <w:gridSpan w:val="16"/>
            <w:tcBorders>
              <w:top w:val="nil"/>
              <w:left w:val="single" w:sz="8" w:space="0" w:color="auto"/>
              <w:bottom w:val="single" w:sz="4" w:space="0" w:color="auto"/>
              <w:right w:val="single" w:sz="8" w:space="0" w:color="auto"/>
            </w:tcBorders>
            <w:vAlign w:val="center"/>
          </w:tcPr>
          <w:p w14:paraId="57CB3F3B"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Riau Archipelago Province</w:t>
            </w:r>
          </w:p>
        </w:tc>
      </w:tr>
      <w:tr w:rsidR="00E30AFB" w:rsidRPr="00A803B9" w14:paraId="3FC85CDB" w14:textId="77777777" w:rsidTr="001B74B6">
        <w:trPr>
          <w:trHeight w:val="480"/>
          <w:jc w:val="center"/>
        </w:trPr>
        <w:tc>
          <w:tcPr>
            <w:tcW w:w="1341" w:type="dxa"/>
            <w:vMerge w:val="restart"/>
            <w:tcBorders>
              <w:top w:val="nil"/>
              <w:left w:val="single" w:sz="8" w:space="0" w:color="auto"/>
              <w:right w:val="single" w:sz="4" w:space="0" w:color="auto"/>
            </w:tcBorders>
            <w:vAlign w:val="center"/>
            <w:hideMark/>
          </w:tcPr>
          <w:p w14:paraId="26D798CB"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Batam City and Bintan</w:t>
            </w:r>
          </w:p>
          <w:p w14:paraId="380D72A5"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p w14:paraId="76F4080B"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p w14:paraId="0AE5819D"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p w14:paraId="21AA2201"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p w14:paraId="16E73C29"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p w14:paraId="3FFBA26C"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3392E58C"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Oil</w:t>
            </w:r>
          </w:p>
        </w:tc>
        <w:tc>
          <w:tcPr>
            <w:tcW w:w="1165" w:type="dxa"/>
            <w:tcBorders>
              <w:top w:val="nil"/>
              <w:left w:val="nil"/>
              <w:bottom w:val="single" w:sz="4" w:space="0" w:color="auto"/>
              <w:right w:val="single" w:sz="4" w:space="0" w:color="auto"/>
            </w:tcBorders>
            <w:vAlign w:val="center"/>
            <w:hideMark/>
          </w:tcPr>
          <w:p w14:paraId="257CFD4F"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seaport, oil facility, shipping activity</w:t>
            </w:r>
          </w:p>
        </w:tc>
        <w:tc>
          <w:tcPr>
            <w:tcW w:w="922" w:type="dxa"/>
            <w:tcBorders>
              <w:top w:val="nil"/>
              <w:left w:val="nil"/>
              <w:bottom w:val="single" w:sz="4" w:space="0" w:color="auto"/>
              <w:right w:val="single" w:sz="4" w:space="0" w:color="auto"/>
            </w:tcBorders>
            <w:vAlign w:val="center"/>
            <w:hideMark/>
          </w:tcPr>
          <w:p w14:paraId="470E842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12F1D9A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vAlign w:val="center"/>
            <w:hideMark/>
          </w:tcPr>
          <w:p w14:paraId="6338196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929" w:type="dxa"/>
            <w:tcBorders>
              <w:top w:val="nil"/>
              <w:left w:val="nil"/>
              <w:bottom w:val="single" w:sz="4" w:space="0" w:color="auto"/>
              <w:right w:val="single" w:sz="4" w:space="0" w:color="auto"/>
            </w:tcBorders>
            <w:vAlign w:val="center"/>
            <w:hideMark/>
          </w:tcPr>
          <w:p w14:paraId="7A32C18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62" w:type="dxa"/>
            <w:tcBorders>
              <w:top w:val="nil"/>
              <w:left w:val="nil"/>
              <w:bottom w:val="single" w:sz="4" w:space="0" w:color="auto"/>
              <w:right w:val="single" w:sz="4" w:space="0" w:color="auto"/>
            </w:tcBorders>
            <w:vAlign w:val="center"/>
            <w:hideMark/>
          </w:tcPr>
          <w:p w14:paraId="08366A3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24" w:type="dxa"/>
            <w:tcBorders>
              <w:top w:val="nil"/>
              <w:left w:val="nil"/>
              <w:bottom w:val="single" w:sz="4" w:space="0" w:color="auto"/>
              <w:right w:val="single" w:sz="4" w:space="0" w:color="auto"/>
            </w:tcBorders>
            <w:vAlign w:val="center"/>
            <w:hideMark/>
          </w:tcPr>
          <w:p w14:paraId="2A94F59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837" w:type="dxa"/>
            <w:tcBorders>
              <w:top w:val="nil"/>
              <w:left w:val="nil"/>
              <w:bottom w:val="single" w:sz="4" w:space="0" w:color="auto"/>
              <w:right w:val="single" w:sz="4" w:space="0" w:color="auto"/>
            </w:tcBorders>
            <w:vAlign w:val="center"/>
            <w:hideMark/>
          </w:tcPr>
          <w:p w14:paraId="2F9DFA7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5.0</w:t>
            </w:r>
          </w:p>
        </w:tc>
        <w:tc>
          <w:tcPr>
            <w:tcW w:w="1248" w:type="dxa"/>
            <w:tcBorders>
              <w:top w:val="nil"/>
              <w:left w:val="nil"/>
              <w:bottom w:val="single" w:sz="4" w:space="0" w:color="auto"/>
              <w:right w:val="single" w:sz="4" w:space="0" w:color="auto"/>
            </w:tcBorders>
            <w:vAlign w:val="center"/>
            <w:hideMark/>
          </w:tcPr>
          <w:p w14:paraId="5A9DAC6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1048" w:type="dxa"/>
            <w:tcBorders>
              <w:top w:val="nil"/>
              <w:left w:val="nil"/>
              <w:bottom w:val="single" w:sz="4" w:space="0" w:color="auto"/>
              <w:right w:val="single" w:sz="4" w:space="0" w:color="auto"/>
            </w:tcBorders>
            <w:vAlign w:val="center"/>
            <w:hideMark/>
          </w:tcPr>
          <w:p w14:paraId="6DEC903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2766484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19F0B19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3.0</w:t>
            </w:r>
          </w:p>
        </w:tc>
        <w:tc>
          <w:tcPr>
            <w:tcW w:w="574" w:type="dxa"/>
            <w:tcBorders>
              <w:top w:val="nil"/>
              <w:left w:val="nil"/>
              <w:bottom w:val="single" w:sz="4" w:space="0" w:color="auto"/>
              <w:right w:val="single" w:sz="8" w:space="0" w:color="auto"/>
            </w:tcBorders>
            <w:vAlign w:val="center"/>
            <w:hideMark/>
          </w:tcPr>
          <w:p w14:paraId="41D93B0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8.3</w:t>
            </w:r>
          </w:p>
        </w:tc>
        <w:tc>
          <w:tcPr>
            <w:tcW w:w="653" w:type="dxa"/>
            <w:tcBorders>
              <w:top w:val="nil"/>
              <w:left w:val="nil"/>
              <w:bottom w:val="single" w:sz="4" w:space="0" w:color="auto"/>
              <w:right w:val="single" w:sz="8" w:space="0" w:color="auto"/>
            </w:tcBorders>
          </w:tcPr>
          <w:p w14:paraId="45BB5C1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H</w:t>
            </w:r>
          </w:p>
        </w:tc>
      </w:tr>
      <w:tr w:rsidR="00E30AFB" w:rsidRPr="00A803B9" w14:paraId="06F888E7" w14:textId="77777777" w:rsidTr="001B74B6">
        <w:trPr>
          <w:trHeight w:val="480"/>
          <w:jc w:val="center"/>
        </w:trPr>
        <w:tc>
          <w:tcPr>
            <w:tcW w:w="1341" w:type="dxa"/>
            <w:vMerge/>
            <w:tcBorders>
              <w:left w:val="single" w:sz="8" w:space="0" w:color="auto"/>
              <w:right w:val="single" w:sz="4" w:space="0" w:color="auto"/>
            </w:tcBorders>
            <w:vAlign w:val="center"/>
            <w:hideMark/>
          </w:tcPr>
          <w:p w14:paraId="049F257D" w14:textId="77777777" w:rsidR="00E30AFB" w:rsidRPr="00A803B9" w:rsidRDefault="00E30AFB" w:rsidP="001B74B6">
            <w:pPr>
              <w:rPr>
                <w:rFonts w:ascii="Aptos" w:eastAsia="Times New Roman" w:hAnsi="Aptos"/>
                <w:color w:val="000000"/>
                <w:sz w:val="18"/>
                <w:szCs w:val="18"/>
                <w:lang w:val="en-ID"/>
              </w:rPr>
            </w:pPr>
          </w:p>
        </w:tc>
        <w:tc>
          <w:tcPr>
            <w:tcW w:w="1677" w:type="dxa"/>
            <w:tcBorders>
              <w:top w:val="nil"/>
              <w:left w:val="nil"/>
              <w:bottom w:val="single" w:sz="4" w:space="0" w:color="auto"/>
              <w:right w:val="single" w:sz="4" w:space="0" w:color="auto"/>
            </w:tcBorders>
            <w:vAlign w:val="center"/>
            <w:hideMark/>
          </w:tcPr>
          <w:p w14:paraId="686DDD69"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Hazardous waste and heavy metals</w:t>
            </w:r>
          </w:p>
        </w:tc>
        <w:tc>
          <w:tcPr>
            <w:tcW w:w="1165" w:type="dxa"/>
            <w:tcBorders>
              <w:top w:val="nil"/>
              <w:left w:val="nil"/>
              <w:bottom w:val="single" w:sz="4" w:space="0" w:color="auto"/>
              <w:right w:val="single" w:sz="4" w:space="0" w:color="auto"/>
            </w:tcBorders>
            <w:vAlign w:val="center"/>
            <w:hideMark/>
          </w:tcPr>
          <w:p w14:paraId="59D3FD67"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industry</w:t>
            </w:r>
          </w:p>
        </w:tc>
        <w:tc>
          <w:tcPr>
            <w:tcW w:w="922" w:type="dxa"/>
            <w:tcBorders>
              <w:top w:val="nil"/>
              <w:left w:val="nil"/>
              <w:bottom w:val="single" w:sz="4" w:space="0" w:color="auto"/>
              <w:right w:val="single" w:sz="4" w:space="0" w:color="auto"/>
            </w:tcBorders>
            <w:vAlign w:val="center"/>
            <w:hideMark/>
          </w:tcPr>
          <w:p w14:paraId="34AD46B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767E9C5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vAlign w:val="center"/>
            <w:hideMark/>
          </w:tcPr>
          <w:p w14:paraId="7240A8D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929" w:type="dxa"/>
            <w:tcBorders>
              <w:top w:val="nil"/>
              <w:left w:val="nil"/>
              <w:bottom w:val="single" w:sz="4" w:space="0" w:color="auto"/>
              <w:right w:val="single" w:sz="4" w:space="0" w:color="auto"/>
            </w:tcBorders>
            <w:vAlign w:val="center"/>
            <w:hideMark/>
          </w:tcPr>
          <w:p w14:paraId="359A4E6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62" w:type="dxa"/>
            <w:tcBorders>
              <w:top w:val="nil"/>
              <w:left w:val="nil"/>
              <w:bottom w:val="single" w:sz="4" w:space="0" w:color="auto"/>
              <w:right w:val="single" w:sz="4" w:space="0" w:color="auto"/>
            </w:tcBorders>
            <w:vAlign w:val="center"/>
            <w:hideMark/>
          </w:tcPr>
          <w:p w14:paraId="7BBE502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4" w:space="0" w:color="auto"/>
              <w:right w:val="single" w:sz="4" w:space="0" w:color="auto"/>
            </w:tcBorders>
            <w:vAlign w:val="center"/>
            <w:hideMark/>
          </w:tcPr>
          <w:p w14:paraId="4F15013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73DC854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3.8</w:t>
            </w:r>
          </w:p>
        </w:tc>
        <w:tc>
          <w:tcPr>
            <w:tcW w:w="1248" w:type="dxa"/>
            <w:tcBorders>
              <w:top w:val="nil"/>
              <w:left w:val="nil"/>
              <w:bottom w:val="single" w:sz="4" w:space="0" w:color="auto"/>
              <w:right w:val="single" w:sz="4" w:space="0" w:color="auto"/>
            </w:tcBorders>
            <w:vAlign w:val="center"/>
            <w:hideMark/>
          </w:tcPr>
          <w:p w14:paraId="6DF2D18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175C4FD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4B70402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2C58F4F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6BBADD2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5.6</w:t>
            </w:r>
          </w:p>
        </w:tc>
        <w:tc>
          <w:tcPr>
            <w:tcW w:w="653" w:type="dxa"/>
            <w:tcBorders>
              <w:top w:val="nil"/>
              <w:left w:val="nil"/>
              <w:bottom w:val="single" w:sz="4" w:space="0" w:color="auto"/>
              <w:right w:val="single" w:sz="8" w:space="0" w:color="auto"/>
            </w:tcBorders>
          </w:tcPr>
          <w:p w14:paraId="7AC231A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3EF59B6E" w14:textId="77777777" w:rsidTr="001B74B6">
        <w:trPr>
          <w:trHeight w:val="288"/>
          <w:jc w:val="center"/>
        </w:trPr>
        <w:tc>
          <w:tcPr>
            <w:tcW w:w="1341" w:type="dxa"/>
            <w:vMerge/>
            <w:tcBorders>
              <w:left w:val="single" w:sz="8" w:space="0" w:color="auto"/>
              <w:right w:val="single" w:sz="4" w:space="0" w:color="auto"/>
            </w:tcBorders>
            <w:vAlign w:val="center"/>
            <w:hideMark/>
          </w:tcPr>
          <w:p w14:paraId="07A8AB50" w14:textId="77777777" w:rsidR="00E30AFB" w:rsidRPr="00A803B9" w:rsidRDefault="00E30AFB" w:rsidP="001B74B6">
            <w:pPr>
              <w:rPr>
                <w:rFonts w:ascii="Aptos" w:eastAsia="Times New Roman" w:hAnsi="Aptos"/>
                <w:color w:val="000000"/>
                <w:sz w:val="18"/>
                <w:szCs w:val="18"/>
                <w:lang w:val="en-ID"/>
              </w:rPr>
            </w:pPr>
          </w:p>
        </w:tc>
        <w:tc>
          <w:tcPr>
            <w:tcW w:w="1677" w:type="dxa"/>
            <w:tcBorders>
              <w:top w:val="nil"/>
              <w:left w:val="nil"/>
              <w:bottom w:val="single" w:sz="4" w:space="0" w:color="auto"/>
              <w:right w:val="single" w:sz="4" w:space="0" w:color="auto"/>
            </w:tcBorders>
            <w:vAlign w:val="center"/>
            <w:hideMark/>
          </w:tcPr>
          <w:p w14:paraId="6CC0C1AD"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Plastic-marine debris</w:t>
            </w:r>
          </w:p>
        </w:tc>
        <w:tc>
          <w:tcPr>
            <w:tcW w:w="1165" w:type="dxa"/>
            <w:tcBorders>
              <w:top w:val="nil"/>
              <w:left w:val="nil"/>
              <w:bottom w:val="single" w:sz="4" w:space="0" w:color="auto"/>
              <w:right w:val="single" w:sz="4" w:space="0" w:color="auto"/>
            </w:tcBorders>
            <w:vAlign w:val="center"/>
            <w:hideMark/>
          </w:tcPr>
          <w:p w14:paraId="39D2EABB"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Domestics</w:t>
            </w:r>
          </w:p>
        </w:tc>
        <w:tc>
          <w:tcPr>
            <w:tcW w:w="922" w:type="dxa"/>
            <w:tcBorders>
              <w:top w:val="nil"/>
              <w:left w:val="nil"/>
              <w:bottom w:val="single" w:sz="4" w:space="0" w:color="auto"/>
              <w:right w:val="single" w:sz="4" w:space="0" w:color="auto"/>
            </w:tcBorders>
            <w:vAlign w:val="center"/>
            <w:hideMark/>
          </w:tcPr>
          <w:p w14:paraId="6B83DC8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50" w:type="dxa"/>
            <w:tcBorders>
              <w:top w:val="nil"/>
              <w:left w:val="nil"/>
              <w:bottom w:val="single" w:sz="4" w:space="0" w:color="auto"/>
              <w:right w:val="single" w:sz="4" w:space="0" w:color="auto"/>
            </w:tcBorders>
            <w:vAlign w:val="center"/>
            <w:hideMark/>
          </w:tcPr>
          <w:p w14:paraId="3CB003A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74" w:type="dxa"/>
            <w:tcBorders>
              <w:top w:val="nil"/>
              <w:left w:val="nil"/>
              <w:bottom w:val="single" w:sz="4" w:space="0" w:color="auto"/>
              <w:right w:val="single" w:sz="4" w:space="0" w:color="auto"/>
            </w:tcBorders>
            <w:vAlign w:val="center"/>
            <w:hideMark/>
          </w:tcPr>
          <w:p w14:paraId="47890AF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929" w:type="dxa"/>
            <w:tcBorders>
              <w:top w:val="nil"/>
              <w:left w:val="nil"/>
              <w:bottom w:val="single" w:sz="4" w:space="0" w:color="auto"/>
              <w:right w:val="single" w:sz="4" w:space="0" w:color="auto"/>
            </w:tcBorders>
            <w:vAlign w:val="center"/>
            <w:hideMark/>
          </w:tcPr>
          <w:p w14:paraId="6F77664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62" w:type="dxa"/>
            <w:tcBorders>
              <w:top w:val="nil"/>
              <w:left w:val="nil"/>
              <w:bottom w:val="single" w:sz="4" w:space="0" w:color="auto"/>
              <w:right w:val="single" w:sz="4" w:space="0" w:color="auto"/>
            </w:tcBorders>
            <w:vAlign w:val="center"/>
            <w:hideMark/>
          </w:tcPr>
          <w:p w14:paraId="529B678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24" w:type="dxa"/>
            <w:tcBorders>
              <w:top w:val="nil"/>
              <w:left w:val="nil"/>
              <w:bottom w:val="single" w:sz="4" w:space="0" w:color="auto"/>
              <w:right w:val="single" w:sz="4" w:space="0" w:color="auto"/>
            </w:tcBorders>
            <w:vAlign w:val="center"/>
            <w:hideMark/>
          </w:tcPr>
          <w:p w14:paraId="2EDF15E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3F5949A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3.5</w:t>
            </w:r>
          </w:p>
        </w:tc>
        <w:tc>
          <w:tcPr>
            <w:tcW w:w="1248" w:type="dxa"/>
            <w:tcBorders>
              <w:top w:val="nil"/>
              <w:left w:val="nil"/>
              <w:bottom w:val="single" w:sz="4" w:space="0" w:color="auto"/>
              <w:right w:val="single" w:sz="4" w:space="0" w:color="auto"/>
            </w:tcBorders>
            <w:vAlign w:val="center"/>
            <w:hideMark/>
          </w:tcPr>
          <w:p w14:paraId="5F6AEDE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24364C4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521A107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4CF5C38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0B5ACAE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4.2</w:t>
            </w:r>
          </w:p>
        </w:tc>
        <w:tc>
          <w:tcPr>
            <w:tcW w:w="653" w:type="dxa"/>
            <w:tcBorders>
              <w:top w:val="nil"/>
              <w:left w:val="nil"/>
              <w:bottom w:val="single" w:sz="4" w:space="0" w:color="auto"/>
              <w:right w:val="single" w:sz="8" w:space="0" w:color="auto"/>
            </w:tcBorders>
          </w:tcPr>
          <w:p w14:paraId="352747A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7EC91080" w14:textId="77777777" w:rsidTr="001B74B6">
        <w:trPr>
          <w:trHeight w:val="288"/>
          <w:jc w:val="center"/>
        </w:trPr>
        <w:tc>
          <w:tcPr>
            <w:tcW w:w="1341" w:type="dxa"/>
            <w:vMerge/>
            <w:tcBorders>
              <w:left w:val="single" w:sz="8" w:space="0" w:color="auto"/>
              <w:right w:val="single" w:sz="4" w:space="0" w:color="auto"/>
            </w:tcBorders>
            <w:vAlign w:val="center"/>
            <w:hideMark/>
          </w:tcPr>
          <w:p w14:paraId="6F588DCB" w14:textId="77777777" w:rsidR="00E30AFB" w:rsidRPr="00A803B9" w:rsidRDefault="00E30AFB" w:rsidP="001B74B6">
            <w:pPr>
              <w:rPr>
                <w:rFonts w:ascii="Aptos" w:eastAsia="Times New Roman" w:hAnsi="Aptos"/>
                <w:color w:val="000000"/>
                <w:sz w:val="18"/>
                <w:szCs w:val="18"/>
                <w:lang w:val="en-ID"/>
              </w:rPr>
            </w:pPr>
          </w:p>
        </w:tc>
        <w:tc>
          <w:tcPr>
            <w:tcW w:w="1677" w:type="dxa"/>
            <w:tcBorders>
              <w:top w:val="nil"/>
              <w:left w:val="nil"/>
              <w:bottom w:val="single" w:sz="4" w:space="0" w:color="auto"/>
              <w:right w:val="single" w:sz="4" w:space="0" w:color="auto"/>
            </w:tcBorders>
            <w:vAlign w:val="center"/>
            <w:hideMark/>
          </w:tcPr>
          <w:p w14:paraId="3344A5D9"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Organics/nutrients</w:t>
            </w:r>
          </w:p>
        </w:tc>
        <w:tc>
          <w:tcPr>
            <w:tcW w:w="1165" w:type="dxa"/>
            <w:tcBorders>
              <w:top w:val="nil"/>
              <w:left w:val="nil"/>
              <w:bottom w:val="single" w:sz="4" w:space="0" w:color="auto"/>
              <w:right w:val="single" w:sz="4" w:space="0" w:color="auto"/>
            </w:tcBorders>
            <w:vAlign w:val="center"/>
            <w:hideMark/>
          </w:tcPr>
          <w:p w14:paraId="6B9B4E78"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Domestic, agriculture, aquaculture</w:t>
            </w:r>
          </w:p>
        </w:tc>
        <w:tc>
          <w:tcPr>
            <w:tcW w:w="922" w:type="dxa"/>
            <w:tcBorders>
              <w:top w:val="nil"/>
              <w:left w:val="nil"/>
              <w:bottom w:val="single" w:sz="4" w:space="0" w:color="auto"/>
              <w:right w:val="single" w:sz="4" w:space="0" w:color="auto"/>
            </w:tcBorders>
            <w:vAlign w:val="center"/>
            <w:hideMark/>
          </w:tcPr>
          <w:p w14:paraId="401E4D3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658578D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vAlign w:val="center"/>
            <w:hideMark/>
          </w:tcPr>
          <w:p w14:paraId="4C78E67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929" w:type="dxa"/>
            <w:tcBorders>
              <w:top w:val="nil"/>
              <w:left w:val="nil"/>
              <w:bottom w:val="single" w:sz="4" w:space="0" w:color="auto"/>
              <w:right w:val="single" w:sz="4" w:space="0" w:color="auto"/>
            </w:tcBorders>
            <w:vAlign w:val="center"/>
            <w:hideMark/>
          </w:tcPr>
          <w:p w14:paraId="552DEBF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62" w:type="dxa"/>
            <w:tcBorders>
              <w:top w:val="nil"/>
              <w:left w:val="nil"/>
              <w:bottom w:val="single" w:sz="4" w:space="0" w:color="auto"/>
              <w:right w:val="single" w:sz="4" w:space="0" w:color="auto"/>
            </w:tcBorders>
            <w:vAlign w:val="center"/>
            <w:hideMark/>
          </w:tcPr>
          <w:p w14:paraId="5DC3792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24" w:type="dxa"/>
            <w:tcBorders>
              <w:top w:val="nil"/>
              <w:left w:val="nil"/>
              <w:bottom w:val="single" w:sz="4" w:space="0" w:color="auto"/>
              <w:right w:val="single" w:sz="4" w:space="0" w:color="auto"/>
            </w:tcBorders>
            <w:vAlign w:val="center"/>
            <w:hideMark/>
          </w:tcPr>
          <w:p w14:paraId="2F0B3C4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5D15818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4.5</w:t>
            </w:r>
          </w:p>
        </w:tc>
        <w:tc>
          <w:tcPr>
            <w:tcW w:w="1248" w:type="dxa"/>
            <w:tcBorders>
              <w:top w:val="nil"/>
              <w:left w:val="nil"/>
              <w:bottom w:val="single" w:sz="4" w:space="0" w:color="auto"/>
              <w:right w:val="single" w:sz="4" w:space="0" w:color="auto"/>
            </w:tcBorders>
            <w:vAlign w:val="center"/>
            <w:hideMark/>
          </w:tcPr>
          <w:p w14:paraId="1D18232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4208EDE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6B9B77E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4652DF1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74451BA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6.8</w:t>
            </w:r>
          </w:p>
        </w:tc>
        <w:tc>
          <w:tcPr>
            <w:tcW w:w="653" w:type="dxa"/>
            <w:tcBorders>
              <w:top w:val="nil"/>
              <w:left w:val="nil"/>
              <w:bottom w:val="single" w:sz="4" w:space="0" w:color="auto"/>
              <w:right w:val="single" w:sz="8" w:space="0" w:color="auto"/>
            </w:tcBorders>
          </w:tcPr>
          <w:p w14:paraId="1A425BD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544D149C" w14:textId="77777777" w:rsidTr="001B74B6">
        <w:trPr>
          <w:trHeight w:val="288"/>
          <w:jc w:val="center"/>
        </w:trPr>
        <w:tc>
          <w:tcPr>
            <w:tcW w:w="1341" w:type="dxa"/>
            <w:vMerge/>
            <w:tcBorders>
              <w:left w:val="single" w:sz="8" w:space="0" w:color="auto"/>
              <w:right w:val="single" w:sz="4" w:space="0" w:color="auto"/>
            </w:tcBorders>
            <w:vAlign w:val="center"/>
            <w:hideMark/>
          </w:tcPr>
          <w:p w14:paraId="028B0BD2" w14:textId="77777777" w:rsidR="00E30AFB" w:rsidRPr="00A803B9" w:rsidRDefault="00E30AFB" w:rsidP="001B74B6">
            <w:pPr>
              <w:rPr>
                <w:rFonts w:ascii="Aptos" w:eastAsia="Times New Roman" w:hAnsi="Aptos"/>
                <w:color w:val="000000"/>
                <w:sz w:val="18"/>
                <w:szCs w:val="18"/>
                <w:lang w:val="en-ID"/>
              </w:rPr>
            </w:pPr>
          </w:p>
        </w:tc>
        <w:tc>
          <w:tcPr>
            <w:tcW w:w="1677" w:type="dxa"/>
            <w:tcBorders>
              <w:top w:val="nil"/>
              <w:left w:val="nil"/>
              <w:bottom w:val="single" w:sz="4" w:space="0" w:color="auto"/>
              <w:right w:val="single" w:sz="4" w:space="0" w:color="auto"/>
            </w:tcBorders>
            <w:vAlign w:val="center"/>
            <w:hideMark/>
          </w:tcPr>
          <w:p w14:paraId="2B511A95"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E-Coli and bacteria</w:t>
            </w:r>
          </w:p>
        </w:tc>
        <w:tc>
          <w:tcPr>
            <w:tcW w:w="1165" w:type="dxa"/>
            <w:tcBorders>
              <w:top w:val="nil"/>
              <w:left w:val="nil"/>
              <w:bottom w:val="single" w:sz="4" w:space="0" w:color="auto"/>
              <w:right w:val="single" w:sz="4" w:space="0" w:color="auto"/>
            </w:tcBorders>
            <w:vAlign w:val="center"/>
            <w:hideMark/>
          </w:tcPr>
          <w:p w14:paraId="61758ECF"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Domestics</w:t>
            </w:r>
          </w:p>
        </w:tc>
        <w:tc>
          <w:tcPr>
            <w:tcW w:w="922" w:type="dxa"/>
            <w:tcBorders>
              <w:top w:val="nil"/>
              <w:left w:val="nil"/>
              <w:bottom w:val="single" w:sz="4" w:space="0" w:color="auto"/>
              <w:right w:val="single" w:sz="4" w:space="0" w:color="auto"/>
            </w:tcBorders>
            <w:vAlign w:val="center"/>
            <w:hideMark/>
          </w:tcPr>
          <w:p w14:paraId="75F4936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42C6FDE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vAlign w:val="center"/>
            <w:hideMark/>
          </w:tcPr>
          <w:p w14:paraId="6708598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929" w:type="dxa"/>
            <w:tcBorders>
              <w:top w:val="nil"/>
              <w:left w:val="nil"/>
              <w:bottom w:val="single" w:sz="4" w:space="0" w:color="auto"/>
              <w:right w:val="single" w:sz="4" w:space="0" w:color="auto"/>
            </w:tcBorders>
            <w:vAlign w:val="center"/>
            <w:hideMark/>
          </w:tcPr>
          <w:p w14:paraId="465F16C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62" w:type="dxa"/>
            <w:tcBorders>
              <w:top w:val="nil"/>
              <w:left w:val="nil"/>
              <w:bottom w:val="single" w:sz="4" w:space="0" w:color="auto"/>
              <w:right w:val="single" w:sz="4" w:space="0" w:color="auto"/>
            </w:tcBorders>
            <w:vAlign w:val="center"/>
            <w:hideMark/>
          </w:tcPr>
          <w:p w14:paraId="48FA043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24" w:type="dxa"/>
            <w:tcBorders>
              <w:top w:val="nil"/>
              <w:left w:val="nil"/>
              <w:bottom w:val="single" w:sz="4" w:space="0" w:color="auto"/>
              <w:right w:val="single" w:sz="4" w:space="0" w:color="auto"/>
            </w:tcBorders>
            <w:vAlign w:val="center"/>
            <w:hideMark/>
          </w:tcPr>
          <w:p w14:paraId="3A7FD09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54716C2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4.3</w:t>
            </w:r>
          </w:p>
        </w:tc>
        <w:tc>
          <w:tcPr>
            <w:tcW w:w="1248" w:type="dxa"/>
            <w:tcBorders>
              <w:top w:val="nil"/>
              <w:left w:val="nil"/>
              <w:bottom w:val="single" w:sz="4" w:space="0" w:color="auto"/>
              <w:right w:val="single" w:sz="4" w:space="0" w:color="auto"/>
            </w:tcBorders>
            <w:vAlign w:val="center"/>
            <w:hideMark/>
          </w:tcPr>
          <w:p w14:paraId="1E4EB1F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4C0F1BF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7AB1940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09887F3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54858DD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6.4</w:t>
            </w:r>
          </w:p>
        </w:tc>
        <w:tc>
          <w:tcPr>
            <w:tcW w:w="653" w:type="dxa"/>
            <w:tcBorders>
              <w:top w:val="nil"/>
              <w:left w:val="nil"/>
              <w:bottom w:val="single" w:sz="4" w:space="0" w:color="auto"/>
              <w:right w:val="single" w:sz="8" w:space="0" w:color="auto"/>
            </w:tcBorders>
          </w:tcPr>
          <w:p w14:paraId="229F4CA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7C8FDB36" w14:textId="77777777" w:rsidTr="001B74B6">
        <w:trPr>
          <w:trHeight w:val="288"/>
          <w:jc w:val="center"/>
        </w:trPr>
        <w:tc>
          <w:tcPr>
            <w:tcW w:w="1341" w:type="dxa"/>
            <w:vMerge/>
            <w:tcBorders>
              <w:left w:val="single" w:sz="8" w:space="0" w:color="auto"/>
              <w:right w:val="single" w:sz="4" w:space="0" w:color="auto"/>
            </w:tcBorders>
            <w:vAlign w:val="center"/>
            <w:hideMark/>
          </w:tcPr>
          <w:p w14:paraId="2C1C925E" w14:textId="77777777" w:rsidR="00E30AFB" w:rsidRPr="00A803B9" w:rsidRDefault="00E30AFB" w:rsidP="001B74B6">
            <w:pPr>
              <w:rPr>
                <w:rFonts w:ascii="Aptos" w:eastAsia="Times New Roman" w:hAnsi="Aptos"/>
                <w:color w:val="000000"/>
                <w:sz w:val="18"/>
                <w:szCs w:val="18"/>
                <w:lang w:val="en-ID"/>
              </w:rPr>
            </w:pPr>
          </w:p>
        </w:tc>
        <w:tc>
          <w:tcPr>
            <w:tcW w:w="1677" w:type="dxa"/>
            <w:tcBorders>
              <w:top w:val="nil"/>
              <w:left w:val="nil"/>
              <w:bottom w:val="single" w:sz="4" w:space="0" w:color="auto"/>
              <w:right w:val="single" w:sz="4" w:space="0" w:color="auto"/>
            </w:tcBorders>
            <w:vAlign w:val="center"/>
            <w:hideMark/>
          </w:tcPr>
          <w:p w14:paraId="5F27F6FD"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Pesticides</w:t>
            </w:r>
          </w:p>
        </w:tc>
        <w:tc>
          <w:tcPr>
            <w:tcW w:w="1165" w:type="dxa"/>
            <w:tcBorders>
              <w:top w:val="nil"/>
              <w:left w:val="nil"/>
              <w:bottom w:val="single" w:sz="4" w:space="0" w:color="auto"/>
              <w:right w:val="single" w:sz="4" w:space="0" w:color="auto"/>
            </w:tcBorders>
            <w:vAlign w:val="center"/>
            <w:hideMark/>
          </w:tcPr>
          <w:p w14:paraId="1B3B35C2"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Agriculture</w:t>
            </w:r>
          </w:p>
        </w:tc>
        <w:tc>
          <w:tcPr>
            <w:tcW w:w="922" w:type="dxa"/>
            <w:tcBorders>
              <w:top w:val="nil"/>
              <w:left w:val="nil"/>
              <w:bottom w:val="single" w:sz="4" w:space="0" w:color="auto"/>
              <w:right w:val="single" w:sz="4" w:space="0" w:color="auto"/>
            </w:tcBorders>
            <w:vAlign w:val="center"/>
            <w:hideMark/>
          </w:tcPr>
          <w:p w14:paraId="498A11E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50DD3D6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74" w:type="dxa"/>
            <w:tcBorders>
              <w:top w:val="nil"/>
              <w:left w:val="nil"/>
              <w:bottom w:val="single" w:sz="4" w:space="0" w:color="auto"/>
              <w:right w:val="single" w:sz="4" w:space="0" w:color="auto"/>
            </w:tcBorders>
            <w:vAlign w:val="center"/>
            <w:hideMark/>
          </w:tcPr>
          <w:p w14:paraId="528A8A7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929" w:type="dxa"/>
            <w:tcBorders>
              <w:top w:val="nil"/>
              <w:left w:val="nil"/>
              <w:bottom w:val="single" w:sz="4" w:space="0" w:color="auto"/>
              <w:right w:val="single" w:sz="4" w:space="0" w:color="auto"/>
            </w:tcBorders>
            <w:vAlign w:val="center"/>
            <w:hideMark/>
          </w:tcPr>
          <w:p w14:paraId="27EFBBF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762" w:type="dxa"/>
            <w:tcBorders>
              <w:top w:val="nil"/>
              <w:left w:val="nil"/>
              <w:bottom w:val="single" w:sz="4" w:space="0" w:color="auto"/>
              <w:right w:val="single" w:sz="4" w:space="0" w:color="auto"/>
            </w:tcBorders>
            <w:vAlign w:val="center"/>
            <w:hideMark/>
          </w:tcPr>
          <w:p w14:paraId="330AFBC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1024" w:type="dxa"/>
            <w:tcBorders>
              <w:top w:val="nil"/>
              <w:left w:val="nil"/>
              <w:bottom w:val="single" w:sz="4" w:space="0" w:color="auto"/>
              <w:right w:val="single" w:sz="4" w:space="0" w:color="auto"/>
            </w:tcBorders>
            <w:vAlign w:val="center"/>
            <w:hideMark/>
          </w:tcPr>
          <w:p w14:paraId="4769BD3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837" w:type="dxa"/>
            <w:tcBorders>
              <w:top w:val="nil"/>
              <w:left w:val="nil"/>
              <w:bottom w:val="single" w:sz="4" w:space="0" w:color="auto"/>
              <w:right w:val="single" w:sz="4" w:space="0" w:color="auto"/>
            </w:tcBorders>
            <w:vAlign w:val="center"/>
            <w:hideMark/>
          </w:tcPr>
          <w:p w14:paraId="3E8D8CA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2.0</w:t>
            </w:r>
          </w:p>
        </w:tc>
        <w:tc>
          <w:tcPr>
            <w:tcW w:w="1248" w:type="dxa"/>
            <w:tcBorders>
              <w:top w:val="nil"/>
              <w:left w:val="nil"/>
              <w:bottom w:val="single" w:sz="4" w:space="0" w:color="auto"/>
              <w:right w:val="single" w:sz="4" w:space="0" w:color="auto"/>
            </w:tcBorders>
            <w:vAlign w:val="center"/>
            <w:hideMark/>
          </w:tcPr>
          <w:p w14:paraId="5758AA3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7F86125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557B373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730283C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3.0</w:t>
            </w:r>
          </w:p>
        </w:tc>
        <w:tc>
          <w:tcPr>
            <w:tcW w:w="574" w:type="dxa"/>
            <w:tcBorders>
              <w:top w:val="nil"/>
              <w:left w:val="nil"/>
              <w:bottom w:val="single" w:sz="4" w:space="0" w:color="auto"/>
              <w:right w:val="single" w:sz="8" w:space="0" w:color="auto"/>
            </w:tcBorders>
            <w:vAlign w:val="center"/>
            <w:hideMark/>
          </w:tcPr>
          <w:p w14:paraId="428790F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2.0</w:t>
            </w:r>
          </w:p>
        </w:tc>
        <w:tc>
          <w:tcPr>
            <w:tcW w:w="653" w:type="dxa"/>
            <w:tcBorders>
              <w:top w:val="nil"/>
              <w:left w:val="nil"/>
              <w:bottom w:val="single" w:sz="4" w:space="0" w:color="auto"/>
              <w:right w:val="single" w:sz="8" w:space="0" w:color="auto"/>
            </w:tcBorders>
          </w:tcPr>
          <w:p w14:paraId="65D0210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L</w:t>
            </w:r>
          </w:p>
        </w:tc>
      </w:tr>
      <w:tr w:rsidR="00E30AFB" w:rsidRPr="00A803B9" w14:paraId="76A9E700" w14:textId="77777777" w:rsidTr="001B74B6">
        <w:trPr>
          <w:trHeight w:val="288"/>
          <w:jc w:val="center"/>
        </w:trPr>
        <w:tc>
          <w:tcPr>
            <w:tcW w:w="1341" w:type="dxa"/>
            <w:vMerge/>
            <w:tcBorders>
              <w:left w:val="single" w:sz="8" w:space="0" w:color="auto"/>
              <w:bottom w:val="single" w:sz="4" w:space="0" w:color="auto"/>
              <w:right w:val="single" w:sz="4" w:space="0" w:color="auto"/>
            </w:tcBorders>
            <w:vAlign w:val="center"/>
            <w:hideMark/>
          </w:tcPr>
          <w:p w14:paraId="35D9A65F" w14:textId="77777777" w:rsidR="00E30AFB" w:rsidRPr="00A803B9" w:rsidRDefault="00E30AFB" w:rsidP="001B74B6">
            <w:pPr>
              <w:rPr>
                <w:rFonts w:ascii="Aptos" w:eastAsia="Times New Roman" w:hAnsi="Aptos"/>
                <w:color w:val="000000"/>
                <w:sz w:val="18"/>
                <w:szCs w:val="18"/>
                <w:lang w:val="en-ID"/>
              </w:rPr>
            </w:pPr>
          </w:p>
        </w:tc>
        <w:tc>
          <w:tcPr>
            <w:tcW w:w="1677" w:type="dxa"/>
            <w:tcBorders>
              <w:top w:val="nil"/>
              <w:left w:val="nil"/>
              <w:bottom w:val="single" w:sz="4" w:space="0" w:color="auto"/>
              <w:right w:val="single" w:sz="4" w:space="0" w:color="auto"/>
            </w:tcBorders>
            <w:vAlign w:val="center"/>
            <w:hideMark/>
          </w:tcPr>
          <w:p w14:paraId="79D058CF"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TSS</w:t>
            </w:r>
          </w:p>
        </w:tc>
        <w:tc>
          <w:tcPr>
            <w:tcW w:w="1165" w:type="dxa"/>
            <w:tcBorders>
              <w:top w:val="nil"/>
              <w:left w:val="nil"/>
              <w:bottom w:val="single" w:sz="4" w:space="0" w:color="auto"/>
              <w:right w:val="single" w:sz="4" w:space="0" w:color="auto"/>
            </w:tcBorders>
            <w:vAlign w:val="center"/>
            <w:hideMark/>
          </w:tcPr>
          <w:p w14:paraId="48EBF648"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Mineral Mining and sand mining</w:t>
            </w:r>
          </w:p>
        </w:tc>
        <w:tc>
          <w:tcPr>
            <w:tcW w:w="922" w:type="dxa"/>
            <w:tcBorders>
              <w:top w:val="nil"/>
              <w:left w:val="nil"/>
              <w:bottom w:val="single" w:sz="4" w:space="0" w:color="auto"/>
              <w:right w:val="single" w:sz="4" w:space="0" w:color="auto"/>
            </w:tcBorders>
            <w:vAlign w:val="center"/>
            <w:hideMark/>
          </w:tcPr>
          <w:p w14:paraId="1F54166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77EB422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vAlign w:val="center"/>
            <w:hideMark/>
          </w:tcPr>
          <w:p w14:paraId="1754E35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929" w:type="dxa"/>
            <w:tcBorders>
              <w:top w:val="nil"/>
              <w:left w:val="nil"/>
              <w:bottom w:val="single" w:sz="4" w:space="0" w:color="auto"/>
              <w:right w:val="single" w:sz="4" w:space="0" w:color="auto"/>
            </w:tcBorders>
            <w:vAlign w:val="center"/>
            <w:hideMark/>
          </w:tcPr>
          <w:p w14:paraId="2EA2B4C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62" w:type="dxa"/>
            <w:tcBorders>
              <w:top w:val="nil"/>
              <w:left w:val="nil"/>
              <w:bottom w:val="single" w:sz="4" w:space="0" w:color="auto"/>
              <w:right w:val="single" w:sz="4" w:space="0" w:color="auto"/>
            </w:tcBorders>
            <w:vAlign w:val="center"/>
            <w:hideMark/>
          </w:tcPr>
          <w:p w14:paraId="32FF3D1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24" w:type="dxa"/>
            <w:tcBorders>
              <w:top w:val="nil"/>
              <w:left w:val="nil"/>
              <w:bottom w:val="single" w:sz="4" w:space="0" w:color="auto"/>
              <w:right w:val="single" w:sz="4" w:space="0" w:color="auto"/>
            </w:tcBorders>
            <w:vAlign w:val="center"/>
            <w:hideMark/>
          </w:tcPr>
          <w:p w14:paraId="04D8928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837" w:type="dxa"/>
            <w:tcBorders>
              <w:top w:val="nil"/>
              <w:left w:val="nil"/>
              <w:bottom w:val="single" w:sz="4" w:space="0" w:color="auto"/>
              <w:right w:val="single" w:sz="4" w:space="0" w:color="auto"/>
            </w:tcBorders>
            <w:vAlign w:val="center"/>
            <w:hideMark/>
          </w:tcPr>
          <w:p w14:paraId="0379E45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4.5</w:t>
            </w:r>
          </w:p>
        </w:tc>
        <w:tc>
          <w:tcPr>
            <w:tcW w:w="1248" w:type="dxa"/>
            <w:tcBorders>
              <w:top w:val="nil"/>
              <w:left w:val="nil"/>
              <w:bottom w:val="single" w:sz="4" w:space="0" w:color="auto"/>
              <w:right w:val="single" w:sz="4" w:space="0" w:color="auto"/>
            </w:tcBorders>
            <w:vAlign w:val="center"/>
            <w:hideMark/>
          </w:tcPr>
          <w:p w14:paraId="763A9AC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1048" w:type="dxa"/>
            <w:tcBorders>
              <w:top w:val="nil"/>
              <w:left w:val="nil"/>
              <w:bottom w:val="single" w:sz="4" w:space="0" w:color="auto"/>
              <w:right w:val="single" w:sz="4" w:space="0" w:color="auto"/>
            </w:tcBorders>
            <w:vAlign w:val="center"/>
            <w:hideMark/>
          </w:tcPr>
          <w:p w14:paraId="415099B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4C25B7A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5E03680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3.0</w:t>
            </w:r>
          </w:p>
        </w:tc>
        <w:tc>
          <w:tcPr>
            <w:tcW w:w="574" w:type="dxa"/>
            <w:tcBorders>
              <w:top w:val="nil"/>
              <w:left w:val="nil"/>
              <w:bottom w:val="single" w:sz="4" w:space="0" w:color="auto"/>
              <w:right w:val="single" w:sz="8" w:space="0" w:color="auto"/>
            </w:tcBorders>
            <w:vAlign w:val="center"/>
            <w:hideMark/>
          </w:tcPr>
          <w:p w14:paraId="43BA664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7.5</w:t>
            </w:r>
          </w:p>
        </w:tc>
        <w:tc>
          <w:tcPr>
            <w:tcW w:w="653" w:type="dxa"/>
            <w:tcBorders>
              <w:top w:val="nil"/>
              <w:left w:val="nil"/>
              <w:bottom w:val="single" w:sz="4" w:space="0" w:color="auto"/>
              <w:right w:val="single" w:sz="8" w:space="0" w:color="auto"/>
            </w:tcBorders>
          </w:tcPr>
          <w:p w14:paraId="60F373A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4CBCC9E2" w14:textId="77777777" w:rsidTr="001B74B6">
        <w:trPr>
          <w:trHeight w:val="252"/>
          <w:jc w:val="center"/>
        </w:trPr>
        <w:tc>
          <w:tcPr>
            <w:tcW w:w="15891" w:type="dxa"/>
            <w:gridSpan w:val="16"/>
            <w:tcBorders>
              <w:top w:val="nil"/>
              <w:left w:val="single" w:sz="8" w:space="0" w:color="auto"/>
              <w:bottom w:val="single" w:sz="4" w:space="0" w:color="auto"/>
              <w:right w:val="single" w:sz="8" w:space="0" w:color="auto"/>
            </w:tcBorders>
            <w:vAlign w:val="center"/>
          </w:tcPr>
          <w:p w14:paraId="6F0FD073"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Bangka Belitung Province</w:t>
            </w:r>
          </w:p>
        </w:tc>
      </w:tr>
      <w:tr w:rsidR="00E30AFB" w:rsidRPr="00A803B9" w14:paraId="523F2612" w14:textId="77777777" w:rsidTr="001B74B6">
        <w:trPr>
          <w:trHeight w:val="480"/>
          <w:jc w:val="center"/>
        </w:trPr>
        <w:tc>
          <w:tcPr>
            <w:tcW w:w="1341" w:type="dxa"/>
            <w:tcBorders>
              <w:top w:val="nil"/>
              <w:left w:val="single" w:sz="8" w:space="0" w:color="auto"/>
              <w:bottom w:val="single" w:sz="4" w:space="0" w:color="auto"/>
              <w:right w:val="single" w:sz="4" w:space="0" w:color="auto"/>
            </w:tcBorders>
            <w:vAlign w:val="center"/>
            <w:hideMark/>
          </w:tcPr>
          <w:p w14:paraId="0199B18E"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xml:space="preserve"> </w:t>
            </w:r>
          </w:p>
        </w:tc>
        <w:tc>
          <w:tcPr>
            <w:tcW w:w="1677" w:type="dxa"/>
            <w:tcBorders>
              <w:top w:val="nil"/>
              <w:left w:val="nil"/>
              <w:bottom w:val="single" w:sz="4" w:space="0" w:color="auto"/>
              <w:right w:val="single" w:sz="4" w:space="0" w:color="auto"/>
            </w:tcBorders>
            <w:vAlign w:val="center"/>
            <w:hideMark/>
          </w:tcPr>
          <w:p w14:paraId="003D4EE2"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Oil</w:t>
            </w:r>
          </w:p>
        </w:tc>
        <w:tc>
          <w:tcPr>
            <w:tcW w:w="1165" w:type="dxa"/>
            <w:tcBorders>
              <w:top w:val="nil"/>
              <w:left w:val="nil"/>
              <w:bottom w:val="single" w:sz="4" w:space="0" w:color="auto"/>
              <w:right w:val="single" w:sz="4" w:space="0" w:color="auto"/>
            </w:tcBorders>
            <w:vAlign w:val="center"/>
            <w:hideMark/>
          </w:tcPr>
          <w:p w14:paraId="4B07F3B7"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seaport, oil facility, shipping activity</w:t>
            </w:r>
          </w:p>
        </w:tc>
        <w:tc>
          <w:tcPr>
            <w:tcW w:w="922" w:type="dxa"/>
            <w:tcBorders>
              <w:top w:val="nil"/>
              <w:left w:val="nil"/>
              <w:bottom w:val="single" w:sz="4" w:space="0" w:color="auto"/>
              <w:right w:val="single" w:sz="4" w:space="0" w:color="auto"/>
            </w:tcBorders>
            <w:vAlign w:val="center"/>
            <w:hideMark/>
          </w:tcPr>
          <w:p w14:paraId="0B1DA0F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50" w:type="dxa"/>
            <w:tcBorders>
              <w:top w:val="nil"/>
              <w:left w:val="nil"/>
              <w:bottom w:val="single" w:sz="4" w:space="0" w:color="auto"/>
              <w:right w:val="single" w:sz="4" w:space="0" w:color="auto"/>
            </w:tcBorders>
            <w:vAlign w:val="center"/>
            <w:hideMark/>
          </w:tcPr>
          <w:p w14:paraId="0AB5CE6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74" w:type="dxa"/>
            <w:tcBorders>
              <w:top w:val="nil"/>
              <w:left w:val="nil"/>
              <w:bottom w:val="single" w:sz="4" w:space="0" w:color="auto"/>
              <w:right w:val="single" w:sz="4" w:space="0" w:color="auto"/>
            </w:tcBorders>
            <w:vAlign w:val="center"/>
            <w:hideMark/>
          </w:tcPr>
          <w:p w14:paraId="7BBBD34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929" w:type="dxa"/>
            <w:tcBorders>
              <w:top w:val="nil"/>
              <w:left w:val="nil"/>
              <w:bottom w:val="single" w:sz="4" w:space="0" w:color="auto"/>
              <w:right w:val="single" w:sz="4" w:space="0" w:color="auto"/>
            </w:tcBorders>
            <w:vAlign w:val="center"/>
            <w:hideMark/>
          </w:tcPr>
          <w:p w14:paraId="6FA53BC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62" w:type="dxa"/>
            <w:tcBorders>
              <w:top w:val="nil"/>
              <w:left w:val="nil"/>
              <w:bottom w:val="single" w:sz="4" w:space="0" w:color="auto"/>
              <w:right w:val="single" w:sz="4" w:space="0" w:color="auto"/>
            </w:tcBorders>
            <w:vAlign w:val="center"/>
            <w:hideMark/>
          </w:tcPr>
          <w:p w14:paraId="30F3649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4" w:space="0" w:color="auto"/>
              <w:right w:val="single" w:sz="4" w:space="0" w:color="auto"/>
            </w:tcBorders>
            <w:vAlign w:val="center"/>
            <w:hideMark/>
          </w:tcPr>
          <w:p w14:paraId="0465BA5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4DAB314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3.0</w:t>
            </w:r>
          </w:p>
        </w:tc>
        <w:tc>
          <w:tcPr>
            <w:tcW w:w="1248" w:type="dxa"/>
            <w:tcBorders>
              <w:top w:val="nil"/>
              <w:left w:val="nil"/>
              <w:bottom w:val="single" w:sz="4" w:space="0" w:color="auto"/>
              <w:right w:val="single" w:sz="4" w:space="0" w:color="auto"/>
            </w:tcBorders>
            <w:vAlign w:val="center"/>
            <w:hideMark/>
          </w:tcPr>
          <w:p w14:paraId="3B8EC3D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1048" w:type="dxa"/>
            <w:tcBorders>
              <w:top w:val="nil"/>
              <w:left w:val="nil"/>
              <w:bottom w:val="single" w:sz="4" w:space="0" w:color="auto"/>
              <w:right w:val="single" w:sz="4" w:space="0" w:color="auto"/>
            </w:tcBorders>
            <w:vAlign w:val="center"/>
            <w:hideMark/>
          </w:tcPr>
          <w:p w14:paraId="6EFCE94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778E032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1E1C28E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3.0</w:t>
            </w:r>
          </w:p>
        </w:tc>
        <w:tc>
          <w:tcPr>
            <w:tcW w:w="574" w:type="dxa"/>
            <w:tcBorders>
              <w:top w:val="nil"/>
              <w:left w:val="nil"/>
              <w:bottom w:val="single" w:sz="4" w:space="0" w:color="auto"/>
              <w:right w:val="single" w:sz="8" w:space="0" w:color="auto"/>
            </w:tcBorders>
            <w:vAlign w:val="center"/>
            <w:hideMark/>
          </w:tcPr>
          <w:p w14:paraId="395A7DF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4.0</w:t>
            </w:r>
          </w:p>
        </w:tc>
        <w:tc>
          <w:tcPr>
            <w:tcW w:w="653" w:type="dxa"/>
            <w:tcBorders>
              <w:top w:val="nil"/>
              <w:left w:val="nil"/>
              <w:bottom w:val="single" w:sz="4" w:space="0" w:color="auto"/>
              <w:right w:val="single" w:sz="8" w:space="0" w:color="auto"/>
            </w:tcBorders>
          </w:tcPr>
          <w:p w14:paraId="5F9E2D5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014D9C61" w14:textId="77777777" w:rsidTr="001B74B6">
        <w:trPr>
          <w:trHeight w:val="480"/>
          <w:jc w:val="center"/>
        </w:trPr>
        <w:tc>
          <w:tcPr>
            <w:tcW w:w="1341" w:type="dxa"/>
            <w:tcBorders>
              <w:top w:val="nil"/>
              <w:left w:val="single" w:sz="8" w:space="0" w:color="auto"/>
              <w:bottom w:val="single" w:sz="4" w:space="0" w:color="auto"/>
              <w:right w:val="single" w:sz="4" w:space="0" w:color="auto"/>
            </w:tcBorders>
            <w:vAlign w:val="center"/>
            <w:hideMark/>
          </w:tcPr>
          <w:p w14:paraId="5BA45FD9"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4BFDE378"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Hazardous waste and heavy metals</w:t>
            </w:r>
          </w:p>
        </w:tc>
        <w:tc>
          <w:tcPr>
            <w:tcW w:w="1165" w:type="dxa"/>
            <w:tcBorders>
              <w:top w:val="nil"/>
              <w:left w:val="nil"/>
              <w:bottom w:val="single" w:sz="4" w:space="0" w:color="auto"/>
              <w:right w:val="single" w:sz="4" w:space="0" w:color="auto"/>
            </w:tcBorders>
            <w:vAlign w:val="center"/>
            <w:hideMark/>
          </w:tcPr>
          <w:p w14:paraId="660C520D"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industry, mineral mining</w:t>
            </w:r>
          </w:p>
        </w:tc>
        <w:tc>
          <w:tcPr>
            <w:tcW w:w="922" w:type="dxa"/>
            <w:tcBorders>
              <w:top w:val="nil"/>
              <w:left w:val="nil"/>
              <w:bottom w:val="single" w:sz="4" w:space="0" w:color="auto"/>
              <w:right w:val="single" w:sz="4" w:space="0" w:color="auto"/>
            </w:tcBorders>
            <w:vAlign w:val="center"/>
            <w:hideMark/>
          </w:tcPr>
          <w:p w14:paraId="01B4A64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0A5C88D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74" w:type="dxa"/>
            <w:tcBorders>
              <w:top w:val="nil"/>
              <w:left w:val="nil"/>
              <w:bottom w:val="single" w:sz="4" w:space="0" w:color="auto"/>
              <w:right w:val="single" w:sz="4" w:space="0" w:color="auto"/>
            </w:tcBorders>
            <w:vAlign w:val="center"/>
            <w:hideMark/>
          </w:tcPr>
          <w:p w14:paraId="1AF9F0F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929" w:type="dxa"/>
            <w:tcBorders>
              <w:top w:val="nil"/>
              <w:left w:val="nil"/>
              <w:bottom w:val="single" w:sz="4" w:space="0" w:color="auto"/>
              <w:right w:val="single" w:sz="4" w:space="0" w:color="auto"/>
            </w:tcBorders>
            <w:vAlign w:val="center"/>
            <w:hideMark/>
          </w:tcPr>
          <w:p w14:paraId="019E8DF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62" w:type="dxa"/>
            <w:tcBorders>
              <w:top w:val="nil"/>
              <w:left w:val="nil"/>
              <w:bottom w:val="single" w:sz="4" w:space="0" w:color="auto"/>
              <w:right w:val="single" w:sz="4" w:space="0" w:color="auto"/>
            </w:tcBorders>
            <w:vAlign w:val="center"/>
            <w:hideMark/>
          </w:tcPr>
          <w:p w14:paraId="3AB9F21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4" w:space="0" w:color="auto"/>
              <w:right w:val="single" w:sz="4" w:space="0" w:color="auto"/>
            </w:tcBorders>
            <w:vAlign w:val="center"/>
            <w:hideMark/>
          </w:tcPr>
          <w:p w14:paraId="0A8885D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3283D9B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3.0</w:t>
            </w:r>
          </w:p>
        </w:tc>
        <w:tc>
          <w:tcPr>
            <w:tcW w:w="1248" w:type="dxa"/>
            <w:tcBorders>
              <w:top w:val="nil"/>
              <w:left w:val="nil"/>
              <w:bottom w:val="single" w:sz="4" w:space="0" w:color="auto"/>
              <w:right w:val="single" w:sz="4" w:space="0" w:color="auto"/>
            </w:tcBorders>
            <w:vAlign w:val="center"/>
            <w:hideMark/>
          </w:tcPr>
          <w:p w14:paraId="0743C29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4D8D839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48FDCBB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4B7CE42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114885C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2.7</w:t>
            </w:r>
          </w:p>
        </w:tc>
        <w:tc>
          <w:tcPr>
            <w:tcW w:w="653" w:type="dxa"/>
            <w:tcBorders>
              <w:top w:val="nil"/>
              <w:left w:val="nil"/>
              <w:bottom w:val="single" w:sz="4" w:space="0" w:color="auto"/>
              <w:right w:val="single" w:sz="8" w:space="0" w:color="auto"/>
            </w:tcBorders>
          </w:tcPr>
          <w:p w14:paraId="264006B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L</w:t>
            </w:r>
          </w:p>
        </w:tc>
      </w:tr>
      <w:tr w:rsidR="00E30AFB" w:rsidRPr="00A803B9" w14:paraId="14A72854" w14:textId="77777777" w:rsidTr="001B74B6">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1974F42E"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36C8525E"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Plastic-marine debris</w:t>
            </w:r>
          </w:p>
        </w:tc>
        <w:tc>
          <w:tcPr>
            <w:tcW w:w="1165" w:type="dxa"/>
            <w:tcBorders>
              <w:top w:val="nil"/>
              <w:left w:val="nil"/>
              <w:bottom w:val="single" w:sz="4" w:space="0" w:color="auto"/>
              <w:right w:val="single" w:sz="4" w:space="0" w:color="auto"/>
            </w:tcBorders>
            <w:vAlign w:val="center"/>
            <w:hideMark/>
          </w:tcPr>
          <w:p w14:paraId="3E0CB455"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Domestics</w:t>
            </w:r>
          </w:p>
        </w:tc>
        <w:tc>
          <w:tcPr>
            <w:tcW w:w="922" w:type="dxa"/>
            <w:tcBorders>
              <w:top w:val="nil"/>
              <w:left w:val="nil"/>
              <w:bottom w:val="single" w:sz="4" w:space="0" w:color="auto"/>
              <w:right w:val="single" w:sz="4" w:space="0" w:color="auto"/>
            </w:tcBorders>
            <w:vAlign w:val="center"/>
            <w:hideMark/>
          </w:tcPr>
          <w:p w14:paraId="086EEA5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221FB2D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vAlign w:val="center"/>
            <w:hideMark/>
          </w:tcPr>
          <w:p w14:paraId="351CA94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929" w:type="dxa"/>
            <w:tcBorders>
              <w:top w:val="nil"/>
              <w:left w:val="nil"/>
              <w:bottom w:val="single" w:sz="4" w:space="0" w:color="auto"/>
              <w:right w:val="single" w:sz="4" w:space="0" w:color="auto"/>
            </w:tcBorders>
            <w:vAlign w:val="center"/>
            <w:hideMark/>
          </w:tcPr>
          <w:p w14:paraId="279744C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62" w:type="dxa"/>
            <w:tcBorders>
              <w:top w:val="nil"/>
              <w:left w:val="nil"/>
              <w:bottom w:val="single" w:sz="4" w:space="0" w:color="auto"/>
              <w:right w:val="single" w:sz="4" w:space="0" w:color="auto"/>
            </w:tcBorders>
            <w:vAlign w:val="center"/>
            <w:hideMark/>
          </w:tcPr>
          <w:p w14:paraId="7136C91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24" w:type="dxa"/>
            <w:tcBorders>
              <w:top w:val="nil"/>
              <w:left w:val="nil"/>
              <w:bottom w:val="single" w:sz="4" w:space="0" w:color="auto"/>
              <w:right w:val="single" w:sz="4" w:space="0" w:color="auto"/>
            </w:tcBorders>
            <w:vAlign w:val="center"/>
            <w:hideMark/>
          </w:tcPr>
          <w:p w14:paraId="5DCDF4D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4136A27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3.8</w:t>
            </w:r>
          </w:p>
        </w:tc>
        <w:tc>
          <w:tcPr>
            <w:tcW w:w="1248" w:type="dxa"/>
            <w:tcBorders>
              <w:top w:val="nil"/>
              <w:left w:val="nil"/>
              <w:bottom w:val="single" w:sz="4" w:space="0" w:color="auto"/>
              <w:right w:val="single" w:sz="4" w:space="0" w:color="auto"/>
            </w:tcBorders>
            <w:vAlign w:val="center"/>
            <w:hideMark/>
          </w:tcPr>
          <w:p w14:paraId="6803783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6827864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4F58649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0D187B5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7F402A5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5.6</w:t>
            </w:r>
          </w:p>
        </w:tc>
        <w:tc>
          <w:tcPr>
            <w:tcW w:w="653" w:type="dxa"/>
            <w:tcBorders>
              <w:top w:val="nil"/>
              <w:left w:val="nil"/>
              <w:bottom w:val="single" w:sz="4" w:space="0" w:color="auto"/>
              <w:right w:val="single" w:sz="8" w:space="0" w:color="auto"/>
            </w:tcBorders>
          </w:tcPr>
          <w:p w14:paraId="5BA644B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31481047" w14:textId="77777777" w:rsidTr="001B74B6">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6BC2DE0D"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2DCD9A20"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Organics/nutrients</w:t>
            </w:r>
          </w:p>
        </w:tc>
        <w:tc>
          <w:tcPr>
            <w:tcW w:w="1165" w:type="dxa"/>
            <w:tcBorders>
              <w:top w:val="nil"/>
              <w:left w:val="nil"/>
              <w:bottom w:val="single" w:sz="4" w:space="0" w:color="auto"/>
              <w:right w:val="single" w:sz="4" w:space="0" w:color="auto"/>
            </w:tcBorders>
            <w:vAlign w:val="center"/>
            <w:hideMark/>
          </w:tcPr>
          <w:p w14:paraId="439E8BC6"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Domestic, agriculture, aquaculture</w:t>
            </w:r>
          </w:p>
        </w:tc>
        <w:tc>
          <w:tcPr>
            <w:tcW w:w="922" w:type="dxa"/>
            <w:tcBorders>
              <w:top w:val="nil"/>
              <w:left w:val="nil"/>
              <w:bottom w:val="single" w:sz="4" w:space="0" w:color="auto"/>
              <w:right w:val="single" w:sz="4" w:space="0" w:color="auto"/>
            </w:tcBorders>
            <w:vAlign w:val="center"/>
            <w:hideMark/>
          </w:tcPr>
          <w:p w14:paraId="3465161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250CCD5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vAlign w:val="center"/>
            <w:hideMark/>
          </w:tcPr>
          <w:p w14:paraId="772F494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929" w:type="dxa"/>
            <w:tcBorders>
              <w:top w:val="nil"/>
              <w:left w:val="nil"/>
              <w:bottom w:val="single" w:sz="4" w:space="0" w:color="auto"/>
              <w:right w:val="single" w:sz="4" w:space="0" w:color="auto"/>
            </w:tcBorders>
            <w:vAlign w:val="center"/>
            <w:hideMark/>
          </w:tcPr>
          <w:p w14:paraId="6C1B9A4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62" w:type="dxa"/>
            <w:tcBorders>
              <w:top w:val="nil"/>
              <w:left w:val="nil"/>
              <w:bottom w:val="single" w:sz="4" w:space="0" w:color="auto"/>
              <w:right w:val="single" w:sz="4" w:space="0" w:color="auto"/>
            </w:tcBorders>
            <w:vAlign w:val="center"/>
            <w:hideMark/>
          </w:tcPr>
          <w:p w14:paraId="79FACCD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4" w:space="0" w:color="auto"/>
              <w:right w:val="single" w:sz="4" w:space="0" w:color="auto"/>
            </w:tcBorders>
            <w:vAlign w:val="center"/>
            <w:hideMark/>
          </w:tcPr>
          <w:p w14:paraId="25914AB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51EC3D0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3.5</w:t>
            </w:r>
          </w:p>
        </w:tc>
        <w:tc>
          <w:tcPr>
            <w:tcW w:w="1248" w:type="dxa"/>
            <w:tcBorders>
              <w:top w:val="nil"/>
              <w:left w:val="nil"/>
              <w:bottom w:val="single" w:sz="4" w:space="0" w:color="auto"/>
              <w:right w:val="single" w:sz="4" w:space="0" w:color="auto"/>
            </w:tcBorders>
            <w:vAlign w:val="center"/>
            <w:hideMark/>
          </w:tcPr>
          <w:p w14:paraId="6EECFFC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151CE91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11268D3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0F05495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58DC0CF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5.3</w:t>
            </w:r>
          </w:p>
        </w:tc>
        <w:tc>
          <w:tcPr>
            <w:tcW w:w="653" w:type="dxa"/>
            <w:tcBorders>
              <w:top w:val="nil"/>
              <w:left w:val="nil"/>
              <w:bottom w:val="single" w:sz="4" w:space="0" w:color="auto"/>
              <w:right w:val="single" w:sz="8" w:space="0" w:color="auto"/>
            </w:tcBorders>
          </w:tcPr>
          <w:p w14:paraId="0CEB131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6CD39162" w14:textId="77777777" w:rsidTr="001B74B6">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34A5531A"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4571E815"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E-Coli and bacteria</w:t>
            </w:r>
          </w:p>
        </w:tc>
        <w:tc>
          <w:tcPr>
            <w:tcW w:w="1165" w:type="dxa"/>
            <w:tcBorders>
              <w:top w:val="nil"/>
              <w:left w:val="nil"/>
              <w:bottom w:val="single" w:sz="4" w:space="0" w:color="auto"/>
              <w:right w:val="single" w:sz="4" w:space="0" w:color="auto"/>
            </w:tcBorders>
            <w:vAlign w:val="center"/>
            <w:hideMark/>
          </w:tcPr>
          <w:p w14:paraId="3DE14D17"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Domestics</w:t>
            </w:r>
          </w:p>
        </w:tc>
        <w:tc>
          <w:tcPr>
            <w:tcW w:w="922" w:type="dxa"/>
            <w:tcBorders>
              <w:top w:val="nil"/>
              <w:left w:val="nil"/>
              <w:bottom w:val="single" w:sz="4" w:space="0" w:color="auto"/>
              <w:right w:val="single" w:sz="4" w:space="0" w:color="auto"/>
            </w:tcBorders>
            <w:vAlign w:val="center"/>
            <w:hideMark/>
          </w:tcPr>
          <w:p w14:paraId="07572E9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36A247E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vAlign w:val="center"/>
            <w:hideMark/>
          </w:tcPr>
          <w:p w14:paraId="0AACE02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929" w:type="dxa"/>
            <w:tcBorders>
              <w:top w:val="nil"/>
              <w:left w:val="nil"/>
              <w:bottom w:val="single" w:sz="4" w:space="0" w:color="auto"/>
              <w:right w:val="single" w:sz="4" w:space="0" w:color="auto"/>
            </w:tcBorders>
            <w:vAlign w:val="center"/>
            <w:hideMark/>
          </w:tcPr>
          <w:p w14:paraId="2520085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62" w:type="dxa"/>
            <w:tcBorders>
              <w:top w:val="nil"/>
              <w:left w:val="nil"/>
              <w:bottom w:val="single" w:sz="4" w:space="0" w:color="auto"/>
              <w:right w:val="single" w:sz="4" w:space="0" w:color="auto"/>
            </w:tcBorders>
            <w:vAlign w:val="center"/>
            <w:hideMark/>
          </w:tcPr>
          <w:p w14:paraId="58ECD91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24" w:type="dxa"/>
            <w:tcBorders>
              <w:top w:val="nil"/>
              <w:left w:val="nil"/>
              <w:bottom w:val="single" w:sz="4" w:space="0" w:color="auto"/>
              <w:right w:val="single" w:sz="4" w:space="0" w:color="auto"/>
            </w:tcBorders>
            <w:vAlign w:val="center"/>
            <w:hideMark/>
          </w:tcPr>
          <w:p w14:paraId="1150CE8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6410BB7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4.3</w:t>
            </w:r>
          </w:p>
        </w:tc>
        <w:tc>
          <w:tcPr>
            <w:tcW w:w="1248" w:type="dxa"/>
            <w:tcBorders>
              <w:top w:val="nil"/>
              <w:left w:val="nil"/>
              <w:bottom w:val="single" w:sz="4" w:space="0" w:color="auto"/>
              <w:right w:val="single" w:sz="4" w:space="0" w:color="auto"/>
            </w:tcBorders>
            <w:vAlign w:val="center"/>
            <w:hideMark/>
          </w:tcPr>
          <w:p w14:paraId="70F549B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0D1A61E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482B969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4B3D025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7E9065A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6.4</w:t>
            </w:r>
          </w:p>
        </w:tc>
        <w:tc>
          <w:tcPr>
            <w:tcW w:w="653" w:type="dxa"/>
            <w:tcBorders>
              <w:top w:val="nil"/>
              <w:left w:val="nil"/>
              <w:bottom w:val="single" w:sz="4" w:space="0" w:color="auto"/>
              <w:right w:val="single" w:sz="8" w:space="0" w:color="auto"/>
            </w:tcBorders>
          </w:tcPr>
          <w:p w14:paraId="0498968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4629A69D" w14:textId="77777777" w:rsidTr="001B74B6">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0B7D3C5D"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lastRenderedPageBreak/>
              <w:t> </w:t>
            </w:r>
          </w:p>
        </w:tc>
        <w:tc>
          <w:tcPr>
            <w:tcW w:w="1677" w:type="dxa"/>
            <w:tcBorders>
              <w:top w:val="nil"/>
              <w:left w:val="nil"/>
              <w:bottom w:val="single" w:sz="4" w:space="0" w:color="auto"/>
              <w:right w:val="single" w:sz="4" w:space="0" w:color="auto"/>
            </w:tcBorders>
            <w:vAlign w:val="center"/>
            <w:hideMark/>
          </w:tcPr>
          <w:p w14:paraId="5E8174A7"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Pesticides</w:t>
            </w:r>
          </w:p>
        </w:tc>
        <w:tc>
          <w:tcPr>
            <w:tcW w:w="1165" w:type="dxa"/>
            <w:tcBorders>
              <w:top w:val="nil"/>
              <w:left w:val="nil"/>
              <w:bottom w:val="single" w:sz="4" w:space="0" w:color="auto"/>
              <w:right w:val="single" w:sz="4" w:space="0" w:color="auto"/>
            </w:tcBorders>
            <w:vAlign w:val="center"/>
            <w:hideMark/>
          </w:tcPr>
          <w:p w14:paraId="276525B4"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Agriculture</w:t>
            </w:r>
          </w:p>
        </w:tc>
        <w:tc>
          <w:tcPr>
            <w:tcW w:w="922" w:type="dxa"/>
            <w:tcBorders>
              <w:top w:val="nil"/>
              <w:left w:val="nil"/>
              <w:bottom w:val="single" w:sz="4" w:space="0" w:color="auto"/>
              <w:right w:val="single" w:sz="4" w:space="0" w:color="auto"/>
            </w:tcBorders>
            <w:vAlign w:val="center"/>
            <w:hideMark/>
          </w:tcPr>
          <w:p w14:paraId="6E64279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13504E8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74" w:type="dxa"/>
            <w:tcBorders>
              <w:top w:val="nil"/>
              <w:left w:val="nil"/>
              <w:bottom w:val="single" w:sz="4" w:space="0" w:color="auto"/>
              <w:right w:val="single" w:sz="4" w:space="0" w:color="auto"/>
            </w:tcBorders>
            <w:vAlign w:val="center"/>
            <w:hideMark/>
          </w:tcPr>
          <w:p w14:paraId="0AE0ABF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929" w:type="dxa"/>
            <w:tcBorders>
              <w:top w:val="nil"/>
              <w:left w:val="nil"/>
              <w:bottom w:val="single" w:sz="4" w:space="0" w:color="auto"/>
              <w:right w:val="single" w:sz="4" w:space="0" w:color="auto"/>
            </w:tcBorders>
            <w:vAlign w:val="center"/>
            <w:hideMark/>
          </w:tcPr>
          <w:p w14:paraId="6831FB4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62" w:type="dxa"/>
            <w:tcBorders>
              <w:top w:val="nil"/>
              <w:left w:val="nil"/>
              <w:bottom w:val="single" w:sz="4" w:space="0" w:color="auto"/>
              <w:right w:val="single" w:sz="4" w:space="0" w:color="auto"/>
            </w:tcBorders>
            <w:vAlign w:val="center"/>
            <w:hideMark/>
          </w:tcPr>
          <w:p w14:paraId="608260E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1024" w:type="dxa"/>
            <w:tcBorders>
              <w:top w:val="nil"/>
              <w:left w:val="nil"/>
              <w:bottom w:val="single" w:sz="4" w:space="0" w:color="auto"/>
              <w:right w:val="single" w:sz="4" w:space="0" w:color="auto"/>
            </w:tcBorders>
            <w:vAlign w:val="center"/>
            <w:hideMark/>
          </w:tcPr>
          <w:p w14:paraId="04CC9D5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w:t>
            </w:r>
          </w:p>
        </w:tc>
        <w:tc>
          <w:tcPr>
            <w:tcW w:w="837" w:type="dxa"/>
            <w:tcBorders>
              <w:top w:val="nil"/>
              <w:left w:val="nil"/>
              <w:bottom w:val="single" w:sz="4" w:space="0" w:color="auto"/>
              <w:right w:val="single" w:sz="4" w:space="0" w:color="auto"/>
            </w:tcBorders>
            <w:vAlign w:val="center"/>
            <w:hideMark/>
          </w:tcPr>
          <w:p w14:paraId="38BDE70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2.3</w:t>
            </w:r>
          </w:p>
        </w:tc>
        <w:tc>
          <w:tcPr>
            <w:tcW w:w="1248" w:type="dxa"/>
            <w:tcBorders>
              <w:top w:val="nil"/>
              <w:left w:val="nil"/>
              <w:bottom w:val="single" w:sz="4" w:space="0" w:color="auto"/>
              <w:right w:val="single" w:sz="4" w:space="0" w:color="auto"/>
            </w:tcBorders>
            <w:vAlign w:val="center"/>
            <w:hideMark/>
          </w:tcPr>
          <w:p w14:paraId="6853F29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778F8EC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59648FE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01F077B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012C89B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2.0</w:t>
            </w:r>
          </w:p>
        </w:tc>
        <w:tc>
          <w:tcPr>
            <w:tcW w:w="653" w:type="dxa"/>
            <w:tcBorders>
              <w:top w:val="nil"/>
              <w:left w:val="nil"/>
              <w:bottom w:val="single" w:sz="4" w:space="0" w:color="auto"/>
              <w:right w:val="single" w:sz="8" w:space="0" w:color="auto"/>
            </w:tcBorders>
          </w:tcPr>
          <w:p w14:paraId="24AAC3E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L</w:t>
            </w:r>
          </w:p>
        </w:tc>
      </w:tr>
      <w:tr w:rsidR="00E30AFB" w:rsidRPr="00A803B9" w14:paraId="5B1AE746" w14:textId="77777777" w:rsidTr="001B74B6">
        <w:trPr>
          <w:trHeight w:val="288"/>
          <w:jc w:val="center"/>
        </w:trPr>
        <w:tc>
          <w:tcPr>
            <w:tcW w:w="1341" w:type="dxa"/>
            <w:tcBorders>
              <w:top w:val="nil"/>
              <w:left w:val="single" w:sz="8" w:space="0" w:color="auto"/>
              <w:bottom w:val="single" w:sz="4" w:space="0" w:color="auto"/>
              <w:right w:val="single" w:sz="4" w:space="0" w:color="auto"/>
            </w:tcBorders>
            <w:vAlign w:val="center"/>
            <w:hideMark/>
          </w:tcPr>
          <w:p w14:paraId="46E9A2D9"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0C193DD8"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TSS</w:t>
            </w:r>
          </w:p>
        </w:tc>
        <w:tc>
          <w:tcPr>
            <w:tcW w:w="1165" w:type="dxa"/>
            <w:tcBorders>
              <w:top w:val="nil"/>
              <w:left w:val="nil"/>
              <w:bottom w:val="single" w:sz="4" w:space="0" w:color="auto"/>
              <w:right w:val="single" w:sz="4" w:space="0" w:color="auto"/>
            </w:tcBorders>
            <w:vAlign w:val="center"/>
            <w:hideMark/>
          </w:tcPr>
          <w:p w14:paraId="3F66473C"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Mineral Mining and sand mining</w:t>
            </w:r>
          </w:p>
        </w:tc>
        <w:tc>
          <w:tcPr>
            <w:tcW w:w="922" w:type="dxa"/>
            <w:tcBorders>
              <w:top w:val="nil"/>
              <w:left w:val="nil"/>
              <w:bottom w:val="single" w:sz="4" w:space="0" w:color="auto"/>
              <w:right w:val="single" w:sz="4" w:space="0" w:color="auto"/>
            </w:tcBorders>
            <w:vAlign w:val="center"/>
            <w:hideMark/>
          </w:tcPr>
          <w:p w14:paraId="51C7926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704754F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vAlign w:val="center"/>
            <w:hideMark/>
          </w:tcPr>
          <w:p w14:paraId="7B92D39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929" w:type="dxa"/>
            <w:tcBorders>
              <w:top w:val="nil"/>
              <w:left w:val="nil"/>
              <w:bottom w:val="single" w:sz="4" w:space="0" w:color="auto"/>
              <w:right w:val="single" w:sz="4" w:space="0" w:color="auto"/>
            </w:tcBorders>
            <w:vAlign w:val="center"/>
            <w:hideMark/>
          </w:tcPr>
          <w:p w14:paraId="4ACBC4C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62" w:type="dxa"/>
            <w:tcBorders>
              <w:top w:val="nil"/>
              <w:left w:val="nil"/>
              <w:bottom w:val="single" w:sz="4" w:space="0" w:color="auto"/>
              <w:right w:val="single" w:sz="4" w:space="0" w:color="auto"/>
            </w:tcBorders>
            <w:vAlign w:val="center"/>
            <w:hideMark/>
          </w:tcPr>
          <w:p w14:paraId="06491BC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24" w:type="dxa"/>
            <w:tcBorders>
              <w:top w:val="nil"/>
              <w:left w:val="nil"/>
              <w:bottom w:val="single" w:sz="4" w:space="0" w:color="auto"/>
              <w:right w:val="single" w:sz="4" w:space="0" w:color="auto"/>
            </w:tcBorders>
            <w:vAlign w:val="center"/>
            <w:hideMark/>
          </w:tcPr>
          <w:p w14:paraId="3DBB631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837" w:type="dxa"/>
            <w:tcBorders>
              <w:top w:val="nil"/>
              <w:left w:val="nil"/>
              <w:bottom w:val="single" w:sz="4" w:space="0" w:color="auto"/>
              <w:right w:val="single" w:sz="4" w:space="0" w:color="auto"/>
            </w:tcBorders>
            <w:vAlign w:val="center"/>
            <w:hideMark/>
          </w:tcPr>
          <w:p w14:paraId="58D4E28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4.8</w:t>
            </w:r>
          </w:p>
        </w:tc>
        <w:tc>
          <w:tcPr>
            <w:tcW w:w="1248" w:type="dxa"/>
            <w:tcBorders>
              <w:top w:val="nil"/>
              <w:left w:val="nil"/>
              <w:bottom w:val="single" w:sz="4" w:space="0" w:color="auto"/>
              <w:right w:val="single" w:sz="4" w:space="0" w:color="auto"/>
            </w:tcBorders>
            <w:vAlign w:val="center"/>
            <w:hideMark/>
          </w:tcPr>
          <w:p w14:paraId="7A038DA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vAlign w:val="center"/>
            <w:hideMark/>
          </w:tcPr>
          <w:p w14:paraId="755EA22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4A80761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3D3EE67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311C06B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7.1</w:t>
            </w:r>
          </w:p>
        </w:tc>
        <w:tc>
          <w:tcPr>
            <w:tcW w:w="653" w:type="dxa"/>
            <w:tcBorders>
              <w:top w:val="nil"/>
              <w:left w:val="nil"/>
              <w:bottom w:val="single" w:sz="4" w:space="0" w:color="auto"/>
              <w:right w:val="single" w:sz="8" w:space="0" w:color="auto"/>
            </w:tcBorders>
          </w:tcPr>
          <w:p w14:paraId="1B3BAAF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H</w:t>
            </w:r>
          </w:p>
        </w:tc>
      </w:tr>
      <w:tr w:rsidR="00E30AFB" w:rsidRPr="00A803B9" w14:paraId="2AB279DF" w14:textId="77777777" w:rsidTr="001B74B6">
        <w:trPr>
          <w:trHeight w:val="288"/>
          <w:jc w:val="center"/>
        </w:trPr>
        <w:tc>
          <w:tcPr>
            <w:tcW w:w="15891" w:type="dxa"/>
            <w:gridSpan w:val="16"/>
            <w:tcBorders>
              <w:top w:val="nil"/>
              <w:left w:val="single" w:sz="8" w:space="0" w:color="auto"/>
              <w:bottom w:val="single" w:sz="4" w:space="0" w:color="auto"/>
              <w:right w:val="single" w:sz="8" w:space="0" w:color="auto"/>
            </w:tcBorders>
            <w:vAlign w:val="center"/>
          </w:tcPr>
          <w:p w14:paraId="322759F2"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West Kalimantan</w:t>
            </w:r>
          </w:p>
        </w:tc>
      </w:tr>
      <w:tr w:rsidR="00E30AFB" w:rsidRPr="00A803B9" w14:paraId="317B9138" w14:textId="77777777" w:rsidTr="001B74B6">
        <w:trPr>
          <w:trHeight w:val="480"/>
          <w:jc w:val="center"/>
        </w:trPr>
        <w:tc>
          <w:tcPr>
            <w:tcW w:w="1341" w:type="dxa"/>
            <w:tcBorders>
              <w:top w:val="nil"/>
              <w:left w:val="single" w:sz="8" w:space="0" w:color="auto"/>
              <w:bottom w:val="single" w:sz="4" w:space="0" w:color="auto"/>
              <w:right w:val="single" w:sz="4" w:space="0" w:color="auto"/>
            </w:tcBorders>
            <w:noWrap/>
            <w:vAlign w:val="bottom"/>
            <w:hideMark/>
          </w:tcPr>
          <w:p w14:paraId="1BFA3B80"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69C96F05"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Oil</w:t>
            </w:r>
          </w:p>
        </w:tc>
        <w:tc>
          <w:tcPr>
            <w:tcW w:w="1165" w:type="dxa"/>
            <w:tcBorders>
              <w:top w:val="nil"/>
              <w:left w:val="nil"/>
              <w:bottom w:val="single" w:sz="4" w:space="0" w:color="auto"/>
              <w:right w:val="single" w:sz="4" w:space="0" w:color="auto"/>
            </w:tcBorders>
            <w:vAlign w:val="center"/>
            <w:hideMark/>
          </w:tcPr>
          <w:p w14:paraId="6FB504A1"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seaport, oil facility, shipping activity</w:t>
            </w:r>
          </w:p>
        </w:tc>
        <w:tc>
          <w:tcPr>
            <w:tcW w:w="922" w:type="dxa"/>
            <w:tcBorders>
              <w:top w:val="nil"/>
              <w:left w:val="nil"/>
              <w:bottom w:val="single" w:sz="4" w:space="0" w:color="auto"/>
              <w:right w:val="single" w:sz="4" w:space="0" w:color="auto"/>
            </w:tcBorders>
            <w:noWrap/>
            <w:vAlign w:val="bottom"/>
            <w:hideMark/>
          </w:tcPr>
          <w:p w14:paraId="0E7F915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vAlign w:val="center"/>
            <w:hideMark/>
          </w:tcPr>
          <w:p w14:paraId="4EF6C1F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74" w:type="dxa"/>
            <w:tcBorders>
              <w:top w:val="nil"/>
              <w:left w:val="nil"/>
              <w:bottom w:val="single" w:sz="4" w:space="0" w:color="auto"/>
              <w:right w:val="single" w:sz="4" w:space="0" w:color="auto"/>
            </w:tcBorders>
            <w:noWrap/>
            <w:vAlign w:val="bottom"/>
            <w:hideMark/>
          </w:tcPr>
          <w:p w14:paraId="6B7B1B8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929" w:type="dxa"/>
            <w:tcBorders>
              <w:top w:val="nil"/>
              <w:left w:val="nil"/>
              <w:bottom w:val="single" w:sz="4" w:space="0" w:color="auto"/>
              <w:right w:val="single" w:sz="4" w:space="0" w:color="auto"/>
            </w:tcBorders>
            <w:noWrap/>
            <w:vAlign w:val="bottom"/>
            <w:hideMark/>
          </w:tcPr>
          <w:p w14:paraId="6CDB25B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62" w:type="dxa"/>
            <w:tcBorders>
              <w:top w:val="nil"/>
              <w:left w:val="nil"/>
              <w:bottom w:val="single" w:sz="4" w:space="0" w:color="auto"/>
              <w:right w:val="single" w:sz="4" w:space="0" w:color="auto"/>
            </w:tcBorders>
            <w:noWrap/>
            <w:vAlign w:val="bottom"/>
            <w:hideMark/>
          </w:tcPr>
          <w:p w14:paraId="2E42AF1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4" w:space="0" w:color="auto"/>
              <w:right w:val="single" w:sz="4" w:space="0" w:color="auto"/>
            </w:tcBorders>
            <w:noWrap/>
            <w:vAlign w:val="bottom"/>
            <w:hideMark/>
          </w:tcPr>
          <w:p w14:paraId="4F4364C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677D662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3.0</w:t>
            </w:r>
          </w:p>
        </w:tc>
        <w:tc>
          <w:tcPr>
            <w:tcW w:w="1248" w:type="dxa"/>
            <w:tcBorders>
              <w:top w:val="nil"/>
              <w:left w:val="nil"/>
              <w:bottom w:val="single" w:sz="4" w:space="0" w:color="auto"/>
              <w:right w:val="single" w:sz="4" w:space="0" w:color="auto"/>
            </w:tcBorders>
            <w:noWrap/>
            <w:vAlign w:val="bottom"/>
            <w:hideMark/>
          </w:tcPr>
          <w:p w14:paraId="50C4D3C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noWrap/>
            <w:vAlign w:val="bottom"/>
            <w:hideMark/>
          </w:tcPr>
          <w:p w14:paraId="29FDBC42"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noWrap/>
            <w:vAlign w:val="bottom"/>
            <w:hideMark/>
          </w:tcPr>
          <w:p w14:paraId="062BFB9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605F412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4153F7B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2.7</w:t>
            </w:r>
          </w:p>
        </w:tc>
        <w:tc>
          <w:tcPr>
            <w:tcW w:w="653" w:type="dxa"/>
            <w:tcBorders>
              <w:top w:val="nil"/>
              <w:left w:val="nil"/>
              <w:bottom w:val="single" w:sz="4" w:space="0" w:color="auto"/>
              <w:right w:val="single" w:sz="8" w:space="0" w:color="auto"/>
            </w:tcBorders>
          </w:tcPr>
          <w:p w14:paraId="4D542E2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L</w:t>
            </w:r>
          </w:p>
        </w:tc>
      </w:tr>
      <w:tr w:rsidR="00E30AFB" w:rsidRPr="00A803B9" w14:paraId="3020AC01" w14:textId="77777777" w:rsidTr="001B74B6">
        <w:trPr>
          <w:trHeight w:val="480"/>
          <w:jc w:val="center"/>
        </w:trPr>
        <w:tc>
          <w:tcPr>
            <w:tcW w:w="1341" w:type="dxa"/>
            <w:tcBorders>
              <w:top w:val="nil"/>
              <w:left w:val="single" w:sz="8" w:space="0" w:color="auto"/>
              <w:bottom w:val="single" w:sz="4" w:space="0" w:color="auto"/>
              <w:right w:val="single" w:sz="4" w:space="0" w:color="auto"/>
            </w:tcBorders>
            <w:noWrap/>
            <w:vAlign w:val="bottom"/>
            <w:hideMark/>
          </w:tcPr>
          <w:p w14:paraId="6C7EDF44"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5A48304F"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Hazardous waste and heavy metals</w:t>
            </w:r>
          </w:p>
        </w:tc>
        <w:tc>
          <w:tcPr>
            <w:tcW w:w="1165" w:type="dxa"/>
            <w:tcBorders>
              <w:top w:val="nil"/>
              <w:left w:val="nil"/>
              <w:bottom w:val="single" w:sz="4" w:space="0" w:color="auto"/>
              <w:right w:val="single" w:sz="4" w:space="0" w:color="auto"/>
            </w:tcBorders>
            <w:vAlign w:val="center"/>
            <w:hideMark/>
          </w:tcPr>
          <w:p w14:paraId="1E72233D"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industry, mineral mining</w:t>
            </w:r>
          </w:p>
        </w:tc>
        <w:tc>
          <w:tcPr>
            <w:tcW w:w="922" w:type="dxa"/>
            <w:tcBorders>
              <w:top w:val="nil"/>
              <w:left w:val="nil"/>
              <w:bottom w:val="single" w:sz="4" w:space="0" w:color="auto"/>
              <w:right w:val="single" w:sz="4" w:space="0" w:color="auto"/>
            </w:tcBorders>
            <w:noWrap/>
            <w:vAlign w:val="bottom"/>
            <w:hideMark/>
          </w:tcPr>
          <w:p w14:paraId="1BBE9B2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50" w:type="dxa"/>
            <w:tcBorders>
              <w:top w:val="nil"/>
              <w:left w:val="nil"/>
              <w:bottom w:val="single" w:sz="4" w:space="0" w:color="auto"/>
              <w:right w:val="single" w:sz="4" w:space="0" w:color="auto"/>
            </w:tcBorders>
            <w:vAlign w:val="center"/>
            <w:hideMark/>
          </w:tcPr>
          <w:p w14:paraId="7A52DF4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74" w:type="dxa"/>
            <w:tcBorders>
              <w:top w:val="nil"/>
              <w:left w:val="nil"/>
              <w:bottom w:val="single" w:sz="4" w:space="0" w:color="auto"/>
              <w:right w:val="single" w:sz="4" w:space="0" w:color="auto"/>
            </w:tcBorders>
            <w:noWrap/>
            <w:vAlign w:val="bottom"/>
            <w:hideMark/>
          </w:tcPr>
          <w:p w14:paraId="584CF59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929" w:type="dxa"/>
            <w:tcBorders>
              <w:top w:val="nil"/>
              <w:left w:val="nil"/>
              <w:bottom w:val="single" w:sz="4" w:space="0" w:color="auto"/>
              <w:right w:val="single" w:sz="4" w:space="0" w:color="auto"/>
            </w:tcBorders>
            <w:noWrap/>
            <w:vAlign w:val="bottom"/>
            <w:hideMark/>
          </w:tcPr>
          <w:p w14:paraId="1B76AEA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62" w:type="dxa"/>
            <w:tcBorders>
              <w:top w:val="nil"/>
              <w:left w:val="nil"/>
              <w:bottom w:val="single" w:sz="4" w:space="0" w:color="auto"/>
              <w:right w:val="single" w:sz="4" w:space="0" w:color="auto"/>
            </w:tcBorders>
            <w:noWrap/>
            <w:vAlign w:val="bottom"/>
            <w:hideMark/>
          </w:tcPr>
          <w:p w14:paraId="3316D56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4" w:space="0" w:color="auto"/>
              <w:right w:val="single" w:sz="4" w:space="0" w:color="auto"/>
            </w:tcBorders>
            <w:noWrap/>
            <w:vAlign w:val="bottom"/>
            <w:hideMark/>
          </w:tcPr>
          <w:p w14:paraId="0E055B4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7E8BBFF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3.5</w:t>
            </w:r>
          </w:p>
        </w:tc>
        <w:tc>
          <w:tcPr>
            <w:tcW w:w="1248" w:type="dxa"/>
            <w:tcBorders>
              <w:top w:val="nil"/>
              <w:left w:val="nil"/>
              <w:bottom w:val="single" w:sz="4" w:space="0" w:color="auto"/>
              <w:right w:val="single" w:sz="4" w:space="0" w:color="auto"/>
            </w:tcBorders>
            <w:noWrap/>
            <w:vAlign w:val="bottom"/>
            <w:hideMark/>
          </w:tcPr>
          <w:p w14:paraId="524FFBE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noWrap/>
            <w:vAlign w:val="bottom"/>
            <w:hideMark/>
          </w:tcPr>
          <w:p w14:paraId="6180E93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noWrap/>
            <w:vAlign w:val="bottom"/>
            <w:hideMark/>
          </w:tcPr>
          <w:p w14:paraId="2981058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55BDFE9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74DD761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4.2</w:t>
            </w:r>
          </w:p>
        </w:tc>
        <w:tc>
          <w:tcPr>
            <w:tcW w:w="653" w:type="dxa"/>
            <w:tcBorders>
              <w:top w:val="nil"/>
              <w:left w:val="nil"/>
              <w:bottom w:val="single" w:sz="4" w:space="0" w:color="auto"/>
              <w:right w:val="single" w:sz="8" w:space="0" w:color="auto"/>
            </w:tcBorders>
          </w:tcPr>
          <w:p w14:paraId="6F08653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70070AF7" w14:textId="77777777" w:rsidTr="001B74B6">
        <w:trPr>
          <w:trHeight w:val="288"/>
          <w:jc w:val="center"/>
        </w:trPr>
        <w:tc>
          <w:tcPr>
            <w:tcW w:w="1341" w:type="dxa"/>
            <w:tcBorders>
              <w:top w:val="nil"/>
              <w:left w:val="single" w:sz="8" w:space="0" w:color="auto"/>
              <w:bottom w:val="single" w:sz="4" w:space="0" w:color="auto"/>
              <w:right w:val="single" w:sz="4" w:space="0" w:color="auto"/>
            </w:tcBorders>
            <w:noWrap/>
            <w:vAlign w:val="bottom"/>
            <w:hideMark/>
          </w:tcPr>
          <w:p w14:paraId="707369EB"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16B3481F"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Plastic-marine debris</w:t>
            </w:r>
          </w:p>
        </w:tc>
        <w:tc>
          <w:tcPr>
            <w:tcW w:w="1165" w:type="dxa"/>
            <w:tcBorders>
              <w:top w:val="nil"/>
              <w:left w:val="nil"/>
              <w:bottom w:val="single" w:sz="4" w:space="0" w:color="auto"/>
              <w:right w:val="single" w:sz="4" w:space="0" w:color="auto"/>
            </w:tcBorders>
            <w:vAlign w:val="center"/>
            <w:hideMark/>
          </w:tcPr>
          <w:p w14:paraId="76E28887"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Domestics</w:t>
            </w:r>
          </w:p>
        </w:tc>
        <w:tc>
          <w:tcPr>
            <w:tcW w:w="922" w:type="dxa"/>
            <w:tcBorders>
              <w:top w:val="nil"/>
              <w:left w:val="nil"/>
              <w:bottom w:val="single" w:sz="4" w:space="0" w:color="auto"/>
              <w:right w:val="single" w:sz="4" w:space="0" w:color="auto"/>
            </w:tcBorders>
            <w:noWrap/>
            <w:vAlign w:val="bottom"/>
            <w:hideMark/>
          </w:tcPr>
          <w:p w14:paraId="6B9C96E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50" w:type="dxa"/>
            <w:tcBorders>
              <w:top w:val="nil"/>
              <w:left w:val="nil"/>
              <w:bottom w:val="single" w:sz="4" w:space="0" w:color="auto"/>
              <w:right w:val="single" w:sz="4" w:space="0" w:color="auto"/>
            </w:tcBorders>
            <w:vAlign w:val="center"/>
            <w:hideMark/>
          </w:tcPr>
          <w:p w14:paraId="71552F0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74" w:type="dxa"/>
            <w:tcBorders>
              <w:top w:val="nil"/>
              <w:left w:val="nil"/>
              <w:bottom w:val="single" w:sz="4" w:space="0" w:color="auto"/>
              <w:right w:val="single" w:sz="4" w:space="0" w:color="auto"/>
            </w:tcBorders>
            <w:noWrap/>
            <w:vAlign w:val="bottom"/>
            <w:hideMark/>
          </w:tcPr>
          <w:p w14:paraId="6BFABC3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929" w:type="dxa"/>
            <w:tcBorders>
              <w:top w:val="nil"/>
              <w:left w:val="nil"/>
              <w:bottom w:val="single" w:sz="4" w:space="0" w:color="auto"/>
              <w:right w:val="single" w:sz="4" w:space="0" w:color="auto"/>
            </w:tcBorders>
            <w:noWrap/>
            <w:vAlign w:val="bottom"/>
            <w:hideMark/>
          </w:tcPr>
          <w:p w14:paraId="0D12A61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62" w:type="dxa"/>
            <w:tcBorders>
              <w:top w:val="nil"/>
              <w:left w:val="nil"/>
              <w:bottom w:val="single" w:sz="4" w:space="0" w:color="auto"/>
              <w:right w:val="single" w:sz="4" w:space="0" w:color="auto"/>
            </w:tcBorders>
            <w:noWrap/>
            <w:vAlign w:val="bottom"/>
            <w:hideMark/>
          </w:tcPr>
          <w:p w14:paraId="1F7B087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24" w:type="dxa"/>
            <w:tcBorders>
              <w:top w:val="nil"/>
              <w:left w:val="nil"/>
              <w:bottom w:val="single" w:sz="4" w:space="0" w:color="auto"/>
              <w:right w:val="single" w:sz="4" w:space="0" w:color="auto"/>
            </w:tcBorders>
            <w:noWrap/>
            <w:vAlign w:val="bottom"/>
            <w:hideMark/>
          </w:tcPr>
          <w:p w14:paraId="4E01837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2B1D673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4.0</w:t>
            </w:r>
          </w:p>
        </w:tc>
        <w:tc>
          <w:tcPr>
            <w:tcW w:w="1248" w:type="dxa"/>
            <w:tcBorders>
              <w:top w:val="nil"/>
              <w:left w:val="nil"/>
              <w:bottom w:val="single" w:sz="4" w:space="0" w:color="auto"/>
              <w:right w:val="single" w:sz="4" w:space="0" w:color="auto"/>
            </w:tcBorders>
            <w:noWrap/>
            <w:vAlign w:val="bottom"/>
            <w:hideMark/>
          </w:tcPr>
          <w:p w14:paraId="220C790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noWrap/>
            <w:vAlign w:val="bottom"/>
            <w:hideMark/>
          </w:tcPr>
          <w:p w14:paraId="538CAEA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noWrap/>
            <w:vAlign w:val="bottom"/>
            <w:hideMark/>
          </w:tcPr>
          <w:p w14:paraId="5716239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075F9A7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79B6905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4.8</w:t>
            </w:r>
          </w:p>
        </w:tc>
        <w:tc>
          <w:tcPr>
            <w:tcW w:w="653" w:type="dxa"/>
            <w:tcBorders>
              <w:top w:val="nil"/>
              <w:left w:val="nil"/>
              <w:bottom w:val="single" w:sz="4" w:space="0" w:color="auto"/>
              <w:right w:val="single" w:sz="8" w:space="0" w:color="auto"/>
            </w:tcBorders>
          </w:tcPr>
          <w:p w14:paraId="6BCB444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4987DB49" w14:textId="77777777" w:rsidTr="001B74B6">
        <w:trPr>
          <w:trHeight w:val="288"/>
          <w:jc w:val="center"/>
        </w:trPr>
        <w:tc>
          <w:tcPr>
            <w:tcW w:w="1341" w:type="dxa"/>
            <w:tcBorders>
              <w:top w:val="nil"/>
              <w:left w:val="single" w:sz="8" w:space="0" w:color="auto"/>
              <w:bottom w:val="single" w:sz="4" w:space="0" w:color="auto"/>
              <w:right w:val="single" w:sz="4" w:space="0" w:color="auto"/>
            </w:tcBorders>
            <w:noWrap/>
            <w:vAlign w:val="bottom"/>
            <w:hideMark/>
          </w:tcPr>
          <w:p w14:paraId="593CA854"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07128F70"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Organics/nutrients</w:t>
            </w:r>
          </w:p>
        </w:tc>
        <w:tc>
          <w:tcPr>
            <w:tcW w:w="1165" w:type="dxa"/>
            <w:tcBorders>
              <w:top w:val="nil"/>
              <w:left w:val="nil"/>
              <w:bottom w:val="single" w:sz="4" w:space="0" w:color="auto"/>
              <w:right w:val="single" w:sz="4" w:space="0" w:color="auto"/>
            </w:tcBorders>
            <w:vAlign w:val="center"/>
            <w:hideMark/>
          </w:tcPr>
          <w:p w14:paraId="6E1564E5"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Domestic, agriculture, aquaculture</w:t>
            </w:r>
          </w:p>
        </w:tc>
        <w:tc>
          <w:tcPr>
            <w:tcW w:w="922" w:type="dxa"/>
            <w:tcBorders>
              <w:top w:val="nil"/>
              <w:left w:val="nil"/>
              <w:bottom w:val="single" w:sz="4" w:space="0" w:color="auto"/>
              <w:right w:val="single" w:sz="4" w:space="0" w:color="auto"/>
            </w:tcBorders>
            <w:noWrap/>
            <w:vAlign w:val="bottom"/>
            <w:hideMark/>
          </w:tcPr>
          <w:p w14:paraId="45CCA1A6"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56622BE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noWrap/>
            <w:vAlign w:val="bottom"/>
            <w:hideMark/>
          </w:tcPr>
          <w:p w14:paraId="0F3B2B8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929" w:type="dxa"/>
            <w:tcBorders>
              <w:top w:val="nil"/>
              <w:left w:val="nil"/>
              <w:bottom w:val="single" w:sz="4" w:space="0" w:color="auto"/>
              <w:right w:val="single" w:sz="4" w:space="0" w:color="auto"/>
            </w:tcBorders>
            <w:noWrap/>
            <w:vAlign w:val="bottom"/>
            <w:hideMark/>
          </w:tcPr>
          <w:p w14:paraId="6C011E5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62" w:type="dxa"/>
            <w:tcBorders>
              <w:top w:val="nil"/>
              <w:left w:val="nil"/>
              <w:bottom w:val="single" w:sz="4" w:space="0" w:color="auto"/>
              <w:right w:val="single" w:sz="4" w:space="0" w:color="auto"/>
            </w:tcBorders>
            <w:noWrap/>
            <w:vAlign w:val="bottom"/>
            <w:hideMark/>
          </w:tcPr>
          <w:p w14:paraId="01F538E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4" w:space="0" w:color="auto"/>
              <w:right w:val="single" w:sz="4" w:space="0" w:color="auto"/>
            </w:tcBorders>
            <w:noWrap/>
            <w:vAlign w:val="bottom"/>
            <w:hideMark/>
          </w:tcPr>
          <w:p w14:paraId="379505B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6B08BA0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4.0</w:t>
            </w:r>
          </w:p>
        </w:tc>
        <w:tc>
          <w:tcPr>
            <w:tcW w:w="1248" w:type="dxa"/>
            <w:tcBorders>
              <w:top w:val="nil"/>
              <w:left w:val="nil"/>
              <w:bottom w:val="single" w:sz="4" w:space="0" w:color="auto"/>
              <w:right w:val="single" w:sz="4" w:space="0" w:color="auto"/>
            </w:tcBorders>
            <w:noWrap/>
            <w:vAlign w:val="bottom"/>
            <w:hideMark/>
          </w:tcPr>
          <w:p w14:paraId="48D5CE7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noWrap/>
            <w:vAlign w:val="bottom"/>
            <w:hideMark/>
          </w:tcPr>
          <w:p w14:paraId="4D5EE4A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noWrap/>
            <w:vAlign w:val="bottom"/>
            <w:hideMark/>
          </w:tcPr>
          <w:p w14:paraId="4C77B03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26AF1E7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2731A7A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6.0</w:t>
            </w:r>
          </w:p>
        </w:tc>
        <w:tc>
          <w:tcPr>
            <w:tcW w:w="653" w:type="dxa"/>
            <w:tcBorders>
              <w:top w:val="nil"/>
              <w:left w:val="nil"/>
              <w:bottom w:val="single" w:sz="4" w:space="0" w:color="auto"/>
              <w:right w:val="single" w:sz="8" w:space="0" w:color="auto"/>
            </w:tcBorders>
          </w:tcPr>
          <w:p w14:paraId="36FAAB3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38477295" w14:textId="77777777" w:rsidTr="001B74B6">
        <w:trPr>
          <w:trHeight w:val="288"/>
          <w:jc w:val="center"/>
        </w:trPr>
        <w:tc>
          <w:tcPr>
            <w:tcW w:w="1341" w:type="dxa"/>
            <w:tcBorders>
              <w:top w:val="nil"/>
              <w:left w:val="single" w:sz="8" w:space="0" w:color="auto"/>
              <w:bottom w:val="single" w:sz="4" w:space="0" w:color="auto"/>
              <w:right w:val="single" w:sz="4" w:space="0" w:color="auto"/>
            </w:tcBorders>
            <w:noWrap/>
            <w:vAlign w:val="bottom"/>
            <w:hideMark/>
          </w:tcPr>
          <w:p w14:paraId="7BF46C16"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6AE38FC3"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E-Coli and bacteria</w:t>
            </w:r>
          </w:p>
        </w:tc>
        <w:tc>
          <w:tcPr>
            <w:tcW w:w="1165" w:type="dxa"/>
            <w:tcBorders>
              <w:top w:val="nil"/>
              <w:left w:val="nil"/>
              <w:bottom w:val="single" w:sz="4" w:space="0" w:color="auto"/>
              <w:right w:val="single" w:sz="4" w:space="0" w:color="auto"/>
            </w:tcBorders>
            <w:vAlign w:val="center"/>
            <w:hideMark/>
          </w:tcPr>
          <w:p w14:paraId="370F0AC6"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Domestics</w:t>
            </w:r>
          </w:p>
        </w:tc>
        <w:tc>
          <w:tcPr>
            <w:tcW w:w="922" w:type="dxa"/>
            <w:tcBorders>
              <w:top w:val="nil"/>
              <w:left w:val="nil"/>
              <w:bottom w:val="single" w:sz="4" w:space="0" w:color="auto"/>
              <w:right w:val="single" w:sz="4" w:space="0" w:color="auto"/>
            </w:tcBorders>
            <w:noWrap/>
            <w:vAlign w:val="bottom"/>
            <w:hideMark/>
          </w:tcPr>
          <w:p w14:paraId="571D2D2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1050" w:type="dxa"/>
            <w:tcBorders>
              <w:top w:val="nil"/>
              <w:left w:val="nil"/>
              <w:bottom w:val="single" w:sz="4" w:space="0" w:color="auto"/>
              <w:right w:val="single" w:sz="4" w:space="0" w:color="auto"/>
            </w:tcBorders>
            <w:vAlign w:val="center"/>
            <w:hideMark/>
          </w:tcPr>
          <w:p w14:paraId="155A78E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74" w:type="dxa"/>
            <w:tcBorders>
              <w:top w:val="nil"/>
              <w:left w:val="nil"/>
              <w:bottom w:val="single" w:sz="4" w:space="0" w:color="auto"/>
              <w:right w:val="single" w:sz="4" w:space="0" w:color="auto"/>
            </w:tcBorders>
            <w:noWrap/>
            <w:vAlign w:val="bottom"/>
            <w:hideMark/>
          </w:tcPr>
          <w:p w14:paraId="4ADDFFA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929" w:type="dxa"/>
            <w:tcBorders>
              <w:top w:val="nil"/>
              <w:left w:val="nil"/>
              <w:bottom w:val="single" w:sz="4" w:space="0" w:color="auto"/>
              <w:right w:val="single" w:sz="4" w:space="0" w:color="auto"/>
            </w:tcBorders>
            <w:noWrap/>
            <w:vAlign w:val="bottom"/>
            <w:hideMark/>
          </w:tcPr>
          <w:p w14:paraId="41A6790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5</w:t>
            </w:r>
          </w:p>
        </w:tc>
        <w:tc>
          <w:tcPr>
            <w:tcW w:w="762" w:type="dxa"/>
            <w:tcBorders>
              <w:top w:val="nil"/>
              <w:left w:val="nil"/>
              <w:bottom w:val="single" w:sz="4" w:space="0" w:color="auto"/>
              <w:right w:val="single" w:sz="4" w:space="0" w:color="auto"/>
            </w:tcBorders>
            <w:noWrap/>
            <w:vAlign w:val="bottom"/>
            <w:hideMark/>
          </w:tcPr>
          <w:p w14:paraId="2A7E9C1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4" w:space="0" w:color="auto"/>
              <w:right w:val="single" w:sz="4" w:space="0" w:color="auto"/>
            </w:tcBorders>
            <w:noWrap/>
            <w:vAlign w:val="bottom"/>
            <w:hideMark/>
          </w:tcPr>
          <w:p w14:paraId="563743A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212B059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4.0</w:t>
            </w:r>
          </w:p>
        </w:tc>
        <w:tc>
          <w:tcPr>
            <w:tcW w:w="1248" w:type="dxa"/>
            <w:tcBorders>
              <w:top w:val="nil"/>
              <w:left w:val="nil"/>
              <w:bottom w:val="single" w:sz="4" w:space="0" w:color="auto"/>
              <w:right w:val="single" w:sz="4" w:space="0" w:color="auto"/>
            </w:tcBorders>
            <w:noWrap/>
            <w:vAlign w:val="bottom"/>
            <w:hideMark/>
          </w:tcPr>
          <w:p w14:paraId="0A82DE0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noWrap/>
            <w:vAlign w:val="bottom"/>
            <w:hideMark/>
          </w:tcPr>
          <w:p w14:paraId="598CA0C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noWrap/>
            <w:vAlign w:val="bottom"/>
            <w:hideMark/>
          </w:tcPr>
          <w:p w14:paraId="03003A1A"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3AC1A21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3173C0A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6.0</w:t>
            </w:r>
          </w:p>
        </w:tc>
        <w:tc>
          <w:tcPr>
            <w:tcW w:w="653" w:type="dxa"/>
            <w:tcBorders>
              <w:top w:val="nil"/>
              <w:left w:val="nil"/>
              <w:bottom w:val="single" w:sz="4" w:space="0" w:color="auto"/>
              <w:right w:val="single" w:sz="8" w:space="0" w:color="auto"/>
            </w:tcBorders>
          </w:tcPr>
          <w:p w14:paraId="40B3441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0E6C94D0" w14:textId="77777777" w:rsidTr="001B74B6">
        <w:trPr>
          <w:trHeight w:val="288"/>
          <w:jc w:val="center"/>
        </w:trPr>
        <w:tc>
          <w:tcPr>
            <w:tcW w:w="1341" w:type="dxa"/>
            <w:tcBorders>
              <w:top w:val="nil"/>
              <w:left w:val="single" w:sz="8" w:space="0" w:color="auto"/>
              <w:bottom w:val="single" w:sz="4" w:space="0" w:color="auto"/>
              <w:right w:val="single" w:sz="4" w:space="0" w:color="auto"/>
            </w:tcBorders>
            <w:noWrap/>
            <w:vAlign w:val="bottom"/>
            <w:hideMark/>
          </w:tcPr>
          <w:p w14:paraId="28038443"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4" w:space="0" w:color="auto"/>
              <w:right w:val="single" w:sz="4" w:space="0" w:color="auto"/>
            </w:tcBorders>
            <w:vAlign w:val="center"/>
            <w:hideMark/>
          </w:tcPr>
          <w:p w14:paraId="29F5D8C8"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Pesticides</w:t>
            </w:r>
          </w:p>
        </w:tc>
        <w:tc>
          <w:tcPr>
            <w:tcW w:w="1165" w:type="dxa"/>
            <w:tcBorders>
              <w:top w:val="nil"/>
              <w:left w:val="nil"/>
              <w:bottom w:val="single" w:sz="4" w:space="0" w:color="auto"/>
              <w:right w:val="single" w:sz="4" w:space="0" w:color="auto"/>
            </w:tcBorders>
            <w:vAlign w:val="center"/>
            <w:hideMark/>
          </w:tcPr>
          <w:p w14:paraId="578A2D59"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Agriculture</w:t>
            </w:r>
          </w:p>
        </w:tc>
        <w:tc>
          <w:tcPr>
            <w:tcW w:w="922" w:type="dxa"/>
            <w:tcBorders>
              <w:top w:val="nil"/>
              <w:left w:val="nil"/>
              <w:bottom w:val="single" w:sz="4" w:space="0" w:color="auto"/>
              <w:right w:val="single" w:sz="4" w:space="0" w:color="auto"/>
            </w:tcBorders>
            <w:noWrap/>
            <w:vAlign w:val="bottom"/>
            <w:hideMark/>
          </w:tcPr>
          <w:p w14:paraId="6AFA8E1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50" w:type="dxa"/>
            <w:tcBorders>
              <w:top w:val="nil"/>
              <w:left w:val="nil"/>
              <w:bottom w:val="single" w:sz="4" w:space="0" w:color="auto"/>
              <w:right w:val="single" w:sz="4" w:space="0" w:color="auto"/>
            </w:tcBorders>
            <w:vAlign w:val="center"/>
            <w:hideMark/>
          </w:tcPr>
          <w:p w14:paraId="292AE61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74" w:type="dxa"/>
            <w:tcBorders>
              <w:top w:val="nil"/>
              <w:left w:val="nil"/>
              <w:bottom w:val="single" w:sz="4" w:space="0" w:color="auto"/>
              <w:right w:val="single" w:sz="4" w:space="0" w:color="auto"/>
            </w:tcBorders>
            <w:noWrap/>
            <w:vAlign w:val="bottom"/>
            <w:hideMark/>
          </w:tcPr>
          <w:p w14:paraId="6DCB0934"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929" w:type="dxa"/>
            <w:tcBorders>
              <w:top w:val="nil"/>
              <w:left w:val="nil"/>
              <w:bottom w:val="single" w:sz="4" w:space="0" w:color="auto"/>
              <w:right w:val="single" w:sz="4" w:space="0" w:color="auto"/>
            </w:tcBorders>
            <w:noWrap/>
            <w:vAlign w:val="bottom"/>
            <w:hideMark/>
          </w:tcPr>
          <w:p w14:paraId="212CF6D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762" w:type="dxa"/>
            <w:tcBorders>
              <w:top w:val="nil"/>
              <w:left w:val="nil"/>
              <w:bottom w:val="single" w:sz="4" w:space="0" w:color="auto"/>
              <w:right w:val="single" w:sz="4" w:space="0" w:color="auto"/>
            </w:tcBorders>
            <w:noWrap/>
            <w:vAlign w:val="bottom"/>
            <w:hideMark/>
          </w:tcPr>
          <w:p w14:paraId="5506861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4" w:space="0" w:color="auto"/>
              <w:right w:val="single" w:sz="4" w:space="0" w:color="auto"/>
            </w:tcBorders>
            <w:noWrap/>
            <w:vAlign w:val="bottom"/>
            <w:hideMark/>
          </w:tcPr>
          <w:p w14:paraId="7654424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837" w:type="dxa"/>
            <w:tcBorders>
              <w:top w:val="nil"/>
              <w:left w:val="nil"/>
              <w:bottom w:val="single" w:sz="4" w:space="0" w:color="auto"/>
              <w:right w:val="single" w:sz="4" w:space="0" w:color="auto"/>
            </w:tcBorders>
            <w:vAlign w:val="center"/>
            <w:hideMark/>
          </w:tcPr>
          <w:p w14:paraId="19808B8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3.0</w:t>
            </w:r>
          </w:p>
        </w:tc>
        <w:tc>
          <w:tcPr>
            <w:tcW w:w="1248" w:type="dxa"/>
            <w:tcBorders>
              <w:top w:val="nil"/>
              <w:left w:val="nil"/>
              <w:bottom w:val="single" w:sz="4" w:space="0" w:color="auto"/>
              <w:right w:val="single" w:sz="4" w:space="0" w:color="auto"/>
            </w:tcBorders>
            <w:noWrap/>
            <w:vAlign w:val="bottom"/>
            <w:hideMark/>
          </w:tcPr>
          <w:p w14:paraId="7375376B"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4" w:space="0" w:color="auto"/>
              <w:right w:val="single" w:sz="4" w:space="0" w:color="auto"/>
            </w:tcBorders>
            <w:noWrap/>
            <w:vAlign w:val="bottom"/>
            <w:hideMark/>
          </w:tcPr>
          <w:p w14:paraId="72DBF65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4" w:space="0" w:color="auto"/>
              <w:right w:val="single" w:sz="4" w:space="0" w:color="auto"/>
            </w:tcBorders>
            <w:noWrap/>
            <w:vAlign w:val="bottom"/>
            <w:hideMark/>
          </w:tcPr>
          <w:p w14:paraId="7B87163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4" w:space="0" w:color="auto"/>
              <w:right w:val="single" w:sz="4" w:space="0" w:color="auto"/>
            </w:tcBorders>
            <w:vAlign w:val="center"/>
            <w:hideMark/>
          </w:tcPr>
          <w:p w14:paraId="086D14E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4" w:space="0" w:color="auto"/>
              <w:right w:val="single" w:sz="8" w:space="0" w:color="auto"/>
            </w:tcBorders>
            <w:vAlign w:val="center"/>
            <w:hideMark/>
          </w:tcPr>
          <w:p w14:paraId="5BC6B2CF"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3.6</w:t>
            </w:r>
          </w:p>
        </w:tc>
        <w:tc>
          <w:tcPr>
            <w:tcW w:w="653" w:type="dxa"/>
            <w:tcBorders>
              <w:top w:val="nil"/>
              <w:left w:val="nil"/>
              <w:bottom w:val="single" w:sz="4" w:space="0" w:color="auto"/>
              <w:right w:val="single" w:sz="8" w:space="0" w:color="auto"/>
            </w:tcBorders>
          </w:tcPr>
          <w:p w14:paraId="70C69C7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r w:rsidR="00E30AFB" w:rsidRPr="00A803B9" w14:paraId="0C9DE17D" w14:textId="77777777" w:rsidTr="001B74B6">
        <w:trPr>
          <w:trHeight w:val="300"/>
          <w:jc w:val="center"/>
        </w:trPr>
        <w:tc>
          <w:tcPr>
            <w:tcW w:w="1341" w:type="dxa"/>
            <w:tcBorders>
              <w:top w:val="nil"/>
              <w:left w:val="single" w:sz="8" w:space="0" w:color="auto"/>
              <w:bottom w:val="single" w:sz="8" w:space="0" w:color="auto"/>
              <w:right w:val="single" w:sz="4" w:space="0" w:color="auto"/>
            </w:tcBorders>
            <w:noWrap/>
            <w:vAlign w:val="bottom"/>
            <w:hideMark/>
          </w:tcPr>
          <w:p w14:paraId="7695A97B"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 </w:t>
            </w:r>
          </w:p>
        </w:tc>
        <w:tc>
          <w:tcPr>
            <w:tcW w:w="1677" w:type="dxa"/>
            <w:tcBorders>
              <w:top w:val="nil"/>
              <w:left w:val="nil"/>
              <w:bottom w:val="single" w:sz="8" w:space="0" w:color="auto"/>
              <w:right w:val="single" w:sz="4" w:space="0" w:color="auto"/>
            </w:tcBorders>
            <w:vAlign w:val="center"/>
            <w:hideMark/>
          </w:tcPr>
          <w:p w14:paraId="6693BD2E"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TSS</w:t>
            </w:r>
          </w:p>
        </w:tc>
        <w:tc>
          <w:tcPr>
            <w:tcW w:w="1165" w:type="dxa"/>
            <w:tcBorders>
              <w:top w:val="nil"/>
              <w:left w:val="nil"/>
              <w:bottom w:val="single" w:sz="8" w:space="0" w:color="auto"/>
              <w:right w:val="single" w:sz="4" w:space="0" w:color="auto"/>
            </w:tcBorders>
            <w:vAlign w:val="center"/>
            <w:hideMark/>
          </w:tcPr>
          <w:p w14:paraId="4CCD8452" w14:textId="77777777" w:rsidR="00E30AFB" w:rsidRPr="00A803B9" w:rsidRDefault="00E30AFB" w:rsidP="001B74B6">
            <w:pPr>
              <w:rPr>
                <w:rFonts w:ascii="Aptos" w:eastAsia="Times New Roman" w:hAnsi="Aptos"/>
                <w:color w:val="000000"/>
                <w:sz w:val="18"/>
                <w:szCs w:val="18"/>
                <w:lang w:val="en-ID"/>
              </w:rPr>
            </w:pPr>
            <w:r w:rsidRPr="00A803B9">
              <w:rPr>
                <w:rFonts w:ascii="Aptos" w:eastAsia="Times New Roman" w:hAnsi="Aptos"/>
                <w:color w:val="000000"/>
                <w:sz w:val="18"/>
                <w:szCs w:val="18"/>
                <w:lang w:val="en-ID"/>
              </w:rPr>
              <w:t>Mineral Mining and sand mining</w:t>
            </w:r>
          </w:p>
        </w:tc>
        <w:tc>
          <w:tcPr>
            <w:tcW w:w="922" w:type="dxa"/>
            <w:tcBorders>
              <w:top w:val="nil"/>
              <w:left w:val="nil"/>
              <w:bottom w:val="single" w:sz="8" w:space="0" w:color="auto"/>
              <w:right w:val="single" w:sz="4" w:space="0" w:color="auto"/>
            </w:tcBorders>
            <w:noWrap/>
            <w:vAlign w:val="bottom"/>
            <w:hideMark/>
          </w:tcPr>
          <w:p w14:paraId="035A2C3D"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1050" w:type="dxa"/>
            <w:tcBorders>
              <w:top w:val="nil"/>
              <w:left w:val="nil"/>
              <w:bottom w:val="single" w:sz="8" w:space="0" w:color="auto"/>
              <w:right w:val="single" w:sz="4" w:space="0" w:color="auto"/>
            </w:tcBorders>
            <w:vAlign w:val="center"/>
            <w:hideMark/>
          </w:tcPr>
          <w:p w14:paraId="355FC99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74" w:type="dxa"/>
            <w:tcBorders>
              <w:top w:val="nil"/>
              <w:left w:val="nil"/>
              <w:bottom w:val="single" w:sz="8" w:space="0" w:color="auto"/>
              <w:right w:val="single" w:sz="4" w:space="0" w:color="auto"/>
            </w:tcBorders>
            <w:noWrap/>
            <w:vAlign w:val="bottom"/>
            <w:hideMark/>
          </w:tcPr>
          <w:p w14:paraId="36C5B73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929" w:type="dxa"/>
            <w:tcBorders>
              <w:top w:val="nil"/>
              <w:left w:val="nil"/>
              <w:bottom w:val="single" w:sz="8" w:space="0" w:color="auto"/>
              <w:right w:val="single" w:sz="4" w:space="0" w:color="auto"/>
            </w:tcBorders>
            <w:noWrap/>
            <w:vAlign w:val="bottom"/>
            <w:hideMark/>
          </w:tcPr>
          <w:p w14:paraId="5A12A18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762" w:type="dxa"/>
            <w:tcBorders>
              <w:top w:val="nil"/>
              <w:left w:val="nil"/>
              <w:bottom w:val="single" w:sz="8" w:space="0" w:color="auto"/>
              <w:right w:val="single" w:sz="4" w:space="0" w:color="auto"/>
            </w:tcBorders>
            <w:noWrap/>
            <w:vAlign w:val="bottom"/>
            <w:hideMark/>
          </w:tcPr>
          <w:p w14:paraId="17CABA9E"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24" w:type="dxa"/>
            <w:tcBorders>
              <w:top w:val="nil"/>
              <w:left w:val="nil"/>
              <w:bottom w:val="single" w:sz="8" w:space="0" w:color="auto"/>
              <w:right w:val="single" w:sz="4" w:space="0" w:color="auto"/>
            </w:tcBorders>
            <w:noWrap/>
            <w:vAlign w:val="bottom"/>
            <w:hideMark/>
          </w:tcPr>
          <w:p w14:paraId="5765F053"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8" w:space="0" w:color="auto"/>
              <w:right w:val="single" w:sz="4" w:space="0" w:color="auto"/>
            </w:tcBorders>
            <w:vAlign w:val="center"/>
            <w:hideMark/>
          </w:tcPr>
          <w:p w14:paraId="7CC19171"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3.8</w:t>
            </w:r>
          </w:p>
        </w:tc>
        <w:tc>
          <w:tcPr>
            <w:tcW w:w="1248" w:type="dxa"/>
            <w:tcBorders>
              <w:top w:val="nil"/>
              <w:left w:val="nil"/>
              <w:bottom w:val="single" w:sz="8" w:space="0" w:color="auto"/>
              <w:right w:val="single" w:sz="4" w:space="0" w:color="auto"/>
            </w:tcBorders>
            <w:noWrap/>
            <w:vAlign w:val="bottom"/>
            <w:hideMark/>
          </w:tcPr>
          <w:p w14:paraId="28F58E78"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48" w:type="dxa"/>
            <w:tcBorders>
              <w:top w:val="nil"/>
              <w:left w:val="nil"/>
              <w:bottom w:val="single" w:sz="8" w:space="0" w:color="auto"/>
              <w:right w:val="single" w:sz="4" w:space="0" w:color="auto"/>
            </w:tcBorders>
            <w:noWrap/>
            <w:vAlign w:val="bottom"/>
            <w:hideMark/>
          </w:tcPr>
          <w:p w14:paraId="6F675327"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w:t>
            </w:r>
          </w:p>
        </w:tc>
        <w:tc>
          <w:tcPr>
            <w:tcW w:w="1050" w:type="dxa"/>
            <w:tcBorders>
              <w:top w:val="nil"/>
              <w:left w:val="nil"/>
              <w:bottom w:val="single" w:sz="8" w:space="0" w:color="auto"/>
              <w:right w:val="single" w:sz="4" w:space="0" w:color="auto"/>
            </w:tcBorders>
            <w:noWrap/>
            <w:vAlign w:val="bottom"/>
            <w:hideMark/>
          </w:tcPr>
          <w:p w14:paraId="69EDFCE5"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w:t>
            </w:r>
          </w:p>
        </w:tc>
        <w:tc>
          <w:tcPr>
            <w:tcW w:w="837" w:type="dxa"/>
            <w:tcBorders>
              <w:top w:val="nil"/>
              <w:left w:val="nil"/>
              <w:bottom w:val="single" w:sz="8" w:space="0" w:color="auto"/>
              <w:right w:val="single" w:sz="4" w:space="0" w:color="auto"/>
            </w:tcBorders>
            <w:vAlign w:val="center"/>
            <w:hideMark/>
          </w:tcPr>
          <w:p w14:paraId="6A0BD599"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3.3</w:t>
            </w:r>
          </w:p>
        </w:tc>
        <w:tc>
          <w:tcPr>
            <w:tcW w:w="574" w:type="dxa"/>
            <w:tcBorders>
              <w:top w:val="nil"/>
              <w:left w:val="nil"/>
              <w:bottom w:val="single" w:sz="8" w:space="0" w:color="auto"/>
              <w:right w:val="single" w:sz="8" w:space="0" w:color="auto"/>
            </w:tcBorders>
            <w:vAlign w:val="center"/>
            <w:hideMark/>
          </w:tcPr>
          <w:p w14:paraId="630E4AD0"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4.5</w:t>
            </w:r>
          </w:p>
        </w:tc>
        <w:tc>
          <w:tcPr>
            <w:tcW w:w="653" w:type="dxa"/>
            <w:tcBorders>
              <w:top w:val="nil"/>
              <w:left w:val="nil"/>
              <w:bottom w:val="single" w:sz="8" w:space="0" w:color="auto"/>
              <w:right w:val="single" w:sz="8" w:space="0" w:color="auto"/>
            </w:tcBorders>
          </w:tcPr>
          <w:p w14:paraId="3658ED8C" w14:textId="77777777" w:rsidR="00E30AFB" w:rsidRPr="00A803B9" w:rsidRDefault="00E30AFB" w:rsidP="001B74B6">
            <w:pPr>
              <w:jc w:val="center"/>
              <w:rPr>
                <w:rFonts w:ascii="Aptos" w:eastAsia="Times New Roman" w:hAnsi="Aptos"/>
                <w:color w:val="000000"/>
                <w:sz w:val="18"/>
                <w:szCs w:val="18"/>
                <w:lang w:val="en-ID"/>
              </w:rPr>
            </w:pPr>
            <w:r w:rsidRPr="00A803B9">
              <w:rPr>
                <w:rFonts w:ascii="Aptos" w:eastAsia="Times New Roman" w:hAnsi="Aptos"/>
                <w:color w:val="000000"/>
                <w:sz w:val="18"/>
                <w:szCs w:val="18"/>
                <w:lang w:val="en-ID"/>
              </w:rPr>
              <w:t>M</w:t>
            </w:r>
          </w:p>
        </w:tc>
      </w:tr>
    </w:tbl>
    <w:p w14:paraId="1FE032C8" w14:textId="77777777" w:rsidR="00E30AFB" w:rsidRPr="003C315D" w:rsidRDefault="00E30AFB" w:rsidP="00E30AFB">
      <w:pPr>
        <w:rPr>
          <w:rFonts w:ascii="Aptos" w:hAnsi="Aptos"/>
        </w:rPr>
      </w:pPr>
    </w:p>
    <w:p w14:paraId="7708E93C" w14:textId="77777777" w:rsidR="00E30AFB" w:rsidRDefault="00E30AFB" w:rsidP="00E30AFB">
      <w:pPr>
        <w:pStyle w:val="BodyText"/>
        <w:spacing w:before="188"/>
        <w:ind w:left="360"/>
        <w:rPr>
          <w:rFonts w:ascii="Times New Roman" w:hAnsi="Times New Roman" w:cs="Times New Roman"/>
          <w:color w:val="000000" w:themeColor="text1"/>
          <w:lang w:val="en-ID"/>
        </w:rPr>
      </w:pPr>
    </w:p>
    <w:p w14:paraId="2BE8A70C" w14:textId="77777777" w:rsidR="00E30AFB" w:rsidRDefault="00E30AFB" w:rsidP="00E30AFB">
      <w:pPr>
        <w:pStyle w:val="BodyText"/>
        <w:spacing w:before="188"/>
        <w:rPr>
          <w:rFonts w:ascii="Times New Roman" w:hAnsi="Times New Roman" w:cs="Times New Roman"/>
          <w:color w:val="000000" w:themeColor="text1"/>
          <w:lang w:val="en-ID"/>
        </w:rPr>
        <w:sectPr w:rsidR="00E30AFB" w:rsidSect="00D33AEE">
          <w:pgSz w:w="16817" w:h="11901" w:orient="landscape"/>
          <w:pgMar w:top="1077" w:right="1440" w:bottom="1077" w:left="1440" w:header="709" w:footer="709" w:gutter="0"/>
          <w:pgNumType w:start="123"/>
          <w:cols w:space="720"/>
          <w:titlePg/>
          <w:docGrid w:linePitch="326"/>
        </w:sectPr>
      </w:pPr>
    </w:p>
    <w:p w14:paraId="175D41C4" w14:textId="77777777" w:rsidR="00E30AFB" w:rsidRPr="000457AF" w:rsidRDefault="00E30AFB" w:rsidP="00E30AFB">
      <w:pPr>
        <w:pStyle w:val="BodyText"/>
        <w:numPr>
          <w:ilvl w:val="0"/>
          <w:numId w:val="194"/>
        </w:numPr>
        <w:spacing w:before="188"/>
        <w:rPr>
          <w:rFonts w:ascii="Times New Roman" w:hAnsi="Times New Roman" w:cs="Times New Roman"/>
          <w:color w:val="000000" w:themeColor="text1"/>
          <w:lang w:val="en-ID"/>
        </w:rPr>
      </w:pPr>
      <w:r>
        <w:rPr>
          <w:rFonts w:ascii="Times New Roman" w:hAnsi="Times New Roman" w:cs="Times New Roman"/>
          <w:b/>
          <w:bCs/>
          <w:color w:val="000000" w:themeColor="text1"/>
          <w:lang w:val="en-ID"/>
        </w:rPr>
        <w:lastRenderedPageBreak/>
        <w:t xml:space="preserve"> Types </w:t>
      </w:r>
      <w:r w:rsidRPr="000457AF">
        <w:rPr>
          <w:rFonts w:ascii="Times New Roman" w:hAnsi="Times New Roman" w:cs="Times New Roman"/>
          <w:b/>
          <w:bCs/>
          <w:color w:val="000000" w:themeColor="text1"/>
          <w:lang w:val="en-ID"/>
        </w:rPr>
        <w:t>of pollution and government actions against marine pollution</w:t>
      </w:r>
      <w:r w:rsidRPr="000457AF">
        <w:rPr>
          <w:rFonts w:ascii="Times New Roman" w:hAnsi="Times New Roman" w:cs="Times New Roman"/>
          <w:color w:val="000000" w:themeColor="text1"/>
          <w:lang w:val="en-ID"/>
        </w:rPr>
        <w:br/>
      </w:r>
    </w:p>
    <w:tbl>
      <w:tblPr>
        <w:tblW w:w="0" w:type="auto"/>
        <w:jc w:val="center"/>
        <w:tblCellMar>
          <w:top w:w="15" w:type="dxa"/>
          <w:left w:w="15" w:type="dxa"/>
          <w:bottom w:w="15" w:type="dxa"/>
          <w:right w:w="15" w:type="dxa"/>
        </w:tblCellMar>
        <w:tblLook w:val="04A0" w:firstRow="1" w:lastRow="0" w:firstColumn="1" w:lastColumn="0" w:noHBand="0" w:noVBand="1"/>
      </w:tblPr>
      <w:tblGrid>
        <w:gridCol w:w="859"/>
        <w:gridCol w:w="1698"/>
        <w:gridCol w:w="1642"/>
        <w:gridCol w:w="2278"/>
        <w:gridCol w:w="3260"/>
      </w:tblGrid>
      <w:tr w:rsidR="00E30AFB" w:rsidRPr="000457AF" w14:paraId="120216B0" w14:textId="77777777" w:rsidTr="001B74B6">
        <w:trPr>
          <w:tblHeade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B0BDD6" w14:textId="77777777" w:rsidR="00E30AFB" w:rsidRPr="000457AF" w:rsidRDefault="00E30AFB" w:rsidP="001B74B6">
            <w:pPr>
              <w:pStyle w:val="BodyText"/>
              <w:spacing w:before="188"/>
              <w:ind w:left="360"/>
              <w:rPr>
                <w:rFonts w:ascii="Times New Roman" w:hAnsi="Times New Roman" w:cs="Times New Roman"/>
                <w:b/>
                <w:bCs/>
                <w:color w:val="000000" w:themeColor="text1"/>
                <w:lang w:val="en-ID"/>
              </w:rPr>
            </w:pPr>
            <w:r w:rsidRPr="000457AF">
              <w:rPr>
                <w:rFonts w:ascii="Times New Roman" w:hAnsi="Times New Roman" w:cs="Times New Roman"/>
                <w:color w:val="000000" w:themeColor="text1"/>
                <w:lang w:val="en-ID"/>
              </w:rPr>
              <w:t>No</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6A6FBF70" w14:textId="77777777" w:rsidR="00E30AFB" w:rsidRPr="000457AF" w:rsidRDefault="00E30AFB" w:rsidP="001B74B6">
            <w:pPr>
              <w:pStyle w:val="BodyText"/>
              <w:spacing w:before="188"/>
              <w:ind w:left="360"/>
              <w:rPr>
                <w:rFonts w:ascii="Times New Roman" w:hAnsi="Times New Roman" w:cs="Times New Roman"/>
                <w:b/>
                <w:bCs/>
                <w:color w:val="000000" w:themeColor="text1"/>
                <w:lang w:val="en-ID"/>
              </w:rPr>
            </w:pPr>
            <w:r w:rsidRPr="000457AF">
              <w:rPr>
                <w:rFonts w:ascii="Times New Roman" w:hAnsi="Times New Roman" w:cs="Times New Roman"/>
                <w:color w:val="000000" w:themeColor="text1"/>
                <w:lang w:val="en-ID"/>
              </w:rPr>
              <w:t>Type of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C101FE6" w14:textId="77777777" w:rsidR="00E30AFB" w:rsidRPr="000457AF" w:rsidRDefault="00E30AFB" w:rsidP="001B74B6">
            <w:pPr>
              <w:pStyle w:val="BodyText"/>
              <w:spacing w:before="188"/>
              <w:ind w:left="360"/>
              <w:rPr>
                <w:rFonts w:ascii="Times New Roman" w:hAnsi="Times New Roman" w:cs="Times New Roman"/>
                <w:b/>
                <w:bCs/>
                <w:color w:val="000000" w:themeColor="text1"/>
                <w:lang w:val="en-ID"/>
              </w:rPr>
            </w:pPr>
            <w:r w:rsidRPr="000457AF">
              <w:rPr>
                <w:rFonts w:ascii="Times New Roman" w:hAnsi="Times New Roman" w:cs="Times New Roman"/>
                <w:color w:val="000000" w:themeColor="text1"/>
                <w:lang w:val="en-ID"/>
              </w:rPr>
              <w:t>Location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71A4B030" w14:textId="77777777" w:rsidR="00E30AFB" w:rsidRPr="000457AF" w:rsidRDefault="00E30AFB" w:rsidP="001B74B6">
            <w:pPr>
              <w:pStyle w:val="BodyText"/>
              <w:spacing w:before="188"/>
              <w:ind w:left="360"/>
              <w:rPr>
                <w:rFonts w:ascii="Times New Roman" w:hAnsi="Times New Roman" w:cs="Times New Roman"/>
                <w:b/>
                <w:bCs/>
                <w:color w:val="000000" w:themeColor="text1"/>
                <w:lang w:val="en-ID"/>
              </w:rPr>
            </w:pPr>
            <w:r w:rsidRPr="000457AF">
              <w:rPr>
                <w:rFonts w:ascii="Times New Roman" w:hAnsi="Times New Roman" w:cs="Times New Roman"/>
                <w:color w:val="000000" w:themeColor="text1"/>
                <w:lang w:val="en-ID"/>
              </w:rPr>
              <w:t>Pollution Status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bottom"/>
            <w:hideMark/>
          </w:tcPr>
          <w:p w14:paraId="56082862" w14:textId="77777777" w:rsidR="00E30AFB" w:rsidRPr="000457AF" w:rsidRDefault="00E30AFB" w:rsidP="001B74B6">
            <w:pPr>
              <w:pStyle w:val="BodyText"/>
              <w:spacing w:before="188"/>
              <w:ind w:left="360"/>
              <w:rPr>
                <w:rFonts w:ascii="Times New Roman" w:hAnsi="Times New Roman" w:cs="Times New Roman"/>
                <w:b/>
                <w:bCs/>
                <w:color w:val="000000" w:themeColor="text1"/>
                <w:lang w:val="en-ID"/>
              </w:rPr>
            </w:pPr>
            <w:r w:rsidRPr="000457AF">
              <w:rPr>
                <w:rFonts w:ascii="Times New Roman" w:hAnsi="Times New Roman" w:cs="Times New Roman"/>
                <w:color w:val="000000" w:themeColor="text1"/>
                <w:lang w:val="en-ID"/>
              </w:rPr>
              <w:t>Mitigation and Prevention Measures/ Efforts</w:t>
            </w:r>
          </w:p>
        </w:tc>
      </w:tr>
      <w:tr w:rsidR="00E30AFB" w:rsidRPr="000457AF" w14:paraId="0BE690AD" w14:textId="77777777" w:rsidTr="001B74B6">
        <w:trPr>
          <w:jc w:val="center"/>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2D24AB"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FE49FF1"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Oil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D8C913"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Riau Islands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7A6C6A6"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Moderate (2020) and Good (2021) (source: 2020-2021 Performance Report DLHK/ Environmental and Forestry Agency of Riau Islands Province)</w:t>
            </w:r>
          </w:p>
          <w:p w14:paraId="541FCBF5"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Good (source: Q1 2025 Performance Report DLHK/ Environmental and Forestry Agency of Riau Islands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E0675E" w14:textId="77777777" w:rsidR="00E30AFB" w:rsidRPr="000457AF" w:rsidRDefault="00E30AFB" w:rsidP="001B74B6">
            <w:pPr>
              <w:pStyle w:val="BodyText"/>
              <w:numPr>
                <w:ilvl w:val="0"/>
                <w:numId w:val="164"/>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Pollution and/or Damage Control Program: Coordination, Synchronization, and Implementation of Greenhouse Gas Emission Control, Climate Change Mitigation and Adaptation</w:t>
            </w:r>
          </w:p>
          <w:p w14:paraId="55EA7A88" w14:textId="77777777" w:rsidR="00E30AFB" w:rsidRPr="000457AF" w:rsidRDefault="00E30AFB" w:rsidP="001B74B6">
            <w:pPr>
              <w:pStyle w:val="BodyText"/>
              <w:numPr>
                <w:ilvl w:val="0"/>
                <w:numId w:val="164"/>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Complaint Handling Program</w:t>
            </w:r>
          </w:p>
          <w:p w14:paraId="1F6B9723" w14:textId="77777777" w:rsidR="00E30AFB" w:rsidRPr="000457AF" w:rsidRDefault="00E30AFB" w:rsidP="001B74B6">
            <w:pPr>
              <w:pStyle w:val="BodyText"/>
              <w:numPr>
                <w:ilvl w:val="0"/>
                <w:numId w:val="164"/>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Hazardous and Toxic Materials (B3) and Hazardous Waste (B3 Waste) Control Program</w:t>
            </w:r>
          </w:p>
          <w:p w14:paraId="7D91EA7C"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p w14:paraId="61DD8FE8"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(source: 2024 Work Agreement, 2024 Government Agency Performance Report, 2025 Annual Work Plan, 2021-2026 Strategic Plan DLHK/ Environmental and Forestry Agency of Riau Islands Province)</w:t>
            </w:r>
          </w:p>
        </w:tc>
      </w:tr>
      <w:tr w:rsidR="00E30AFB" w:rsidRPr="000457AF" w14:paraId="074BCDF7" w14:textId="77777777" w:rsidTr="001B74B6">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748E4B6"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7AE5DF"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Oil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D167FE"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Batam City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8F35CC"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Moderate (source: Executive Summary of 2024 Environmental Management Performance Information DLH/ Environmental Agency of Batam City)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0F8145" w14:textId="77777777" w:rsidR="00E30AFB" w:rsidRPr="000457AF" w:rsidRDefault="00E30AFB" w:rsidP="001B74B6">
            <w:pPr>
              <w:pStyle w:val="BodyText"/>
              <w:numPr>
                <w:ilvl w:val="0"/>
                <w:numId w:val="165"/>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Planning Program</w:t>
            </w:r>
          </w:p>
          <w:p w14:paraId="61DEE358" w14:textId="77777777" w:rsidR="00E30AFB" w:rsidRPr="000457AF" w:rsidRDefault="00E30AFB" w:rsidP="001B74B6">
            <w:pPr>
              <w:pStyle w:val="BodyText"/>
              <w:numPr>
                <w:ilvl w:val="0"/>
                <w:numId w:val="165"/>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Pollution and/or Damage Control Program</w:t>
            </w:r>
          </w:p>
          <w:p w14:paraId="3EC49869" w14:textId="77777777" w:rsidR="00E30AFB" w:rsidRPr="000457AF" w:rsidRDefault="00E30AFB" w:rsidP="001B74B6">
            <w:pPr>
              <w:pStyle w:val="BodyText"/>
              <w:numPr>
                <w:ilvl w:val="0"/>
                <w:numId w:val="165"/>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Education, Training, and Community Outreach Program</w:t>
            </w:r>
          </w:p>
          <w:p w14:paraId="1717CE23"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(source: Executive Summary of 2024 Environmental Management Performance Information DLH/ Environmental Agency of Batam City)</w:t>
            </w:r>
          </w:p>
        </w:tc>
      </w:tr>
      <w:tr w:rsidR="00E30AFB" w:rsidRPr="000457AF" w14:paraId="165F2A6A" w14:textId="77777777" w:rsidTr="001B74B6">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2292785"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DDC1ED"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Oil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658C2B"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Bintan Regency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BF541E"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Black oil waste found along the coast of Bintan Regency. This is not the first occurrence; oil spills happen every year.</w:t>
            </w:r>
            <w:r w:rsidRPr="000457AF">
              <w:rPr>
                <w:rFonts w:ascii="Times New Roman" w:hAnsi="Times New Roman" w:cs="Times New Roman"/>
                <w:color w:val="000000" w:themeColor="text1"/>
                <w:lang w:val="en-ID"/>
              </w:rPr>
              <w:br/>
              <w:t xml:space="preserve">(source: Agusthin </w:t>
            </w:r>
            <w:r w:rsidRPr="000457AF">
              <w:rPr>
                <w:rFonts w:ascii="Times New Roman" w:hAnsi="Times New Roman" w:cs="Times New Roman"/>
                <w:i/>
                <w:iCs/>
                <w:color w:val="000000" w:themeColor="text1"/>
                <w:lang w:val="en-ID"/>
              </w:rPr>
              <w:t>et al</w:t>
            </w:r>
            <w:r w:rsidRPr="000457AF">
              <w:rPr>
                <w:rFonts w:ascii="Times New Roman" w:hAnsi="Times New Roman" w:cs="Times New Roman"/>
                <w:color w:val="000000" w:themeColor="text1"/>
                <w:lang w:val="en-ID"/>
              </w:rPr>
              <w:t>. 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0ADE8A" w14:textId="77777777" w:rsidR="00E30AFB" w:rsidRPr="000457AF" w:rsidRDefault="00E30AFB" w:rsidP="001B74B6">
            <w:pPr>
              <w:pStyle w:val="BodyText"/>
              <w:numPr>
                <w:ilvl w:val="0"/>
                <w:numId w:val="166"/>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Sent letter to the Ministry of Environment regarding water pollution on Bintan Island by Bintan Environmental Agency</w:t>
            </w:r>
            <w:r w:rsidRPr="000457AF">
              <w:rPr>
                <w:rFonts w:ascii="Times New Roman" w:hAnsi="Times New Roman" w:cs="Times New Roman"/>
                <w:color w:val="000000" w:themeColor="text1"/>
                <w:lang w:val="en-ID"/>
              </w:rPr>
              <w:br/>
              <w:t>Held Oil Spill Coordination</w:t>
            </w:r>
          </w:p>
          <w:p w14:paraId="46080D3A" w14:textId="77777777" w:rsidR="00E30AFB" w:rsidRPr="000457AF" w:rsidRDefault="00E30AFB" w:rsidP="001B74B6">
            <w:pPr>
              <w:pStyle w:val="BodyText"/>
              <w:numPr>
                <w:ilvl w:val="0"/>
                <w:numId w:val="166"/>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Meeting attended by various agencies such as the Coordinating Ministry for Maritime Affairs, BAKAMLA/ Indonesian Maritime Security Agency, and others</w:t>
            </w:r>
          </w:p>
          <w:p w14:paraId="3DF053A5" w14:textId="77777777" w:rsidR="00E30AFB" w:rsidRPr="000457AF" w:rsidRDefault="00E30AFB" w:rsidP="001B74B6">
            <w:pPr>
              <w:pStyle w:val="BodyText"/>
              <w:numPr>
                <w:ilvl w:val="0"/>
                <w:numId w:val="166"/>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Collaboration between DLHK/ Environmental and Forestry Agency of Riau Islands Province, Bintan Environmental Agency, and coastal communities for cleaning black oil waste; collected into drums for transport to B3 Waste Management Facility in Batam </w:t>
            </w:r>
          </w:p>
          <w:p w14:paraId="47C5B828" w14:textId="77777777" w:rsidR="00E30AFB" w:rsidRPr="000457AF" w:rsidRDefault="00E30AFB" w:rsidP="001B74B6">
            <w:pPr>
              <w:pStyle w:val="BodyText"/>
              <w:numPr>
                <w:ilvl w:val="0"/>
                <w:numId w:val="166"/>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Issued Decree on Formation of Oil Spill Response Team in Riau Islands Province (Governor Decree No. 742/2018 dated 14 May 2018)</w:t>
            </w:r>
          </w:p>
          <w:p w14:paraId="0736C0DC"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(source: Agusthin </w:t>
            </w:r>
            <w:r w:rsidRPr="000457AF">
              <w:rPr>
                <w:rFonts w:ascii="Times New Roman" w:hAnsi="Times New Roman" w:cs="Times New Roman"/>
                <w:i/>
                <w:iCs/>
                <w:color w:val="000000" w:themeColor="text1"/>
                <w:lang w:val="en-ID"/>
              </w:rPr>
              <w:t>et al</w:t>
            </w:r>
            <w:r w:rsidRPr="000457AF">
              <w:rPr>
                <w:rFonts w:ascii="Times New Roman" w:hAnsi="Times New Roman" w:cs="Times New Roman"/>
                <w:color w:val="000000" w:themeColor="text1"/>
                <w:lang w:val="en-ID"/>
              </w:rPr>
              <w:t>. 2024)</w:t>
            </w:r>
          </w:p>
          <w:p w14:paraId="5A9161BB"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 xml:space="preserve">(source: Agusthin </w:t>
            </w:r>
            <w:r w:rsidRPr="000457AF">
              <w:rPr>
                <w:rFonts w:ascii="Times New Roman" w:hAnsi="Times New Roman" w:cs="Times New Roman"/>
                <w:i/>
                <w:iCs/>
                <w:color w:val="000000" w:themeColor="text1"/>
                <w:lang w:val="en-ID"/>
              </w:rPr>
              <w:t>et al</w:t>
            </w:r>
            <w:r w:rsidRPr="000457AF">
              <w:rPr>
                <w:rFonts w:ascii="Times New Roman" w:hAnsi="Times New Roman" w:cs="Times New Roman"/>
                <w:color w:val="000000" w:themeColor="text1"/>
                <w:lang w:val="en-ID"/>
              </w:rPr>
              <w:t>. 2024)</w:t>
            </w:r>
          </w:p>
        </w:tc>
      </w:tr>
      <w:tr w:rsidR="00E30AFB" w:rsidRPr="000457AF" w14:paraId="6E09FD8A" w14:textId="77777777" w:rsidTr="001B74B6">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BEAD210"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899A6F"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Oil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F6805E"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Nationwide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A79380"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D2915B"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Oil spill pollution mitigation (10 locations): 1. Pulau Bintan 2. Provinsi Aceh 3. Provinsi Banten 4. Provinsi Jawa Barat 5. Provinsi Jawa Tengah 6. Provinsi Nusa Tenggara Barat 7. Provinsi Nusa Tenggara Timur 8. Provinsi Sulawesi Selatan 9. Provinsi Maluku 10. Provinsi Maluku Utara</w:t>
            </w:r>
          </w:p>
          <w:p w14:paraId="5E1F3390"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(source: 2024 Action Plan and 2024 Performance Report Directorate of Coastal and Marine Pollution and Damage Control, KLHK/ The Ministry of Environment and Forestry)</w:t>
            </w:r>
          </w:p>
        </w:tc>
      </w:tr>
      <w:tr w:rsidR="00E30AFB" w:rsidRPr="000457AF" w14:paraId="2A66AD34" w14:textId="77777777" w:rsidTr="001B74B6">
        <w:trPr>
          <w:jc w:val="center"/>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509C5C"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8B2765"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Marine Debris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7353D1"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Riau Islands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6331CD"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Moderate (2020) and Good (2021) (source: 2020-2021 Performance Report DLHK/ Environmental and Forestry Agency of Riau Islands Province)</w:t>
            </w:r>
          </w:p>
          <w:p w14:paraId="477A33C7"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Good (source: Q1 2025 Performance Report DLHK/ Environmental and Forestry Agency of Riau Islands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6213CE0" w14:textId="77777777" w:rsidR="00E30AFB" w:rsidRPr="000457AF" w:rsidRDefault="00E30AFB" w:rsidP="001B74B6">
            <w:pPr>
              <w:pStyle w:val="BodyText"/>
              <w:numPr>
                <w:ilvl w:val="0"/>
                <w:numId w:val="16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Pollution and/or Damage Control Program: Coordination, Synchronization, and Implementation of Greenhouse Gas Emission Control, Climate Change Mitigation and Adaptation</w:t>
            </w:r>
          </w:p>
          <w:p w14:paraId="34292036" w14:textId="77777777" w:rsidR="00E30AFB" w:rsidRPr="000457AF" w:rsidRDefault="00E30AFB" w:rsidP="001B74B6">
            <w:pPr>
              <w:pStyle w:val="BodyText"/>
              <w:numPr>
                <w:ilvl w:val="0"/>
                <w:numId w:val="16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Planning Program: Preparation and Implementation of SEA for Development Plans with Potential Environmental Impact/Risk</w:t>
            </w:r>
          </w:p>
          <w:p w14:paraId="28C5925B" w14:textId="77777777" w:rsidR="00E30AFB" w:rsidRPr="000457AF" w:rsidRDefault="00E30AFB" w:rsidP="001B74B6">
            <w:pPr>
              <w:pStyle w:val="BodyText"/>
              <w:numPr>
                <w:ilvl w:val="0"/>
                <w:numId w:val="16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Complaint Handling Program</w:t>
            </w:r>
          </w:p>
          <w:p w14:paraId="3E8C85A0" w14:textId="77777777" w:rsidR="00E30AFB" w:rsidRPr="000457AF" w:rsidRDefault="00E30AFB" w:rsidP="001B74B6">
            <w:pPr>
              <w:pStyle w:val="BodyText"/>
              <w:numPr>
                <w:ilvl w:val="0"/>
                <w:numId w:val="16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Waste Management Program: Provision of Waste Handling Facilities at Regional Final Disposal Site (TPA)/ Integrated Waste Processing Facility (Integrated Waste Processing Facility)</w:t>
            </w:r>
          </w:p>
          <w:p w14:paraId="2FEF196D" w14:textId="77777777" w:rsidR="00E30AFB" w:rsidRPr="000457AF" w:rsidRDefault="00E30AFB" w:rsidP="001B74B6">
            <w:pPr>
              <w:pStyle w:val="BodyText"/>
              <w:numPr>
                <w:ilvl w:val="0"/>
                <w:numId w:val="167"/>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Watershed Management Program: Implementation of Inter-District/City and Intra-Province Watershed Management</w:t>
            </w:r>
          </w:p>
          <w:p w14:paraId="02AF3D53"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p w14:paraId="17D03AA6"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(source: 2024 Work Agreement, 2024 Government Agency Performance Report, 2025 Annual Work Plan, 2021-2026 Strategic Plan DLHK/ Environmental and Forestry Agency of Riau Islands Province; 2024 Work Agreement and 2024 Government Agency Performance Report DLHK/ Environmental and Forestry Agency of Riau Islands Province)</w:t>
            </w:r>
          </w:p>
        </w:tc>
      </w:tr>
      <w:tr w:rsidR="00E30AFB" w:rsidRPr="000457AF" w14:paraId="1AAC272A" w14:textId="77777777" w:rsidTr="001B74B6">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00F6587"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B6CA61"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Marine Debris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47EB903"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Batam City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8C96C2"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Moderate (source: Executive Summary of 2024 Environmental Management Performance Information DLH/ Environmental Agency of Batam City)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880752E" w14:textId="77777777" w:rsidR="00E30AFB" w:rsidRPr="000457AF" w:rsidRDefault="00E30AFB" w:rsidP="001B74B6">
            <w:pPr>
              <w:pStyle w:val="BodyText"/>
              <w:numPr>
                <w:ilvl w:val="0"/>
                <w:numId w:val="16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Planning Program</w:t>
            </w:r>
          </w:p>
          <w:p w14:paraId="231C4459" w14:textId="77777777" w:rsidR="00E30AFB" w:rsidRPr="000457AF" w:rsidRDefault="00E30AFB" w:rsidP="001B74B6">
            <w:pPr>
              <w:pStyle w:val="BodyText"/>
              <w:numPr>
                <w:ilvl w:val="0"/>
                <w:numId w:val="16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Pollution and/or Damage Control Program</w:t>
            </w:r>
          </w:p>
          <w:p w14:paraId="0E76CD9F" w14:textId="77777777" w:rsidR="00E30AFB" w:rsidRPr="000457AF" w:rsidRDefault="00E30AFB" w:rsidP="001B74B6">
            <w:pPr>
              <w:pStyle w:val="BodyText"/>
              <w:numPr>
                <w:ilvl w:val="0"/>
                <w:numId w:val="16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Education, Training, and Community Outreach Program</w:t>
            </w:r>
          </w:p>
          <w:p w14:paraId="7EBB0494" w14:textId="77777777" w:rsidR="00E30AFB" w:rsidRPr="000457AF" w:rsidRDefault="00E30AFB" w:rsidP="001B74B6">
            <w:pPr>
              <w:pStyle w:val="BodyText"/>
              <w:numPr>
                <w:ilvl w:val="0"/>
                <w:numId w:val="16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Domestic Waste Management Facility</w:t>
            </w:r>
          </w:p>
          <w:p w14:paraId="67ABAE54" w14:textId="77777777" w:rsidR="00E30AFB" w:rsidRPr="000457AF" w:rsidRDefault="00E30AFB" w:rsidP="001B74B6">
            <w:pPr>
              <w:pStyle w:val="BodyText"/>
              <w:numPr>
                <w:ilvl w:val="0"/>
                <w:numId w:val="16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Muka Kuning WTP Construction</w:t>
            </w:r>
          </w:p>
          <w:p w14:paraId="404BC36D" w14:textId="77777777" w:rsidR="00E30AFB" w:rsidRPr="000457AF" w:rsidRDefault="00E30AFB" w:rsidP="001B74B6">
            <w:pPr>
              <w:pStyle w:val="BodyText"/>
              <w:numPr>
                <w:ilvl w:val="0"/>
                <w:numId w:val="16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Development of Sewage System in Batam</w:t>
            </w:r>
          </w:p>
          <w:p w14:paraId="3595108E" w14:textId="77777777" w:rsidR="00E30AFB" w:rsidRPr="000457AF" w:rsidRDefault="00E30AFB" w:rsidP="001B74B6">
            <w:pPr>
              <w:pStyle w:val="BodyText"/>
              <w:numPr>
                <w:ilvl w:val="0"/>
                <w:numId w:val="16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Wastewater Management and Development</w:t>
            </w:r>
          </w:p>
          <w:p w14:paraId="32A8D6E7" w14:textId="77777777" w:rsidR="00E30AFB" w:rsidRPr="000457AF" w:rsidRDefault="00E30AFB" w:rsidP="001B74B6">
            <w:pPr>
              <w:pStyle w:val="BodyText"/>
              <w:numPr>
                <w:ilvl w:val="0"/>
                <w:numId w:val="168"/>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Waste Management Program</w:t>
            </w:r>
          </w:p>
          <w:p w14:paraId="1249220E"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(source: Executive Summary of 2024 Environmental Management Performance Information DLH/ Environmental Agency of Batam City)</w:t>
            </w:r>
          </w:p>
        </w:tc>
      </w:tr>
      <w:tr w:rsidR="00E30AFB" w:rsidRPr="000457AF" w14:paraId="01626D78" w14:textId="77777777" w:rsidTr="001B74B6">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96732F3"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1A730F"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Marine Debris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CBCFE08"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Nationwide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6A7536"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1F7FA6" w14:textId="77777777" w:rsidR="00E30AFB" w:rsidRPr="000457AF" w:rsidRDefault="00E30AFB" w:rsidP="001B74B6">
            <w:pPr>
              <w:pStyle w:val="BodyText"/>
              <w:numPr>
                <w:ilvl w:val="0"/>
                <w:numId w:val="16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Marine debris and microplastic monitoring (24 provinces): 1. Aceh 2. Sumatera Utara 3. Kepulauan Riau 4. Sumatera Barat 5. Sumatera Selatan 6. Bangka Belitung 7. Lampung 8. Banten 9. Jawa Barat 10. DKI Jakarta 11. Jawa Tengah 12. Jawa Timur 13. D.I. Yogyakarta 14. Bali 15. Nusa Tenggara Barat 16. Nusa Tenggara Timur 17. Kalimantan Barat 18. Kalimantan Timur 19. Sulawesi Utara 20. Gorontalo 21. Sulawesi Selatan 22. Sulawesi Tengah 23. Maluku 24. Papua Barat</w:t>
            </w:r>
          </w:p>
          <w:p w14:paraId="4770AD7D" w14:textId="77777777" w:rsidR="00E30AFB" w:rsidRPr="000457AF" w:rsidRDefault="00E30AFB" w:rsidP="001B74B6">
            <w:pPr>
              <w:pStyle w:val="BodyText"/>
              <w:numPr>
                <w:ilvl w:val="0"/>
                <w:numId w:val="169"/>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Technical approval for wastewater discharge into the sea (50 proposals)</w:t>
            </w:r>
          </w:p>
          <w:p w14:paraId="48BC785D"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(source: 2024 Action Plan and 2024 Performance Report Directorate of Coastal and Marine Pollution and Damage Control, KLHK/ The Ministry of Environment)</w:t>
            </w:r>
          </w:p>
        </w:tc>
      </w:tr>
      <w:tr w:rsidR="00E30AFB" w:rsidRPr="000457AF" w14:paraId="5725210D" w14:textId="77777777" w:rsidTr="001B74B6">
        <w:trPr>
          <w:jc w:val="center"/>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0E345D"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FBAE3A"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Hazardous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57AF3A"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Riau Islands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EA1AD6"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Moderate (2020) and Good (2021) (source: 2020-2021 Performance Report DLHK/ Environmental and Forestry Agency of Riau Islands Province)</w:t>
            </w:r>
          </w:p>
          <w:p w14:paraId="77146A9E"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Good (source: Q1 2025 Performance Report DLHK/ Environmental and Forestry Agency of Riau Islands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54B185F" w14:textId="77777777" w:rsidR="00E30AFB" w:rsidRPr="000457AF" w:rsidRDefault="00E30AFB" w:rsidP="001B74B6">
            <w:pPr>
              <w:pStyle w:val="BodyText"/>
              <w:numPr>
                <w:ilvl w:val="0"/>
                <w:numId w:val="170"/>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Pollution and/or Damage Control Program: Coordination, Synchronization, and Implementation of Greenhouse Gas Emission Control, Climate Change Mitigation and Adaptation</w:t>
            </w:r>
          </w:p>
          <w:p w14:paraId="0CF2E0C9" w14:textId="77777777" w:rsidR="00E30AFB" w:rsidRPr="000457AF" w:rsidRDefault="00E30AFB" w:rsidP="001B74B6">
            <w:pPr>
              <w:pStyle w:val="BodyText"/>
              <w:numPr>
                <w:ilvl w:val="0"/>
                <w:numId w:val="170"/>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Complaint Handling Program</w:t>
            </w:r>
          </w:p>
          <w:p w14:paraId="5CA6448D" w14:textId="77777777" w:rsidR="00E30AFB" w:rsidRPr="000457AF" w:rsidRDefault="00E30AFB" w:rsidP="001B74B6">
            <w:pPr>
              <w:pStyle w:val="BodyText"/>
              <w:numPr>
                <w:ilvl w:val="0"/>
                <w:numId w:val="170"/>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Hazardous and Toxic Materials (B3) and Hazardous Waste (B3 Waste) Control Program</w:t>
            </w:r>
          </w:p>
          <w:p w14:paraId="71A0C4A3" w14:textId="77777777" w:rsidR="00E30AFB" w:rsidRPr="000457AF" w:rsidRDefault="00E30AFB" w:rsidP="001B74B6">
            <w:pPr>
              <w:pStyle w:val="BodyText"/>
              <w:numPr>
                <w:ilvl w:val="0"/>
                <w:numId w:val="170"/>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Hazardous and Toxic Materials (B3) and Hazardous Waste (B3 Waste) Control Program</w:t>
            </w:r>
          </w:p>
          <w:p w14:paraId="3FA4A53D"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p w14:paraId="2A63F119"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(source: 2024 Work Agreement, 2024 Government Agency Performance Report, 2025 Annual Work Plan, 2021-2026 Strategic Plan DLHK/ Environmental and Forestry </w:t>
            </w:r>
            <w:r w:rsidRPr="000457AF">
              <w:rPr>
                <w:rFonts w:ascii="Times New Roman" w:hAnsi="Times New Roman" w:cs="Times New Roman"/>
                <w:color w:val="000000" w:themeColor="text1"/>
                <w:lang w:val="en-ID"/>
              </w:rPr>
              <w:lastRenderedPageBreak/>
              <w:t>Agency of Riau Islands Province)</w:t>
            </w:r>
          </w:p>
        </w:tc>
      </w:tr>
      <w:tr w:rsidR="00E30AFB" w:rsidRPr="000457AF" w14:paraId="21F5433D" w14:textId="77777777" w:rsidTr="001B74B6">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671C8D0"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31AC48"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Hazardous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AAFC09"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Batam City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938962"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Moderate (source: Executive Summary of 2024 Environmental Management Performance Information DLH/ Environmental Agency of Batam City)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0A6393" w14:textId="77777777" w:rsidR="00E30AFB" w:rsidRPr="000457AF" w:rsidRDefault="00E30AFB" w:rsidP="001B74B6">
            <w:pPr>
              <w:pStyle w:val="BodyText"/>
              <w:numPr>
                <w:ilvl w:val="0"/>
                <w:numId w:val="171"/>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Planning Program</w:t>
            </w:r>
          </w:p>
          <w:p w14:paraId="609AB240" w14:textId="77777777" w:rsidR="00E30AFB" w:rsidRPr="000457AF" w:rsidRDefault="00E30AFB" w:rsidP="001B74B6">
            <w:pPr>
              <w:pStyle w:val="BodyText"/>
              <w:numPr>
                <w:ilvl w:val="0"/>
                <w:numId w:val="171"/>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Pollution and/or Damage Control Program</w:t>
            </w:r>
          </w:p>
          <w:p w14:paraId="29B535C4" w14:textId="77777777" w:rsidR="00E30AFB" w:rsidRPr="000457AF" w:rsidRDefault="00E30AFB" w:rsidP="001B74B6">
            <w:pPr>
              <w:pStyle w:val="BodyText"/>
              <w:numPr>
                <w:ilvl w:val="0"/>
                <w:numId w:val="171"/>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Education, Training, and Community Outreach Program</w:t>
            </w:r>
          </w:p>
          <w:p w14:paraId="27DC64FD" w14:textId="77777777" w:rsidR="00E30AFB" w:rsidRPr="000457AF" w:rsidRDefault="00E30AFB" w:rsidP="001B74B6">
            <w:pPr>
              <w:pStyle w:val="BodyText"/>
              <w:numPr>
                <w:ilvl w:val="0"/>
                <w:numId w:val="171"/>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Hazardous Waste Management Facility</w:t>
            </w:r>
          </w:p>
          <w:p w14:paraId="4D1B0E02"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(source: Executive Summary of 2024 Environmental Management Performance Information DLH/ Environmental Agency of Batam City)</w:t>
            </w:r>
          </w:p>
        </w:tc>
      </w:tr>
      <w:tr w:rsidR="00E30AFB" w:rsidRPr="000457AF" w14:paraId="263815CA" w14:textId="77777777" w:rsidTr="001B74B6">
        <w:trPr>
          <w:jc w:val="center"/>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212CD6"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8C1F7FD"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Habitat Degradation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53947A"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Batam City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73F7EB"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Moderate: Illegal Sand Mining (source: Executive Summary of 2024 Environmental Management Performance Information DLH/ Environmental Agency of Batam City)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FAC5EB" w14:textId="77777777" w:rsidR="00E30AFB" w:rsidRPr="000457AF" w:rsidRDefault="00E30AFB" w:rsidP="001B74B6">
            <w:pPr>
              <w:pStyle w:val="BodyText"/>
              <w:numPr>
                <w:ilvl w:val="0"/>
                <w:numId w:val="172"/>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Planning Program</w:t>
            </w:r>
          </w:p>
          <w:p w14:paraId="0B879028" w14:textId="77777777" w:rsidR="00E30AFB" w:rsidRPr="000457AF" w:rsidRDefault="00E30AFB" w:rsidP="001B74B6">
            <w:pPr>
              <w:pStyle w:val="BodyText"/>
              <w:numPr>
                <w:ilvl w:val="0"/>
                <w:numId w:val="172"/>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Pollution and/or Damage Control Program</w:t>
            </w:r>
          </w:p>
          <w:p w14:paraId="6AB20274" w14:textId="77777777" w:rsidR="00E30AFB" w:rsidRPr="000457AF" w:rsidRDefault="00E30AFB" w:rsidP="001B74B6">
            <w:pPr>
              <w:pStyle w:val="BodyText"/>
              <w:numPr>
                <w:ilvl w:val="0"/>
                <w:numId w:val="172"/>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Environmental Education, Training, and Community Outreach Program</w:t>
            </w:r>
          </w:p>
          <w:p w14:paraId="4A15179F"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(source: Executive Summary of 2024 Environmental Management Performance Information DLH/ Environmental Agency of Batam City)</w:t>
            </w:r>
          </w:p>
        </w:tc>
      </w:tr>
      <w:tr w:rsidR="00E30AFB" w:rsidRPr="000457AF" w14:paraId="26EC73FD" w14:textId="77777777" w:rsidTr="001B74B6">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0A8B6DB"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7BCC8B"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Habitat Degradation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62DA4B"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Nationwide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5D5B5E"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870330" w14:textId="77777777" w:rsidR="00E30AFB" w:rsidRPr="000457AF" w:rsidRDefault="00E30AFB" w:rsidP="001B74B6">
            <w:pPr>
              <w:pStyle w:val="BodyText"/>
              <w:numPr>
                <w:ilvl w:val="0"/>
                <w:numId w:val="173"/>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Marine Water Quality Monitoring (37 provinces)</w:t>
            </w:r>
          </w:p>
          <w:p w14:paraId="3C91FA57" w14:textId="77777777" w:rsidR="00E30AFB" w:rsidRPr="000457AF" w:rsidRDefault="00E30AFB" w:rsidP="001B74B6">
            <w:pPr>
              <w:pStyle w:val="BodyText"/>
              <w:numPr>
                <w:ilvl w:val="0"/>
                <w:numId w:val="173"/>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lastRenderedPageBreak/>
              <w:t>Marine Water Quality Index Formulation (37 provinces)</w:t>
            </w:r>
          </w:p>
          <w:p w14:paraId="473DB465" w14:textId="77777777" w:rsidR="00E30AFB" w:rsidRPr="000457AF" w:rsidRDefault="00E30AFB" w:rsidP="001B74B6">
            <w:pPr>
              <w:pStyle w:val="BodyText"/>
              <w:numPr>
                <w:ilvl w:val="0"/>
                <w:numId w:val="173"/>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 xml:space="preserve">Port performance evaluation (36 ports): 1. PT Pelabuhan Indonesia (Persero) Cabang Lhokseumawe 2. PT Pelabuhan Indonesia (Persero) Cabang Malahayati 3. PT Pelabuhan Indonesia (Persero) Cabang Belawan 4. PT Pelabuhan Indonesia (Persero) Cabang Kuala Tanjung 5. PT Pelabuhan Indonesia (Persero) Cabang Tanjung Balai Karimun 6. Badan Pengelola Pelabuhan Batam- Operasional Pelabuhan Batu Ampar 7. PT Pelabuhan Indonesia (Persero) Cabang Teluk Bayur 8. PT Pelabuhan Indonesia (Persero) Cabang Dumai 9. PT Pelabuhan Indonesia (Persero) Cabang Palembang 10. PT Pelabuhan Indonesia (Persero) Cabang Bengkulu 11. PT Pelabuhan Indonesia (Persero) Cabang Panjang 12. PT Pelabuhan Indonesia (Persero) Cabang Tanjung Pandan 13. PT Pelabuhan Indonesia (Persero) Cabang Pangkal Balam 14. PT Pelabuhan </w:t>
            </w:r>
            <w:r w:rsidRPr="000457AF">
              <w:rPr>
                <w:rFonts w:ascii="Times New Roman" w:hAnsi="Times New Roman" w:cs="Times New Roman"/>
                <w:color w:val="000000" w:themeColor="text1"/>
                <w:lang w:val="en-ID"/>
              </w:rPr>
              <w:lastRenderedPageBreak/>
              <w:t xml:space="preserve">Indonesia (Persero) Cabang Tanjung Priok 15. PT Pelabuhan Indonesia (Persero) Cabang Banten 16. PT Pelabuhan Patimban Internasional 17. PT Pelabuhan Indonesia (Persero) Cabang Cirebon 18. PT Pelabuhan Indonesia (Persero) Cabang Tanjung Emas 19. PT Pelabuhan Indonesia (Persero) Cabang Tanjung Intan 20. PT Pelabuhan Indonesia (Persero) Cabang Tanjung Perak 21. PT Pelabuhan Indonesia (Persero) Cabang Teluk Lamong 22. PT Pelabuhan Indonesia (Persero) Cabang Lembar 23. PT Pelabuhan Indonesia (Persero) Cabang Tenau Kupang 24. PT Pelabuhan Indonesia (Persero) Cabang Labuan Bajo 25. PT Pelabuhan Indonesia (Persero) Cabang Pontianak 26. PT Pelabuhan Indonesia (Persero) Cabang Banjarmasin 27. PT Pelabuhan Indonesia (Persero) Cabang Balikpapan 28. PT Kaltim Kariangau Terminal 29. PT Pelabuhan Indonesia (Persero) Cabang Bitung 30. PT Pelabuhan Indonesia (Persero) </w:t>
            </w:r>
            <w:r w:rsidRPr="000457AF">
              <w:rPr>
                <w:rFonts w:ascii="Times New Roman" w:hAnsi="Times New Roman" w:cs="Times New Roman"/>
                <w:color w:val="000000" w:themeColor="text1"/>
                <w:lang w:val="en-ID"/>
              </w:rPr>
              <w:lastRenderedPageBreak/>
              <w:t>Cabang Manado 31. PT Pelabuhan Indonesia (Persero) Cabang Gorontalo 32. PT Pelabuhan Indonesia (Persero) Cabang Makassar 33. PT Pelabuhan Indonesia (Persero) Cabang Ambon 34. PT Pelabuhan Indonesia (Persero) Cabang Manokwari 35. PT Pelabuhan Indonesia (Persero) Cabang Sorong 36. PT Pelabuhan Indonesia (Persero) Cabang Jayapura</w:t>
            </w:r>
          </w:p>
          <w:p w14:paraId="253E69E6" w14:textId="77777777" w:rsidR="00E30AFB" w:rsidRPr="000457AF" w:rsidRDefault="00E30AFB" w:rsidP="001B74B6">
            <w:pPr>
              <w:pStyle w:val="BodyText"/>
              <w:numPr>
                <w:ilvl w:val="0"/>
                <w:numId w:val="173"/>
              </w:numPr>
              <w:spacing w:before="188"/>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Seagrass/coral reef ecosystem restoration (11 locations): 1. Gorontalo 2. Maluku 3. Kalimantan Timur 4. DKI Jakarta 5. Sulawesi Selatan 6. Sulawesi Tenggara 7. Sulawesi Tengah 8. Bengkulu 9. Nusa Tenggara Timur 10. Bali 11. Jawa Timur</w:t>
            </w:r>
          </w:p>
          <w:p w14:paraId="667162E9" w14:textId="77777777" w:rsidR="00E30AFB" w:rsidRPr="000457AF" w:rsidRDefault="00E30AFB" w:rsidP="001B74B6">
            <w:pPr>
              <w:pStyle w:val="BodyText"/>
              <w:spacing w:before="188"/>
              <w:ind w:left="360"/>
              <w:rPr>
                <w:rFonts w:ascii="Times New Roman" w:hAnsi="Times New Roman" w:cs="Times New Roman"/>
                <w:color w:val="000000" w:themeColor="text1"/>
                <w:lang w:val="en-ID"/>
              </w:rPr>
            </w:pPr>
            <w:r w:rsidRPr="000457AF">
              <w:rPr>
                <w:rFonts w:ascii="Times New Roman" w:hAnsi="Times New Roman" w:cs="Times New Roman"/>
                <w:color w:val="000000" w:themeColor="text1"/>
                <w:lang w:val="en-ID"/>
              </w:rPr>
              <w:t>(source: 2024 Action Plan and 2024 Performance Report Directorate of Coastal and Marine Pollution and Damage Control, KLHK/ The Ministry of Environment)</w:t>
            </w:r>
          </w:p>
        </w:tc>
      </w:tr>
    </w:tbl>
    <w:p w14:paraId="582A879A" w14:textId="77777777" w:rsidR="00E30AFB" w:rsidRPr="000457AF" w:rsidRDefault="00E30AFB" w:rsidP="00E30AFB">
      <w:pPr>
        <w:pStyle w:val="BodyText"/>
        <w:spacing w:before="188"/>
        <w:ind w:left="360"/>
        <w:rPr>
          <w:rFonts w:ascii="Times New Roman" w:hAnsi="Times New Roman" w:cs="Times New Roman"/>
          <w:color w:val="000000" w:themeColor="text1"/>
          <w:sz w:val="24"/>
          <w:szCs w:val="24"/>
        </w:rPr>
      </w:pPr>
    </w:p>
    <w:p w14:paraId="72A0FEDA" w14:textId="77777777" w:rsidR="00E30AFB" w:rsidRDefault="00E30AFB" w:rsidP="00E30AFB">
      <w:pPr>
        <w:rPr>
          <w:rFonts w:ascii="Times New Roman" w:eastAsiaTheme="minorEastAsia" w:hAnsi="Times New Roman" w:cs="Times New Roman"/>
          <w:b/>
          <w:bCs/>
          <w:color w:val="0070C0"/>
        </w:rPr>
      </w:pPr>
      <w:r>
        <w:rPr>
          <w:rFonts w:ascii="Times New Roman" w:hAnsi="Times New Roman" w:cs="Times New Roman"/>
          <w:b/>
          <w:bCs/>
          <w:color w:val="0070C0"/>
        </w:rPr>
        <w:br w:type="page"/>
      </w:r>
    </w:p>
    <w:p w14:paraId="255DDE38" w14:textId="77777777" w:rsidR="00E30AFB" w:rsidRDefault="00E30AFB" w:rsidP="00E30AFB">
      <w:pPr>
        <w:pStyle w:val="BodyText"/>
        <w:spacing w:before="188"/>
        <w:outlineLvl w:val="1"/>
        <w:rPr>
          <w:rFonts w:ascii="Times New Roman" w:hAnsi="Times New Roman" w:cs="Times New Roman"/>
          <w:b/>
          <w:bCs/>
          <w:color w:val="0070C0"/>
          <w:sz w:val="24"/>
          <w:szCs w:val="24"/>
        </w:rPr>
      </w:pPr>
      <w:bookmarkStart w:id="208" w:name="_Toc217295440"/>
      <w:bookmarkStart w:id="209" w:name="_Toc217297586"/>
      <w:r>
        <w:rPr>
          <w:rFonts w:ascii="Times New Roman" w:hAnsi="Times New Roman" w:cs="Times New Roman"/>
          <w:b/>
          <w:bCs/>
          <w:color w:val="0070C0"/>
          <w:sz w:val="24"/>
          <w:szCs w:val="24"/>
        </w:rPr>
        <w:lastRenderedPageBreak/>
        <w:t>Appendix Chapter 6 (Governance)</w:t>
      </w:r>
      <w:bookmarkEnd w:id="208"/>
      <w:bookmarkEnd w:id="209"/>
    </w:p>
    <w:p w14:paraId="1D22C8E9" w14:textId="77777777" w:rsidR="00E30AFB" w:rsidRPr="0012520D" w:rsidRDefault="00E30AFB" w:rsidP="00E30AFB">
      <w:pPr>
        <w:pStyle w:val="Caption"/>
        <w:numPr>
          <w:ilvl w:val="0"/>
          <w:numId w:val="195"/>
        </w:numPr>
        <w:rPr>
          <w:rFonts w:ascii="Times New Roman" w:eastAsiaTheme="minorEastAsia" w:hAnsi="Times New Roman" w:cs="Times New Roman"/>
          <w:b/>
          <w:bCs/>
          <w:i w:val="0"/>
          <w:iCs w:val="0"/>
          <w:color w:val="000000" w:themeColor="text1"/>
          <w:sz w:val="24"/>
          <w:szCs w:val="24"/>
          <w:lang w:val="en-ID"/>
        </w:rPr>
      </w:pPr>
      <w:r w:rsidRPr="0012520D">
        <w:rPr>
          <w:rFonts w:ascii="Times New Roman" w:eastAsiaTheme="minorEastAsia" w:hAnsi="Times New Roman" w:cs="Times New Roman"/>
          <w:b/>
          <w:bCs/>
          <w:i w:val="0"/>
          <w:iCs w:val="0"/>
          <w:color w:val="000000" w:themeColor="text1"/>
          <w:sz w:val="24"/>
          <w:szCs w:val="24"/>
          <w:lang w:val="en-ID"/>
        </w:rPr>
        <w:t>Quarterly GDP Trends of Indonesia, 2020–2023, at Current Prices and 2010 Constant Prices</w:t>
      </w:r>
    </w:p>
    <w:p w14:paraId="5A825FD2"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i/>
          <w:iCs/>
          <w:noProof/>
          <w:color w:val="000000" w:themeColor="text1"/>
          <w:lang w:val="en-ID"/>
        </w:rPr>
        <w:drawing>
          <wp:inline distT="0" distB="0" distL="0" distR="0" wp14:anchorId="1634645B" wp14:editId="72FAAEBA">
            <wp:extent cx="5937250" cy="2628900"/>
            <wp:effectExtent l="0" t="0" r="6350" b="0"/>
            <wp:docPr id="856758505"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937250" cy="2628900"/>
                    </a:xfrm>
                    <a:prstGeom prst="rect">
                      <a:avLst/>
                    </a:prstGeom>
                    <a:noFill/>
                    <a:ln>
                      <a:noFill/>
                    </a:ln>
                  </pic:spPr>
                </pic:pic>
              </a:graphicData>
            </a:graphic>
          </wp:inline>
        </w:drawing>
      </w:r>
    </w:p>
    <w:p w14:paraId="56A2D893"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i/>
          <w:iCs/>
          <w:color w:val="000000" w:themeColor="text1"/>
          <w:lang w:val="en-ID"/>
        </w:rPr>
        <w:t>Source: Statistic Indonesia (BPS), 2024</w:t>
      </w:r>
    </w:p>
    <w:p w14:paraId="405B5EB6"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Economic Inflation of Indonesia 2020-202</w:t>
      </w:r>
      <w:r>
        <w:rPr>
          <w:rFonts w:ascii="Times New Roman" w:hAnsi="Times New Roman" w:cs="Times New Roman"/>
          <w:b/>
          <w:bCs/>
          <w:color w:val="000000" w:themeColor="text1"/>
          <w:lang w:val="en-ID"/>
        </w:rPr>
        <w:t>5</w:t>
      </w:r>
    </w:p>
    <w:p w14:paraId="0C4D47C2"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noProof/>
          <w:color w:val="000000" w:themeColor="text1"/>
          <w:lang w:val="en-ID"/>
        </w:rPr>
        <w:drawing>
          <wp:inline distT="0" distB="0" distL="0" distR="0" wp14:anchorId="160E1434" wp14:editId="3529C178">
            <wp:extent cx="5943600" cy="2590800"/>
            <wp:effectExtent l="0" t="0" r="0" b="0"/>
            <wp:docPr id="17985170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943600" cy="2590800"/>
                    </a:xfrm>
                    <a:prstGeom prst="rect">
                      <a:avLst/>
                    </a:prstGeom>
                    <a:noFill/>
                    <a:ln>
                      <a:noFill/>
                    </a:ln>
                  </pic:spPr>
                </pic:pic>
              </a:graphicData>
            </a:graphic>
          </wp:inline>
        </w:drawing>
      </w:r>
    </w:p>
    <w:p w14:paraId="0BC69693"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Source: Data processed from Bank Indonesia, accessed in 2025.</w:t>
      </w:r>
    </w:p>
    <w:p w14:paraId="5C8B489D" w14:textId="77777777" w:rsidR="00E30AFB"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br/>
      </w:r>
    </w:p>
    <w:p w14:paraId="666D8640" w14:textId="77777777" w:rsidR="00E30AFB" w:rsidRDefault="00E30AFB" w:rsidP="00E30AFB">
      <w:pPr>
        <w:pStyle w:val="BodyText"/>
        <w:spacing w:before="188"/>
        <w:ind w:left="360"/>
        <w:rPr>
          <w:rFonts w:ascii="Times New Roman" w:hAnsi="Times New Roman" w:cs="Times New Roman"/>
          <w:color w:val="000000" w:themeColor="text1"/>
          <w:lang w:val="en-ID"/>
        </w:rPr>
      </w:pPr>
    </w:p>
    <w:p w14:paraId="12C42F94" w14:textId="77777777" w:rsidR="00E30AFB" w:rsidRDefault="00E30AFB" w:rsidP="00E30AFB">
      <w:pPr>
        <w:pStyle w:val="BodyText"/>
        <w:spacing w:before="188"/>
        <w:ind w:left="360"/>
        <w:rPr>
          <w:rFonts w:ascii="Times New Roman" w:hAnsi="Times New Roman" w:cs="Times New Roman"/>
          <w:color w:val="000000" w:themeColor="text1"/>
          <w:lang w:val="en-ID"/>
        </w:rPr>
      </w:pPr>
    </w:p>
    <w:p w14:paraId="0B61EA94"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4670F0E1"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lastRenderedPageBreak/>
        <w:t>GDP Maritim 2019-2023: Value and Contribution to National GDP</w:t>
      </w:r>
    </w:p>
    <w:p w14:paraId="75D5BBA8"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br/>
      </w:r>
      <w:r w:rsidRPr="0012520D">
        <w:rPr>
          <w:rFonts w:ascii="Times New Roman" w:hAnsi="Times New Roman" w:cs="Times New Roman"/>
          <w:noProof/>
          <w:color w:val="000000" w:themeColor="text1"/>
          <w:lang w:val="en-ID"/>
        </w:rPr>
        <w:drawing>
          <wp:inline distT="0" distB="0" distL="0" distR="0" wp14:anchorId="1DEFE360" wp14:editId="16F297FE">
            <wp:extent cx="5918200" cy="4483100"/>
            <wp:effectExtent l="0" t="0" r="6350" b="0"/>
            <wp:docPr id="67319011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918200" cy="4483100"/>
                    </a:xfrm>
                    <a:prstGeom prst="rect">
                      <a:avLst/>
                    </a:prstGeom>
                    <a:noFill/>
                    <a:ln>
                      <a:noFill/>
                    </a:ln>
                  </pic:spPr>
                </pic:pic>
              </a:graphicData>
            </a:graphic>
          </wp:inline>
        </w:drawing>
      </w:r>
      <w:r w:rsidRPr="0012520D">
        <w:rPr>
          <w:rFonts w:ascii="Times New Roman" w:hAnsi="Times New Roman" w:cs="Times New Roman"/>
          <w:i/>
          <w:iCs/>
          <w:color w:val="000000" w:themeColor="text1"/>
          <w:lang w:val="en-ID"/>
        </w:rPr>
        <w:t>Source: Statistic Indonesia (BPS) and Coordinating Ministry of Marine Affair and Investment, 2024</w:t>
      </w:r>
      <w:r w:rsidRPr="0012520D">
        <w:rPr>
          <w:rFonts w:ascii="Times New Roman" w:hAnsi="Times New Roman" w:cs="Times New Roman"/>
          <w:i/>
          <w:iCs/>
          <w:color w:val="000000" w:themeColor="text1"/>
          <w:lang w:val="en-ID"/>
        </w:rPr>
        <w:tab/>
      </w:r>
    </w:p>
    <w:p w14:paraId="238D06A8" w14:textId="77777777" w:rsidR="00E30AFB" w:rsidRDefault="00E30AFB" w:rsidP="00E30AFB">
      <w:pPr>
        <w:rPr>
          <w:rFonts w:ascii="Times New Roman" w:eastAsiaTheme="minorEastAsia" w:hAnsi="Times New Roman" w:cs="Times New Roman"/>
          <w:color w:val="000000" w:themeColor="text1"/>
          <w:sz w:val="22"/>
          <w:szCs w:val="22"/>
          <w:lang w:val="en-ID"/>
        </w:rPr>
      </w:pPr>
      <w:r>
        <w:rPr>
          <w:rFonts w:ascii="Times New Roman" w:hAnsi="Times New Roman" w:cs="Times New Roman"/>
          <w:color w:val="000000" w:themeColor="text1"/>
          <w:lang w:val="en-ID"/>
        </w:rPr>
        <w:br w:type="page"/>
      </w:r>
    </w:p>
    <w:p w14:paraId="744520C9"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1B07C358"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Indonesia Debt 2000-2024 </w:t>
      </w:r>
    </w:p>
    <w:p w14:paraId="13DDD86B"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noProof/>
          <w:color w:val="000000" w:themeColor="text1"/>
          <w:lang w:val="en-ID"/>
        </w:rPr>
        <w:drawing>
          <wp:inline distT="0" distB="0" distL="0" distR="0" wp14:anchorId="73BDB500" wp14:editId="4FD5B703">
            <wp:extent cx="5943600" cy="3429000"/>
            <wp:effectExtent l="0" t="0" r="0" b="0"/>
            <wp:docPr id="110622708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943600" cy="3429000"/>
                    </a:xfrm>
                    <a:prstGeom prst="rect">
                      <a:avLst/>
                    </a:prstGeom>
                    <a:noFill/>
                    <a:ln>
                      <a:noFill/>
                    </a:ln>
                  </pic:spPr>
                </pic:pic>
              </a:graphicData>
            </a:graphic>
          </wp:inline>
        </w:drawing>
      </w:r>
    </w:p>
    <w:p w14:paraId="40C4455B"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i/>
          <w:iCs/>
          <w:color w:val="000000" w:themeColor="text1"/>
          <w:lang w:val="en-ID"/>
        </w:rPr>
        <w:t>Source: statistica.com (2025)</w:t>
      </w:r>
    </w:p>
    <w:p w14:paraId="44A58EA6"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i/>
          <w:iCs/>
          <w:color w:val="000000" w:themeColor="text1"/>
          <w:lang w:val="en-ID"/>
        </w:rPr>
        <w:t>statista.com/statistics/531621/national-debt-of-indonesia/</w:t>
      </w:r>
    </w:p>
    <w:p w14:paraId="1E5E40F0"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20EDE75E"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Unemployment Rate of Indonesia 2014-2024</w:t>
      </w:r>
    </w:p>
    <w:p w14:paraId="61D1D31E" w14:textId="77777777" w:rsidR="00E30AFB" w:rsidRPr="0012520D" w:rsidRDefault="00E30AFB" w:rsidP="00E30AFB">
      <w:pPr>
        <w:pStyle w:val="BodyText"/>
        <w:spacing w:before="188"/>
        <w:jc w:val="center"/>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br/>
      </w:r>
      <w:r w:rsidRPr="0012520D">
        <w:rPr>
          <w:rFonts w:ascii="Times New Roman" w:hAnsi="Times New Roman" w:cs="Times New Roman"/>
          <w:color w:val="000000" w:themeColor="text1"/>
          <w:lang w:val="en-ID"/>
        </w:rPr>
        <w:br/>
      </w:r>
      <w:r w:rsidRPr="0012520D">
        <w:rPr>
          <w:rFonts w:ascii="Times New Roman" w:hAnsi="Times New Roman" w:cs="Times New Roman"/>
          <w:noProof/>
          <w:color w:val="000000" w:themeColor="text1"/>
          <w:lang w:val="en-ID"/>
        </w:rPr>
        <w:drawing>
          <wp:inline distT="0" distB="0" distL="0" distR="0" wp14:anchorId="54DACB3A" wp14:editId="68B34171">
            <wp:extent cx="5283200" cy="2456126"/>
            <wp:effectExtent l="0" t="0" r="0" b="1905"/>
            <wp:docPr id="85146977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292340" cy="2460375"/>
                    </a:xfrm>
                    <a:prstGeom prst="rect">
                      <a:avLst/>
                    </a:prstGeom>
                    <a:noFill/>
                    <a:ln>
                      <a:noFill/>
                    </a:ln>
                  </pic:spPr>
                </pic:pic>
              </a:graphicData>
            </a:graphic>
          </wp:inline>
        </w:drawing>
      </w:r>
      <w:r w:rsidRPr="0012520D">
        <w:rPr>
          <w:rFonts w:ascii="Times New Roman" w:hAnsi="Times New Roman" w:cs="Times New Roman"/>
          <w:color w:val="000000" w:themeColor="text1"/>
          <w:lang w:val="en-ID"/>
        </w:rPr>
        <w:br/>
        <w:t xml:space="preserve">Appendix Source: </w:t>
      </w:r>
      <w:hyperlink r:id="rId135" w:history="1">
        <w:r w:rsidRPr="0012520D">
          <w:rPr>
            <w:rStyle w:val="Hyperlink"/>
            <w:rFonts w:ascii="Times New Roman" w:hAnsi="Times New Roman" w:cs="Times New Roman"/>
            <w:lang w:val="en-ID"/>
          </w:rPr>
          <w:t>https://www.ceicdata.com/en/indicator/indonesia/unemployment-rate</w:t>
        </w:r>
      </w:hyperlink>
    </w:p>
    <w:p w14:paraId="499D1B29"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2B27D800"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lastRenderedPageBreak/>
        <w:t>Foreign Direct Investment Realization in Indonesia, 2010–2023</w:t>
      </w:r>
    </w:p>
    <w:p w14:paraId="32964541"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br/>
      </w:r>
      <w:r w:rsidRPr="0012520D">
        <w:rPr>
          <w:rFonts w:ascii="Times New Roman" w:hAnsi="Times New Roman" w:cs="Times New Roman"/>
          <w:noProof/>
          <w:color w:val="000000" w:themeColor="text1"/>
          <w:lang w:val="en-ID"/>
        </w:rPr>
        <w:drawing>
          <wp:inline distT="0" distB="0" distL="0" distR="0" wp14:anchorId="3FE26FEE" wp14:editId="6CECDC2B">
            <wp:extent cx="5867400" cy="2743200"/>
            <wp:effectExtent l="0" t="0" r="0" b="0"/>
            <wp:docPr id="68185881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5867400" cy="2743200"/>
                    </a:xfrm>
                    <a:prstGeom prst="rect">
                      <a:avLst/>
                    </a:prstGeom>
                    <a:noFill/>
                    <a:ln>
                      <a:noFill/>
                    </a:ln>
                  </pic:spPr>
                </pic:pic>
              </a:graphicData>
            </a:graphic>
          </wp:inline>
        </w:drawing>
      </w:r>
      <w:r w:rsidRPr="0012520D">
        <w:rPr>
          <w:rFonts w:ascii="Times New Roman" w:hAnsi="Times New Roman" w:cs="Times New Roman"/>
          <w:color w:val="000000" w:themeColor="text1"/>
          <w:lang w:val="en-ID"/>
        </w:rPr>
        <w:br/>
        <w:t>Source: Indonesia Investment Coordinating Board (BKPM), 2025</w:t>
      </w:r>
    </w:p>
    <w:p w14:paraId="49EB8C81"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6C7A0C0C"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The Provinces and Regencies/Cities adjacent to the South China Sea (SCS).</w:t>
      </w:r>
    </w:p>
    <w:tbl>
      <w:tblPr>
        <w:tblW w:w="0" w:type="auto"/>
        <w:tblCellMar>
          <w:top w:w="15" w:type="dxa"/>
          <w:left w:w="15" w:type="dxa"/>
          <w:bottom w:w="15" w:type="dxa"/>
          <w:right w:w="15" w:type="dxa"/>
        </w:tblCellMar>
        <w:tblLook w:val="04A0" w:firstRow="1" w:lastRow="0" w:firstColumn="1" w:lastColumn="0" w:noHBand="0" w:noVBand="1"/>
      </w:tblPr>
      <w:tblGrid>
        <w:gridCol w:w="2124"/>
        <w:gridCol w:w="2014"/>
        <w:gridCol w:w="2680"/>
        <w:gridCol w:w="2430"/>
      </w:tblGrid>
      <w:tr w:rsidR="00E30AFB" w:rsidRPr="0012520D" w14:paraId="7BBCC1F5" w14:textId="77777777" w:rsidTr="001B74B6">
        <w:trPr>
          <w:trHeight w:val="537"/>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2D2AB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CCD4A3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District/City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AA5B4C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Capital</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149C4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Population (people)</w:t>
            </w:r>
          </w:p>
        </w:tc>
      </w:tr>
      <w:tr w:rsidR="00E30AFB" w:rsidRPr="0012520D" w14:paraId="529B8A72" w14:textId="77777777" w:rsidTr="001B74B6">
        <w:trPr>
          <w:trHeight w:val="296"/>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69D69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br/>
            </w:r>
            <w:r w:rsidRPr="0012520D">
              <w:rPr>
                <w:rFonts w:ascii="Times New Roman" w:hAnsi="Times New Roman" w:cs="Times New Roman"/>
                <w:color w:val="000000" w:themeColor="text1"/>
                <w:lang w:val="en-ID"/>
              </w:rPr>
              <w:br/>
            </w:r>
          </w:p>
          <w:p w14:paraId="5E5AC2D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Riau</w:t>
            </w:r>
            <w:r>
              <w:rPr>
                <w:rFonts w:ascii="Times New Roman" w:hAnsi="Times New Roman" w:cs="Times New Roman"/>
                <w:color w:val="000000" w:themeColor="text1"/>
                <w:lang w:val="en-ID"/>
              </w:rPr>
              <w:t xml:space="preserve"> Island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F267D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Natuna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87390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Ranai</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EA31CF9"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84.017</w:t>
            </w:r>
          </w:p>
        </w:tc>
      </w:tr>
      <w:tr w:rsidR="00E30AFB" w:rsidRPr="0012520D" w14:paraId="3AD9679E" w14:textId="77777777" w:rsidTr="001B74B6">
        <w:trPr>
          <w:trHeight w:val="3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41B195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A82E5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Anambas</w:t>
            </w:r>
            <w:r>
              <w:rPr>
                <w:rFonts w:ascii="Times New Roman" w:hAnsi="Times New Roman" w:cs="Times New Roman"/>
                <w:color w:val="000000" w:themeColor="text1"/>
                <w:lang w:val="en-ID"/>
              </w:rPr>
              <w:t xml:space="preserve"> Island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505C21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Tarempa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F42FC5"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50.703</w:t>
            </w:r>
          </w:p>
        </w:tc>
      </w:tr>
      <w:tr w:rsidR="00E30AFB" w:rsidRPr="0012520D" w14:paraId="79D99CC1" w14:textId="77777777" w:rsidTr="001B74B6">
        <w:trPr>
          <w:trHeight w:val="35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168E41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02984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Bintan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E989A6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Bandar Seri Bentan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696878"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178,826</w:t>
            </w:r>
          </w:p>
        </w:tc>
      </w:tr>
      <w:tr w:rsidR="00E30AFB" w:rsidRPr="0012520D" w14:paraId="23962ED0" w14:textId="77777777" w:rsidTr="001B74B6">
        <w:trPr>
          <w:trHeight w:val="3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C5F9E2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B43631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Karimun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3D14D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Tanjung Balai Karimun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5456E4"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272.391</w:t>
            </w:r>
          </w:p>
        </w:tc>
      </w:tr>
      <w:tr w:rsidR="00E30AFB" w:rsidRPr="0012520D" w14:paraId="71CBFF41" w14:textId="77777777" w:rsidTr="001B74B6">
        <w:trPr>
          <w:trHeight w:val="32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38EAE1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B8871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Batam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241B3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Batam</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349884"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1.294.548</w:t>
            </w:r>
          </w:p>
        </w:tc>
      </w:tr>
      <w:tr w:rsidR="00E30AFB" w:rsidRPr="0012520D" w14:paraId="6FA77EBA" w14:textId="77777777" w:rsidTr="001B74B6">
        <w:trPr>
          <w:trHeight w:val="31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A0C51D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AC1D8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Lingga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6F603B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Daik</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F92906"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101.978</w:t>
            </w:r>
          </w:p>
        </w:tc>
      </w:tr>
      <w:tr w:rsidR="00E30AFB" w:rsidRPr="0012520D" w14:paraId="465229A5" w14:textId="77777777" w:rsidTr="001B74B6">
        <w:trPr>
          <w:trHeight w:val="43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B5A49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7770B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Tanjungpinang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72D24F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Tanjungpinang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EF8F1E"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237.580</w:t>
            </w:r>
          </w:p>
        </w:tc>
      </w:tr>
      <w:tr w:rsidR="00E30AFB" w:rsidRPr="0012520D" w14:paraId="1E2ACFAB" w14:textId="77777777" w:rsidTr="001B74B6">
        <w:trPr>
          <w:trHeight w:val="431"/>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147E2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Bangka Belitung</w:t>
            </w:r>
          </w:p>
          <w:p w14:paraId="0239590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br/>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18D20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Bangka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3E661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Sungailiat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0E00BA0"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335,292</w:t>
            </w:r>
          </w:p>
        </w:tc>
      </w:tr>
      <w:tr w:rsidR="00E30AFB" w:rsidRPr="0012520D" w14:paraId="558391AE" w14:textId="77777777" w:rsidTr="001B74B6">
        <w:trPr>
          <w:trHeight w:val="43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B6DA51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863589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Pr>
                <w:rFonts w:ascii="Times New Roman" w:hAnsi="Times New Roman" w:cs="Times New Roman"/>
                <w:color w:val="000000" w:themeColor="text1"/>
                <w:lang w:val="en-ID"/>
              </w:rPr>
              <w:t xml:space="preserve">Middle </w:t>
            </w:r>
            <w:r w:rsidRPr="0012520D">
              <w:rPr>
                <w:rFonts w:ascii="Times New Roman" w:hAnsi="Times New Roman" w:cs="Times New Roman"/>
                <w:color w:val="000000" w:themeColor="text1"/>
                <w:lang w:val="en-ID"/>
              </w:rPr>
              <w:t xml:space="preserve">Bangak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4B899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Koba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E9C6FC"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209,117</w:t>
            </w:r>
          </w:p>
        </w:tc>
      </w:tr>
      <w:tr w:rsidR="00E30AFB" w:rsidRPr="0012520D" w14:paraId="4458A7CC" w14:textId="77777777" w:rsidTr="001B74B6">
        <w:trPr>
          <w:trHeight w:val="43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3789BC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FCD36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Pr>
                <w:rFonts w:ascii="Times New Roman" w:hAnsi="Times New Roman" w:cs="Times New Roman"/>
                <w:color w:val="000000" w:themeColor="text1"/>
                <w:lang w:val="en-ID"/>
              </w:rPr>
              <w:t xml:space="preserve">South </w:t>
            </w:r>
            <w:r w:rsidRPr="0012520D">
              <w:rPr>
                <w:rFonts w:ascii="Times New Roman" w:hAnsi="Times New Roman" w:cs="Times New Roman"/>
                <w:color w:val="000000" w:themeColor="text1"/>
                <w:lang w:val="en-ID"/>
              </w:rPr>
              <w:t>Bangka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479D9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Toboali</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749A84"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213,871</w:t>
            </w:r>
          </w:p>
        </w:tc>
      </w:tr>
      <w:tr w:rsidR="00E30AFB" w:rsidRPr="0012520D" w14:paraId="3EC952B3" w14:textId="77777777" w:rsidTr="001B74B6">
        <w:trPr>
          <w:trHeight w:val="53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82A220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68A6D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Pr>
                <w:rFonts w:ascii="Times New Roman" w:hAnsi="Times New Roman" w:cs="Times New Roman"/>
                <w:color w:val="000000" w:themeColor="text1"/>
                <w:lang w:val="en-ID"/>
              </w:rPr>
              <w:t xml:space="preserve">West </w:t>
            </w:r>
            <w:r w:rsidRPr="0012520D">
              <w:rPr>
                <w:rFonts w:ascii="Times New Roman" w:hAnsi="Times New Roman" w:cs="Times New Roman"/>
                <w:color w:val="000000" w:themeColor="text1"/>
                <w:lang w:val="en-ID"/>
              </w:rPr>
              <w:t>Bangka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0D4307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Muntok</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54E45B"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216,238</w:t>
            </w:r>
          </w:p>
        </w:tc>
      </w:tr>
      <w:tr w:rsidR="00E30AFB" w:rsidRPr="0012520D" w14:paraId="77329F03" w14:textId="77777777" w:rsidTr="001B74B6">
        <w:trPr>
          <w:trHeight w:val="4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C76619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8A990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Pangkalpinang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41E4E3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Pangkalpinang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AC046E"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239,730</w:t>
            </w:r>
          </w:p>
        </w:tc>
      </w:tr>
      <w:tr w:rsidR="00E30AFB" w:rsidRPr="0012520D" w14:paraId="2F64D275" w14:textId="77777777" w:rsidTr="001B74B6">
        <w:trPr>
          <w:trHeight w:val="4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C0B38F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96285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Belitung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9650C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Tanjungpandan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DA57420"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191,252</w:t>
            </w:r>
          </w:p>
        </w:tc>
      </w:tr>
      <w:tr w:rsidR="00E30AFB" w:rsidRPr="0012520D" w14:paraId="576F38F2" w14:textId="77777777" w:rsidTr="001B74B6">
        <w:trPr>
          <w:trHeight w:val="4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9EA9C6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87E393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Pr>
                <w:rFonts w:ascii="Times New Roman" w:hAnsi="Times New Roman" w:cs="Times New Roman"/>
                <w:color w:val="000000" w:themeColor="text1"/>
                <w:lang w:val="en-ID"/>
              </w:rPr>
              <w:t xml:space="preserve">East </w:t>
            </w:r>
            <w:r w:rsidRPr="0012520D">
              <w:rPr>
                <w:rFonts w:ascii="Times New Roman" w:hAnsi="Times New Roman" w:cs="Times New Roman"/>
                <w:color w:val="000000" w:themeColor="text1"/>
                <w:lang w:val="en-ID"/>
              </w:rPr>
              <w:t>Belitun</w:t>
            </w:r>
            <w:r>
              <w:rPr>
                <w:rFonts w:ascii="Times New Roman" w:hAnsi="Times New Roman" w:cs="Times New Roman"/>
                <w:color w:val="000000" w:themeColor="text1"/>
                <w:lang w:val="en-ID"/>
              </w:rPr>
              <w:t>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64BB4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Manggar</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709E22"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132,121</w:t>
            </w:r>
          </w:p>
        </w:tc>
      </w:tr>
      <w:tr w:rsidR="00E30AFB" w:rsidRPr="0012520D" w14:paraId="07EF9A63" w14:textId="77777777" w:rsidTr="001B74B6">
        <w:trPr>
          <w:trHeight w:val="432"/>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E8776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West Kalimantan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397BF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Pontianak</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54980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Pontianak</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5834D5"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682.896</w:t>
            </w:r>
          </w:p>
        </w:tc>
      </w:tr>
      <w:tr w:rsidR="00E30AFB" w:rsidRPr="0012520D" w14:paraId="7378FE5F" w14:textId="77777777" w:rsidTr="001B74B6">
        <w:trPr>
          <w:trHeight w:val="4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E0274A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40DB7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Singkawang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31418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Singkawang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AC6A5A"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247.924</w:t>
            </w:r>
          </w:p>
        </w:tc>
      </w:tr>
      <w:tr w:rsidR="00E30AFB" w:rsidRPr="0012520D" w14:paraId="4E6B1388" w14:textId="77777777" w:rsidTr="001B74B6">
        <w:trPr>
          <w:trHeight w:val="4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3C3702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BB1984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Sambas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2C948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Sambas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4B78EE"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648.307</w:t>
            </w:r>
          </w:p>
        </w:tc>
      </w:tr>
      <w:tr w:rsidR="00E30AFB" w:rsidRPr="0012520D" w14:paraId="51E72063" w14:textId="77777777" w:rsidTr="001B74B6">
        <w:trPr>
          <w:trHeight w:val="4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CD936C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17392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Pr>
                <w:rFonts w:ascii="Times New Roman" w:hAnsi="Times New Roman" w:cs="Times New Roman"/>
                <w:color w:val="000000" w:themeColor="text1"/>
                <w:lang w:val="en-ID"/>
              </w:rPr>
              <w:t xml:space="preserve">North </w:t>
            </w:r>
            <w:r w:rsidRPr="0012520D">
              <w:rPr>
                <w:rFonts w:ascii="Times New Roman" w:hAnsi="Times New Roman" w:cs="Times New Roman"/>
                <w:color w:val="000000" w:themeColor="text1"/>
                <w:lang w:val="en-ID"/>
              </w:rPr>
              <w:t>Kayon</w:t>
            </w:r>
            <w:r>
              <w:rPr>
                <w:rFonts w:ascii="Times New Roman" w:hAnsi="Times New Roman" w:cs="Times New Roman"/>
                <w:color w:val="000000" w:themeColor="text1"/>
                <w:lang w:val="en-ID"/>
              </w:rPr>
              <w:t>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9F7496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Sukadana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C6F664"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127.346</w:t>
            </w:r>
          </w:p>
        </w:tc>
      </w:tr>
      <w:tr w:rsidR="00E30AFB" w:rsidRPr="0012520D" w14:paraId="317BD584" w14:textId="77777777" w:rsidTr="001B74B6">
        <w:trPr>
          <w:trHeight w:val="43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AD2497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580E8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Ketapang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3122E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Delta Pawan</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151963"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581.859</w:t>
            </w:r>
          </w:p>
        </w:tc>
      </w:tr>
      <w:tr w:rsidR="00E30AFB" w:rsidRPr="0012520D" w14:paraId="349397B9" w14:textId="77777777" w:rsidTr="001B74B6">
        <w:trPr>
          <w:trHeight w:val="432"/>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6BAE7A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South Sumatera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B56663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Palbang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C9CE0D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Palembang</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96A783C" w14:textId="77777777" w:rsidR="00E30AFB" w:rsidRPr="0012520D" w:rsidRDefault="00E30AFB" w:rsidP="00E30AFB">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1.781.672</w:t>
            </w:r>
          </w:p>
        </w:tc>
      </w:tr>
    </w:tbl>
    <w:p w14:paraId="1D306CB3"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i/>
          <w:iCs/>
          <w:color w:val="000000" w:themeColor="text1"/>
          <w:lang w:val="en-ID"/>
        </w:rPr>
        <w:t>Source: Agregat Jumlah Penduduk Per Kabupaten Kota. Satu Data Pemerintahan Dalam Negeri</w:t>
      </w:r>
      <w:r w:rsidRPr="0012520D">
        <w:rPr>
          <w:rFonts w:ascii="Times New Roman" w:hAnsi="Times New Roman" w:cs="Times New Roman"/>
          <w:color w:val="000000" w:themeColor="text1"/>
          <w:lang w:val="en-ID"/>
        </w:rPr>
        <w:t xml:space="preserve"> accessed 2025. </w:t>
      </w:r>
      <w:hyperlink r:id="rId137" w:history="1">
        <w:r w:rsidRPr="0012520D">
          <w:rPr>
            <w:rStyle w:val="Hyperlink"/>
            <w:rFonts w:ascii="Times New Roman" w:hAnsi="Times New Roman" w:cs="Times New Roman"/>
            <w:lang w:val="en-ID"/>
          </w:rPr>
          <w:t>https://pelita.kemendagri.go.id/kemendagri/dataset/1490/tabel-data</w:t>
        </w:r>
      </w:hyperlink>
    </w:p>
    <w:p w14:paraId="65C6D65B"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181A5E44"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List of NGOs and local special interest group in each  provinces bordering the South China Sea (SCS) </w:t>
      </w:r>
    </w:p>
    <w:tbl>
      <w:tblPr>
        <w:tblW w:w="0" w:type="auto"/>
        <w:tblCellMar>
          <w:top w:w="15" w:type="dxa"/>
          <w:left w:w="15" w:type="dxa"/>
          <w:bottom w:w="15" w:type="dxa"/>
          <w:right w:w="15" w:type="dxa"/>
        </w:tblCellMar>
        <w:tblLook w:val="04A0" w:firstRow="1" w:lastRow="0" w:firstColumn="1" w:lastColumn="0" w:noHBand="0" w:noVBand="1"/>
      </w:tblPr>
      <w:tblGrid>
        <w:gridCol w:w="2550"/>
        <w:gridCol w:w="1597"/>
        <w:gridCol w:w="1713"/>
        <w:gridCol w:w="1944"/>
        <w:gridCol w:w="1933"/>
      </w:tblGrid>
      <w:tr w:rsidR="00E30AFB" w:rsidRPr="0012520D" w14:paraId="73BE04A2" w14:textId="77777777" w:rsidTr="001B74B6">
        <w:trPr>
          <w:trHeight w:val="315"/>
        </w:trPr>
        <w:tc>
          <w:tcPr>
            <w:tcW w:w="0" w:type="auto"/>
            <w:vMerge w:val="restart"/>
            <w:tcBorders>
              <w:top w:val="single" w:sz="4" w:space="0" w:color="000000"/>
              <w:left w:val="single" w:sz="4" w:space="0" w:color="000000"/>
              <w:bottom w:val="single" w:sz="12" w:space="0" w:color="666666"/>
              <w:right w:val="single" w:sz="4" w:space="0" w:color="000000"/>
            </w:tcBorders>
            <w:tcMar>
              <w:top w:w="0" w:type="dxa"/>
              <w:left w:w="108" w:type="dxa"/>
              <w:bottom w:w="0" w:type="dxa"/>
              <w:right w:w="108" w:type="dxa"/>
            </w:tcMar>
            <w:vAlign w:val="center"/>
            <w:hideMark/>
          </w:tcPr>
          <w:p w14:paraId="469F1E2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Province and </w:t>
            </w:r>
          </w:p>
          <w:p w14:paraId="6155D5D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NGO and Special Interest Group</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F9F1CD" w14:textId="77777777" w:rsidR="00E30AFB" w:rsidRPr="0012520D" w:rsidRDefault="00E30AFB" w:rsidP="001B74B6">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Interest</w:t>
            </w:r>
          </w:p>
        </w:tc>
      </w:tr>
      <w:tr w:rsidR="00E30AFB" w:rsidRPr="0012520D" w14:paraId="5BCB8ECF" w14:textId="77777777" w:rsidTr="001B74B6">
        <w:trPr>
          <w:trHeight w:val="315"/>
        </w:trPr>
        <w:tc>
          <w:tcPr>
            <w:tcW w:w="0" w:type="auto"/>
            <w:vMerge/>
            <w:tcBorders>
              <w:top w:val="single" w:sz="4" w:space="0" w:color="000000"/>
              <w:left w:val="single" w:sz="4" w:space="0" w:color="000000"/>
              <w:bottom w:val="single" w:sz="12" w:space="0" w:color="666666"/>
              <w:right w:val="single" w:sz="4" w:space="0" w:color="000000"/>
            </w:tcBorders>
            <w:vAlign w:val="center"/>
            <w:hideMark/>
          </w:tcPr>
          <w:p w14:paraId="5BC4BFC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FDF1C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Socio-Economic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A308FB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Coastal &amp; Marine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406636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Fisheries &amp; Aquaculture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42147C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Coastal &amp; Marine Ecosystems</w:t>
            </w:r>
          </w:p>
        </w:tc>
      </w:tr>
      <w:tr w:rsidR="00E30AFB" w:rsidRPr="0012520D" w14:paraId="5DC75B3E" w14:textId="77777777" w:rsidTr="001B74B6">
        <w:trPr>
          <w:trHeight w:val="186"/>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327C28" w14:textId="77777777" w:rsidR="00E30AFB" w:rsidRPr="0012520D" w:rsidRDefault="00E30AFB" w:rsidP="001B74B6">
            <w:pPr>
              <w:pStyle w:val="BodyText"/>
              <w:numPr>
                <w:ilvl w:val="0"/>
                <w:numId w:val="174"/>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Riau</w:t>
            </w:r>
            <w:r>
              <w:rPr>
                <w:rFonts w:ascii="Times New Roman" w:hAnsi="Times New Roman" w:cs="Times New Roman"/>
                <w:color w:val="000000" w:themeColor="text1"/>
                <w:lang w:val="en-ID"/>
              </w:rPr>
              <w:t xml:space="preserve"> Island</w:t>
            </w:r>
            <w:r w:rsidRPr="0012520D">
              <w:rPr>
                <w:rFonts w:ascii="Times New Roman" w:hAnsi="Times New Roman" w:cs="Times New Roman"/>
                <w:color w:val="000000" w:themeColor="text1"/>
                <w:lang w:val="en-ID"/>
              </w:rPr>
              <w:t xml:space="preserve">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D1E60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721F5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229180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8CCDF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61A7DFC0"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044EC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WALHI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44F591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1AEDE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248EB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483718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374F4997"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3FA51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JATAM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4AC284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B9156D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1BCC5A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1F6776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0E777A29"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C6EEE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KIARA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C83E4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E0B124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9C8DC6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9BC0E2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5FD95009"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962CC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Dompet Dhuafa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4404C0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1B230F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C0D4DF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5740B1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3682FA64"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E0405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LSM Alim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C10FFA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32B9BE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B08D3A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CAC3BE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4C1FD9A9"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CC904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LSM PLH-K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C7548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503628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DE72BC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886881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3B21DE8F"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EDF32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Akar Bhumi Indonesia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F96C37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5D5760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91E0DE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107966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07848DBB"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63F86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Yayasan Embun Pelangi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F3E5DB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69D1EF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4B92D5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F0D2D0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7E812707"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3DF6E9" w14:textId="77777777" w:rsidR="00E30AFB" w:rsidRPr="0012520D" w:rsidRDefault="00E30AFB" w:rsidP="001B74B6">
            <w:pPr>
              <w:pStyle w:val="BodyText"/>
              <w:numPr>
                <w:ilvl w:val="0"/>
                <w:numId w:val="175"/>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Bangka Belitung Province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35F00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4737C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32E2D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3467D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0F9DBA80"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C33C0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WALHI Bangka Belitung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E244B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71E89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F565E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529EA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767C7A30"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0872B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HNSI Bangka Belitung (Fishermen's Association of All Indonesia)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2531B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F0260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EF7C0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76468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47980D23"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6878C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Yayasan ALOBI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EE2F2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93C23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D8F542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9D677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7D10290F"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3CD2A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SNV (Netherlands Development Organisation)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6B245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5D1FB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96F66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78242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46C35A94"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04216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LSM Laskar Hijau</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8351E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E9D5C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BAD20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17A93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6363D23D"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76B110" w14:textId="77777777" w:rsidR="00E30AFB" w:rsidRPr="0012520D" w:rsidRDefault="00E30AFB" w:rsidP="001B74B6">
            <w:pPr>
              <w:pStyle w:val="BodyText"/>
              <w:numPr>
                <w:ilvl w:val="0"/>
                <w:numId w:val="176"/>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West Kalimantan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738FB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D8F0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453C8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2F4B2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500081BD"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8566A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WALHI Kalimantan Barat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BFA4C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21422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F3C68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142C9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5BF9B768"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7E0F7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Lembaga Gemawan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53AD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4E99A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687B5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FDDB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71A1F9A0"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FDE94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Swandiri Institute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EAE9C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16B4A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1E650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17AF0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3BF3E30A"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F272C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Yayasan Sampan Kalbar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29F55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B4E0B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1EBB5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056B5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161A2892"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59C8D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AMAN Kalbar (Alliance of Indigenous Peoples of the Archipelago)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7A50D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7B600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1FE14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1260D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64A3BFC2"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3245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RiAk Kalbar (JARI Borneo Barat)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E4CF2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ECE17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917BB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435F1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0DBE9484"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005D7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KIARA (Koalisi Rakyat untuk Keadilan Perikanan)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0EEFA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0CCDE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43266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24117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bl>
    <w:p w14:paraId="63544BB7"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33E99B6D"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List of Trade Association and Business Group and special interest group in each provinces bordering the South China Sea (SCS) </w:t>
      </w:r>
    </w:p>
    <w:tbl>
      <w:tblPr>
        <w:tblW w:w="0" w:type="auto"/>
        <w:tblCellMar>
          <w:top w:w="15" w:type="dxa"/>
          <w:left w:w="15" w:type="dxa"/>
          <w:bottom w:w="15" w:type="dxa"/>
          <w:right w:w="15" w:type="dxa"/>
        </w:tblCellMar>
        <w:tblLook w:val="04A0" w:firstRow="1" w:lastRow="0" w:firstColumn="1" w:lastColumn="0" w:noHBand="0" w:noVBand="1"/>
      </w:tblPr>
      <w:tblGrid>
        <w:gridCol w:w="2460"/>
        <w:gridCol w:w="1607"/>
        <w:gridCol w:w="1743"/>
        <w:gridCol w:w="1964"/>
        <w:gridCol w:w="1963"/>
      </w:tblGrid>
      <w:tr w:rsidR="00E30AFB" w:rsidRPr="0012520D" w14:paraId="1D365280" w14:textId="77777777" w:rsidTr="001B74B6">
        <w:trPr>
          <w:trHeight w:val="315"/>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FC665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Province-</w:t>
            </w:r>
          </w:p>
          <w:p w14:paraId="24EDCA0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Trade Association and Business Group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16B520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Interest </w:t>
            </w:r>
          </w:p>
        </w:tc>
      </w:tr>
      <w:tr w:rsidR="00E30AFB" w:rsidRPr="0012520D" w14:paraId="43D92019" w14:textId="77777777" w:rsidTr="001B74B6">
        <w:trPr>
          <w:trHeight w:val="31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807B35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A771AD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Socio-Economic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64CAF7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Coastal &amp; Marine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6F39B5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Fisheries &amp; Aquaculture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A9BBE1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Coastal &amp; Marine Ecosystems</w:t>
            </w:r>
          </w:p>
        </w:tc>
      </w:tr>
      <w:tr w:rsidR="00E30AFB" w:rsidRPr="0012520D" w14:paraId="1C733AE4" w14:textId="77777777" w:rsidTr="001B74B6">
        <w:trPr>
          <w:trHeight w:val="315"/>
        </w:trPr>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hideMark/>
          </w:tcPr>
          <w:p w14:paraId="7BB13685" w14:textId="77777777" w:rsidR="00E30AFB" w:rsidRPr="0012520D" w:rsidRDefault="00E30AFB" w:rsidP="001B74B6">
            <w:pPr>
              <w:pStyle w:val="BodyText"/>
              <w:numPr>
                <w:ilvl w:val="0"/>
                <w:numId w:val="177"/>
              </w:numPr>
              <w:tabs>
                <w:tab w:val="clear" w:pos="720"/>
                <w:tab w:val="num" w:pos="360"/>
              </w:tabs>
              <w:spacing w:before="188"/>
              <w:ind w:hanging="6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Riau</w:t>
            </w:r>
            <w:r>
              <w:rPr>
                <w:rFonts w:ascii="Times New Roman" w:hAnsi="Times New Roman" w:cs="Times New Roman"/>
                <w:color w:val="000000" w:themeColor="text1"/>
                <w:lang w:val="en-ID"/>
              </w:rPr>
              <w:t xml:space="preserve"> Island</w:t>
            </w:r>
            <w:r w:rsidRPr="0012520D">
              <w:rPr>
                <w:rFonts w:ascii="Times New Roman" w:hAnsi="Times New Roman" w:cs="Times New Roman"/>
                <w:color w:val="000000" w:themeColor="text1"/>
                <w:lang w:val="en-ID"/>
              </w:rPr>
              <w:t xml:space="preserve"> Province</w:t>
            </w:r>
          </w:p>
        </w:tc>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58858B8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16473DD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461B717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25DCA35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3BE04042"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BA7011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KADIN Kepri (Kamar Dagang &amp; Industri)</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20E1950A"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091F77A1"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173D0A8C"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1BCA5309"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0F8D5F70"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250E027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INSA Kepri (Indonesian National Shipowners' Assoc.)</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25814495"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6B30C831"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497CE541" w14:textId="77777777" w:rsidR="00E30AFB" w:rsidRPr="0012520D" w:rsidRDefault="00E30AFB" w:rsidP="001B74B6">
            <w:pPr>
              <w:pStyle w:val="BodyText"/>
              <w:spacing w:before="188"/>
              <w:ind w:left="360"/>
              <w:jc w:val="center"/>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5773C65A" w14:textId="77777777" w:rsidR="00E30AFB" w:rsidRPr="0012520D" w:rsidRDefault="00E30AFB" w:rsidP="001B74B6">
            <w:pPr>
              <w:pStyle w:val="BodyText"/>
              <w:spacing w:before="188"/>
              <w:ind w:left="360"/>
              <w:jc w:val="center"/>
              <w:rPr>
                <w:rFonts w:ascii="Times New Roman" w:hAnsi="Times New Roman" w:cs="Times New Roman"/>
                <w:color w:val="000000" w:themeColor="text1"/>
                <w:lang w:val="en-ID"/>
              </w:rPr>
            </w:pPr>
          </w:p>
        </w:tc>
      </w:tr>
      <w:tr w:rsidR="00E30AFB" w:rsidRPr="0012520D" w14:paraId="59948113"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D92FF0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PHRI Kepri (Perhimpunan Hotel &amp; Restoran)</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4B4E0030"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0A6A1313" w14:textId="77777777" w:rsidR="00E30AFB" w:rsidRPr="0012520D" w:rsidRDefault="00E30AFB" w:rsidP="001B74B6">
            <w:pPr>
              <w:pStyle w:val="BodyText"/>
              <w:spacing w:before="188"/>
              <w:ind w:left="360"/>
              <w:jc w:val="center"/>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226A6704" w14:textId="77777777" w:rsidR="00E30AFB" w:rsidRPr="0012520D" w:rsidRDefault="00E30AFB" w:rsidP="001B74B6">
            <w:pPr>
              <w:pStyle w:val="BodyText"/>
              <w:spacing w:before="188"/>
              <w:ind w:left="360"/>
              <w:jc w:val="center"/>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66FED73F"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7A7679AD"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128930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APINDO Kepri (Indonesian Employers Association)</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7C9DB800"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49A8E23E" w14:textId="77777777" w:rsidR="00E30AFB" w:rsidRPr="0012520D" w:rsidRDefault="00E30AFB" w:rsidP="001B74B6">
            <w:pPr>
              <w:pStyle w:val="BodyText"/>
              <w:spacing w:before="188"/>
              <w:ind w:left="360"/>
              <w:jc w:val="center"/>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6EFC434E" w14:textId="77777777" w:rsidR="00E30AFB" w:rsidRPr="0012520D" w:rsidRDefault="00E30AFB" w:rsidP="001B74B6">
            <w:pPr>
              <w:pStyle w:val="BodyText"/>
              <w:spacing w:before="188"/>
              <w:ind w:left="360"/>
              <w:jc w:val="center"/>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5EAEFEEC" w14:textId="77777777" w:rsidR="00E30AFB" w:rsidRPr="0012520D" w:rsidRDefault="00E30AFB" w:rsidP="001B74B6">
            <w:pPr>
              <w:pStyle w:val="BodyText"/>
              <w:spacing w:before="188"/>
              <w:ind w:left="360"/>
              <w:jc w:val="center"/>
              <w:rPr>
                <w:rFonts w:ascii="Times New Roman" w:hAnsi="Times New Roman" w:cs="Times New Roman"/>
                <w:color w:val="000000" w:themeColor="text1"/>
                <w:lang w:val="en-ID"/>
              </w:rPr>
            </w:pPr>
          </w:p>
        </w:tc>
      </w:tr>
      <w:tr w:rsidR="00E30AFB" w:rsidRPr="0012520D" w14:paraId="55D6624E"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2E26C8C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HKI Kepri (Himpunan Kawasan Industri)</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20F22A21"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0546FCAC" w14:textId="77777777" w:rsidR="00E30AFB" w:rsidRPr="0012520D" w:rsidRDefault="00E30AFB" w:rsidP="001B74B6">
            <w:pPr>
              <w:pStyle w:val="BodyText"/>
              <w:spacing w:before="188"/>
              <w:jc w:val="center"/>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0F580D4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vAlign w:val="center"/>
            <w:hideMark/>
          </w:tcPr>
          <w:p w14:paraId="4003335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0986EC46"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C863D47" w14:textId="77777777" w:rsidR="00E30AFB" w:rsidRPr="0012520D" w:rsidRDefault="00E30AFB" w:rsidP="001B74B6">
            <w:pPr>
              <w:pStyle w:val="BodyText"/>
              <w:numPr>
                <w:ilvl w:val="0"/>
                <w:numId w:val="178"/>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Bangka Belitung Province</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4E998B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093BE9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F030C6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2FFC71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12AD0B17"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822DE2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PT Timah Tbk</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CB10B6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F105A9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16F643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963547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51730C31"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38F365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AETI (Indonesian Tin Exporters Association)</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82572C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FB1838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80FAB4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C2ACFC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75975F2C"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5A7A56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KADIN Babel (Kamar Dagang &amp; Industri)</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B80D54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2881F5F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CC6701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3C69D9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6701D85D"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B2B0E3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PHRI Babel (Perhimpunan Hotel &amp; Restoran)</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DCD88A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0FF863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5CCE43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05CE67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7215AF48"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CD65B06" w14:textId="77777777" w:rsidR="00E30AFB" w:rsidRPr="0012520D" w:rsidRDefault="00E30AFB" w:rsidP="001B74B6">
            <w:pPr>
              <w:pStyle w:val="BodyText"/>
              <w:numPr>
                <w:ilvl w:val="0"/>
                <w:numId w:val="179"/>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West Kalimantang Province </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66EDCF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61F6C6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2E8FB87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AA4747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498F3953"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4F24F1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GAPKI Kalbar (Gabungan Pengusaha Kelapa Sawit)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ED23CB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2710EC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64FD1C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F2F02E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343653CB"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697041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Asosiasi Penambang (Bauksit, Zirkon)</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A849F2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CDA68D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1F5F45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3ABE32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33C70161"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2339598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KADIN Kalbar (Kamar Dagang &amp; Industri)</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A2D690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B227C6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250BF70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7109F9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79A2725D"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48CAF7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PHRI Kalbar (Perhimpunan Hotel &amp; Restoran)</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4336DA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4024CD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74B0EF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58A671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bl>
    <w:p w14:paraId="680A47C7" w14:textId="2C17D8C7" w:rsidR="00E30AFB" w:rsidRDefault="00E30AFB" w:rsidP="00E30AFB">
      <w:pPr>
        <w:pStyle w:val="BodyText"/>
        <w:spacing w:before="188"/>
        <w:ind w:left="360"/>
        <w:rPr>
          <w:rFonts w:ascii="Times New Roman" w:hAnsi="Times New Roman" w:cs="Times New Roman"/>
          <w:color w:val="000000" w:themeColor="text1"/>
          <w:lang w:val="en-ID"/>
        </w:rPr>
      </w:pPr>
    </w:p>
    <w:p w14:paraId="29E406E9" w14:textId="77777777" w:rsidR="00E30AFB" w:rsidRDefault="00E30AFB">
      <w:pPr>
        <w:rPr>
          <w:rFonts w:ascii="Times New Roman" w:eastAsiaTheme="minorEastAsia" w:hAnsi="Times New Roman" w:cs="Times New Roman"/>
          <w:color w:val="000000" w:themeColor="text1"/>
          <w:sz w:val="22"/>
          <w:szCs w:val="22"/>
          <w:lang w:val="en-ID"/>
        </w:rPr>
      </w:pPr>
      <w:r>
        <w:rPr>
          <w:rFonts w:ascii="Times New Roman" w:hAnsi="Times New Roman" w:cs="Times New Roman"/>
          <w:color w:val="000000" w:themeColor="text1"/>
          <w:lang w:val="en-ID"/>
        </w:rPr>
        <w:br w:type="page"/>
      </w:r>
    </w:p>
    <w:p w14:paraId="7257C46F"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6D709001"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List of Co-Management, Traditional System and Customary Right in each  provinces bordering the South China Sea (SCS) </w:t>
      </w:r>
    </w:p>
    <w:tbl>
      <w:tblPr>
        <w:tblW w:w="0" w:type="auto"/>
        <w:tblCellMar>
          <w:top w:w="15" w:type="dxa"/>
          <w:left w:w="15" w:type="dxa"/>
          <w:bottom w:w="15" w:type="dxa"/>
          <w:right w:w="15" w:type="dxa"/>
        </w:tblCellMar>
        <w:tblLook w:val="04A0" w:firstRow="1" w:lastRow="0" w:firstColumn="1" w:lastColumn="0" w:noHBand="0" w:noVBand="1"/>
      </w:tblPr>
      <w:tblGrid>
        <w:gridCol w:w="2887"/>
        <w:gridCol w:w="1560"/>
        <w:gridCol w:w="1600"/>
        <w:gridCol w:w="1871"/>
        <w:gridCol w:w="1819"/>
      </w:tblGrid>
      <w:tr w:rsidR="00E30AFB" w:rsidRPr="0012520D" w14:paraId="537861BE" w14:textId="77777777" w:rsidTr="001B74B6">
        <w:trPr>
          <w:trHeight w:val="315"/>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2517A1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Province-</w:t>
            </w:r>
          </w:p>
          <w:p w14:paraId="5AC5846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Organization/System </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675E25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Interest </w:t>
            </w:r>
          </w:p>
        </w:tc>
      </w:tr>
      <w:tr w:rsidR="00E30AFB" w:rsidRPr="0012520D" w14:paraId="125D874A" w14:textId="77777777" w:rsidTr="001B74B6">
        <w:trPr>
          <w:trHeight w:val="31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C4A9CD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56F2C9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Socio-Economic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50E397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Coastal &amp; Marine Pollution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DBFE5F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Fisheries &amp; Aquaculture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5E7380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Coastal &amp; Marine Ecosystems</w:t>
            </w:r>
          </w:p>
        </w:tc>
      </w:tr>
      <w:tr w:rsidR="00E30AFB" w:rsidRPr="0012520D" w14:paraId="0866161C" w14:textId="77777777" w:rsidTr="001B74B6">
        <w:trPr>
          <w:trHeight w:val="315"/>
        </w:trPr>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hideMark/>
          </w:tcPr>
          <w:p w14:paraId="291BE971" w14:textId="77777777" w:rsidR="00E30AFB" w:rsidRPr="0012520D" w:rsidRDefault="00E30AFB" w:rsidP="001B74B6">
            <w:pPr>
              <w:pStyle w:val="BodyText"/>
              <w:numPr>
                <w:ilvl w:val="0"/>
                <w:numId w:val="180"/>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Kepulauan Riau Province </w:t>
            </w:r>
          </w:p>
        </w:tc>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hideMark/>
          </w:tcPr>
          <w:p w14:paraId="2ED7597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hideMark/>
          </w:tcPr>
          <w:p w14:paraId="168ED8C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hideMark/>
          </w:tcPr>
          <w:p w14:paraId="01203CB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999999"/>
              <w:bottom w:val="single" w:sz="4" w:space="0" w:color="999999"/>
              <w:right w:val="single" w:sz="4" w:space="0" w:color="999999"/>
            </w:tcBorders>
            <w:tcMar>
              <w:top w:w="0" w:type="dxa"/>
              <w:left w:w="108" w:type="dxa"/>
              <w:bottom w:w="0" w:type="dxa"/>
              <w:right w:w="108" w:type="dxa"/>
            </w:tcMar>
            <w:hideMark/>
          </w:tcPr>
          <w:p w14:paraId="4CC6F9B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430DBB4F"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F6AD31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Orang Suku Laut (Orang Laut)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030E58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EE36E5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60E210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71606C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2AF7EF94"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0D78B1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Lembaga Adat Melayu (LAM) Kepri</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7FF861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0C8C61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163AD6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280034D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16B4DFC1"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4AEC19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Pokmaswas (Kelompok Masyarakat Pengawas)</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F45292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B49781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2C90F4E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01026F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5202A4C9"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3F89DC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Hutan Adat (Masyarakat Adat)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3CA54C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424376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C6F539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5E5F55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6BEBC3DE"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A788F1B" w14:textId="77777777" w:rsidR="00E30AFB" w:rsidRPr="0012520D" w:rsidRDefault="00E30AFB" w:rsidP="001B74B6">
            <w:pPr>
              <w:pStyle w:val="BodyText"/>
              <w:numPr>
                <w:ilvl w:val="0"/>
                <w:numId w:val="181"/>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Bangka Belitung Province </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E16E1B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EDDFA5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4D941F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DC50F6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2E2081FB"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EC60E5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Pokmaswas (Kelompok Masyarakat Pengawas)</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F21E33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216C89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F1A1C4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7BAA38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6C1ED49D"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027516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Lembaga Adat Mapur (Orang Lom)</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F6AA06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897796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61998C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F069F6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0C147091"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5CF77E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Moang Jong (Tradisi Suku Sawang)</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337D64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02410E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2AA113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164336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79AD4C0F"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72F17C9" w14:textId="77777777" w:rsidR="00E30AFB" w:rsidRPr="0012520D" w:rsidRDefault="00E30AFB" w:rsidP="001B74B6">
            <w:pPr>
              <w:pStyle w:val="BodyText"/>
              <w:numPr>
                <w:ilvl w:val="0"/>
                <w:numId w:val="182"/>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West Kalimantan Province </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4B03AD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7CDDBC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F75A92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FE61B2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42316405"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84BDCE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Perhutanan Sosial (Hutan Desa/Hutan Adat)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167452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1D4562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9F9514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CB1204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766BE7F9"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BD6EE2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Pokmaswas (Kelompok Masyarakat Pengawas)</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7F7C36C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B4F131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39C314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A1A1A3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493A52A5"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24AF264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Masyarakat Adat (via AMAN)</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6E5D591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0E2F067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D17F80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B939EA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487923F6" w14:textId="77777777" w:rsidTr="001B74B6">
        <w:trPr>
          <w:trHeight w:val="315"/>
        </w:trPr>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5D8165F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Kearifan Lokal Nelayan Pesisir (Melayu Sambas/Kubu)</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830E53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16D6ECF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4E4E769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999999"/>
              <w:left w:val="single" w:sz="4" w:space="0" w:color="999999"/>
              <w:bottom w:val="single" w:sz="4" w:space="0" w:color="999999"/>
              <w:right w:val="single" w:sz="4" w:space="0" w:color="999999"/>
            </w:tcBorders>
            <w:tcMar>
              <w:top w:w="0" w:type="dxa"/>
              <w:left w:w="108" w:type="dxa"/>
              <w:bottom w:w="0" w:type="dxa"/>
              <w:right w:w="108" w:type="dxa"/>
            </w:tcMar>
            <w:hideMark/>
          </w:tcPr>
          <w:p w14:paraId="33290A3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bl>
    <w:p w14:paraId="6A65819C"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List of Decentralized Agency in each  provinces bordering the South China Sea (SCS) </w:t>
      </w:r>
    </w:p>
    <w:tbl>
      <w:tblPr>
        <w:tblW w:w="0" w:type="auto"/>
        <w:tblCellMar>
          <w:top w:w="15" w:type="dxa"/>
          <w:left w:w="15" w:type="dxa"/>
          <w:bottom w:w="15" w:type="dxa"/>
          <w:right w:w="15" w:type="dxa"/>
        </w:tblCellMar>
        <w:tblLook w:val="04A0" w:firstRow="1" w:lastRow="0" w:firstColumn="1" w:lastColumn="0" w:noHBand="0" w:noVBand="1"/>
      </w:tblPr>
      <w:tblGrid>
        <w:gridCol w:w="3216"/>
        <w:gridCol w:w="1524"/>
        <w:gridCol w:w="1489"/>
        <w:gridCol w:w="1799"/>
        <w:gridCol w:w="1709"/>
      </w:tblGrid>
      <w:tr w:rsidR="00E30AFB" w:rsidRPr="0012520D" w14:paraId="5A547F89" w14:textId="77777777" w:rsidTr="001B74B6">
        <w:trPr>
          <w:trHeight w:val="315"/>
        </w:trPr>
        <w:tc>
          <w:tcPr>
            <w:tcW w:w="0" w:type="auto"/>
            <w:vMerge w:val="restart"/>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14:paraId="532A376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Province-</w:t>
            </w:r>
          </w:p>
          <w:p w14:paraId="159D572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Decentralized Agency</w:t>
            </w:r>
          </w:p>
        </w:tc>
        <w:tc>
          <w:tcPr>
            <w:tcW w:w="0" w:type="auto"/>
            <w:gridSpan w:val="4"/>
            <w:tcBorders>
              <w:top w:val="single" w:sz="4" w:space="0" w:color="000000"/>
              <w:left w:val="single" w:sz="4" w:space="0" w:color="000000"/>
              <w:right w:val="single" w:sz="4" w:space="0" w:color="000000"/>
            </w:tcBorders>
            <w:tcMar>
              <w:top w:w="0" w:type="dxa"/>
              <w:left w:w="108" w:type="dxa"/>
              <w:bottom w:w="0" w:type="dxa"/>
              <w:right w:w="108" w:type="dxa"/>
            </w:tcMar>
            <w:vAlign w:val="center"/>
            <w:hideMark/>
          </w:tcPr>
          <w:p w14:paraId="5025EF2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Issue</w:t>
            </w:r>
          </w:p>
        </w:tc>
      </w:tr>
      <w:tr w:rsidR="00E30AFB" w:rsidRPr="0012520D" w14:paraId="318B440F" w14:textId="77777777" w:rsidTr="001B74B6">
        <w:trPr>
          <w:trHeight w:val="315"/>
        </w:trPr>
        <w:tc>
          <w:tcPr>
            <w:tcW w:w="0" w:type="auto"/>
            <w:vMerge/>
            <w:tcBorders>
              <w:top w:val="single" w:sz="4" w:space="0" w:color="000000"/>
              <w:left w:val="single" w:sz="4" w:space="0" w:color="000000"/>
              <w:right w:val="single" w:sz="4" w:space="0" w:color="000000"/>
            </w:tcBorders>
            <w:vAlign w:val="center"/>
            <w:hideMark/>
          </w:tcPr>
          <w:p w14:paraId="76AD98D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CCD436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Socio-Economic</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9A085D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Coastal &amp; Marine Pollution</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E3B497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Fisheries &amp; Aquaculture</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37E5B8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Coastal &amp; Marine Ecosystems</w:t>
            </w:r>
          </w:p>
        </w:tc>
      </w:tr>
      <w:tr w:rsidR="00E30AFB" w:rsidRPr="0012520D" w14:paraId="15A3DB3B" w14:textId="77777777" w:rsidTr="001B74B6">
        <w:trPr>
          <w:trHeight w:val="315"/>
        </w:trPr>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14:paraId="46BEB563" w14:textId="77777777" w:rsidR="00E30AFB" w:rsidRPr="0012520D" w:rsidRDefault="00E30AFB" w:rsidP="001B74B6">
            <w:pPr>
              <w:pStyle w:val="BodyText"/>
              <w:numPr>
                <w:ilvl w:val="0"/>
                <w:numId w:val="183"/>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Kepulauan Riau Province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416AD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AB6AD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2F1D5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864F7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45546E0F"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1E2D1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DPRD Provinsi Kepri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B4B03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D8CDD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5CF90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CBAA6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4EF475F0"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0F03F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Fisheries and Marine Affair Office (Dinas Kelautan &amp; Perikanan/DKP) Kepri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184F1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9EBA7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65096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279E6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76ABF992"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5D4B9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Dinas Lingkungan Hidup &amp; Kehutanan (DLHK) Kepri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29735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3A8CC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375C5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DF9D8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202506ED"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923D9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BAPPEDA Kepri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51A4E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2FB34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FD1BE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23815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6266F517"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87674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Musrenbang (Village/Regency/Province)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92A71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157C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31442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0FBA3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color w:val="000000" w:themeColor="text1"/>
                <w:lang w:val="en-ID"/>
              </w:rPr>
              <w:t>✔</w:t>
            </w:r>
          </w:p>
        </w:tc>
      </w:tr>
      <w:tr w:rsidR="00E30AFB" w:rsidRPr="0012520D" w14:paraId="6C87A912"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D566E6" w14:textId="77777777" w:rsidR="00E30AFB" w:rsidRPr="0012520D" w:rsidRDefault="00E30AFB" w:rsidP="001B74B6">
            <w:pPr>
              <w:pStyle w:val="BodyText"/>
              <w:numPr>
                <w:ilvl w:val="0"/>
                <w:numId w:val="184"/>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Bangka Belitung Province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D93C7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F1F3A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1C432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48022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5F88C9D7"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6E110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DPRD Provinsi Babel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8EF16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D01CC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EC59F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43BBC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3E3F3EB9"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B42E8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DKP Babel (Dinas Kelautan &amp; Perikanan)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6A8AD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5D867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FB6E3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BF698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01D64994"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56164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DLH Babel (Dinas Lingkungan Hidup)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A157D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B2C55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9815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F374D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300DC399"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D174B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BAPPEDA Babel (Badan Perencanaan Pembangunan Daerah)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76F13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11857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399A3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DF13F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175334A5"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159F6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Musrenbang (Musyawarah Perencanaan Pembangunan)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90C53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EB0C3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F41C65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6308B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6276AB69"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176CB0" w14:textId="77777777" w:rsidR="00E30AFB" w:rsidRPr="0012520D" w:rsidRDefault="00E30AFB" w:rsidP="001B74B6">
            <w:pPr>
              <w:pStyle w:val="BodyText"/>
              <w:numPr>
                <w:ilvl w:val="0"/>
                <w:numId w:val="185"/>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West Kalimantang Province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B1987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33093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F6343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3EE22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468EB1A8"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9AD2A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DPRD Provinsi Kalbar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90460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DA7F9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5D748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4D6E5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19815CA9"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4260C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BAPPEDA Kalbar</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86CD7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842F5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17B9A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39E7E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370CB0E7"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CC828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DKP Kalbar (Dinas Kelautan &amp; Perikanan)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B86BA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06D41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042C5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25A3E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299DFE18"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EB504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DLHK Kalbar (Dinas Lingkungan Hidup &amp; Kehutanan)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7497A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E9C67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70A2C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22297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r w:rsidR="00E30AFB" w:rsidRPr="0012520D" w14:paraId="5991388F" w14:textId="77777777" w:rsidTr="001B74B6">
        <w:trPr>
          <w:trHeight w:val="315"/>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29B13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Musrenbang (Musyawarah Perencanaan Pembangunan)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80644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947ED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D3DA8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73124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Segoe UI Symbol" w:hAnsi="Segoe UI Symbol" w:cs="Segoe UI Symbol"/>
                <w:b/>
                <w:bCs/>
                <w:color w:val="000000" w:themeColor="text1"/>
                <w:lang w:val="en-ID"/>
              </w:rPr>
              <w:t>✔</w:t>
            </w:r>
          </w:p>
        </w:tc>
      </w:tr>
    </w:tbl>
    <w:p w14:paraId="3333AF13" w14:textId="77777777" w:rsidR="00E30AFB" w:rsidRPr="0012520D" w:rsidRDefault="00E30AFB" w:rsidP="00E30AFB">
      <w:pPr>
        <w:pStyle w:val="BodyText"/>
        <w:numPr>
          <w:ilvl w:val="0"/>
          <w:numId w:val="195"/>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Method for Risk Governance Analysis </w:t>
      </w:r>
    </w:p>
    <w:p w14:paraId="60D04B22"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Governance Risk Analysis is approached through three components: Completeness, Engagement, and Integration. The calculation of the governance risk components is as follows.</w:t>
      </w:r>
    </w:p>
    <w:p w14:paraId="31DF5263"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A. Completeness</w:t>
      </w:r>
    </w:p>
    <w:p w14:paraId="5F685D2E"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Completeness is assessed based on 7 components of the policy cycle, which include:</w:t>
      </w:r>
    </w:p>
    <w:p w14:paraId="41CB96E9" w14:textId="77777777" w:rsidR="00E30AFB" w:rsidRPr="0012520D" w:rsidRDefault="00E30AFB" w:rsidP="00E30AFB">
      <w:pPr>
        <w:pStyle w:val="BodyText"/>
        <w:numPr>
          <w:ilvl w:val="0"/>
          <w:numId w:val="186"/>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analysis and advice,</w:t>
      </w:r>
    </w:p>
    <w:p w14:paraId="3A694362" w14:textId="77777777" w:rsidR="00E30AFB" w:rsidRPr="0012520D" w:rsidRDefault="00E30AFB" w:rsidP="00E30AFB">
      <w:pPr>
        <w:pStyle w:val="BodyText"/>
        <w:numPr>
          <w:ilvl w:val="0"/>
          <w:numId w:val="186"/>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decision-making,</w:t>
      </w:r>
    </w:p>
    <w:p w14:paraId="734ADF2A" w14:textId="77777777" w:rsidR="00E30AFB" w:rsidRPr="0012520D" w:rsidRDefault="00E30AFB" w:rsidP="00E30AFB">
      <w:pPr>
        <w:pStyle w:val="BodyText"/>
        <w:numPr>
          <w:ilvl w:val="0"/>
          <w:numId w:val="186"/>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Planning analysis and advice,</w:t>
      </w:r>
    </w:p>
    <w:p w14:paraId="1A6042EC" w14:textId="77777777" w:rsidR="00E30AFB" w:rsidRPr="0012520D" w:rsidRDefault="00E30AFB" w:rsidP="00E30AFB">
      <w:pPr>
        <w:pStyle w:val="BodyText"/>
        <w:numPr>
          <w:ilvl w:val="0"/>
          <w:numId w:val="186"/>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Planning decision-making,</w:t>
      </w:r>
    </w:p>
    <w:p w14:paraId="79F42A87" w14:textId="77777777" w:rsidR="00E30AFB" w:rsidRPr="0012520D" w:rsidRDefault="00E30AFB" w:rsidP="00E30AFB">
      <w:pPr>
        <w:pStyle w:val="BodyText"/>
        <w:numPr>
          <w:ilvl w:val="0"/>
          <w:numId w:val="186"/>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Implementation,</w:t>
      </w:r>
    </w:p>
    <w:p w14:paraId="2710723C" w14:textId="77777777" w:rsidR="00E30AFB" w:rsidRPr="0012520D" w:rsidRDefault="00E30AFB" w:rsidP="00E30AFB">
      <w:pPr>
        <w:pStyle w:val="BodyText"/>
        <w:numPr>
          <w:ilvl w:val="0"/>
          <w:numId w:val="186"/>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Review and evaluation,</w:t>
      </w:r>
    </w:p>
    <w:p w14:paraId="3CFB1E92" w14:textId="77777777" w:rsidR="00E30AFB" w:rsidRPr="0012520D" w:rsidRDefault="00E30AFB" w:rsidP="00E30AFB">
      <w:pPr>
        <w:pStyle w:val="BodyText"/>
        <w:numPr>
          <w:ilvl w:val="0"/>
          <w:numId w:val="186"/>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And data and information.</w:t>
      </w:r>
    </w:p>
    <w:p w14:paraId="08D0986A"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Each component of the policy cycle within a formal arrangement is given a score of 0-3, following Fanning et al. (2017). The step to calculate of completeness score for each formal arrangement follows the subsequent explainatoin.</w:t>
      </w:r>
    </w:p>
    <w:p w14:paraId="4573D806"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Completeness score for each formal arrangement is calculated based on following formula. </w:t>
      </w:r>
    </w:p>
    <w:p w14:paraId="08333CE5"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Ci=j=1ncjiCmaxi x 100% </w:t>
      </w:r>
    </w:p>
    <w:p w14:paraId="30B3C115"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w:t>
      </w:r>
      <w:r w:rsidRPr="0012520D">
        <w:rPr>
          <w:rFonts w:ascii="Times New Roman" w:hAnsi="Times New Roman" w:cs="Times New Roman"/>
          <w:b/>
          <w:bCs/>
          <w:color w:val="000000" w:themeColor="text1"/>
          <w:vertAlign w:val="subscript"/>
          <w:lang w:val="en-ID"/>
        </w:rPr>
        <w:t>i</w:t>
      </w:r>
      <w:r w:rsidRPr="0012520D">
        <w:rPr>
          <w:rFonts w:ascii="Times New Roman" w:hAnsi="Times New Roman" w:cs="Times New Roman"/>
          <w:color w:val="000000" w:themeColor="text1"/>
          <w:vertAlign w:val="subscript"/>
          <w:lang w:val="en-ID"/>
        </w:rPr>
        <w:t> </w:t>
      </w:r>
      <w:r w:rsidRPr="0012520D">
        <w:rPr>
          <w:rFonts w:ascii="Times New Roman" w:hAnsi="Times New Roman" w:cs="Times New Roman"/>
          <w:color w:val="000000" w:themeColor="text1"/>
          <w:lang w:val="en-ID"/>
        </w:rPr>
        <w:t>= Completeness score for the i-th formal arrangement (%)</w:t>
      </w:r>
    </w:p>
    <w:p w14:paraId="7B031CB0"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j</w:t>
      </w:r>
      <w:r w:rsidRPr="0012520D">
        <w:rPr>
          <w:rFonts w:ascii="Times New Roman" w:hAnsi="Times New Roman" w:cs="Times New Roman"/>
          <w:color w:val="000000" w:themeColor="text1"/>
          <w:lang w:val="en-ID"/>
        </w:rPr>
        <w:t> = The j-th policy cycle component, from 1 to n</w:t>
      </w:r>
    </w:p>
    <w:p w14:paraId="417098E1"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w:t>
      </w:r>
      <w:r w:rsidRPr="0012520D">
        <w:rPr>
          <w:rFonts w:ascii="Times New Roman" w:hAnsi="Times New Roman" w:cs="Times New Roman"/>
          <w:b/>
          <w:bCs/>
          <w:color w:val="000000" w:themeColor="text1"/>
          <w:vertAlign w:val="subscript"/>
          <w:lang w:val="en-ID"/>
        </w:rPr>
        <w:t>i</w:t>
      </w:r>
      <w:r w:rsidRPr="0012520D">
        <w:rPr>
          <w:rFonts w:ascii="Times New Roman" w:hAnsi="Times New Roman" w:cs="Times New Roman"/>
          <w:color w:val="000000" w:themeColor="text1"/>
          <w:lang w:val="en-ID"/>
        </w:rPr>
        <w:t>= Completeness score for the j-th policy cycle component of the i-th formal arrangement</w:t>
      </w:r>
    </w:p>
    <w:p w14:paraId="17A5BCD8"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w:t>
      </w:r>
      <w:r w:rsidRPr="0012520D">
        <w:rPr>
          <w:rFonts w:ascii="Times New Roman" w:hAnsi="Times New Roman" w:cs="Times New Roman"/>
          <w:b/>
          <w:bCs/>
          <w:color w:val="000000" w:themeColor="text1"/>
          <w:vertAlign w:val="subscript"/>
          <w:lang w:val="en-ID"/>
        </w:rPr>
        <w:t>max i</w:t>
      </w:r>
      <w:r w:rsidRPr="0012520D">
        <w:rPr>
          <w:rFonts w:ascii="Times New Roman" w:hAnsi="Times New Roman" w:cs="Times New Roman"/>
          <w:color w:val="000000" w:themeColor="text1"/>
          <w:lang w:val="en-ID"/>
        </w:rPr>
        <w:t> = Maximum possible completeness score for the i-th formal arrangement, derived from the total number of policy cycle components (n) multiplied by the maximum score of 3.</w:t>
      </w:r>
    </w:p>
    <w:p w14:paraId="4C4A5A6C"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5B7BC4AA"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The total Completeness score (C) is the mean of the completeness scores for all formal arrangements, calculated using the following formula. </w:t>
      </w:r>
    </w:p>
    <w:p w14:paraId="36348905"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C=i=1mCim</w:t>
      </w:r>
    </w:p>
    <w:p w14:paraId="187967CD"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Where:</w:t>
      </w:r>
    </w:p>
    <w:p w14:paraId="048FD4EE"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w:t>
      </w:r>
      <w:r w:rsidRPr="0012520D">
        <w:rPr>
          <w:rFonts w:ascii="Times New Roman" w:hAnsi="Times New Roman" w:cs="Times New Roman"/>
          <w:color w:val="000000" w:themeColor="text1"/>
          <w:lang w:val="en-ID"/>
        </w:rPr>
        <w:t> = Total completeness score (%)</w:t>
      </w:r>
    </w:p>
    <w:p w14:paraId="1CE85D72"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w:t>
      </w:r>
      <w:r w:rsidRPr="0012520D">
        <w:rPr>
          <w:rFonts w:ascii="Times New Roman" w:hAnsi="Times New Roman" w:cs="Times New Roman"/>
          <w:color w:val="000000" w:themeColor="text1"/>
          <w:lang w:val="en-ID"/>
        </w:rPr>
        <w:t> = Formal arrangement, from 1 to m</w:t>
      </w:r>
    </w:p>
    <w:p w14:paraId="19558D9F"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w:t>
      </w:r>
      <w:r w:rsidRPr="0012520D">
        <w:rPr>
          <w:rFonts w:ascii="Times New Roman" w:hAnsi="Times New Roman" w:cs="Times New Roman"/>
          <w:b/>
          <w:bCs/>
          <w:color w:val="000000" w:themeColor="text1"/>
          <w:vertAlign w:val="subscript"/>
          <w:lang w:val="en-ID"/>
        </w:rPr>
        <w:t>i</w:t>
      </w:r>
      <w:r w:rsidRPr="0012520D">
        <w:rPr>
          <w:rFonts w:ascii="Times New Roman" w:hAnsi="Times New Roman" w:cs="Times New Roman"/>
          <w:color w:val="000000" w:themeColor="text1"/>
          <w:lang w:val="en-ID"/>
        </w:rPr>
        <w:t> = Completeness score of the i-th formal arrangement (%)</w:t>
      </w:r>
    </w:p>
    <w:p w14:paraId="0226D0E0"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m</w:t>
      </w:r>
      <w:r w:rsidRPr="0012520D">
        <w:rPr>
          <w:rFonts w:ascii="Times New Roman" w:hAnsi="Times New Roman" w:cs="Times New Roman"/>
          <w:color w:val="000000" w:themeColor="text1"/>
          <w:lang w:val="en-ID"/>
        </w:rPr>
        <w:t>= Total number of formal arrangements</w:t>
      </w:r>
    </w:p>
    <w:p w14:paraId="2627D920" w14:textId="77777777" w:rsidR="00E30AFB" w:rsidRDefault="00E30AFB" w:rsidP="00E30AFB">
      <w:pPr>
        <w:pStyle w:val="BodyText"/>
        <w:spacing w:before="188"/>
        <w:rPr>
          <w:rFonts w:ascii="Times New Roman" w:hAnsi="Times New Roman" w:cs="Times New Roman"/>
          <w:color w:val="000000" w:themeColor="text1"/>
          <w:lang w:val="en-ID"/>
        </w:rPr>
      </w:pPr>
    </w:p>
    <w:p w14:paraId="61C1597F"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The scoring for the completeness stage follows Fanning et al. (2017), as detailed below:</w:t>
      </w:r>
    </w:p>
    <w:p w14:paraId="519348CF"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Advisory mechanism (policy and management)</w:t>
      </w:r>
    </w:p>
    <w:p w14:paraId="1A5D07B7"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 = No transboundary science policy mechanism</w:t>
      </w:r>
    </w:p>
    <w:p w14:paraId="7DFDBB23"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 = Science-policy interface mechanism unclear - irregular, unsupported by formal</w:t>
      </w:r>
    </w:p>
    <w:p w14:paraId="0A012EBF"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documentation</w:t>
      </w:r>
    </w:p>
    <w:p w14:paraId="6A6B00C5"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 = Science-policy interface not specified in the agreement, but identifiable as a regular process</w:t>
      </w:r>
    </w:p>
    <w:p w14:paraId="260965ED"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 = Science-policy interface clearly specified in the agreement</w:t>
      </w:r>
    </w:p>
    <w:p w14:paraId="5197FF33"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4F263A04" w14:textId="2BE9F076" w:rsidR="00E30AFB" w:rsidRDefault="00E30AFB">
      <w:pPr>
        <w:rPr>
          <w:rFonts w:ascii="Times New Roman" w:eastAsiaTheme="minorEastAsia" w:hAnsi="Times New Roman" w:cs="Times New Roman"/>
          <w:b/>
          <w:bCs/>
          <w:color w:val="000000" w:themeColor="text1"/>
          <w:sz w:val="22"/>
          <w:szCs w:val="22"/>
          <w:lang w:val="en-ID"/>
        </w:rPr>
      </w:pPr>
      <w:r>
        <w:rPr>
          <w:rFonts w:ascii="Times New Roman" w:hAnsi="Times New Roman" w:cs="Times New Roman"/>
          <w:b/>
          <w:bCs/>
          <w:color w:val="000000" w:themeColor="text1"/>
          <w:lang w:val="en-ID"/>
        </w:rPr>
        <w:br w:type="page"/>
      </w:r>
    </w:p>
    <w:p w14:paraId="48BAB436" w14:textId="77777777" w:rsidR="00E30AFB" w:rsidRDefault="00E30AFB" w:rsidP="00E30AFB">
      <w:pPr>
        <w:pStyle w:val="BodyText"/>
        <w:spacing w:before="188"/>
        <w:rPr>
          <w:rFonts w:ascii="Times New Roman" w:hAnsi="Times New Roman" w:cs="Times New Roman"/>
          <w:b/>
          <w:bCs/>
          <w:color w:val="000000" w:themeColor="text1"/>
          <w:lang w:val="en-ID"/>
        </w:rPr>
      </w:pPr>
    </w:p>
    <w:p w14:paraId="088C9A47"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Decision-making (policy and management):</w:t>
      </w:r>
    </w:p>
    <w:p w14:paraId="15073BB6"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 = No decision-making mechanism</w:t>
      </w:r>
    </w:p>
    <w:p w14:paraId="518A6525"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 = Decisions are recommendations to specific agency </w:t>
      </w:r>
    </w:p>
    <w:p w14:paraId="455726D7"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 = Decisions are binding with the possibility for agency to opt out of complying</w:t>
      </w:r>
    </w:p>
    <w:p w14:paraId="3B79DD3F"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 = Decisions are binding</w:t>
      </w:r>
    </w:p>
    <w:p w14:paraId="4D299D3E" w14:textId="77777777" w:rsidR="00E30AFB" w:rsidRDefault="00E30AFB" w:rsidP="00E30AFB">
      <w:pPr>
        <w:pStyle w:val="BodyText"/>
        <w:spacing w:before="188"/>
        <w:rPr>
          <w:rFonts w:ascii="Times New Roman" w:hAnsi="Times New Roman" w:cs="Times New Roman"/>
          <w:color w:val="000000" w:themeColor="text1"/>
          <w:lang w:val="en-ID"/>
        </w:rPr>
      </w:pPr>
    </w:p>
    <w:p w14:paraId="508227D1"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Implementation:</w:t>
      </w:r>
    </w:p>
    <w:p w14:paraId="2C3E6407"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 = Agency alone</w:t>
      </w:r>
    </w:p>
    <w:p w14:paraId="709037FB"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 = Agency supported by secretariat</w:t>
      </w:r>
    </w:p>
    <w:p w14:paraId="67C09769"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 = Agency and sub-national support</w:t>
      </w:r>
    </w:p>
    <w:p w14:paraId="627D8177"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 = Implemented through a coordinated national and regional mechanism</w:t>
      </w:r>
    </w:p>
    <w:p w14:paraId="03DCA8C5" w14:textId="77777777" w:rsidR="00E30AFB" w:rsidRDefault="00E30AFB" w:rsidP="00E30AFB">
      <w:pPr>
        <w:pStyle w:val="BodyText"/>
        <w:spacing w:before="188"/>
        <w:rPr>
          <w:rFonts w:ascii="Times New Roman" w:hAnsi="Times New Roman" w:cs="Times New Roman"/>
          <w:color w:val="000000" w:themeColor="text1"/>
          <w:lang w:val="en-ID"/>
        </w:rPr>
      </w:pPr>
    </w:p>
    <w:p w14:paraId="43434EAE"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Review:</w:t>
      </w:r>
    </w:p>
    <w:p w14:paraId="082E3D22"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 = No review mechanism</w:t>
      </w:r>
    </w:p>
    <w:p w14:paraId="70EC059C"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 = Countries review and self-report</w:t>
      </w:r>
    </w:p>
    <w:p w14:paraId="29A01DB8"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 = Agreed review of implementation at regime level</w:t>
      </w:r>
    </w:p>
    <w:p w14:paraId="7EA0F2FB"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 = Agreed compliance mechanism with repercussions</w:t>
      </w:r>
    </w:p>
    <w:p w14:paraId="7F9690E6" w14:textId="77777777" w:rsidR="00E30AFB" w:rsidRDefault="00E30AFB" w:rsidP="00E30AFB">
      <w:pPr>
        <w:pStyle w:val="BodyText"/>
        <w:spacing w:before="188"/>
        <w:rPr>
          <w:rFonts w:ascii="Times New Roman" w:hAnsi="Times New Roman" w:cs="Times New Roman"/>
          <w:color w:val="000000" w:themeColor="text1"/>
          <w:lang w:val="en-ID"/>
        </w:rPr>
      </w:pPr>
    </w:p>
    <w:p w14:paraId="4E41C25D"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Data and information:</w:t>
      </w:r>
    </w:p>
    <w:p w14:paraId="4BCA3889"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 = No DI mechanism</w:t>
      </w:r>
    </w:p>
    <w:p w14:paraId="27E7B5F0"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 = Countries provide DI which is used as is</w:t>
      </w:r>
    </w:p>
    <w:p w14:paraId="7F3B8DAD"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 = DI centrally coordinated, reviewed and shared</w:t>
      </w:r>
    </w:p>
    <w:p w14:paraId="2AB72FB8"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 = DI centrally managed and share</w:t>
      </w:r>
    </w:p>
    <w:p w14:paraId="50AE61B6"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4CE761FA" w14:textId="77777777" w:rsidR="00E30AFB" w:rsidRPr="0012520D" w:rsidRDefault="00E30AFB" w:rsidP="00E30AFB">
      <w:pPr>
        <w:pStyle w:val="BodyText"/>
        <w:spacing w:before="188"/>
        <w:ind w:left="360"/>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B. Integration </w:t>
      </w:r>
    </w:p>
    <w:p w14:paraId="63A68C02"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Integration among stakeholders for each formal arrangement is scored on a scale of 0-1. A score of 0 indicates no integration, while a score of 1 indicates full integration. The integration score for the i-th formal arrangement is derived according to the following formula.</w:t>
      </w:r>
    </w:p>
    <w:p w14:paraId="075620EA"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Ii=imIkiImaxix 100%</w:t>
      </w:r>
    </w:p>
    <w:p w14:paraId="0E3971F9"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Where:</w:t>
      </w:r>
    </w:p>
    <w:p w14:paraId="4CD62371"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w:t>
      </w:r>
      <w:r w:rsidRPr="0012520D">
        <w:rPr>
          <w:rFonts w:ascii="Times New Roman" w:hAnsi="Times New Roman" w:cs="Times New Roman"/>
          <w:b/>
          <w:bCs/>
          <w:color w:val="000000" w:themeColor="text1"/>
          <w:vertAlign w:val="subscript"/>
          <w:lang w:val="en-ID"/>
        </w:rPr>
        <w:t>i</w:t>
      </w:r>
      <w:r w:rsidRPr="0012520D">
        <w:rPr>
          <w:rFonts w:ascii="Times New Roman" w:hAnsi="Times New Roman" w:cs="Times New Roman"/>
          <w:color w:val="000000" w:themeColor="text1"/>
          <w:lang w:val="en-ID"/>
        </w:rPr>
        <w:t>= Integration score of stakeholders for the i-th formal arrangement.</w:t>
      </w:r>
    </w:p>
    <w:p w14:paraId="4E1A728D"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k</w:t>
      </w:r>
      <w:r w:rsidRPr="0012520D">
        <w:rPr>
          <w:rFonts w:ascii="Times New Roman" w:hAnsi="Times New Roman" w:cs="Times New Roman"/>
          <w:color w:val="000000" w:themeColor="text1"/>
          <w:lang w:val="en-ID"/>
        </w:rPr>
        <w:t> = The k-th stakeholder integration combination.</w:t>
      </w:r>
    </w:p>
    <w:p w14:paraId="67A97685"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w:t>
      </w:r>
      <w:r w:rsidRPr="0012520D">
        <w:rPr>
          <w:rFonts w:ascii="Times New Roman" w:hAnsi="Times New Roman" w:cs="Times New Roman"/>
          <w:b/>
          <w:bCs/>
          <w:color w:val="000000" w:themeColor="text1"/>
          <w:vertAlign w:val="subscript"/>
          <w:lang w:val="en-ID"/>
        </w:rPr>
        <w:t>k</w:t>
      </w:r>
      <w:r w:rsidRPr="0012520D">
        <w:rPr>
          <w:rFonts w:ascii="Times New Roman" w:hAnsi="Times New Roman" w:cs="Times New Roman"/>
          <w:color w:val="000000" w:themeColor="text1"/>
          <w:lang w:val="en-ID"/>
        </w:rPr>
        <w:t>= Stakeholder integration score for the k-th combination.</w:t>
      </w:r>
    </w:p>
    <w:p w14:paraId="6B34AA59"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w:t>
      </w:r>
      <w:r w:rsidRPr="0012520D">
        <w:rPr>
          <w:rFonts w:ascii="Times New Roman" w:hAnsi="Times New Roman" w:cs="Times New Roman"/>
          <w:b/>
          <w:bCs/>
          <w:color w:val="000000" w:themeColor="text1"/>
          <w:vertAlign w:val="subscript"/>
          <w:lang w:val="en-ID"/>
        </w:rPr>
        <w:t>ki</w:t>
      </w:r>
      <w:r w:rsidRPr="0012520D">
        <w:rPr>
          <w:rFonts w:ascii="Times New Roman" w:hAnsi="Times New Roman" w:cs="Times New Roman"/>
          <w:color w:val="000000" w:themeColor="text1"/>
          <w:lang w:val="en-ID"/>
        </w:rPr>
        <w:t>= Stakeholder integration score for the k-th combination within the i-th formal arrangement.</w:t>
      </w:r>
    </w:p>
    <w:p w14:paraId="5E7816F6"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w:t>
      </w:r>
      <w:r w:rsidRPr="0012520D">
        <w:rPr>
          <w:rFonts w:ascii="Times New Roman" w:hAnsi="Times New Roman" w:cs="Times New Roman"/>
          <w:b/>
          <w:bCs/>
          <w:color w:val="000000" w:themeColor="text1"/>
          <w:vertAlign w:val="subscript"/>
          <w:lang w:val="en-ID"/>
        </w:rPr>
        <w:t>maxi</w:t>
      </w:r>
      <w:r w:rsidRPr="0012520D">
        <w:rPr>
          <w:rFonts w:ascii="Times New Roman" w:hAnsi="Times New Roman" w:cs="Times New Roman"/>
          <w:color w:val="000000" w:themeColor="text1"/>
          <w:lang w:val="en-ID"/>
        </w:rPr>
        <w:t>= Maximum possible stakeholder integration score for the i-th formal arrangement, which occurs if all I</w:t>
      </w:r>
      <w:r w:rsidRPr="0012520D">
        <w:rPr>
          <w:rFonts w:ascii="Times New Roman" w:hAnsi="Times New Roman" w:cs="Times New Roman"/>
          <w:color w:val="000000" w:themeColor="text1"/>
          <w:vertAlign w:val="subscript"/>
          <w:lang w:val="en-ID"/>
        </w:rPr>
        <w:t>ki</w:t>
      </w:r>
      <w:r w:rsidRPr="0012520D">
        <w:rPr>
          <w:rFonts w:ascii="Times New Roman" w:hAnsi="Times New Roman" w:cs="Times New Roman"/>
          <w:color w:val="000000" w:themeColor="text1"/>
          <w:lang w:val="en-ID"/>
        </w:rPr>
        <w:t xml:space="preserve"> values are 1.</w:t>
      </w:r>
    </w:p>
    <w:p w14:paraId="4015B44F" w14:textId="77777777" w:rsidR="00E30AFB" w:rsidRDefault="00E30AFB" w:rsidP="00E30AFB">
      <w:pPr>
        <w:pStyle w:val="BodyText"/>
        <w:spacing w:before="188"/>
        <w:rPr>
          <w:rFonts w:ascii="Times New Roman" w:hAnsi="Times New Roman" w:cs="Times New Roman"/>
          <w:color w:val="000000" w:themeColor="text1"/>
          <w:lang w:val="en-ID"/>
        </w:rPr>
      </w:pPr>
    </w:p>
    <w:p w14:paraId="1BB3057B"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The total integration score is calculated using the following formula:</w:t>
      </w:r>
    </w:p>
    <w:p w14:paraId="3DE5FDCD"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I=i=1mIim</w:t>
      </w:r>
    </w:p>
    <w:p w14:paraId="3B466B34"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Where:</w:t>
      </w:r>
    </w:p>
    <w:p w14:paraId="178B798B"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w:t>
      </w:r>
      <w:r w:rsidRPr="0012520D">
        <w:rPr>
          <w:rFonts w:ascii="Times New Roman" w:hAnsi="Times New Roman" w:cs="Times New Roman"/>
          <w:color w:val="000000" w:themeColor="text1"/>
          <w:lang w:val="en-ID"/>
        </w:rPr>
        <w:t> = Total integration score (%)</w:t>
      </w:r>
    </w:p>
    <w:p w14:paraId="5CC28031"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w:t>
      </w:r>
      <w:r w:rsidRPr="0012520D">
        <w:rPr>
          <w:rFonts w:ascii="Times New Roman" w:hAnsi="Times New Roman" w:cs="Times New Roman"/>
          <w:color w:val="000000" w:themeColor="text1"/>
          <w:lang w:val="en-ID"/>
        </w:rPr>
        <w:t> = Formal arrangement, from 1 to m</w:t>
      </w:r>
    </w:p>
    <w:p w14:paraId="2CBCC892"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w:t>
      </w:r>
      <w:r w:rsidRPr="0012520D">
        <w:rPr>
          <w:rFonts w:ascii="Times New Roman" w:hAnsi="Times New Roman" w:cs="Times New Roman"/>
          <w:b/>
          <w:bCs/>
          <w:color w:val="000000" w:themeColor="text1"/>
          <w:vertAlign w:val="subscript"/>
          <w:lang w:val="en-ID"/>
        </w:rPr>
        <w:t>i</w:t>
      </w:r>
      <w:r w:rsidRPr="0012520D">
        <w:rPr>
          <w:rFonts w:ascii="Times New Roman" w:hAnsi="Times New Roman" w:cs="Times New Roman"/>
          <w:color w:val="000000" w:themeColor="text1"/>
          <w:lang w:val="en-ID"/>
        </w:rPr>
        <w:t>= Integration score for the i-th formal arrangement (%)</w:t>
      </w:r>
    </w:p>
    <w:p w14:paraId="61674AAD"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m</w:t>
      </w:r>
      <w:r w:rsidRPr="0012520D">
        <w:rPr>
          <w:rFonts w:ascii="Times New Roman" w:hAnsi="Times New Roman" w:cs="Times New Roman"/>
          <w:color w:val="000000" w:themeColor="text1"/>
          <w:lang w:val="en-ID"/>
        </w:rPr>
        <w:t> = Total number of formal arrangements</w:t>
      </w:r>
      <w:r w:rsidRPr="0012520D">
        <w:rPr>
          <w:rFonts w:ascii="Times New Roman" w:hAnsi="Times New Roman" w:cs="Times New Roman"/>
          <w:color w:val="000000" w:themeColor="text1"/>
          <w:lang w:val="en-ID"/>
        </w:rPr>
        <w:br/>
      </w:r>
    </w:p>
    <w:p w14:paraId="52A8AD2E" w14:textId="77777777" w:rsidR="00E30AFB" w:rsidRPr="00BA4716" w:rsidRDefault="00E30AFB" w:rsidP="00E30AFB">
      <w:pPr>
        <w:pStyle w:val="BodyText"/>
        <w:numPr>
          <w:ilvl w:val="0"/>
          <w:numId w:val="187"/>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Engagement </w:t>
      </w:r>
    </w:p>
    <w:p w14:paraId="2C08B1DA" w14:textId="77777777" w:rsidR="00E30AFB" w:rsidRPr="0012520D" w:rsidRDefault="00E30AFB" w:rsidP="00E30AFB">
      <w:pPr>
        <w:pStyle w:val="BodyText"/>
        <w:spacing w:before="188"/>
        <w:jc w:val="both"/>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Engagement illustrates the level of involvement of key stakeholders in addressing several transboundary issues that require resolution or formal arrangement. Stakeholders’ engagement to each formal arrangement is scored on a scale of 0-1. A score of 0 indicates no engagement, while a score of 1 indicates full engagement. Stakeholder engagement within a single formal arrangement is calculated using the following formula.</w:t>
      </w:r>
    </w:p>
    <w:p w14:paraId="649BC080"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Ei=i=1mEsiEmaxix100%</w:t>
      </w:r>
    </w:p>
    <w:p w14:paraId="4634D334"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Where:</w:t>
      </w:r>
    </w:p>
    <w:p w14:paraId="73975086"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Ei</w:t>
      </w:r>
      <w:r w:rsidRPr="0012520D">
        <w:rPr>
          <w:rFonts w:ascii="Times New Roman" w:hAnsi="Times New Roman" w:cs="Times New Roman"/>
          <w:color w:val="000000" w:themeColor="text1"/>
          <w:lang w:val="en-ID"/>
        </w:rPr>
        <w:t>= Stakeholder engagement score for the i-th formal arrangement.</w:t>
      </w:r>
    </w:p>
    <w:p w14:paraId="0EF90E55"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Es</w:t>
      </w:r>
      <w:r w:rsidRPr="0012520D">
        <w:rPr>
          <w:rFonts w:ascii="Times New Roman" w:hAnsi="Times New Roman" w:cs="Times New Roman"/>
          <w:color w:val="000000" w:themeColor="text1"/>
          <w:lang w:val="en-ID"/>
        </w:rPr>
        <w:t> = Engagement score for the s-th stakeholder.</w:t>
      </w:r>
    </w:p>
    <w:p w14:paraId="03A78ADB"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Esi</w:t>
      </w:r>
      <w:r w:rsidRPr="0012520D">
        <w:rPr>
          <w:rFonts w:ascii="Times New Roman" w:hAnsi="Times New Roman" w:cs="Times New Roman"/>
          <w:color w:val="000000" w:themeColor="text1"/>
          <w:lang w:val="en-ID"/>
        </w:rPr>
        <w:t> = Engagement score of the s-th stakeholder within the i-th formal arrangement.</w:t>
      </w:r>
    </w:p>
    <w:p w14:paraId="4D869AF8"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Emaxi</w:t>
      </w:r>
      <w:r w:rsidRPr="0012520D">
        <w:rPr>
          <w:rFonts w:ascii="Times New Roman" w:hAnsi="Times New Roman" w:cs="Times New Roman"/>
          <w:color w:val="000000" w:themeColor="text1"/>
          <w:lang w:val="en-ID"/>
        </w:rPr>
        <w:t> = Maximum possible stakeholder engagement score for the i-th formal arrangement, which is achieved when all E&lt;sub&gt;si&lt;/sub&gt; values are 1.</w:t>
      </w:r>
    </w:p>
    <w:p w14:paraId="3FF40AC3" w14:textId="77777777" w:rsidR="00E30AFB" w:rsidRDefault="00E30AFB" w:rsidP="00E30AFB">
      <w:pPr>
        <w:pStyle w:val="BodyText"/>
        <w:spacing w:before="188"/>
        <w:rPr>
          <w:rFonts w:ascii="Times New Roman" w:hAnsi="Times New Roman" w:cs="Times New Roman"/>
          <w:color w:val="000000" w:themeColor="text1"/>
          <w:lang w:val="en-ID"/>
        </w:rPr>
      </w:pPr>
    </w:p>
    <w:p w14:paraId="4A57628C" w14:textId="77777777" w:rsidR="00E30AFB" w:rsidRDefault="00E30AFB">
      <w:pPr>
        <w:rPr>
          <w:rFonts w:ascii="Times New Roman" w:eastAsiaTheme="minorEastAsia" w:hAnsi="Times New Roman" w:cs="Times New Roman"/>
          <w:color w:val="000000" w:themeColor="text1"/>
          <w:sz w:val="22"/>
          <w:szCs w:val="22"/>
          <w:lang w:val="en-ID"/>
        </w:rPr>
      </w:pPr>
      <w:r>
        <w:rPr>
          <w:rFonts w:ascii="Times New Roman" w:hAnsi="Times New Roman" w:cs="Times New Roman"/>
          <w:color w:val="000000" w:themeColor="text1"/>
          <w:lang w:val="en-ID"/>
        </w:rPr>
        <w:br w:type="page"/>
      </w:r>
    </w:p>
    <w:p w14:paraId="11BA1622" w14:textId="7C837353"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The total engagement score is calculated according to the following formula.</w:t>
      </w:r>
    </w:p>
    <w:p w14:paraId="2AEFD9A4" w14:textId="77777777" w:rsidR="00E30AFB" w:rsidRPr="0012520D" w:rsidRDefault="00E30AFB" w:rsidP="00E30AFB">
      <w:pPr>
        <w:pStyle w:val="BodyText"/>
        <w:spacing w:before="188"/>
        <w:ind w:left="360"/>
        <w:jc w:val="center"/>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E=i=1mEim</w:t>
      </w:r>
    </w:p>
    <w:p w14:paraId="4E7D2066"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Where:</w:t>
      </w:r>
    </w:p>
    <w:p w14:paraId="3150CF42"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E</w:t>
      </w:r>
      <w:r w:rsidRPr="0012520D">
        <w:rPr>
          <w:rFonts w:ascii="Times New Roman" w:hAnsi="Times New Roman" w:cs="Times New Roman"/>
          <w:color w:val="000000" w:themeColor="text1"/>
          <w:lang w:val="en-ID"/>
        </w:rPr>
        <w:t> = Total engagement score (%)</w:t>
      </w:r>
    </w:p>
    <w:p w14:paraId="042BE787"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w:t>
      </w:r>
      <w:r w:rsidRPr="0012520D">
        <w:rPr>
          <w:rFonts w:ascii="Times New Roman" w:hAnsi="Times New Roman" w:cs="Times New Roman"/>
          <w:color w:val="000000" w:themeColor="text1"/>
          <w:lang w:val="en-ID"/>
        </w:rPr>
        <w:t> = Formal arrangement, from 1 to m</w:t>
      </w:r>
    </w:p>
    <w:p w14:paraId="235DE3A3"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Ei</w:t>
      </w:r>
      <w:r w:rsidRPr="0012520D">
        <w:rPr>
          <w:rFonts w:ascii="Times New Roman" w:hAnsi="Times New Roman" w:cs="Times New Roman"/>
          <w:color w:val="000000" w:themeColor="text1"/>
          <w:lang w:val="en-ID"/>
        </w:rPr>
        <w:t> = Engagement score for the i-th formal arrangement (%)</w:t>
      </w:r>
    </w:p>
    <w:p w14:paraId="63F2A387" w14:textId="77777777" w:rsidR="00E30AFB"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m</w:t>
      </w:r>
      <w:r w:rsidRPr="0012520D">
        <w:rPr>
          <w:rFonts w:ascii="Times New Roman" w:hAnsi="Times New Roman" w:cs="Times New Roman"/>
          <w:color w:val="000000" w:themeColor="text1"/>
          <w:lang w:val="en-ID"/>
        </w:rPr>
        <w:t> = Total number of formal arrangements</w:t>
      </w:r>
    </w:p>
    <w:p w14:paraId="6E785E89" w14:textId="77777777" w:rsidR="00E30AFB" w:rsidRPr="0012520D" w:rsidRDefault="00E30AFB" w:rsidP="00E30AFB">
      <w:pPr>
        <w:pStyle w:val="BodyText"/>
        <w:spacing w:before="188"/>
        <w:rPr>
          <w:rFonts w:ascii="Times New Roman" w:hAnsi="Times New Roman" w:cs="Times New Roman"/>
          <w:color w:val="000000" w:themeColor="text1"/>
          <w:lang w:val="en-ID"/>
        </w:rPr>
      </w:pPr>
    </w:p>
    <w:p w14:paraId="1ACFAE93" w14:textId="77777777" w:rsidR="00E30AFB" w:rsidRPr="0012520D" w:rsidRDefault="00E30AFB" w:rsidP="00E30AFB">
      <w:pPr>
        <w:pStyle w:val="BodyText"/>
        <w:numPr>
          <w:ilvl w:val="0"/>
          <w:numId w:val="188"/>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Governance Risk Classification  </w:t>
      </w:r>
    </w:p>
    <w:p w14:paraId="2C68FA2C" w14:textId="77777777" w:rsidR="00E30AFB" w:rsidRPr="0012520D" w:rsidRDefault="00E30AFB" w:rsidP="00E30AFB">
      <w:pPr>
        <w:pStyle w:val="BodyText"/>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Governance risk classification refer to Fanning et al. (2017) classification. </w:t>
      </w:r>
    </w:p>
    <w:tbl>
      <w:tblPr>
        <w:tblW w:w="0" w:type="auto"/>
        <w:tblCellMar>
          <w:top w:w="15" w:type="dxa"/>
          <w:left w:w="15" w:type="dxa"/>
          <w:bottom w:w="15" w:type="dxa"/>
          <w:right w:w="15" w:type="dxa"/>
        </w:tblCellMar>
        <w:tblLook w:val="04A0" w:firstRow="1" w:lastRow="0" w:firstColumn="1" w:lastColumn="0" w:noHBand="0" w:noVBand="1"/>
      </w:tblPr>
      <w:tblGrid>
        <w:gridCol w:w="1625"/>
        <w:gridCol w:w="2822"/>
        <w:gridCol w:w="2590"/>
        <w:gridCol w:w="2700"/>
      </w:tblGrid>
      <w:tr w:rsidR="00E30AFB" w:rsidRPr="0012520D" w14:paraId="76DE99B3"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52295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Risk Range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0A14F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Completeness Range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D3912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Integration Range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73CF2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Engagement Range (%)</w:t>
            </w:r>
          </w:p>
        </w:tc>
      </w:tr>
      <w:tr w:rsidR="00E30AFB" w:rsidRPr="0012520D" w14:paraId="1A58C5D4" w14:textId="77777777" w:rsidTr="001B74B6">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08" w:type="dxa"/>
              <w:bottom w:w="0" w:type="dxa"/>
              <w:right w:w="108" w:type="dxa"/>
            </w:tcMar>
            <w:hideMark/>
          </w:tcPr>
          <w:p w14:paraId="54BB718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Very 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FEE12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80-100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101C8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80-100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229FC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80-100</w:t>
            </w:r>
          </w:p>
        </w:tc>
      </w:tr>
      <w:tr w:rsidR="00E30AFB" w:rsidRPr="0012520D" w14:paraId="1420323C" w14:textId="77777777" w:rsidTr="001B74B6">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08" w:type="dxa"/>
              <w:bottom w:w="0" w:type="dxa"/>
              <w:right w:w="108" w:type="dxa"/>
            </w:tcMar>
            <w:hideMark/>
          </w:tcPr>
          <w:p w14:paraId="5AAA076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Low</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EA7C1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60-80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A671D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60-80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6B156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60-80</w:t>
            </w:r>
          </w:p>
        </w:tc>
      </w:tr>
      <w:tr w:rsidR="00E30AFB" w:rsidRPr="0012520D" w14:paraId="11A769F7" w14:textId="77777777" w:rsidTr="001B74B6">
        <w:tc>
          <w:tcPr>
            <w:tcW w:w="0" w:type="auto"/>
            <w:tcBorders>
              <w:top w:val="single" w:sz="4" w:space="0" w:color="000000"/>
              <w:left w:val="single" w:sz="4" w:space="0" w:color="000000"/>
              <w:bottom w:val="single" w:sz="4" w:space="0" w:color="000000"/>
              <w:right w:val="single" w:sz="4" w:space="0" w:color="000000"/>
            </w:tcBorders>
            <w:shd w:val="clear" w:color="auto" w:fill="FFFF00"/>
            <w:tcMar>
              <w:top w:w="0" w:type="dxa"/>
              <w:left w:w="108" w:type="dxa"/>
              <w:bottom w:w="0" w:type="dxa"/>
              <w:right w:w="108" w:type="dxa"/>
            </w:tcMar>
            <w:hideMark/>
          </w:tcPr>
          <w:p w14:paraId="3233F54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Medium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55513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40-60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19ECE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40-60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A1EA5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40-60</w:t>
            </w:r>
          </w:p>
        </w:tc>
      </w:tr>
      <w:tr w:rsidR="00E30AFB" w:rsidRPr="0012520D" w14:paraId="557861BA" w14:textId="77777777" w:rsidTr="001B74B6">
        <w:tc>
          <w:tcPr>
            <w:tcW w:w="0" w:type="auto"/>
            <w:tcBorders>
              <w:top w:val="single" w:sz="4" w:space="0" w:color="000000"/>
              <w:left w:val="single" w:sz="4" w:space="0" w:color="000000"/>
              <w:bottom w:val="single" w:sz="4" w:space="0" w:color="000000"/>
              <w:right w:val="single" w:sz="4" w:space="0" w:color="000000"/>
            </w:tcBorders>
            <w:shd w:val="clear" w:color="auto" w:fill="FFC000"/>
            <w:tcMar>
              <w:top w:w="0" w:type="dxa"/>
              <w:left w:w="108" w:type="dxa"/>
              <w:bottom w:w="0" w:type="dxa"/>
              <w:right w:w="108" w:type="dxa"/>
            </w:tcMar>
            <w:hideMark/>
          </w:tcPr>
          <w:p w14:paraId="5E98ED3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High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D1319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20-40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6778A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20-40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8D0EA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20-40</w:t>
            </w:r>
          </w:p>
        </w:tc>
      </w:tr>
      <w:tr w:rsidR="00E30AFB" w:rsidRPr="0012520D" w14:paraId="586EA29F" w14:textId="77777777" w:rsidTr="001B74B6">
        <w:tc>
          <w:tcPr>
            <w:tcW w:w="0" w:type="auto"/>
            <w:tcBorders>
              <w:top w:val="single" w:sz="4" w:space="0" w:color="000000"/>
              <w:left w:val="single" w:sz="4" w:space="0" w:color="000000"/>
              <w:bottom w:val="single" w:sz="4" w:space="0" w:color="000000"/>
              <w:right w:val="single" w:sz="4" w:space="0" w:color="000000"/>
            </w:tcBorders>
            <w:shd w:val="clear" w:color="auto" w:fill="EE0000"/>
            <w:tcMar>
              <w:top w:w="0" w:type="dxa"/>
              <w:left w:w="108" w:type="dxa"/>
              <w:bottom w:w="0" w:type="dxa"/>
              <w:right w:w="108" w:type="dxa"/>
            </w:tcMar>
            <w:hideMark/>
          </w:tcPr>
          <w:p w14:paraId="064A11D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Very High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9AFC7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D4EE4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0-20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C6BDD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0-20</w:t>
            </w:r>
          </w:p>
        </w:tc>
      </w:tr>
    </w:tbl>
    <w:p w14:paraId="276197C9"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6608D4AE"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The completeness score for each formal arrangement</w:t>
      </w:r>
    </w:p>
    <w:p w14:paraId="7BD40F2B" w14:textId="77777777" w:rsidR="00E30AFB" w:rsidRPr="0012520D" w:rsidRDefault="00E30AFB" w:rsidP="00E30AFB">
      <w:pPr>
        <w:pStyle w:val="BodyText"/>
        <w:numPr>
          <w:ilvl w:val="0"/>
          <w:numId w:val="189"/>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Completeness Arrangement Score for inclusive development governance </w:t>
      </w:r>
    </w:p>
    <w:p w14:paraId="1156DD69"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tbl>
      <w:tblPr>
        <w:tblW w:w="0" w:type="auto"/>
        <w:tblCellMar>
          <w:top w:w="15" w:type="dxa"/>
          <w:left w:w="15" w:type="dxa"/>
          <w:bottom w:w="15" w:type="dxa"/>
          <w:right w:w="15" w:type="dxa"/>
        </w:tblCellMar>
        <w:tblLook w:val="04A0" w:firstRow="1" w:lastRow="0" w:firstColumn="1" w:lastColumn="0" w:noHBand="0" w:noVBand="1"/>
      </w:tblPr>
      <w:tblGrid>
        <w:gridCol w:w="2048"/>
        <w:gridCol w:w="2532"/>
        <w:gridCol w:w="1307"/>
        <w:gridCol w:w="3850"/>
      </w:tblGrid>
      <w:tr w:rsidR="00E30AFB" w:rsidRPr="0012520D" w14:paraId="55B6E09B"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C78B12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Policy cycle stage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D300A5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Responsible body or agency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70A87A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Score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A02BA6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Observation</w:t>
            </w:r>
          </w:p>
        </w:tc>
      </w:tr>
      <w:tr w:rsidR="00E30AFB" w:rsidRPr="0012520D" w14:paraId="0488DA25"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D381A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21103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BAPPENAS, Coordinating Ministry of Economy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77410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0694D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 xml:space="preserve">Arrangements for addressing socio-economic and inclusive governance of development issues are formally articulated in the National Medium-Term Development Plan (RPJMN). These arrangements are mandated </w:t>
            </w:r>
            <w:r w:rsidRPr="0012520D">
              <w:rPr>
                <w:rFonts w:ascii="Times New Roman" w:hAnsi="Times New Roman" w:cs="Times New Roman"/>
                <w:color w:val="000000" w:themeColor="text1"/>
                <w:lang w:val="en-ID"/>
              </w:rPr>
              <w:lastRenderedPageBreak/>
              <w:t>for implementation by local governments and are actively responded by Non-Governmental Organizations (NGOs).</w:t>
            </w:r>
          </w:p>
        </w:tc>
      </w:tr>
      <w:tr w:rsidR="00E30AFB" w:rsidRPr="0012520D" w14:paraId="400260CE"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256F5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2D5BC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 xml:space="preserve">BAPPENAS, Coordinating </w:t>
            </w:r>
            <w:r w:rsidRPr="0012520D">
              <w:rPr>
                <w:rFonts w:ascii="Times New Roman" w:hAnsi="Times New Roman" w:cs="Times New Roman"/>
                <w:color w:val="000000" w:themeColor="text1"/>
                <w:lang w:val="en-ID"/>
              </w:rPr>
              <w:lastRenderedPageBreak/>
              <w:t>Ministry of Economy, Ministry of Environment, Ministry of Fisheries and Marine Affair, Ministry of Forestry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2604A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C8E73E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34C33970"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48958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Planning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9D3BF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BAPPENAS, Coordinating Ministry of Economy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11C64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4F1367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7E5CCCFE"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F5F1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Planning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6FFAA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BAPPENAS, Ministry of Environment, Ministry of Fisheries and Marine Affair, Ministry of Forestry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EFB7D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A6C0DD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2A3154BB" w14:textId="77777777" w:rsidTr="001B74B6">
        <w:trPr>
          <w:trHeight w:val="99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313A3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Implementation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921E7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 Local Gov’ts, NGO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A7FC6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78A92D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58DFB662"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8C61C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review and evaluation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8ED81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 Local Gov’ts,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04E64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70368F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76BC0B84"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64ACD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Data and information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47626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 Local Gov’ts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9739B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38E576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63B4518F"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12C5E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3E3D8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CC2AE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20/21 =95.2%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95DFB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bl>
    <w:p w14:paraId="17A9D250" w14:textId="77777777" w:rsidR="00E30AFB"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br/>
      </w:r>
    </w:p>
    <w:p w14:paraId="68F60819" w14:textId="77777777" w:rsidR="00E30AFB" w:rsidRDefault="00E30AFB" w:rsidP="00E30AFB">
      <w:pPr>
        <w:rPr>
          <w:rFonts w:ascii="Times New Roman" w:eastAsiaTheme="minorEastAsia" w:hAnsi="Times New Roman" w:cs="Times New Roman"/>
          <w:color w:val="000000" w:themeColor="text1"/>
          <w:sz w:val="22"/>
          <w:szCs w:val="22"/>
          <w:lang w:val="en-ID"/>
        </w:rPr>
      </w:pPr>
      <w:r>
        <w:rPr>
          <w:rFonts w:ascii="Times New Roman" w:hAnsi="Times New Roman" w:cs="Times New Roman"/>
          <w:color w:val="000000" w:themeColor="text1"/>
          <w:lang w:val="en-ID"/>
        </w:rPr>
        <w:br w:type="page"/>
      </w:r>
    </w:p>
    <w:p w14:paraId="41A19A66"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6FAD036F" w14:textId="77777777" w:rsidR="00E30AFB" w:rsidRPr="003F541B" w:rsidRDefault="00E30AFB" w:rsidP="00E30AFB">
      <w:pPr>
        <w:pStyle w:val="BodyText"/>
        <w:numPr>
          <w:ilvl w:val="0"/>
          <w:numId w:val="190"/>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Completeness Arrangement Score for marine pollution  control</w:t>
      </w:r>
    </w:p>
    <w:tbl>
      <w:tblPr>
        <w:tblW w:w="0" w:type="auto"/>
        <w:tblCellMar>
          <w:top w:w="15" w:type="dxa"/>
          <w:left w:w="15" w:type="dxa"/>
          <w:bottom w:w="15" w:type="dxa"/>
          <w:right w:w="15" w:type="dxa"/>
        </w:tblCellMar>
        <w:tblLook w:val="04A0" w:firstRow="1" w:lastRow="0" w:firstColumn="1" w:lastColumn="0" w:noHBand="0" w:noVBand="1"/>
      </w:tblPr>
      <w:tblGrid>
        <w:gridCol w:w="2035"/>
        <w:gridCol w:w="2633"/>
        <w:gridCol w:w="1465"/>
        <w:gridCol w:w="3604"/>
      </w:tblGrid>
      <w:tr w:rsidR="00E30AFB" w:rsidRPr="0012520D" w14:paraId="52CFE403"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B69A4F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Policy cycle stage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EEBA53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Responsible body or agency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12E6CB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Score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D0CE59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Observation</w:t>
            </w:r>
          </w:p>
        </w:tc>
      </w:tr>
      <w:tr w:rsidR="00E30AFB" w:rsidRPr="0012520D" w14:paraId="7B0F361F"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6B15F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376F0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University, National Research and Innovation Agency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AAB9B5"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0A312A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Transboundary marine pollution primarily consists of oil spills/sludge, notably originating from ship tank cleaning operations. Currently, issues concerning plastic debris and Abandoned, Lost, or otherwise Discarded Fishing Gear (ALDFG) are also emerging. The management of oil spills from ship tank cleaning falls under the primary authority of the Ministry of Environment (KLH) and the Ministry of Transportation, in relation to International Maritime Organization (IMO) prerequisites</w:t>
            </w:r>
          </w:p>
        </w:tc>
      </w:tr>
      <w:tr w:rsidR="00E30AFB" w:rsidRPr="0012520D" w14:paraId="366CD027"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9C4FC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ADD8A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5DDB43"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7B1433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64C524C1"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7A37F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Planning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C1E9B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University, National Research and Innovation Agency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306D19"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4D61A8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6B9F7819"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1FED4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Planning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DED5F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University, Ministry of Transportation, Ministry of Energy and Mineral Resource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C2893E"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217F1A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7CE531EC"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CF59C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Implementation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B3500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Transportation, Ministry of Fisheries and Marine Affair, Ministry of Energy and Mineral Resource, Local Government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10F8BF"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823B50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6AC1BAB4"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B91D2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review and evaluation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A022B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Transportation, Ministry of Fisheries and Marine Affair, University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613760"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19636D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11DD3E45"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246FD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Data and information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E487B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3853AC"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6EECA8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68E525EB"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AA95A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3B6D5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DFC9BA"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17/21 =80.95.%</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C4AB3E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bl>
    <w:p w14:paraId="39ECA9A0"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47341F43" w14:textId="77777777" w:rsidR="00E30AFB" w:rsidRPr="0012520D" w:rsidRDefault="00E30AFB" w:rsidP="00E30AFB">
      <w:pPr>
        <w:pStyle w:val="BodyText"/>
        <w:numPr>
          <w:ilvl w:val="0"/>
          <w:numId w:val="191"/>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Completeness Arrangement score for the protection of coastal ecosystem </w:t>
      </w:r>
    </w:p>
    <w:tbl>
      <w:tblPr>
        <w:tblW w:w="0" w:type="auto"/>
        <w:tblCellMar>
          <w:top w:w="15" w:type="dxa"/>
          <w:left w:w="15" w:type="dxa"/>
          <w:bottom w:w="15" w:type="dxa"/>
          <w:right w:w="15" w:type="dxa"/>
        </w:tblCellMar>
        <w:tblLook w:val="04A0" w:firstRow="1" w:lastRow="0" w:firstColumn="1" w:lastColumn="0" w:noHBand="0" w:noVBand="1"/>
      </w:tblPr>
      <w:tblGrid>
        <w:gridCol w:w="2054"/>
        <w:gridCol w:w="2622"/>
        <w:gridCol w:w="1420"/>
        <w:gridCol w:w="3641"/>
      </w:tblGrid>
      <w:tr w:rsidR="00E30AFB" w:rsidRPr="0012520D" w14:paraId="106870C4"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5A039C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Policy cycle stage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ED4C14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Responsible body or agency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308DAE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Score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C1A1C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Observation</w:t>
            </w:r>
          </w:p>
        </w:tc>
      </w:tr>
      <w:tr w:rsidR="00E30AFB" w:rsidRPr="0012520D" w14:paraId="00FCDC0B"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BAD36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4C620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University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5A1B1C"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CED63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Ecosystem management for natural resource protection is led by the Ministry of Environment (KLH) but involves the Ministry of Forestry (Kemenhut) (for mangroves), the Ministry of Marine Affairs and Fisheries (KKP) (for mangroves, coral reefs, and seagrasses), and Provincial Governments.</w:t>
            </w:r>
          </w:p>
        </w:tc>
      </w:tr>
      <w:tr w:rsidR="00E30AFB" w:rsidRPr="0012520D" w14:paraId="6AB384D0"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92403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6CDA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FD8513"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3E6DCD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331135A3"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3FB15C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Planning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80251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 University, National Research and Innovation Agency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1B2E4F"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2CC4F7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6DD3FC4C"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438AE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Planning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348DD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326DB5"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0A7BB9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229A84DB"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2E03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Implementation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E0EB3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 xml:space="preserve">Ministry of Environment, Ministry </w:t>
            </w:r>
            <w:r w:rsidRPr="0012520D">
              <w:rPr>
                <w:rFonts w:ascii="Times New Roman" w:hAnsi="Times New Roman" w:cs="Times New Roman"/>
                <w:color w:val="000000" w:themeColor="text1"/>
                <w:lang w:val="en-ID"/>
              </w:rPr>
              <w:lastRenderedPageBreak/>
              <w:t>of Fisheries and Marine Affair, Ministry of Forestry, Local Gov’t, NGO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AC3DE1"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4CE8A4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721C8339"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E79A9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review and evaluation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22E60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 Local Gov’t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DE88F5"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138FBB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752BAB7C"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E31E5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Data and information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0EBF9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 Local Gov’t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D936EE"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E1D4D4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116534E8"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5EA18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672D5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42CA54"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17/21 =80.95%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58D80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bl>
    <w:p w14:paraId="72AB5503" w14:textId="77777777" w:rsidR="00E30AFB" w:rsidRPr="0012520D" w:rsidRDefault="00E30AFB" w:rsidP="00E30AFB">
      <w:pPr>
        <w:pStyle w:val="BodyText"/>
        <w:spacing w:before="188"/>
        <w:rPr>
          <w:rFonts w:ascii="Times New Roman" w:hAnsi="Times New Roman" w:cs="Times New Roman"/>
          <w:color w:val="000000" w:themeColor="text1"/>
          <w:lang w:val="en-ID"/>
        </w:rPr>
      </w:pPr>
    </w:p>
    <w:p w14:paraId="31E93ECA" w14:textId="77777777" w:rsidR="00E30AFB" w:rsidRPr="0012520D" w:rsidRDefault="00E30AFB" w:rsidP="00E30AFB">
      <w:pPr>
        <w:pStyle w:val="BodyText"/>
        <w:numPr>
          <w:ilvl w:val="0"/>
          <w:numId w:val="192"/>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Completeness Arrangement score level for improving coastal community wellbeing through development of Capture Fisheries and Aquaculture</w:t>
      </w:r>
    </w:p>
    <w:p w14:paraId="5C1A9808"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tbl>
      <w:tblPr>
        <w:tblW w:w="0" w:type="auto"/>
        <w:tblCellMar>
          <w:top w:w="15" w:type="dxa"/>
          <w:left w:w="15" w:type="dxa"/>
          <w:bottom w:w="15" w:type="dxa"/>
          <w:right w:w="15" w:type="dxa"/>
        </w:tblCellMar>
        <w:tblLook w:val="04A0" w:firstRow="1" w:lastRow="0" w:firstColumn="1" w:lastColumn="0" w:noHBand="0" w:noVBand="1"/>
      </w:tblPr>
      <w:tblGrid>
        <w:gridCol w:w="2050"/>
        <w:gridCol w:w="2379"/>
        <w:gridCol w:w="1419"/>
        <w:gridCol w:w="3889"/>
      </w:tblGrid>
      <w:tr w:rsidR="00E30AFB" w:rsidRPr="0012520D" w14:paraId="363F3F8A"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347642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Policy cycle stage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4D98ED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Responsible body or agency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94ADA0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Score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9B274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Observation</w:t>
            </w:r>
          </w:p>
        </w:tc>
      </w:tr>
      <w:tr w:rsidR="00E30AFB" w:rsidRPr="0012520D" w14:paraId="6DD3688D"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755C1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599DD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Fisheries and Marine Affair, BAPPENAS, University, National Research and Innovation Agency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0A0F22"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9F3821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 xml:space="preserve">The policy for developing capture fisheries and aquaculture falls under the authority of the Ministry of Marine Affairs and Fisheries (KKP). However, as it pertains to production targets within national development planning, the Ministry of National Development Planning (Bappenas) is also involved. At the policy analysis level, the process significantly involves universities and the </w:t>
            </w:r>
            <w:r w:rsidRPr="0012520D">
              <w:rPr>
                <w:rFonts w:ascii="Times New Roman" w:hAnsi="Times New Roman" w:cs="Times New Roman"/>
                <w:color w:val="000000" w:themeColor="text1"/>
                <w:lang w:val="en-ID"/>
              </w:rPr>
              <w:lastRenderedPageBreak/>
              <w:t>National Research and Innovation Agency (BRIN).</w:t>
            </w:r>
          </w:p>
        </w:tc>
      </w:tr>
      <w:tr w:rsidR="00E30AFB" w:rsidRPr="0012520D" w14:paraId="6DE08598"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5ED72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policy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706BE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Fisheries and Marine Affair, BAPPENAS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E83F01"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2C5EB4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53D1D935"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7200E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Planning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99219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Fisheries and Marine Affair, BAPPENAS, University, National Research and Innovation Agency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AA73DF"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C2C1FE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1FBC79EE"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86A7B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Planning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DDBD3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Ministry of Fisheries and Marine Affair, Ministry of Forestry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B02891"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E1110C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5E251067"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9E73C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Implementation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CB9A3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Fisheries and Marine Affair, Local Gov’t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E8076B"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671931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47D7B1E8"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F335F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review and evaluation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69B91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Fisheries and Marine Affair, Bappenas, Local Gov’t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EF87D1"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53A478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70FDC3FB"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D0E84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Data and information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B9AD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Fisheries and Marine Affair, Gov’t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20535E"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B2B238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079D5853"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54765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4C885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17A6A2"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17/21 =80.95%</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26068B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bl>
    <w:p w14:paraId="3A520B98" w14:textId="77777777" w:rsidR="00E30AFB"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br/>
      </w:r>
    </w:p>
    <w:p w14:paraId="78939CD5" w14:textId="77777777" w:rsidR="00E30AFB" w:rsidRDefault="00E30AFB" w:rsidP="00E30AFB">
      <w:pPr>
        <w:rPr>
          <w:rFonts w:ascii="Times New Roman" w:eastAsiaTheme="minorEastAsia" w:hAnsi="Times New Roman" w:cs="Times New Roman"/>
          <w:color w:val="000000" w:themeColor="text1"/>
          <w:sz w:val="22"/>
          <w:szCs w:val="22"/>
          <w:lang w:val="en-ID"/>
        </w:rPr>
      </w:pPr>
      <w:r>
        <w:rPr>
          <w:rFonts w:ascii="Times New Roman" w:hAnsi="Times New Roman" w:cs="Times New Roman"/>
          <w:color w:val="000000" w:themeColor="text1"/>
          <w:lang w:val="en-ID"/>
        </w:rPr>
        <w:br w:type="page"/>
      </w:r>
    </w:p>
    <w:p w14:paraId="51F496AE"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2F45826E" w14:textId="77777777" w:rsidR="00E30AFB" w:rsidRPr="0012520D" w:rsidRDefault="00E30AFB" w:rsidP="00E30AFB">
      <w:pPr>
        <w:pStyle w:val="BodyText"/>
        <w:numPr>
          <w:ilvl w:val="0"/>
          <w:numId w:val="193"/>
        </w:numPr>
        <w:spacing w:before="188"/>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Average Score level of Formal Arrangement Completeness for Governance of SCS </w:t>
      </w:r>
    </w:p>
    <w:tbl>
      <w:tblPr>
        <w:tblW w:w="0" w:type="auto"/>
        <w:tblCellMar>
          <w:top w:w="15" w:type="dxa"/>
          <w:left w:w="15" w:type="dxa"/>
          <w:bottom w:w="15" w:type="dxa"/>
          <w:right w:w="15" w:type="dxa"/>
        </w:tblCellMar>
        <w:tblLook w:val="04A0" w:firstRow="1" w:lastRow="0" w:firstColumn="1" w:lastColumn="0" w:noHBand="0" w:noVBand="1"/>
      </w:tblPr>
      <w:tblGrid>
        <w:gridCol w:w="900"/>
        <w:gridCol w:w="4877"/>
        <w:gridCol w:w="1523"/>
      </w:tblGrid>
      <w:tr w:rsidR="00E30AFB" w:rsidRPr="0012520D" w14:paraId="5A396A70"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A97B0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No.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E240F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Formal Arrangement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E33A1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Score (%)</w:t>
            </w:r>
          </w:p>
        </w:tc>
      </w:tr>
      <w:tr w:rsidR="00E30AFB" w:rsidRPr="0012520D" w14:paraId="36C32086"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7B526D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A03CB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Inclusive governance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45B87B"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95.20</w:t>
            </w:r>
          </w:p>
        </w:tc>
      </w:tr>
      <w:tr w:rsidR="00E30AFB" w:rsidRPr="0012520D" w14:paraId="3B7AA5F8"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C3865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06041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Marine Pollution Control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D78E4A"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80.95</w:t>
            </w:r>
          </w:p>
        </w:tc>
      </w:tr>
      <w:tr w:rsidR="00E30AFB" w:rsidRPr="0012520D" w14:paraId="53354B58"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3DE2F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38658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Coastal ecosystem protection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9C09EB"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80.95</w:t>
            </w:r>
          </w:p>
        </w:tc>
      </w:tr>
      <w:tr w:rsidR="00E30AFB" w:rsidRPr="0012520D" w14:paraId="35356E5B"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985A0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C3212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Capture Fisheries and Aquaculture Development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DAAD41"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80.95</w:t>
            </w:r>
          </w:p>
        </w:tc>
      </w:tr>
      <w:tr w:rsidR="00E30AFB" w:rsidRPr="0012520D" w14:paraId="001C3B13"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D7676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A7E70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Average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564830"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84.51</w:t>
            </w:r>
          </w:p>
        </w:tc>
      </w:tr>
    </w:tbl>
    <w:p w14:paraId="5612EF04"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2F683F40"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The score of integration of each formal arrangement</w:t>
      </w:r>
    </w:p>
    <w:p w14:paraId="4D4F5776"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The score of stakeholder integration to formal arrangement based on policy cycle components.</w:t>
      </w:r>
    </w:p>
    <w:tbl>
      <w:tblPr>
        <w:tblW w:w="0" w:type="auto"/>
        <w:tblCellMar>
          <w:top w:w="15" w:type="dxa"/>
          <w:left w:w="15" w:type="dxa"/>
          <w:bottom w:w="15" w:type="dxa"/>
          <w:right w:w="15" w:type="dxa"/>
        </w:tblCellMar>
        <w:tblLook w:val="04A0" w:firstRow="1" w:lastRow="0" w:firstColumn="1" w:lastColumn="0" w:noHBand="0" w:noVBand="1"/>
      </w:tblPr>
      <w:tblGrid>
        <w:gridCol w:w="1331"/>
        <w:gridCol w:w="1039"/>
        <w:gridCol w:w="1233"/>
        <w:gridCol w:w="1064"/>
        <w:gridCol w:w="1064"/>
        <w:gridCol w:w="1511"/>
        <w:gridCol w:w="1233"/>
        <w:gridCol w:w="1262"/>
      </w:tblGrid>
      <w:tr w:rsidR="00E30AFB" w:rsidRPr="0012520D" w14:paraId="18D17D9D"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7DB223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Common agency between formal arrangement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CBC2B0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policy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9CAF15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policy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998D1D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Planning analysis and advice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B648D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Planning decision-making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A1655D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implementation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E8409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review and evaluation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A01F99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data and information</w:t>
            </w:r>
          </w:p>
        </w:tc>
      </w:tr>
      <w:tr w:rsidR="00E30AFB" w:rsidRPr="0012520D" w14:paraId="5AC5DB04"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CC9C6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 and 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98968C"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D45A1D"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9201E4"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5F9599"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FAB52B"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05215E"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DDD874"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r>
      <w:tr w:rsidR="00E30AFB" w:rsidRPr="0012520D" w14:paraId="6F09E23B"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70127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 and 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81ACFC"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D6114B"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624A9B"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D4E669"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983CA3"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5B01AB"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5BEFC2"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r>
      <w:tr w:rsidR="00E30AFB" w:rsidRPr="0012520D" w14:paraId="173A9F91"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38DBE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 and 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593177"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CB8870"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3DDADF"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0280F7"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1A6969"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4AA746"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00293B"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r>
      <w:tr w:rsidR="00E30AFB" w:rsidRPr="0012520D" w14:paraId="0549359C"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083D2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 and 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1E6226"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A81E00"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93C9CE"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B1BB93"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75EB24"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CA9DC5"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13524D"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r>
      <w:tr w:rsidR="00E30AFB" w:rsidRPr="0012520D" w14:paraId="71E91C0D"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9A48C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 and 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E719D2"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D635BF"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D8E3E3"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AB4CE9"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B2717E"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B8C95E"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11BF6B"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r>
      <w:tr w:rsidR="00E30AFB" w:rsidRPr="0012520D" w14:paraId="2DA11980"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E607B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 and 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C1C7ED"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1F9288"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455788"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3BB401"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755BA9"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4A3F4E"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6B762A"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1</w:t>
            </w:r>
          </w:p>
        </w:tc>
      </w:tr>
      <w:tr w:rsidR="00E30AFB" w:rsidRPr="0012520D" w14:paraId="771E8207"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5C211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6E1DD0"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3/6=50%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7A7FB8"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2/6=33.33%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827070"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3/6=50%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20542C"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3/6=30%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4A13DF"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5/6=83.33%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E91D78"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5/6=83.33%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1C34B4"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4/6 =67.67%</w:t>
            </w:r>
          </w:p>
        </w:tc>
      </w:tr>
    </w:tbl>
    <w:p w14:paraId="686F4B6D" w14:textId="77777777" w:rsidR="00E30AFB" w:rsidRPr="0012520D" w:rsidRDefault="00E30AFB" w:rsidP="00E30AFB">
      <w:pPr>
        <w:pStyle w:val="BodyText"/>
        <w:spacing w:before="188"/>
        <w:ind w:left="360"/>
        <w:rPr>
          <w:rFonts w:ascii="Times New Roman" w:hAnsi="Times New Roman" w:cs="Times New Roman"/>
          <w:color w:val="000000" w:themeColor="text1"/>
          <w:lang w:val="en-ID"/>
        </w:rPr>
      </w:pPr>
    </w:p>
    <w:p w14:paraId="10AD8704" w14:textId="77777777" w:rsidR="00E30AFB" w:rsidRPr="0012520D" w:rsidRDefault="00E30AFB" w:rsidP="00E30AFB">
      <w:pPr>
        <w:pStyle w:val="BodyText"/>
        <w:numPr>
          <w:ilvl w:val="0"/>
          <w:numId w:val="195"/>
        </w:numPr>
        <w:spacing w:before="188"/>
        <w:rPr>
          <w:rFonts w:ascii="Times New Roman" w:hAnsi="Times New Roman" w:cs="Times New Roman"/>
          <w:b/>
          <w:bCs/>
          <w:color w:val="000000" w:themeColor="text1"/>
          <w:lang w:val="en-ID"/>
        </w:rPr>
      </w:pPr>
      <w:r w:rsidRPr="0012520D">
        <w:rPr>
          <w:rFonts w:ascii="Times New Roman" w:hAnsi="Times New Roman" w:cs="Times New Roman"/>
          <w:b/>
          <w:bCs/>
          <w:color w:val="000000" w:themeColor="text1"/>
          <w:lang w:val="en-ID"/>
        </w:rPr>
        <w:t>Stakeholder’s engagement to formal arrangement</w:t>
      </w:r>
    </w:p>
    <w:tbl>
      <w:tblPr>
        <w:tblW w:w="0" w:type="auto"/>
        <w:tblCellMar>
          <w:top w:w="15" w:type="dxa"/>
          <w:left w:w="15" w:type="dxa"/>
          <w:bottom w:w="15" w:type="dxa"/>
          <w:right w:w="15" w:type="dxa"/>
        </w:tblCellMar>
        <w:tblLook w:val="04A0" w:firstRow="1" w:lastRow="0" w:firstColumn="1" w:lastColumn="0" w:noHBand="0" w:noVBand="1"/>
      </w:tblPr>
      <w:tblGrid>
        <w:gridCol w:w="2357"/>
        <w:gridCol w:w="1762"/>
        <w:gridCol w:w="1601"/>
        <w:gridCol w:w="1784"/>
        <w:gridCol w:w="2233"/>
      </w:tblGrid>
      <w:tr w:rsidR="00E30AFB" w:rsidRPr="0012520D" w14:paraId="27EEA65F" w14:textId="77777777" w:rsidTr="001B74B6">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C2165F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Stakeholder</w:t>
            </w: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8509EF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Arrangement</w:t>
            </w:r>
          </w:p>
        </w:tc>
      </w:tr>
      <w:tr w:rsidR="00E30AFB" w:rsidRPr="0012520D" w14:paraId="3BE27D74" w14:textId="77777777" w:rsidTr="001B74B6">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971590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C7195E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Inclusive governance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0C90540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Marine pollution control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F532B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Coastal Ecosystem protection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4A8697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b/>
                <w:bCs/>
                <w:color w:val="000000" w:themeColor="text1"/>
                <w:lang w:val="en-ID"/>
              </w:rPr>
              <w:t>Development of capture fisheries and aquaculture</w:t>
            </w:r>
          </w:p>
        </w:tc>
      </w:tr>
      <w:tr w:rsidR="00E30AFB" w:rsidRPr="0012520D" w14:paraId="7E844569"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F39DB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National Development Planning (BAPPENAS)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F62F6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8545A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CD08C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D6ABA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r>
      <w:tr w:rsidR="00E30AFB" w:rsidRPr="0012520D" w14:paraId="361BC36B"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67D73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Environment (KLH)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B9100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A7F63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9C8AF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8D204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r>
      <w:tr w:rsidR="00E30AFB" w:rsidRPr="0012520D" w14:paraId="349E1602"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24BD4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Forestry (Kemenhut)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7F469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C3958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4C15E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F087F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2B0E0BF6"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BF126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Marine Affairs and Fisheries (KKP)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32FFA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86362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9695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ABE8C8"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r>
      <w:tr w:rsidR="00E30AFB" w:rsidRPr="0012520D" w14:paraId="07FF108F"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EDA4E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Industry (Kemenperin)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DBDEC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FF30B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FDD3CB"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B30CC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5CF454A5"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F2AE9A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Transportation (Kemenhub)</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51C1B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818FD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7785A5"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4EC55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5A27F35E"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60275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Ministry of Energy and Mineral Resources (Kemen ESDM)</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D16C8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3D348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1630A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558DA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2EC4D711"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B043B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National Research and Innovation Agency (BRIN)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23039A"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4DD3E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C8390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400321"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r>
      <w:tr w:rsidR="00E30AFB" w:rsidRPr="0012520D" w14:paraId="01C95672"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7B64F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lastRenderedPageBreak/>
              <w:t>Indonesian Coast Guard (Bakamla)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DE387F"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2A19E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30B4D9"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969B1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r>
      <w:tr w:rsidR="00E30AFB" w:rsidRPr="0012520D" w14:paraId="3F90C05E"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05FBA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Universities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493FDE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80554C"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54F7F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B875E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r>
      <w:tr w:rsidR="00E30AFB" w:rsidRPr="0012520D" w14:paraId="6420C716"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30A3A0"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Local Governments (Pemda)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020F62"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150FC7"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0AEB6E"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F6C64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r>
      <w:tr w:rsidR="00E30AFB" w:rsidRPr="0012520D" w14:paraId="4FB6B7D3"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829386"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Non-Governmental Organizations (NGOs)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62512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0E87D"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73E5A4"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83DA38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V</w:t>
            </w:r>
          </w:p>
        </w:tc>
      </w:tr>
      <w:tr w:rsidR="00E30AFB" w:rsidRPr="0012520D" w14:paraId="5E9FE01B" w14:textId="77777777" w:rsidTr="001B74B6">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B6EE53" w14:textId="77777777" w:rsidR="00E30AFB" w:rsidRPr="0012520D" w:rsidRDefault="00E30AFB" w:rsidP="001B74B6">
            <w:pPr>
              <w:pStyle w:val="BodyText"/>
              <w:spacing w:before="188"/>
              <w:ind w:left="360"/>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 engagement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E1A35F"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50.00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453659"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67.00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42CF11"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58.3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0EBE1A" w14:textId="77777777" w:rsidR="00E30AFB" w:rsidRPr="0012520D" w:rsidRDefault="00E30AFB" w:rsidP="001B74B6">
            <w:pPr>
              <w:pStyle w:val="BodyText"/>
              <w:spacing w:before="188"/>
              <w:ind w:left="360"/>
              <w:jc w:val="right"/>
              <w:rPr>
                <w:rFonts w:ascii="Times New Roman" w:hAnsi="Times New Roman" w:cs="Times New Roman"/>
                <w:color w:val="000000" w:themeColor="text1"/>
                <w:lang w:val="en-ID"/>
              </w:rPr>
            </w:pPr>
            <w:r w:rsidRPr="0012520D">
              <w:rPr>
                <w:rFonts w:ascii="Times New Roman" w:hAnsi="Times New Roman" w:cs="Times New Roman"/>
                <w:color w:val="000000" w:themeColor="text1"/>
                <w:lang w:val="en-ID"/>
              </w:rPr>
              <w:t>58.30</w:t>
            </w:r>
          </w:p>
        </w:tc>
      </w:tr>
    </w:tbl>
    <w:p w14:paraId="2550469E" w14:textId="77777777" w:rsidR="00E30AFB" w:rsidRDefault="00E30AFB" w:rsidP="00E30AFB">
      <w:pPr>
        <w:rPr>
          <w:rFonts w:ascii="Times New Roman" w:hAnsi="Times New Roman" w:cs="Times New Roman"/>
          <w:b/>
          <w:bCs/>
          <w:color w:val="0070C0"/>
        </w:rPr>
        <w:sectPr w:rsidR="00E30AFB" w:rsidSect="00D33AEE">
          <w:pgSz w:w="11901" w:h="16817"/>
          <w:pgMar w:top="1440" w:right="1077" w:bottom="1440" w:left="1077" w:header="709" w:footer="709" w:gutter="0"/>
          <w:pgNumType w:start="125"/>
          <w:cols w:space="720"/>
          <w:titlePg/>
          <w:docGrid w:linePitch="326"/>
        </w:sectPr>
      </w:pPr>
    </w:p>
    <w:p w14:paraId="2BCC85D6" w14:textId="77777777" w:rsidR="00E30AFB" w:rsidRPr="005A1594" w:rsidRDefault="00E30AFB" w:rsidP="00E30AFB">
      <w:pPr>
        <w:pStyle w:val="Heading2"/>
        <w:rPr>
          <w:rFonts w:ascii="Times New Roman" w:eastAsiaTheme="minorEastAsia" w:hAnsi="Times New Roman" w:cs="Times New Roman"/>
          <w:b w:val="0"/>
          <w:bCs/>
        </w:rPr>
      </w:pPr>
      <w:bookmarkStart w:id="210" w:name="_Toc217295441"/>
      <w:bookmarkStart w:id="211" w:name="_Toc217297587"/>
      <w:r>
        <w:rPr>
          <w:rFonts w:ascii="Times New Roman" w:hAnsi="Times New Roman" w:cs="Times New Roman"/>
          <w:bCs/>
        </w:rPr>
        <w:lastRenderedPageBreak/>
        <w:t>Appendix Chapter 7 (Conclusion)</w:t>
      </w:r>
      <w:bookmarkEnd w:id="210"/>
      <w:bookmarkEnd w:id="211"/>
    </w:p>
    <w:p w14:paraId="60372773" w14:textId="77777777" w:rsidR="00E30AFB" w:rsidRPr="00487CB8" w:rsidRDefault="00E30AFB" w:rsidP="00E30AFB">
      <w:pPr>
        <w:pStyle w:val="BodyText"/>
        <w:numPr>
          <w:ilvl w:val="0"/>
          <w:numId w:val="196"/>
        </w:numPr>
        <w:spacing w:before="188"/>
        <w:ind w:left="426"/>
        <w:rPr>
          <w:rFonts w:ascii="Times New Roman" w:hAnsi="Times New Roman" w:cs="Times New Roman"/>
          <w:color w:val="0070C0"/>
          <w:sz w:val="24"/>
          <w:szCs w:val="24"/>
        </w:rPr>
      </w:pPr>
      <w:r>
        <w:rPr>
          <w:rFonts w:ascii="Times New Roman" w:hAnsi="Times New Roman" w:cs="Times New Roman"/>
          <w:color w:val="0070C0"/>
          <w:sz w:val="24"/>
          <w:szCs w:val="24"/>
        </w:rPr>
        <w:t xml:space="preserve"> </w:t>
      </w:r>
      <w:r w:rsidRPr="002568A5">
        <w:rPr>
          <w:rFonts w:ascii="Times New Roman" w:hAnsi="Times New Roman" w:cs="Times New Roman"/>
          <w:b/>
          <w:bCs/>
          <w:color w:val="000000" w:themeColor="text1"/>
          <w:sz w:val="24"/>
          <w:szCs w:val="24"/>
        </w:rPr>
        <w:t>Matrix Conne</w:t>
      </w:r>
      <w:r>
        <w:rPr>
          <w:rFonts w:ascii="Times New Roman" w:hAnsi="Times New Roman" w:cs="Times New Roman"/>
          <w:b/>
          <w:bCs/>
          <w:color w:val="000000" w:themeColor="text1"/>
          <w:sz w:val="24"/>
          <w:szCs w:val="24"/>
        </w:rPr>
        <w:t>c</w:t>
      </w:r>
      <w:r w:rsidRPr="002568A5">
        <w:rPr>
          <w:rFonts w:ascii="Times New Roman" w:hAnsi="Times New Roman" w:cs="Times New Roman"/>
          <w:b/>
          <w:bCs/>
          <w:color w:val="000000" w:themeColor="text1"/>
          <w:sz w:val="24"/>
          <w:szCs w:val="24"/>
        </w:rPr>
        <w:t>tivity</w:t>
      </w:r>
    </w:p>
    <w:tbl>
      <w:tblPr>
        <w:tblW w:w="15021" w:type="dxa"/>
        <w:tblInd w:w="-147" w:type="dxa"/>
        <w:tblLook w:val="04A0" w:firstRow="1" w:lastRow="0" w:firstColumn="1" w:lastColumn="0" w:noHBand="0" w:noVBand="1"/>
      </w:tblPr>
      <w:tblGrid>
        <w:gridCol w:w="7120"/>
        <w:gridCol w:w="6063"/>
        <w:gridCol w:w="1838"/>
      </w:tblGrid>
      <w:tr w:rsidR="00E30AFB" w:rsidRPr="00487CB8" w14:paraId="6EBF7948" w14:textId="77777777" w:rsidTr="001B74B6">
        <w:trPr>
          <w:trHeight w:val="360"/>
        </w:trPr>
        <w:tc>
          <w:tcPr>
            <w:tcW w:w="7120" w:type="dxa"/>
            <w:tcBorders>
              <w:top w:val="single" w:sz="4" w:space="0" w:color="auto"/>
              <w:left w:val="single" w:sz="4" w:space="0" w:color="auto"/>
              <w:bottom w:val="single" w:sz="4" w:space="0" w:color="auto"/>
              <w:right w:val="single" w:sz="4" w:space="0" w:color="auto"/>
            </w:tcBorders>
            <w:shd w:val="clear" w:color="000000" w:fill="34A853"/>
            <w:noWrap/>
            <w:vAlign w:val="bottom"/>
            <w:hideMark/>
          </w:tcPr>
          <w:p w14:paraId="3EF15645" w14:textId="77777777" w:rsidR="00E30AFB" w:rsidRPr="00487CB8" w:rsidRDefault="00E30AFB" w:rsidP="001B74B6">
            <w:pPr>
              <w:jc w:val="center"/>
              <w:rPr>
                <w:rFonts w:ascii="Arial" w:eastAsia="Times New Roman" w:hAnsi="Arial" w:cs="Arial"/>
                <w:b/>
                <w:bCs/>
                <w:color w:val="FFFFFF"/>
                <w:sz w:val="28"/>
                <w:szCs w:val="28"/>
                <w:lang w:val="en-US" w:eastAsia="en-US"/>
              </w:rPr>
            </w:pPr>
            <w:r w:rsidRPr="00487CB8">
              <w:rPr>
                <w:rFonts w:ascii="Arial" w:eastAsia="Times New Roman" w:hAnsi="Arial" w:cs="Arial"/>
                <w:b/>
                <w:bCs/>
                <w:color w:val="FFFFFF"/>
                <w:sz w:val="28"/>
                <w:szCs w:val="28"/>
                <w:lang w:val="en-US" w:eastAsia="en-US"/>
              </w:rPr>
              <w:t>Domain</w:t>
            </w:r>
          </w:p>
        </w:tc>
        <w:tc>
          <w:tcPr>
            <w:tcW w:w="6063" w:type="dxa"/>
            <w:tcBorders>
              <w:top w:val="single" w:sz="4" w:space="0" w:color="auto"/>
              <w:left w:val="nil"/>
              <w:bottom w:val="single" w:sz="4" w:space="0" w:color="auto"/>
              <w:right w:val="single" w:sz="4" w:space="0" w:color="auto"/>
            </w:tcBorders>
            <w:shd w:val="clear" w:color="000000" w:fill="34A853"/>
            <w:noWrap/>
            <w:vAlign w:val="bottom"/>
            <w:hideMark/>
          </w:tcPr>
          <w:p w14:paraId="4B8779B2" w14:textId="77777777" w:rsidR="00E30AFB" w:rsidRPr="00487CB8" w:rsidRDefault="00E30AFB" w:rsidP="001B74B6">
            <w:pPr>
              <w:jc w:val="center"/>
              <w:rPr>
                <w:rFonts w:ascii="Arial" w:eastAsia="Times New Roman" w:hAnsi="Arial" w:cs="Arial"/>
                <w:b/>
                <w:bCs/>
                <w:color w:val="FFFFFF"/>
                <w:sz w:val="28"/>
                <w:szCs w:val="28"/>
                <w:lang w:val="en-US" w:eastAsia="en-US"/>
              </w:rPr>
            </w:pPr>
            <w:r w:rsidRPr="00487CB8">
              <w:rPr>
                <w:rFonts w:ascii="Arial" w:eastAsia="Times New Roman" w:hAnsi="Arial" w:cs="Arial"/>
                <w:b/>
                <w:bCs/>
                <w:color w:val="FFFFFF"/>
                <w:sz w:val="28"/>
                <w:szCs w:val="28"/>
                <w:lang w:val="en-US" w:eastAsia="en-US"/>
              </w:rPr>
              <w:t>Indicators</w:t>
            </w:r>
          </w:p>
        </w:tc>
        <w:tc>
          <w:tcPr>
            <w:tcW w:w="1838" w:type="dxa"/>
            <w:tcBorders>
              <w:top w:val="single" w:sz="4" w:space="0" w:color="auto"/>
              <w:left w:val="nil"/>
              <w:bottom w:val="single" w:sz="4" w:space="0" w:color="auto"/>
              <w:right w:val="single" w:sz="4" w:space="0" w:color="auto"/>
            </w:tcBorders>
            <w:shd w:val="clear" w:color="000000" w:fill="34A853"/>
            <w:noWrap/>
            <w:vAlign w:val="bottom"/>
            <w:hideMark/>
          </w:tcPr>
          <w:p w14:paraId="27547955" w14:textId="77777777" w:rsidR="00E30AFB" w:rsidRPr="00487CB8" w:rsidRDefault="00E30AFB" w:rsidP="001B74B6">
            <w:pPr>
              <w:jc w:val="center"/>
              <w:rPr>
                <w:rFonts w:ascii="Arial" w:eastAsia="Times New Roman" w:hAnsi="Arial" w:cs="Arial"/>
                <w:b/>
                <w:bCs/>
                <w:color w:val="FFFFFF"/>
                <w:sz w:val="28"/>
                <w:szCs w:val="28"/>
                <w:lang w:val="en-US" w:eastAsia="en-US"/>
              </w:rPr>
            </w:pPr>
            <w:r w:rsidRPr="00487CB8">
              <w:rPr>
                <w:rFonts w:ascii="Arial" w:eastAsia="Times New Roman" w:hAnsi="Arial" w:cs="Arial"/>
                <w:b/>
                <w:bCs/>
                <w:color w:val="FFFFFF"/>
                <w:sz w:val="28"/>
                <w:szCs w:val="28"/>
                <w:lang w:val="en-US" w:eastAsia="en-US"/>
              </w:rPr>
              <w:t>Value</w:t>
            </w:r>
          </w:p>
        </w:tc>
      </w:tr>
      <w:tr w:rsidR="00E30AFB" w:rsidRPr="00487CB8" w14:paraId="505D7325"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29CC35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12FE573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4265A45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41810E1"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C17235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0EB487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3EB4406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637A59C"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A4C509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6CBBB9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78D388E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3FE43B0"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FD94B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4E355A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6FED771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D486D76"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C776F8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1CFDAD6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4AF17CA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8BC8CE0"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E9C0A5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534516C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1C87971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78B0C52"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4752B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6E0C8AC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723432B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A2EDE19"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C647E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064D577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60222D4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3F72C00"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30B238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2D5DA4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7C85CC2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A769163"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C5FB87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6F349D7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508A088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1EA1E8F"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1B47B7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53F0C7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5726ADE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ADD1A26"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DA30AC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42E20C7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75048E8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77E0E29"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F4111B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1E51D1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43F05F1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ABA5839"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9F23C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1CFFFD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23B6E6A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49B4C89"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9D7633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77060D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3E2E631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5DEC5C9"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4D3D0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6CF589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229840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CCA286B"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E56824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27D13B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20EA6FA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8652738"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27D670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2FE6C02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42656F2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52ADEF9"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B9E6E3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37F699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0A5B8C8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AAB3DE9" w14:textId="77777777" w:rsidTr="001B74B6">
        <w:trPr>
          <w:trHeight w:val="315"/>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8B8DEB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3743AC8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3A3E7F6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237290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672C7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5C67A0C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0E8F803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6DA284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92DEA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41836AD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69A76BA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7BF13B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A473B1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69B3271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18EF849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412CE8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863179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4C8BB3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2680539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3273CA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08AA7C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62534B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308D98A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B3ACA8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34EAC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0C4288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6F80CCB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6586C5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97921B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170F66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4EBD50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41DC4A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9406C8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278FDEE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5567A47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1C2E36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50CDB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5951ACF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2D65498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FB72B3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C9A25E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50AD00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17E823E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4D892F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100C67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D9E7FD"/>
            <w:noWrap/>
            <w:vAlign w:val="bottom"/>
            <w:hideMark/>
          </w:tcPr>
          <w:p w14:paraId="45CA06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727530A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C752F8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538B0A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6063" w:type="dxa"/>
            <w:tcBorders>
              <w:top w:val="nil"/>
              <w:left w:val="nil"/>
              <w:bottom w:val="single" w:sz="4" w:space="0" w:color="auto"/>
              <w:right w:val="single" w:sz="4" w:space="0" w:color="auto"/>
            </w:tcBorders>
            <w:shd w:val="clear" w:color="000000" w:fill="FBDAD7"/>
            <w:noWrap/>
            <w:vAlign w:val="bottom"/>
            <w:hideMark/>
          </w:tcPr>
          <w:p w14:paraId="181861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7A6915C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934A6B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6AD76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6798D3C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6D008D2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46064A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3EC19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1398B38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642D2E9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CB79BF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7102AE7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0EECDE5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301B271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8CECEB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4AE7EB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3E3C257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2475732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28DA99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40DC59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605CD7F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64D60BC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8EFACA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FB065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7D335A5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361E715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FA5C8A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DBFD2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32F08DB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5179FB2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C61104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610CB8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6D5CA75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168DE39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C4F7D9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12B9D6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7E697F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303AD6C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BE412C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709110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083781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547587B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714378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37B0547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02A48D8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7DD748E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195CE0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6DA352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2D92307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5C5986D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E6B48A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1B0CBA2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524F4B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46FD4C7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4D59E3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74CFC75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621F8B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6F3D7C4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7A9D4D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32245A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37A1B6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51EC774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BF9A17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4956E5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25C2096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1FF097B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CBF19A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62B37B5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1A8E914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6A68ACE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9DEE36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5A46EF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6E6F715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445D49A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019034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6C7DE6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3CAC27C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337DE72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576229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5A9EB0C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14F085C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6A4A0A3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E63CA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101AC3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6DDBC5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2330B38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379EC1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75628AF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6079E9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400CBB4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122339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3762D88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661A0A1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1001D3A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4A5AC6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8230E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43FD0AC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5D9412E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23292C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32D4347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11ED06B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4D27FD7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10D23C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39365F2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75EDE44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425AD0E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251561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60227EC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2666914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7E11E3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DF20DF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5605A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7C8123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014D4F9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D19304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1A0EC7F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441986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225C619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B9485B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5A5D09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3E38BB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2185F85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05C8BD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7BDB414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256351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6E2D066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8D608F3" w14:textId="77777777" w:rsidTr="001B74B6">
        <w:trPr>
          <w:trHeight w:val="33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96CB37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6063" w:type="dxa"/>
            <w:tcBorders>
              <w:top w:val="nil"/>
              <w:left w:val="nil"/>
              <w:bottom w:val="single" w:sz="4" w:space="0" w:color="auto"/>
              <w:right w:val="single" w:sz="4" w:space="0" w:color="auto"/>
            </w:tcBorders>
            <w:shd w:val="clear" w:color="000000" w:fill="FBDAD7"/>
            <w:noWrap/>
            <w:vAlign w:val="bottom"/>
            <w:hideMark/>
          </w:tcPr>
          <w:p w14:paraId="2A2D63E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2A5D501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1A7069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6222B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07EC4D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0F6A074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924105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FB3AA3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1A96BD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23F495D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DF6A32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794F5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288C22E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232358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EB32D8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9DEB9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10891B1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76E15CD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E422C7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AE7298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113004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7A3A6BB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6787C9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BB15A1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1DDA75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60CB689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C891A2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751745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5AEA123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60C8A5A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16B9F4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2BCC2A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1E853A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781DFC7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6E892B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8C9264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27CF3FD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54D0520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0C0428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3524A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7703FB8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6ED4B2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B1CBEC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AC4A40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04D5BE4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16F11E1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C75A7C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8CF073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1954DB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676302F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F46829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8B171C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3A66B0E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109CED4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695DF3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F0CF2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2ED197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399B519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330045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EA197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684F23F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3F246B2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5F6A61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422A45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1008774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2FD3A89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A8EE1B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24F351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73B3D68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5539842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68C596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6753F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0B07A4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3F4E367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CCC484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14FC7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2CB399F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01267E6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285D2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3FDA63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34DF13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6D0D4E6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20C50E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2EF60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4442F28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57603CE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265132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D88FE4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1B90628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0D21BD3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5E6CAA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A9D1BD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584191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667B5E8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FE9BC4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1F9E99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0B83668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4B00271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C75129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4E9F9B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3F1CD0B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4F7FFF6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F03398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257095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500E2A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4A7D2BB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969FF4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9C33B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51BF115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2A09EA3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82364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272A6A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13700B1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4C6560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FC429E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0D984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23B2A7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17C8DC9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F220FF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3879B7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34631DC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97B6D6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0D7D96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8CC66D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2492A27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286FB74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FFA53F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3BCAC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6063" w:type="dxa"/>
            <w:tcBorders>
              <w:top w:val="nil"/>
              <w:left w:val="nil"/>
              <w:bottom w:val="single" w:sz="4" w:space="0" w:color="auto"/>
              <w:right w:val="single" w:sz="4" w:space="0" w:color="auto"/>
            </w:tcBorders>
            <w:shd w:val="clear" w:color="000000" w:fill="FEF2CD"/>
            <w:noWrap/>
            <w:vAlign w:val="bottom"/>
            <w:hideMark/>
          </w:tcPr>
          <w:p w14:paraId="0834461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5870871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28C777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1732A4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6A2ABF9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0504C1D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20EC89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1CF284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034A14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4C06F5C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1BB0D8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C325F7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43850F7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62AEA9F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86AC4A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00288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5C32C0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221FC8E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6D4294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306C46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65A9BB2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3B7D73E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3CA262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243F6F4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309C56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78B21B3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DC64C7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D27847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50115CD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4524546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371445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B6FEC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6FE265A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5B62415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E0953D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B580EC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4C3CD41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54A08B3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F66D24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6E1FB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167D378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5CC7286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1EB4F3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69D27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55F058A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0086796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85946C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B4B98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1E1AB4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019C684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CFC3DC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3FC479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405312E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4E08A70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11A8DE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3DA3E9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56A06E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63C9003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7A51CA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2C2D92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68112E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762F824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8C1F11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44A1F0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1A95CF0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0034E85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92C421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34A4AD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2425A8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53CEA21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5A6589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1EFB79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146393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4B2F6E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07599A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9A12E3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07769E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6CAFD46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1FD30A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2A93F10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0892B2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7ED87B4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7246EC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94027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2D3623C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1107110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B4D420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2BBA24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1F135D0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44E4DF0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A88833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DEAAD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2F06797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266EFA6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4B025F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21F2B0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70C3698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13B4A87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38E1C8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4AD3FC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4575C23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51A78B0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F569B8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DE8763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7A0B6D9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2378761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B7610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899881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5506084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63799C8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5EB5EC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B751F6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2743A10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6885F3E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B8BE92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1A0D5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723B13C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5F73763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E2AAF5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17DA6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7C7915C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4C456B1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3AEB76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6968AB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3854084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0ACDC94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D83923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0BFB14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6063" w:type="dxa"/>
            <w:tcBorders>
              <w:top w:val="nil"/>
              <w:left w:val="nil"/>
              <w:bottom w:val="single" w:sz="4" w:space="0" w:color="auto"/>
              <w:right w:val="single" w:sz="4" w:space="0" w:color="auto"/>
            </w:tcBorders>
            <w:shd w:val="clear" w:color="000000" w:fill="D1F1DA"/>
            <w:noWrap/>
            <w:vAlign w:val="bottom"/>
            <w:hideMark/>
          </w:tcPr>
          <w:p w14:paraId="44FFF09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29BDB2D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263E44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B8E12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4470C75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359BBB0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D6030A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3D382E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2F66BB9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1336838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720A63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E36438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62C8ED2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513FC97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B7EEC2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A95202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25FEB3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372EDA7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EAB233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F3587F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73AE61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03DC8A1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8FEEF0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46730D6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46D553F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01035C7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4AAACB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7241F4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6FCFEBD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169747D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EF1702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2B18EA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50BA54C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1753A51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9EF493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0F6820E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28C2C8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53A3473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0B257B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2BD8AD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3274B9E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430C7A0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6636CF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4DB633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4F7A12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1915DA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D74218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F575E9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35D5EA6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6A8D654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94AE11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7B37EB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2B48C59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21D1663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648A1A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48AAD1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5C35FB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1DEE9EA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88A590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0B6ED76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364AE37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7205EE0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BC5492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1E86B94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317E170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4D456F2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F6B832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A9493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10EFF9A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6148582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AD5F3A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4A9329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0AB0399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259E094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3E4C1C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3CF237B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335082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329A48B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15E8EB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9EB41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31387F7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5F7E751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A8E30A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739574B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47AA9A5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76EF048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C8840C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4BED165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617FC14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7D25C1C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BBBD0B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022A807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339025F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3C0D0D1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A5EC43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4F43FB5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7E0EFFA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207317A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E96B22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209A89C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63A4BE2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421FF21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0CB535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63E11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263A30C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216E554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6DA621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3349582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1FC762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3F2CDB0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2A98FE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72F21D6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4D5F5E8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5EBA0DA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95894B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E01CC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0609B7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3DD32C5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AA2D5E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064F0B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2166C2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7E3C4EA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CE7271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03F3F7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417CE02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6EAF0F3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F37621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AD378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6063" w:type="dxa"/>
            <w:tcBorders>
              <w:top w:val="nil"/>
              <w:left w:val="nil"/>
              <w:bottom w:val="single" w:sz="4" w:space="0" w:color="auto"/>
              <w:right w:val="single" w:sz="4" w:space="0" w:color="auto"/>
            </w:tcBorders>
            <w:shd w:val="clear" w:color="000000" w:fill="FFE1CC"/>
            <w:noWrap/>
            <w:vAlign w:val="bottom"/>
            <w:hideMark/>
          </w:tcPr>
          <w:p w14:paraId="7DB309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587803D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56E54F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ABAB4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47B7931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68919E2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9F4592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64BDF35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662D8D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7CAB7D5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CE3EAB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E0E2D2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50E7EDA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6C95762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229EF1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EAFB82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0638BC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499C099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15A426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DC5B5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44D848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3872A61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63C530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EB1596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14BFC0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1B4020F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A35E2D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34B1E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03EF02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033097A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96B276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04B31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5FC69B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613DC2E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B03184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ED394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55F6C1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7679D59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7D9927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0C75EB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7B8892A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416EEF2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7C521C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0D5D8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36D0E9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07A4C92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314AE4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40AC9B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38C3C13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48D94AB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EA26F6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B6F3C3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556653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51A83FB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B172E6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898CD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1915AC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6F848CB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B6DC42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35B40A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6ECBA1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150567D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21BE6D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D09E6B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4FE5450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29955CF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6314C8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6372A22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3FC3EE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5AA5D03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3631FB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4C52D27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20618B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5941FBB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4E329B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CC436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2E66CFA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3938034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2A6FD4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9C51B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69AFFC7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1F7626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A673FF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2B4E9EC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022EDF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5B3E91A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355431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60EA8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6B7061C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5164CE9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AF0DC6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8FC1F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1B5710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760EA58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0F247F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543087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27A9BD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35E1C29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82E887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9C06C6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460CA8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6EAEEFB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F5664C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C36CA9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1D07295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36CA060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B7B7D8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0651A8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31B6BC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A6D3AF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0E6334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2B8B8A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234EE2E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246424D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89366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A4A2F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5B0FA26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01D6CD6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CF7961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9E153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14490F6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1DFACD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4B016F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144E6B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1B53BA7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76256C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B286EF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426E5B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6063" w:type="dxa"/>
            <w:tcBorders>
              <w:top w:val="nil"/>
              <w:left w:val="nil"/>
              <w:bottom w:val="single" w:sz="4" w:space="0" w:color="auto"/>
              <w:right w:val="single" w:sz="4" w:space="0" w:color="auto"/>
            </w:tcBorders>
            <w:shd w:val="clear" w:color="000000" w:fill="DAF1F3"/>
            <w:noWrap/>
            <w:vAlign w:val="bottom"/>
            <w:hideMark/>
          </w:tcPr>
          <w:p w14:paraId="1EAF65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49CF923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F0C435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935DBA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4238CB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17ED20B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B87F3F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480A2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25F0452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0D99420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5CF2BD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9A745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61266DA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1A4A774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1F01E7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7D2E9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215949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79753E9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090779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3CDD12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59DDFD7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34529E5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CE9B23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147F65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60C1C9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056132E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3DC3F4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C669E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77DF63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50053C0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807FBB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374F1E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18719D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59C3CFC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D353AC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55041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22FAD54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0BD6097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2134FD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E1C88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579B8D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058C4A8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008FB9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9EBCE0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164C40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064429E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3BFA5B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3A93D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3EBB83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3AACD6F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16BA1B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A44104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603053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3909A0D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18DF9F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9277B8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5ABB2E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59EE2F0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5D064C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EBACF2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3FA99F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695AA74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F62364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6B7D8A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460034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10E2299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1F3D20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5C868D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746B5C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55B8E9F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480747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1CD9D6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781C551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71F9BAC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51EA10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F01986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1B4196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3E3A140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06D435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314D0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2088FC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42415BD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B4FB8A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ABD1A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23A3F0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6355BD6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573FB9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C6B23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652E66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402C7AE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B18887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D87732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6059417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5B32133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9DB46F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738026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6AC082E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766ACA2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D0B7AD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C3F30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4F36669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75099E5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49256D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C7570C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1074BC9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6972CF9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B4E186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D1ACD3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783FF0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7F774F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A0BF44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E0AA2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78FC56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039F1C4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9B710F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7A8367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5B3F57A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2812F1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4D7883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F137E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29E4C36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482A2B9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F3FCC4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B9174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0632405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50DBE72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322252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D8CF5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6063" w:type="dxa"/>
            <w:tcBorders>
              <w:top w:val="nil"/>
              <w:left w:val="nil"/>
              <w:bottom w:val="single" w:sz="4" w:space="0" w:color="auto"/>
              <w:right w:val="single" w:sz="4" w:space="0" w:color="auto"/>
            </w:tcBorders>
            <w:shd w:val="clear" w:color="000000" w:fill="D9E7FD"/>
            <w:noWrap/>
            <w:vAlign w:val="bottom"/>
            <w:hideMark/>
          </w:tcPr>
          <w:p w14:paraId="53BE4E7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46D48C9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2329D3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2FF8B1D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72CA9EE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623EE70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06EF96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AC50E8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44CA63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23550A0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C25BD2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C61A64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1933BEF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7130E74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37F9B4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ED64EB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0E96C2B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48B7853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FA53B5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174C1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471DA8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57D8B50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430217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0E226C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2EF5DC7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29184C3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6A5937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5816D8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3153F24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7C82F2B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44A90B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9183A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118109D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1E63589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672EAF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B9F947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540FE2C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007C2A6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121347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1ADA9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2E43E5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7DB62E7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058C95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1E5A9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629C7E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28B5C52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813921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93047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5C30E5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5ACE515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317D10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1D805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3763389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747F4F7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4E1333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3BA18A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2550EA8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2C43174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5ED35D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E76D42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5FB653E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70BCCC0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AAC1A1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83648C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6593AAF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6D121B3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A935A6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77225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2119235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5C6E9D3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B765F6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21FFACB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68926C2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544D104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D53003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73652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7A1623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3E4F8FF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5B2629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43C707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5DB32BF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3DAA9F6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6A807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77C7CA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3DC768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2609F27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058410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73ADA5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07D68CA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4CDDB43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004FA2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4C3A4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608D7F2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2F530C2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0D1CF8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9FC50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5FAC05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6549872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AA262F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C1481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59AE9D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1AEDAA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FC6AD6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2BC2D5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782473F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2981B34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DF16CF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3F87FF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5F5154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E195C2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0BA333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1EEBC1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6EB28F3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532C976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AC060A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24AF60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00CC737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3E771DD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F3E001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148B7A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1DBADC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249FBDB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D2B214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2896D17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3CEFA5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50B7259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8B689B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AA946F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6063" w:type="dxa"/>
            <w:tcBorders>
              <w:top w:val="nil"/>
              <w:left w:val="nil"/>
              <w:bottom w:val="single" w:sz="4" w:space="0" w:color="auto"/>
              <w:right w:val="single" w:sz="4" w:space="0" w:color="auto"/>
            </w:tcBorders>
            <w:shd w:val="clear" w:color="000000" w:fill="D1F1DA"/>
            <w:noWrap/>
            <w:vAlign w:val="bottom"/>
            <w:hideMark/>
          </w:tcPr>
          <w:p w14:paraId="6B1429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7F966BE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1E1944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1DCDCA4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7AD60A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0065F12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69F5A4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26022E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3CB4456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6AD7748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F61087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0A5654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2CF065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1D8340F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09F9EC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88EC6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78594DB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15080B2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502589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369AC4B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6A7A19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693B5A4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629E2F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60D5EB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29F66A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6D6E93D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46279B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4FF3F0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5C60F3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0E6FDC4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1C80FB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00E541B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761705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6C40173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FCFEAE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230FE5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33D9C4C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445DDC0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C61443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4673E71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6774BC7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046EDEA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1528F2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2A83337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0659761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3114AD8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1F7B07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749B27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415052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4167B0D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6E3C92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63ADF2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2B901EB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52F7C8E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55C2F1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BA962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5C3DF0F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4F52C4F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B65882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2C8892D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0E767F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7312983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27550E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712475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1EC6ABE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46BCC24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295CBF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79AE134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26263E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24328E9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914ED2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07BDAB2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125BBF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64CA89C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299AD2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42DA40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49FC0B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655680D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6BE364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1C9433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7C8DF43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6CDDDEE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48CBDC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1A3589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12D6AA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505FC17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C38A38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265A52B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7223156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46F83C9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160527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3E546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6DBB92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4FFA537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A81E55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7749A54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5F57930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3DAF55F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60093A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3446D5D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1C86D0F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7B0BFD4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4CCE3B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2F2DB8C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0817545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020C16A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7BE793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34903C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0321E1E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5E405C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849948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413DF0C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0049DC8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2C9EEF2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F67FFB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69D3830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7255FB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67B0A99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A40473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53CA103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09DC9D7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6F92B54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9BE02C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3EF909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72F360F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7DDBF11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7450E4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FE1CC"/>
            <w:noWrap/>
            <w:vAlign w:val="bottom"/>
            <w:hideMark/>
          </w:tcPr>
          <w:p w14:paraId="097EA3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6063" w:type="dxa"/>
            <w:tcBorders>
              <w:top w:val="nil"/>
              <w:left w:val="nil"/>
              <w:bottom w:val="single" w:sz="4" w:space="0" w:color="auto"/>
              <w:right w:val="single" w:sz="4" w:space="0" w:color="auto"/>
            </w:tcBorders>
            <w:shd w:val="clear" w:color="000000" w:fill="FFE1CC"/>
            <w:noWrap/>
            <w:vAlign w:val="bottom"/>
            <w:hideMark/>
          </w:tcPr>
          <w:p w14:paraId="5A48D4C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371838B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CF84EC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F4100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2BB35D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1B26723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4D4DED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CF39F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3928D53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6E887A9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B5EAD5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57661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597EEC4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753C74E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923AEB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A2BFB2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344E00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2F7F7E7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ECDD2E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8F181C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640BD7E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3567810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93B651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9205D8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09AFEE3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3D51767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6C66EF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6A1E85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3C5C1CD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34CC257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DD19AF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59BFC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5C2093E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68D5D17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459C2B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D3212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24EF2CB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069384C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872651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2910E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71DD7B0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58C6A9F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83F8F2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79CAB0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1058E6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3D9781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D5433A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9633EB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2F6A601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1EF4B86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D9CCCD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24E19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59241F4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59D1B86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2338E9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36B4A7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26159D5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2640E23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63CFBF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EF1B6D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0A00C9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5B3B1FB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38A731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C9ADA9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0BC0C4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7D51508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3B09AF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16D96D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443F8D8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5524E6A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13EE22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9368F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2D3E99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559787B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6A6E4F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476EE7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71A77E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41BC7A2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A71F78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BAB87F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7E8AED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32CE2BC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3F6538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131395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087206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1973A10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F8F315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BEF39C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4388A2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6BCAD66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553EB1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36491E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143D0BD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04FC7CF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DAA3C2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F6EFB3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3FA864B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3A2CA45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53E106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6D1AE9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15244A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2C46051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799667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9074E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786CA7D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7B6F4AE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94562E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2FDE33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710371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2C28189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F7EEE2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5F01B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375320B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0B1B405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BE3498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382B3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383E0EB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3FC7B7C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EBE959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9899F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7FC2A0E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68A4A0E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30E883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07E88F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515A53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114C315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936207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F8D62A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6063" w:type="dxa"/>
            <w:tcBorders>
              <w:top w:val="nil"/>
              <w:left w:val="nil"/>
              <w:bottom w:val="single" w:sz="4" w:space="0" w:color="auto"/>
              <w:right w:val="single" w:sz="4" w:space="0" w:color="auto"/>
            </w:tcBorders>
            <w:shd w:val="clear" w:color="000000" w:fill="D9E7FD"/>
            <w:noWrap/>
            <w:vAlign w:val="bottom"/>
            <w:hideMark/>
          </w:tcPr>
          <w:p w14:paraId="7E0D857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67C705C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14225D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0C88B9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7431A03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2EDC374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02CE5F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71B385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0F16314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616D7BA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3B3F1C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157E449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281925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67BB9E4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0C654B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494FD7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16FB0E6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3864741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9DD114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53AC0F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0AD3C04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78838D9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42060F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0EDE9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2235F35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0AC50A1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FFB10F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93459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585EC8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4734645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914B0F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1DC68A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64C207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02B8DD7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3EDAD5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79D5B6F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16D829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7DC6EFE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FC47B3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01F760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31FF2C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2560DB2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5289CC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7FB836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591F767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27117E5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9C5556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21381F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216CD9D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67EEA88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CE3D14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326A60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35FF5A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203719C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32C1F3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4AE0C4F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2BF23E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0759981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92E4C1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1EB572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31E9AD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6CB28F3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A18609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02AC17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234DA0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741E510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49A8C8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43EB7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15168F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1D9E150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FF824A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480D29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3C00B7C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0297432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2FDC2C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DA313A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2436D21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66270BD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3F684B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5C26CC7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577F18E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41EBF3D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06A79A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734DC2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091A9D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5D06FED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BBFCB5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3FC910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1F83025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7FFE599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69901E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7E8F8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6FA1EB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31E1983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871076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6EA837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0DC2147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699807D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46E799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733543B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5D73D3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3F7707A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C23370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D3CB9A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0DAC17C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1E19501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BF8D62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7E04221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7F9C14C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21D5390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C3A548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43D24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18B4369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549F3ED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5A464F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4C8E4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0A053E7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06390C9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FCC21E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1EC1C0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0A08A2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0852E94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AE3594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053CB3D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04CB35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02C356B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DC73EC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1EE45FE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6063" w:type="dxa"/>
            <w:tcBorders>
              <w:top w:val="nil"/>
              <w:left w:val="nil"/>
              <w:bottom w:val="single" w:sz="4" w:space="0" w:color="auto"/>
              <w:right w:val="single" w:sz="4" w:space="0" w:color="auto"/>
            </w:tcBorders>
            <w:shd w:val="clear" w:color="000000" w:fill="FDE49B"/>
            <w:noWrap/>
            <w:vAlign w:val="bottom"/>
            <w:hideMark/>
          </w:tcPr>
          <w:p w14:paraId="3A409F8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5C34B9C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41F22B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FBF9F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454E11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5F0529B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23D971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9844F6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03E7ED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7384A1B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89B8BA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FD945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5D3B412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453EE31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D21389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2486CE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4F8632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6A5229F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76F55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E8481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2C56956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10AD67A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530DDF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54140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2341B32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2A82562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2B7FA4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EC0B3A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61B92D3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18077FA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F74275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708ADB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42FD032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7F6E8F1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A69CD6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6171C0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2F9B6BC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788250F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01D8C9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7F8E99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732525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732290E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C3724C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8A655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0026B87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687E9C1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761C50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A8AC9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49585A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5D8AF83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114D6E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CCF7B7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7EC0AF1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4108FE6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1A5165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784AD0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67EE312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37E119B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BB4B3A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556E7A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320239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1A5F0E4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ABACA4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E5D0E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02FE14C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686FF94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FB24D5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AEDBF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6DCE2D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19ACA7E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ADC96A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64CF4B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115403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5F076C8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BF62D9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B8D0D7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2D4A64E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1A0E91A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49B2B6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E402B6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2ECF2DE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5D208BA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39AB8D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FDC500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11F604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261520D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94F051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1B2FCC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3A98603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02B01CD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AC4B2A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78280C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5491FD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7FC52FB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E0E186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705D6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35FE25C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71FCE5F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D68F32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DCC11B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28CFBC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447C3E2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CE7FBF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E44CD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6082DEF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17B1D93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928C08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ABAD1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3C147A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789BB98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5FBDB0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B6F41F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7642F77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021CCD4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FBF3B9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A0FA6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5564AB4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120CCA7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A43AA2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65E41A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5909CB8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67D10F4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FA54AB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0E2623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37DEDA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7B82AFF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53FBAF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330C4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6063" w:type="dxa"/>
            <w:tcBorders>
              <w:top w:val="nil"/>
              <w:left w:val="nil"/>
              <w:bottom w:val="single" w:sz="4" w:space="0" w:color="auto"/>
              <w:right w:val="single" w:sz="4" w:space="0" w:color="auto"/>
            </w:tcBorders>
            <w:shd w:val="clear" w:color="000000" w:fill="D9E7FD"/>
            <w:noWrap/>
            <w:vAlign w:val="bottom"/>
            <w:hideMark/>
          </w:tcPr>
          <w:p w14:paraId="60E2967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6FB31BD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3B1CA3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8F4172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07291E5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4F7CD98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32A511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6A66B7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497611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518CD73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A57D71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2976E5C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515AFDF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2ACE607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968D40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26E2DA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67F5AC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56F829C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FCF927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599C9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47DDF57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291D9AF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F621BB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932755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6FCC2E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071518B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631CD4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1CD2EC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3787EA6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743812B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97DAD6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F9D8AB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39DE76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2687240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5EB26B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573381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403BB0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4CDFEF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EEC09C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93A50D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7D3B3D2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64A73D6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D2A38B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03F5A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59725B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133180E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D365B4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7CDA8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77D6890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7C52BD5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AC903A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95917F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69FA83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4AA5EED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34A9F7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6C9DEB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014FDD5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6FEC321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50A76C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70D5121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3924D9F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55CAED9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128707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D7C7D5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0BE1A8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6AFFC4A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D54A6E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76E925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27F1E8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06754E9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F34DE1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393168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0CD303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163F8DF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1DD512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A3A0C0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2FEB33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6D214EE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2F1458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2803A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5C4CB84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0646BDF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58401B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D042A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03ED92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4C07779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5EC2A9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443DC1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7A5E76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14FAD5E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B910FB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02C08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3456AD7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7C48AFE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F15FBA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7143DB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3E8F65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1E4318A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3CB240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596379C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584482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5747426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E970BB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33162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189F99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3DC8775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521B58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3A92D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5C4035B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2659912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5AEB0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093D85F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1847FA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1C6BFBF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9ADB9F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49BC337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541012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0791A68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293B57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8C52D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5F66B4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023190F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33954B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37A661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04E88B2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682FF79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CF661E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1F1DA"/>
            <w:noWrap/>
            <w:vAlign w:val="bottom"/>
            <w:hideMark/>
          </w:tcPr>
          <w:p w14:paraId="1972A3B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6063" w:type="dxa"/>
            <w:tcBorders>
              <w:top w:val="nil"/>
              <w:left w:val="nil"/>
              <w:bottom w:val="single" w:sz="4" w:space="0" w:color="auto"/>
              <w:right w:val="single" w:sz="4" w:space="0" w:color="auto"/>
            </w:tcBorders>
            <w:shd w:val="clear" w:color="000000" w:fill="D1F1DA"/>
            <w:noWrap/>
            <w:vAlign w:val="bottom"/>
            <w:hideMark/>
          </w:tcPr>
          <w:p w14:paraId="5DFEF9F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19C8872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21B167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3178AC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4932D6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3E670AE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6760BB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43AA4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48D631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5C32085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8A82B4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9ABD1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4F7EF52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54908E1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B3A584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6900B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0F1F5B8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41072C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1AB6AC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859E71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4C0295B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1A36C18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2487F4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682B3A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5D7484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5A058EE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DCB241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247793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1B023C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3FD9B39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D2D0B2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5351C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31A12A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0EDC86D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81A5BE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41150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274FD1B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3C2D120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744A57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643BAC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3F62322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352BAAC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97870A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4F8C66A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584BC7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6E28ACC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E90123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C85CEE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045EEB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486D277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458B4C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816B55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3A37DF1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0C7735D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C90705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6A1BD09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481E27B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47E58E4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64B2F7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C31BF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7B8E3B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1A99B89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60D089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D6945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2A8D7C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10DBA9C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484116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4D0F65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62BFF3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78DB6A2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F77360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299BFE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6074A2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75977BD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DC4C06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2B61AB9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5D00F7B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092C910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1F6AC7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0167A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0968371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7E16F66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035614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F43718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596629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3F58796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E18BD6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AE259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387E592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622E1CE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17E722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627550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1DF5353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6306A89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598B37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AED74E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42AB2AC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3B959C4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0DA0ED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E29E97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28EE89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62206BF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5080F3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8770A9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29DF2D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71D0743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1F2F28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13BAC2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69476C5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741342B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D2FED3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04FA1C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09FE1C9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749CC49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06080C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2ABD2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44BF5C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7C48653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4C4EAA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138D4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4C417D1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07683BA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FFB272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16AEDF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0E38331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1D0DA83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2F9397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11A404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6063" w:type="dxa"/>
            <w:tcBorders>
              <w:top w:val="nil"/>
              <w:left w:val="nil"/>
              <w:bottom w:val="single" w:sz="4" w:space="0" w:color="auto"/>
              <w:right w:val="single" w:sz="4" w:space="0" w:color="auto"/>
            </w:tcBorders>
            <w:shd w:val="clear" w:color="000000" w:fill="DAF1F3"/>
            <w:noWrap/>
            <w:vAlign w:val="bottom"/>
            <w:hideMark/>
          </w:tcPr>
          <w:p w14:paraId="77211C0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4C3D9E9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933723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E1DFE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3FCC26D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15FA2A3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ADF381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5B0FB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719AEF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5FE7637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5ABFF9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07710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22B0038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5583A05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6C3E97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278AA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0A414D7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0645972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73AB4D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4DF51B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564EC62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2713A20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A27920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2376F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03ADDC4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3FE7C97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D29F20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B19BCD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456E0A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298C0F0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B64D23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D362ED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32AFA82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17D3976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FCDED6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5E25D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682434D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500AF7B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A2B987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A18DAD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169119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5785FC4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2B202E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585E0C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7C0E202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44F4E99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FF0099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226F30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2B45039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11A8B33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F35E0B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6ADB49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50F4BA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57AB3C5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45F4DB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0FABEE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1E7A3F0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52D1596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EE8AEE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73506A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684DE0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0EA018E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08E034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F8AFBA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01E636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77CB627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6740A8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3203E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371A707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0C59A74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F3A227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CC53A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05662A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3B762A1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3286AC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44985E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03A2B1C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138A13D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4BDD3C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094892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4D5DFCC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29B80C5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D940B8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17223E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22D9228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7F0D557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1034FC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38AD92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30B8FC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43AEB93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3467F0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718BAB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2ABF0E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7EAECEF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AB789A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284B4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080E1EE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20C4031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084FCD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E27E47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2B758B0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5763F39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3A294E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8E3954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4DE3675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2801443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0F589A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F3707C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1D316CE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0C2BA21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D21F5E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6AF4BF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6E035E8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124E9E7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2109AA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AE35B0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0F274F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7227205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603995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20A961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5B2C05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42D6659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585915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31F39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1FFD71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58EB4A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DB5629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026B4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6063" w:type="dxa"/>
            <w:tcBorders>
              <w:top w:val="nil"/>
              <w:left w:val="nil"/>
              <w:bottom w:val="single" w:sz="4" w:space="0" w:color="auto"/>
              <w:right w:val="single" w:sz="4" w:space="0" w:color="auto"/>
            </w:tcBorders>
            <w:shd w:val="clear" w:color="000000" w:fill="D9E7FD"/>
            <w:noWrap/>
            <w:vAlign w:val="bottom"/>
            <w:hideMark/>
          </w:tcPr>
          <w:p w14:paraId="67E7FEF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4A2D7A3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4E8C1D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29455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4F9892D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2B46C46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C41201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06202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4AF71F2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0572B2C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594BD6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979A54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1AC60C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3AD698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5FD6B9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6333AF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3668E23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70BAB6A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7DE42A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614B0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02C9F7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19193A4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24B96A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4AF4D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743F924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45DCCA5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108D2C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68DFEBE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71699ED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7C00429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144FE2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A8A463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65B3F7A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4431B04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884D4D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ED798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7FF1222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60B846E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C86CEB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AE572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0F61B0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31CC7A9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7EA151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AB410C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58F375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0EE73BB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DDFA9B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A3930F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0F181A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2AAB04B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14ED13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87F43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155E93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683B2D8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1ED7D7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7BDDD4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19DF285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211B5DE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FD7B76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EF435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79A8B01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57799F0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6DFD75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1A4942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61D5A2E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5BD7F50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6049AB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45547F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66B60E3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714C451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0CC308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9B134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2E447F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14E142C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E2078F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46E692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2AC513A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658EB0C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85AE46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ECE72A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41123E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7401E92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E83470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1F8E58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64899ED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0EA0810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0D8631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D48D50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7E2210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7BE810C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DB6A76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85EE14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4AF5D5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541DFE6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69B794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341651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7ED056E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19A1FE0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1BE214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587B89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02C123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4681198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7FB88E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61040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4890949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6DA116F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0F3336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67BEF6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240679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27743A7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F320D5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D06F5C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0F0F3E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56E7A1A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A1772D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E3786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032ABF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19FAEB0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361446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09E7AC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5AD8EC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4EFF4E0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47C0D3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589DF7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054D922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0BEB7F3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40A7A6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612CAB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6063" w:type="dxa"/>
            <w:tcBorders>
              <w:top w:val="nil"/>
              <w:left w:val="nil"/>
              <w:bottom w:val="single" w:sz="4" w:space="0" w:color="auto"/>
              <w:right w:val="single" w:sz="4" w:space="0" w:color="auto"/>
            </w:tcBorders>
            <w:shd w:val="clear" w:color="000000" w:fill="FEF2CD"/>
            <w:noWrap/>
            <w:vAlign w:val="bottom"/>
            <w:hideMark/>
          </w:tcPr>
          <w:p w14:paraId="19F7DE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5519A63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DD0479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107776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067C48B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68FD707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E4AD7E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A584FB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48F604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210D177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FFAC80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684962F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626600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7E341AF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4CAC0C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42D86FD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04464C0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17DFEE6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BAE408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152BC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0E091B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0E8050F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C89E3C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6EF965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0066C90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023B6B2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37AAB0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0F404C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7C68026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3D305D5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D36A59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400EBA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025CA4D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F-Fisheries Production</w:t>
            </w:r>
          </w:p>
        </w:tc>
        <w:tc>
          <w:tcPr>
            <w:tcW w:w="1838" w:type="dxa"/>
            <w:tcBorders>
              <w:top w:val="nil"/>
              <w:left w:val="nil"/>
              <w:bottom w:val="single" w:sz="4" w:space="0" w:color="auto"/>
              <w:right w:val="single" w:sz="4" w:space="0" w:color="auto"/>
            </w:tcBorders>
            <w:noWrap/>
            <w:vAlign w:val="bottom"/>
            <w:hideMark/>
          </w:tcPr>
          <w:p w14:paraId="372D3AD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E48CB6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47C7DA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06EC848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3AA4C5E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1297FD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29AF96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501CE2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7F33615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FE233E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601B7C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1979C4C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6F7E6B2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744C3B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3EDF25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5A75FF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7BDC235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B82707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415B1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3F59A3E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6CF0C35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67A749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62258B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6EB2D85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5E23979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2638A8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2D863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727AB01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67C1D70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7BA6AF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FC531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1B0CF0B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5A7C259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8A0E4F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5A67B8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0EDD657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5E8AA9C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95149A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F7C49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7E19737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316FCE7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C7AB8A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2E8481D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2C76B3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60C1F90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36B124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5B0A29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2FDA3C4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62481C1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B9E3C2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DA7DDF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6BFA45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7B42C57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E2E6C6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0774B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4B85829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5BEEAB4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D59A91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601BD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0BDF24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0A997CE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88EE3D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3B7FA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341B37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1336635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BAB58C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CC78F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5EC653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796F3E0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7D31E3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7789F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298180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68253E4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EA465C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793BA1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7FB3D85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317EF5B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911421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3E1ABB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73860B5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786EADD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DF3E27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3622475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5C1801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20112CE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47A9DA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204405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6CA3A0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C45953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1E58EC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1EFFB3E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52A4F49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1D4818A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64BEC6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AF1F3"/>
            <w:noWrap/>
            <w:vAlign w:val="bottom"/>
            <w:hideMark/>
          </w:tcPr>
          <w:p w14:paraId="0EA48F7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6063" w:type="dxa"/>
            <w:tcBorders>
              <w:top w:val="nil"/>
              <w:left w:val="nil"/>
              <w:bottom w:val="single" w:sz="4" w:space="0" w:color="auto"/>
              <w:right w:val="single" w:sz="4" w:space="0" w:color="auto"/>
            </w:tcBorders>
            <w:shd w:val="clear" w:color="000000" w:fill="DAF1F3"/>
            <w:noWrap/>
            <w:vAlign w:val="bottom"/>
            <w:hideMark/>
          </w:tcPr>
          <w:p w14:paraId="5A2184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52EAD72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D2C2E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9B7DB1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1D5DE93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36C98CD2"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2BC4E99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312183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7838AE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31913C59"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1</w:t>
            </w:r>
          </w:p>
        </w:tc>
      </w:tr>
      <w:tr w:rsidR="00E30AFB" w:rsidRPr="00487CB8" w14:paraId="6D4B3F1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C4215B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4E48728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4C5ED62C"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6B8F91E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AC0E8F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55B5426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25C0ABE7"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3</w:t>
            </w:r>
          </w:p>
        </w:tc>
      </w:tr>
      <w:tr w:rsidR="00E30AFB" w:rsidRPr="00487CB8" w14:paraId="5EE90BD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DDC8A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10BC426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214B4028"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5</w:t>
            </w:r>
          </w:p>
        </w:tc>
      </w:tr>
      <w:tr w:rsidR="00E30AFB" w:rsidRPr="00487CB8" w14:paraId="35E2EEA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D78BBC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0BC8BEB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2F499B98"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1</w:t>
            </w:r>
          </w:p>
        </w:tc>
      </w:tr>
      <w:tr w:rsidR="00E30AFB" w:rsidRPr="00487CB8" w14:paraId="60A057E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DE9A3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67353FB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00DAB00B"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1</w:t>
            </w:r>
          </w:p>
        </w:tc>
      </w:tr>
      <w:tr w:rsidR="00E30AFB" w:rsidRPr="00487CB8" w14:paraId="2BB7B7F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25A3FA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5B49723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2BB07650"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033A6E7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219AE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6E4016C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2BB6146D"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3B798F1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3ADA9E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685B93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1C246669"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03D2DB9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172D04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6CADF2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6832E6F3"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77E5EBA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B3DCA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1C85CA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53BC3FBC"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631153F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A8F70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7BEE80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07C9C82E"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661B1F4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ACF20F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673095B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4DEBB211"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0A899D3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98CA0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62FF75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7D53950A"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754AA5E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C6209B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381AD8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78DDEFEF"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2A9E7B8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BCB4EF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51A1D8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49039CAD"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67F805E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CF5CC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1CAD582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411BF0F7"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5677514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10838E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237BCDA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5F8D9AC5"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4D3CEDD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A7514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38A86BC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303A723A"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3032EB3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57E2C7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447CFB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09B99918"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59EA021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C773B8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7532B47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3542ACC0"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525097F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15FED8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58270E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6D68389C"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7CD1CA5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8E353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44137E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3AF24F1C"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3</w:t>
            </w:r>
          </w:p>
        </w:tc>
      </w:tr>
      <w:tr w:rsidR="00E30AFB" w:rsidRPr="00487CB8" w14:paraId="6C70E7C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74BB4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4E4E32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28FF7D26"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1</w:t>
            </w:r>
          </w:p>
        </w:tc>
      </w:tr>
      <w:tr w:rsidR="00E30AFB" w:rsidRPr="00487CB8" w14:paraId="62968CB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277C5D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07EE4E6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5C41C7B0"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1</w:t>
            </w:r>
          </w:p>
        </w:tc>
      </w:tr>
      <w:tr w:rsidR="00E30AFB" w:rsidRPr="00487CB8" w14:paraId="0F9BF36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4A14A4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7AAA908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7C7780FA"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57F612E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6CD6792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7AF1F3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2F1F1F07"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43B6230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6400D1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32424D9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34A89DAF"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1</w:t>
            </w:r>
          </w:p>
        </w:tc>
      </w:tr>
      <w:tr w:rsidR="00E30AFB" w:rsidRPr="00487CB8" w14:paraId="26FA2FB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D69D4C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2015847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74882B83"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45A1618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67051A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49E8DC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054F133B"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4BFECF1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B2645A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6063" w:type="dxa"/>
            <w:tcBorders>
              <w:top w:val="nil"/>
              <w:left w:val="nil"/>
              <w:bottom w:val="single" w:sz="4" w:space="0" w:color="auto"/>
              <w:right w:val="single" w:sz="4" w:space="0" w:color="auto"/>
            </w:tcBorders>
            <w:shd w:val="clear" w:color="000000" w:fill="FEF2CD"/>
            <w:noWrap/>
            <w:vAlign w:val="bottom"/>
            <w:hideMark/>
          </w:tcPr>
          <w:p w14:paraId="664A6BC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5014E0BF" w14:textId="77777777" w:rsidR="00E30AFB" w:rsidRPr="00487CB8" w:rsidRDefault="00E30AFB" w:rsidP="001B74B6">
            <w:pPr>
              <w:jc w:val="right"/>
              <w:rPr>
                <w:rFonts w:ascii="Arial" w:eastAsia="Times New Roman" w:hAnsi="Arial" w:cs="Arial"/>
                <w:color w:val="000000"/>
                <w:sz w:val="20"/>
                <w:szCs w:val="20"/>
                <w:lang w:val="en-US" w:eastAsia="en-US"/>
              </w:rPr>
            </w:pPr>
            <w:r w:rsidRPr="00487CB8">
              <w:rPr>
                <w:rFonts w:ascii="Arial" w:eastAsia="Times New Roman" w:hAnsi="Arial" w:cs="Arial"/>
                <w:color w:val="000000"/>
                <w:sz w:val="20"/>
                <w:szCs w:val="20"/>
                <w:lang w:val="en-US" w:eastAsia="en-US"/>
              </w:rPr>
              <w:t>0</w:t>
            </w:r>
          </w:p>
        </w:tc>
      </w:tr>
      <w:tr w:rsidR="00E30AFB" w:rsidRPr="00487CB8" w14:paraId="6A386A3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95C493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3471162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716C7E5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2C7233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11505F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53660A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0C9CB48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49E94D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5C9E01D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34B881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255B24C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356952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42C034C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62B56C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651A771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014528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6BA5BC8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503F92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31DC00B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14D5D6C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6AF146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05ADB97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74AFBC4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0611F7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6A9DE0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45C69F2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6FD52E6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098566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9003AF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68E22A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477CFA3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310B6D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F3713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4EF6885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62D8D28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8B0B28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34257D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43311D9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4E47EF3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8AC73C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6DBE8D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423751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5F4C999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4B8062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AE21E7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3FB7832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7E2FA41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672727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2D054A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2D4BEE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551A8BC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D95307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1F9F340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399AB0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7E83490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C3C77E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F72060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445CF8A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3DBB0F0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C861CE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46CFC1A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2B446E5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7B490D0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EC5B0D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00F0BC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5C44A16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4FF17FE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6332CC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011D16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53EA49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5E1351B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1926BC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1449B0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6A1163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3810A4E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33E3B5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193DD74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7477E5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36B4055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B7BADD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757662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59A5EF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4DE4BEE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751771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32C894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53E3AD9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6087DDB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0EA523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6B5398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010403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1209E6D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89C534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586050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01FA11E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718E3BE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0D7B30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03487A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1A4564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73369AA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AE4720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3DFC4D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132DF4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6512BCD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F3C821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48F862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7BD538F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3DF79C8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D47B5F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F579C2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4F0E37F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6F85061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5C4D82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31D7A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3CF95CC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45681A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D1ECD7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2BA634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2225D54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20746A4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CD3329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11BCF84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198D1EB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55E066C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7C10FF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BDAD7"/>
            <w:noWrap/>
            <w:vAlign w:val="bottom"/>
            <w:hideMark/>
          </w:tcPr>
          <w:p w14:paraId="6D4885F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6063" w:type="dxa"/>
            <w:tcBorders>
              <w:top w:val="nil"/>
              <w:left w:val="nil"/>
              <w:bottom w:val="single" w:sz="4" w:space="0" w:color="auto"/>
              <w:right w:val="single" w:sz="4" w:space="0" w:color="auto"/>
            </w:tcBorders>
            <w:shd w:val="clear" w:color="000000" w:fill="FBDAD7"/>
            <w:noWrap/>
            <w:vAlign w:val="bottom"/>
            <w:hideMark/>
          </w:tcPr>
          <w:p w14:paraId="1248875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037DAF7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F9DAB8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48D74B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11C3FE2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26F9FE4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9D1FB1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ECA7F4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7980F4A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6337415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7C38CF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799CD4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12654B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52FB24E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784CBD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403611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40B0207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3FD989B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3097F91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C8D680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37DBA0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7FB7287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3C69C43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13C4A2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10F6006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487B474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B643C0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09A050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6FC0494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3EC7A07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5E7D4E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F5F3B2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236DD9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482BDDC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96A5CC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9DFE2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5D0641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540EDE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688A1B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0767B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3C74D62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6948524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4735CF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2B1C1D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48669B2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235A90D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0B81CE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8C39B1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4322D1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29BC87F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8712ED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23A1A3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3A0CAEA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13964F6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D68ACA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91E8A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23AE8AE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7A1331C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66DA3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3B4601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79D7B2B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62EF03B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3CD925C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737646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631406C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1254089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5F0BD0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189FB6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557DC72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554CFF7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DF43C8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F90EF7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763E8E7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58ECC2A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B2EDD2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DC332A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747A22A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0C913F1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4276B5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FE7F68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50E9FB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3B58AE6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EE6F96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74D3B0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38DF2AC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6478F1F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9ACB6B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DFBB7F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4CCE6C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26294E4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64E878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1EA317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6077A7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6958FF7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B8C0F5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DB1F8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0F87977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5FC9CB6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2DFDAC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7358B4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4C2CA9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687F334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828A98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0D8DA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6A52F5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0BA446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FA4D88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AFD29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2D31558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58AA12E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FD9EB9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2128E8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5CF1A2D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3D00B98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022380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631177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645E0ED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076D1DF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BE2950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BCB8A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0A9D9D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B9D481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CFFD08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E7D34F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2465E3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73DE94C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BD8B93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CEF59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6063" w:type="dxa"/>
            <w:tcBorders>
              <w:top w:val="nil"/>
              <w:left w:val="nil"/>
              <w:bottom w:val="single" w:sz="4" w:space="0" w:color="auto"/>
              <w:right w:val="single" w:sz="4" w:space="0" w:color="auto"/>
            </w:tcBorders>
            <w:shd w:val="clear" w:color="000000" w:fill="D9E7FD"/>
            <w:noWrap/>
            <w:vAlign w:val="bottom"/>
            <w:hideMark/>
          </w:tcPr>
          <w:p w14:paraId="455AC5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464839A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B3EF6D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447903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687437C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4D8D27D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CB6687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99080B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37A74B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280CC38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ED8DED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4CD357B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62D87B7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2606683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E85975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40E9EEA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6974F22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467B981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2930C2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60BFCA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04E7C1C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4A008FA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07EA0E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E44EC0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251FE8E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5436419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009D52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54F0C65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33F4F4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576530B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DAE15D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4435E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577D43D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7B9F69E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B41CFE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A87993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0F0DA5D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19A071F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B23BA6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6D288D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35D8A6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5384DD1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1532D6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4B256C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18B8294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6C151F0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EBDF3D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F0179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2693568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7D6B0C2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FB390F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84101A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60EA6A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1BFE8EA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B9515D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6CCDD3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2C5096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2AA4B3D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3FD60B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17339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6C62D1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261A24A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CB70B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A73B6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041FCB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52BDF6E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9A34E1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5472E4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46C667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448FBF1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C7AD22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8F8B08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279957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40B435A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140CBC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EDD32D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36F4CBB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6838AC8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874711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DD7803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1F5EAAC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0DCA643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30662E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62386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6BD8977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6F38D9B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D2E6DF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570D351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30BBD42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30C7D47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97BF40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93E427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648810D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52F9F0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8954B0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34E66D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71CB66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2333782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1084F8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26D3E9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1406ECE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68BBA07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9DE5D1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6DE99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14B564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0DE15DF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905D3E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2A51F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13B958C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88F358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D4464D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F9F77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13AE916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2B0D6E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16CC4FA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3DE07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77E08F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7CDF1F9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86FEE0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718AB7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48778A8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2D09B4F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B118C7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90B3F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2F9F9E6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198D415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11C50A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4B46787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6063" w:type="dxa"/>
            <w:tcBorders>
              <w:top w:val="nil"/>
              <w:left w:val="nil"/>
              <w:bottom w:val="single" w:sz="4" w:space="0" w:color="auto"/>
              <w:right w:val="single" w:sz="4" w:space="0" w:color="auto"/>
            </w:tcBorders>
            <w:shd w:val="clear" w:color="000000" w:fill="B5E3E8"/>
            <w:noWrap/>
            <w:vAlign w:val="bottom"/>
            <w:hideMark/>
          </w:tcPr>
          <w:p w14:paraId="698923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4D1B731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F749E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64F72E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50F71B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32F516B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A73C62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802CCE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5E7AD6A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2989119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925905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685EE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2B1F96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75E68FB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8CED01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11F407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46F997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7039145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89FBCC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1128F2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1009870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588D1D0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C93B7F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31A2EA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7E7DA3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350499F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CD89D9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A04E4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48D0524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7AF0A43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3CCF52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D2241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463BC77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7E6069E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1CDF30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8E4BD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7A53CC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7BDB295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46ABB4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4F045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40AEEA2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1159930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932140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DA05C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0C0B76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2ECAE7F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79AF87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5136F87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44E7596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7A5DB2A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AA210F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F3B0B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6725D9D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3223989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EDF263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567145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52899F1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04A8E82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2E5940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1C9E4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29405DF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256085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D75C4B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C6D13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3F97ED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4281ED3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21E6E6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A07D4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19730B8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6D8E2B4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CC6F8B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47F11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79C9AE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4925DE1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B25047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84174A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522601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1701CD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3CDA17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629AD7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57F06C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3D795C1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2C80CA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2B808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593B5D0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556C320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6170C4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F9997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025F15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14C0736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E210E6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D3E1D6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42FB32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39C8F9B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CB6A0C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532DB0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0B09E3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155944F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1B400F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541BF5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665735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3ABC37C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BC5770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5194F3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5A5C6F1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271E2D8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1A2751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173F8F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092423F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A8529D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E6FCB2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072F3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54FC467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6D270EC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261DA5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1D17A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0C591A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5167B39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DA10C8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4F01E2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165520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AC473F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CF7703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66AED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2F1749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2B65D70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E4D8A5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B983F0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6063" w:type="dxa"/>
            <w:tcBorders>
              <w:top w:val="nil"/>
              <w:left w:val="nil"/>
              <w:bottom w:val="single" w:sz="4" w:space="0" w:color="auto"/>
              <w:right w:val="single" w:sz="4" w:space="0" w:color="auto"/>
            </w:tcBorders>
            <w:shd w:val="clear" w:color="000000" w:fill="B5E3E8"/>
            <w:noWrap/>
            <w:vAlign w:val="bottom"/>
            <w:hideMark/>
          </w:tcPr>
          <w:p w14:paraId="5AB5C12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09C10E4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367B23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FC10F9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7C7EC6A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2696D49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5B7FE6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C2C31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0676FFE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1E44853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78C94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EA68F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16E8818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70BDAC6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5D72E53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72FE0C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72CDF8E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62D3410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B78B79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BD12F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431344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5525855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6E8748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128E2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1887C68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2BD8600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00A080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ECB0C9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0EADC4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3B4F660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FA4AB6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BE243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4240272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322BA6A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DA834F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B4FA53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39822E4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5236715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AB814E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090486F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0DBAF4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584FDC0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02DE28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30632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2FC600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5A0796B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068073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B57BB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5FBAED4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212D42C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C4CECA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1EA90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6EB329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6A5A110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98449C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E20713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4DA4A9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4110B88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1AAD2C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30FCB6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2FFB4C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56BBE77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7DEFC2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1644E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501989D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7ECA099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72EF83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07C991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370B072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3D1DB17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8B9441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FF4BD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0B04A31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4BF1724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C00116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674FD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113B0DC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218B672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9D2FAB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9A9D5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7365B5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2002786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F66A18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4DE80CE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5A43C1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7450EB7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558BF8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F4F9BC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2C17CBB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27EE8B0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15D929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8B836B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0E171B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277EAA7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9CB15D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3DCE312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2A4188A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2F2356F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7FD3CD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F11E5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6C9C287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3DCA612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0FDA9D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691364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28140F7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24A1747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D2E095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E6A32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4B1A102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1EA1B8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7D640E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7A2840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752CC0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50D85F8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C7B2CA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1185670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45CDD0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03CA8C7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1C3F15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6C6D262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325DD9C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578438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EF41CA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550E08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1666CA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0076F72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3D2F31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EF2CD"/>
            <w:noWrap/>
            <w:vAlign w:val="bottom"/>
            <w:hideMark/>
          </w:tcPr>
          <w:p w14:paraId="25FD420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6063" w:type="dxa"/>
            <w:tcBorders>
              <w:top w:val="nil"/>
              <w:left w:val="nil"/>
              <w:bottom w:val="single" w:sz="4" w:space="0" w:color="auto"/>
              <w:right w:val="single" w:sz="4" w:space="0" w:color="auto"/>
            </w:tcBorders>
            <w:shd w:val="clear" w:color="000000" w:fill="FEF2CD"/>
            <w:noWrap/>
            <w:vAlign w:val="bottom"/>
            <w:hideMark/>
          </w:tcPr>
          <w:p w14:paraId="7FDB3E3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18EDBF5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4B9B59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7EC42B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46B70A9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771F3ED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597D3F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637817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1127AB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39FBA28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E96123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2CAA7A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2327721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3B5031D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36BCC8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2E4609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4FDC947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5C3975D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E1C2B5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7991E2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6CA5A74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2A104B0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24563B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29B72E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737252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03D6CB6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65C244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1B0F39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2236AC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13C4F79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31C69E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17E8239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FA9238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56C3DDA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F01D5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641788E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75EBD26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72F43E2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C5236E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246E66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A5A2A4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3014782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253013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1911016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C6EA85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7C3C59E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066193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35634BB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D5C7B0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1FE99E2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3ADD81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47E2FA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69ADE31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4EEDCBB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6582DA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0F47E0A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5382D2B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5CD9B09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6A3624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1FDB49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AA89F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72050BD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BCE792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04FE730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09055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2C3657A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5CCF1A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7B0A262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4F65A7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09E4B3A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DD430A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425E46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5C1232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4D6F9C8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A6D3BE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605B08B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1F6A98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577479B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D9CC9D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3B9F63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6CB294F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1A0A70F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67E059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22F703B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79570E9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1BD7F27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E79929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6BA85D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528F7B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7FB2EEA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74B46E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68F8BD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297ACAD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66C539E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63B82D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5DEC130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44A2470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208C022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62CE1D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241812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4A9BFD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5D49757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DEB2A0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62E2215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1825238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63D1AD1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00AB7E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41B7DE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45E588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11B6774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C55CF4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563D31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04ACFB2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7B2C44B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CD5526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32FD3DF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38400E7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0C77D93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133C04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4EC7D6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63806B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0AE7E6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D019A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496470F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2D4E48F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2F50E22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A1FEE0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46BDC6"/>
            <w:noWrap/>
            <w:vAlign w:val="bottom"/>
            <w:hideMark/>
          </w:tcPr>
          <w:p w14:paraId="519715B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6063" w:type="dxa"/>
            <w:tcBorders>
              <w:top w:val="nil"/>
              <w:left w:val="nil"/>
              <w:bottom w:val="single" w:sz="4" w:space="0" w:color="auto"/>
              <w:right w:val="single" w:sz="4" w:space="0" w:color="auto"/>
            </w:tcBorders>
            <w:shd w:val="clear" w:color="000000" w:fill="46BDC6"/>
            <w:noWrap/>
            <w:vAlign w:val="bottom"/>
            <w:hideMark/>
          </w:tcPr>
          <w:p w14:paraId="2C2902E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3C60D6D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B32783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65FB1A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6D40BE6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67D6817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ABEA27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4A3BC8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728A98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4A0487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3E754E5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6E6BA2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32503CD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4B3B569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5D75ED6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354C6DD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501F07C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517A575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42DE595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1021CD8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7BD7967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18B3C02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34FBC1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6715ACD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459510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02946E1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4914D3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74EEF15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0DAD1ED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458544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DE0C0F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754B24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5ECF71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573BD82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627C98D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22587BC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37927C2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09B0E63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75DA26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6100F1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7C3739A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6DAC559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1801A0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2E2B59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501748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2850740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49A0AE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1A73E8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6BA180F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2DDD79E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CDE6F5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44A1090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70E4F5F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1ABDC29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C43E8D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7C61888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44BFD1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0DD129F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D3CCB7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44490AA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412979A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6F2C301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BA2651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7055DB8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28D2F72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4061310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34C74F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500CAF6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11B27F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07C4C87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9A8FA7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473131B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454CA2C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280D84B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DE7234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529E1B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1697766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4BA6827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A02D64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37407E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4046D6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78A5C1A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4180EA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29E1F9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5D36B31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1681FEC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CF2F1C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79F802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3A8E5B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0268E3A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4EE5DD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5F327D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2F09FF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2DA7AEE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9013D5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1792CD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75D83F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03FF6CE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726B6D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3F9C377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67095F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6D920DC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056096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434187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4407D0C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7AE0778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7906E6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4FB27C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0D63A3F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2955FF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23BA56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7AE7A1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2318A9D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0439389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FAB214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654570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33F42A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3906A9C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ACE054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7328D4F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00800E9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4BBB483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E1E7EA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7CAE3D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4377728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5870E56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36A6D9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D868"/>
            <w:noWrap/>
            <w:vAlign w:val="bottom"/>
            <w:hideMark/>
          </w:tcPr>
          <w:p w14:paraId="72ECE63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6063" w:type="dxa"/>
            <w:tcBorders>
              <w:top w:val="nil"/>
              <w:left w:val="nil"/>
              <w:bottom w:val="single" w:sz="4" w:space="0" w:color="auto"/>
              <w:right w:val="single" w:sz="4" w:space="0" w:color="auto"/>
            </w:tcBorders>
            <w:shd w:val="clear" w:color="000000" w:fill="FDD868"/>
            <w:noWrap/>
            <w:vAlign w:val="bottom"/>
            <w:hideMark/>
          </w:tcPr>
          <w:p w14:paraId="0549A6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7591BF7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373185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4FB8A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50ED191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32E7D8C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8739B8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1798C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5F05B0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784ACBA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472DFC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622B6E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6CCF977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72F3222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2A3FD1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5FECCF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4B0B43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0A25AE7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EA3725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830B1E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0F26736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51268AB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D2246F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F65EC0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341D083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58D0CBA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F6D1B8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7098ED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14BA3D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47D91E5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2486D3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7C638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1A68D5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42C8F41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385F48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F92E1E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60F105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19635A2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DA4ED4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50232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10650F2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100291E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0ABA68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B2F1E1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69A186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74B5E1F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6D1C9D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41FD65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646DBC6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60E11AE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85AD0E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939003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0ACB1AC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2CCEE60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D28F16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F0C7F7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4D82BA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2B35772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E6B3E1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66C2CF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5AA984F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345FE89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DDC78D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33A43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7D3616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1F0C170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65A58AA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E143E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69B153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52ECE8A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ABB186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AC4456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76A6CD5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781F7AE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63FBDB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6A5216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2800614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31A01B3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2478C1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365E78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614AC1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0BE599B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93E6A6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DD5996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566A0E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3DB4B98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5D5AC5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A84BC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6145ED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52C3350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79D7FD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141C0A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2287A2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486C239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62F28F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703D3E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788E03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7B1D82C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C309BC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A4384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1B482D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3B16290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248906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4FD5F2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5DC0EE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4D80D3C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8F95B7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14D8412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4747E2B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2BD22C4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49FDC04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5135A1A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1186F52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0176EA0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6BA7C3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6C534B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768316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1DFAB9E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C5C3FF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B3BB3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2C73620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618527F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D816D7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0A0F013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7CAF23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65E2812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F6AF80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D9E7FD"/>
            <w:noWrap/>
            <w:vAlign w:val="bottom"/>
            <w:hideMark/>
          </w:tcPr>
          <w:p w14:paraId="29504B5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6063" w:type="dxa"/>
            <w:tcBorders>
              <w:top w:val="nil"/>
              <w:left w:val="nil"/>
              <w:bottom w:val="single" w:sz="4" w:space="0" w:color="auto"/>
              <w:right w:val="single" w:sz="4" w:space="0" w:color="auto"/>
            </w:tcBorders>
            <w:shd w:val="clear" w:color="000000" w:fill="D9E7FD"/>
            <w:noWrap/>
            <w:vAlign w:val="bottom"/>
            <w:hideMark/>
          </w:tcPr>
          <w:p w14:paraId="0867006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72883BC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1E4D94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75B9BBD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71683A3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468D32D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66E502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370F5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0F73EA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6CEF612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3A4074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410603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1EC6A7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4605B2A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2EB6E3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26B7779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6772FAE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411021B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E27259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CEFCE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56D4F0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420C550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6F804C4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6ED909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1756637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68325F5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DA09DE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27FBC2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0056CA9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1CA7D4E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A15D58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45D5ACC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3152722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42F2724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3342C2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62AE1C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4C8BF1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2FAA4C0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FCC68B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738F563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5CEB92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544F430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67B32B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5FDA45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53AD92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44CA787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A83E98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5F562C2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07E927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1693432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71E205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21A319B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091E5F5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6D3D637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D436BD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09CBFF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720B287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311B3EC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7FAE01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1E8E2A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4EF688E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62EDCDB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BDDCEC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4E73CC0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4B6774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5AFB75A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396CFD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07518D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5EA82A8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74747AC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71DDC9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BAFC0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60666F0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54BD8ED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90C35A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1FA585A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2C05DD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77FCD1D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C3B3FE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2473E3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0CE87B3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4DCB52F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431301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580F36C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5AB5D43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0C9B7DA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5D0423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2E0DA3F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5C57FF8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36F23B0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F36BF1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2189A97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3937713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1EFEC77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59D9DF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624E1B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6994A70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06D99E6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B48C6D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6AC300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55EF5A7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5A6DA46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340B3F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7201855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3F64526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06B9716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7CBBB4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445F1D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7A5C75E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824688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1D2806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1DDC1BF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20287FC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4CBBF5D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C98968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63941C8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441804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687ADDB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A1C121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14D3020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7E0253C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3A542BA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742439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1EDF2F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108DB61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278F15C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4E971B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0427AD5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6063" w:type="dxa"/>
            <w:tcBorders>
              <w:top w:val="nil"/>
              <w:left w:val="nil"/>
              <w:bottom w:val="single" w:sz="4" w:space="0" w:color="auto"/>
              <w:right w:val="single" w:sz="4" w:space="0" w:color="auto"/>
            </w:tcBorders>
            <w:shd w:val="clear" w:color="000000" w:fill="7AD694"/>
            <w:noWrap/>
            <w:vAlign w:val="bottom"/>
            <w:hideMark/>
          </w:tcPr>
          <w:p w14:paraId="01324A1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014FFEA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2726CD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3ABD248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0530326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250B6D7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B53C9B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3AC5E6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552D20E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3F5502A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3D1C34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186E2D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55D16E1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5E782FE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1CC24D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613E1E6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2721A0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500D85A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FFF0E7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7FAD29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31241A0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51074C1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5929E32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16DB75C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7C41244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6A18EC3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0B685E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36FC10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7F0C4DF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1617236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921ECD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453CCE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48DB67A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2423B6A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5D0EE52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7588EB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20B3C2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2B2F9FB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824917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1F78FEE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7FD89F1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345B284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5F3A180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1DEE71F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5F97708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4FC54D7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AEEA4D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52B80AF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798AC5A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5BCDA2E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B52403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3035FB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22034CB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73A2102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9E8EA8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0D768A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1799CE5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028CAD8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636BE8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277B28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3AC8AC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3F979B8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6689C9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6D38CA4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36B553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653ED46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194AFD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664B0BE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6814F46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06F149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6524DF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702A81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29B426F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7F4788A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811A2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4E864B7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1109A70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3A59F4D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5BC55B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4799F1B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77DB5F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35EED05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27D1B2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4531A78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1CF4893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6C3FB12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E31849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7486D7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73F5A0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3123319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56AC02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3CB81A1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7DCE265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68A1E2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21891D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0B5A7C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296416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7FBD093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9595A1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539F20B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1AB62CB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59DE89C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BA4E7A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03E1C4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074D78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421A07A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F69DC8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005835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530D54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417CE4F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E5BBF3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4B3E3B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2D852A4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68B2CC7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65D3E9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10C25DD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0B97E7C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5DA3F79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60513F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7236A9D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361EF43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C8C1B6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1188B0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0BDADB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6619B96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03EB9DF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4AC250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3CEFB"/>
            <w:noWrap/>
            <w:vAlign w:val="bottom"/>
            <w:hideMark/>
          </w:tcPr>
          <w:p w14:paraId="259AC4D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6063" w:type="dxa"/>
            <w:tcBorders>
              <w:top w:val="nil"/>
              <w:left w:val="nil"/>
              <w:bottom w:val="single" w:sz="4" w:space="0" w:color="auto"/>
              <w:right w:val="single" w:sz="4" w:space="0" w:color="auto"/>
            </w:tcBorders>
            <w:shd w:val="clear" w:color="000000" w:fill="B3CEFB"/>
            <w:noWrap/>
            <w:vAlign w:val="bottom"/>
            <w:hideMark/>
          </w:tcPr>
          <w:p w14:paraId="3D7E4D8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3170850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087D64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B153BF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18AA0B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4E8C1ED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984C67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6352A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60B22B0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2E2A582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E09988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5BF2F4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7284B0E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67832AB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C827AD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412E214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21C07D2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708D6C5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08BF10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4B00C6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60D7E9E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563669F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259F85B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3AACA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1A3991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2D80148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F70F38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3D8E44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62BA5B7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225484A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944B9B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4B3A354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131A3B4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7061213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565776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C96515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6DBA591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20F941F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BC67CC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0A1905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012C2E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1704BCA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F6F7E1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8ACE9E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1C95B5F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3673B18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52B24C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4344E23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44A82C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02C4061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178C72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532FDB5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6DFF582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77E6849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DBA3EE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17D15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66B1DC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507759B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B26A13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D0B702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7ADA019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187B3ED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F210B0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404608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56F8CE5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22101C7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FA5D28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1B0C07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44D392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039614B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A0C395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78B40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04416FD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5D6D02A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42F5E1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2012CB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021DBF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4A3AFE0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7A0F8D5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839D34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1D6C123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5604326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985CFE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41AEF5B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70161C1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1B41772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8E904A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5D852FC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59879A5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423A129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11D968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2E64388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55DAA12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3F6497B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36845C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3723CE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73AA2D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6296EF5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087D4C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248C79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1D1DDA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1D60AAD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6B1A22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5FB814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6C9A911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00BC666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6DC6BA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77A7CF5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7BC977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7B06970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E267FC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111B324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5B6569C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5C97947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709D74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600CF2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48171D0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39C1489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AECA93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5F94177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4F54AF7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7EDCE29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FF0932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6423B8C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4975A8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41C865A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158E9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B5E3E8"/>
            <w:noWrap/>
            <w:vAlign w:val="bottom"/>
            <w:hideMark/>
          </w:tcPr>
          <w:p w14:paraId="0B4A37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6063" w:type="dxa"/>
            <w:tcBorders>
              <w:top w:val="nil"/>
              <w:left w:val="nil"/>
              <w:bottom w:val="single" w:sz="4" w:space="0" w:color="auto"/>
              <w:right w:val="single" w:sz="4" w:space="0" w:color="auto"/>
            </w:tcBorders>
            <w:shd w:val="clear" w:color="000000" w:fill="B5E3E8"/>
            <w:noWrap/>
            <w:vAlign w:val="bottom"/>
            <w:hideMark/>
          </w:tcPr>
          <w:p w14:paraId="392EDF8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5642879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B49B6B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5B13E2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24DD615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5BEC176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5F016D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5F423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2207054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0262DE2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BA1334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06AA00B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42E960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0E1736E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A59EB9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237EC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166970B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6616236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D10F67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6B07F6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1C15B5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07DAB9A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411E11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3ECCE37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553E2B3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4D0C833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1E83AD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CF4231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6CF301F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41A068F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0DC0FE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0525A21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0FC84C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12339B5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50E126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755C12C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684A072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7B025F4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B2B637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7E459E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7E58AE2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2B1E0ED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7556FE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0A9453A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775B068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7A179FA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F00DA8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3B3232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2A592D9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3A37F00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E827EB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ECCEC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06A15F9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77DC6E5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F5FE2F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4F44DED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2026CC0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0B6F140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F62980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5C935E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1C9DFC0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73DA0E4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C1F473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5470180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6B5738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0C19FD8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31574B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36FB941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6C6C4BE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11A7F2A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30C2AF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192C891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5C934EA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1A3E4C9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CCEC52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4D9533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00597C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040E1F2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0A67ABA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136E868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122AD6E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1082F11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C0F39E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4631E3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02EDB68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7481365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8DC479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0F2DDCB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6D78307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36E92279"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6DB962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5B21D5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3D1CEED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1A02C21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BFA4C4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611B8AA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78A28BD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0EDAD3C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4BB74C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4C4D56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4E03E44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065923B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73D4A5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467CB01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387C577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15346CC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058C18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559826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75EBCB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71F7893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DFBFE8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28042B5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42FF41E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5591306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933206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0760194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0CB553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23406A1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6886113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396E77F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5DFD1E4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27EE0E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386FA1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7A4E95D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33D80BF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024EC92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468AA08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DE49B"/>
            <w:noWrap/>
            <w:vAlign w:val="bottom"/>
            <w:hideMark/>
          </w:tcPr>
          <w:p w14:paraId="0C35FF6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6063" w:type="dxa"/>
            <w:tcBorders>
              <w:top w:val="nil"/>
              <w:left w:val="nil"/>
              <w:bottom w:val="single" w:sz="4" w:space="0" w:color="auto"/>
              <w:right w:val="single" w:sz="4" w:space="0" w:color="auto"/>
            </w:tcBorders>
            <w:shd w:val="clear" w:color="000000" w:fill="FDE49B"/>
            <w:noWrap/>
            <w:vAlign w:val="bottom"/>
            <w:hideMark/>
          </w:tcPr>
          <w:p w14:paraId="0E95081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066407C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59003E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4F3D28F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785988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1DD027B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ECC89E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10F365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648127E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49E41A2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7F32A82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17D382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2842D7B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275B936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4792BA8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556A33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664AFEA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661826B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258DDC1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630A00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11C67CC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06AC92F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456FB79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4E40AB6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21FC7A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6E015D9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3DF4D3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69E2873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326B7DF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60CC2CC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E1E9A5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78A175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6516E6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3A9D42F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5</w:t>
            </w:r>
          </w:p>
        </w:tc>
      </w:tr>
      <w:tr w:rsidR="00E30AFB" w:rsidRPr="00487CB8" w14:paraId="042EB66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714575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2268A7D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23FB8BC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649C266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0F19389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559D775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14F70C3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AE34EF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557AB68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5FBA3DB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06DDED3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94F866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4D596C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7A9398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0B42B6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EF79DC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1AE45A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4583648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5CB3F62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A00982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7C6C79B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688631B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7F2E9B1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F5A42D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43D8C44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6DEF1B5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08F94F0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39FF26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24C431B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15B4F98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5AD4752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4B765B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4A221B1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1976803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7220F08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244DA6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AC724F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04E28DE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026971F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C8AFE2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467C8A6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32D7479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07E3784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896A7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B44483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4593A5C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4C4C5CF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47A760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6B5EEA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7C91E4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03F1F617"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976AAA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190F6B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7FA9346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194B513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B933D6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587CB68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43745E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625254F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ABC09AE"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2AA7B44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7EBB8DB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7C38665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A6F030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ACC107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41A1285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5E95231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033ADE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2FD3810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6008C0F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4ADF365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4926522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09A4112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7633A81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36C5464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AD6BCB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5E29C69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03B5038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5253FB2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3FF748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1B1399F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5A077E8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6C8D4E3D"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E8D510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7A25DD9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19B3E54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2570417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D0BD99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6E6AFDC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1996423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3475FA3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5CA24D9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7AD694"/>
            <w:noWrap/>
            <w:vAlign w:val="bottom"/>
            <w:hideMark/>
          </w:tcPr>
          <w:p w14:paraId="3AA7E4C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6063" w:type="dxa"/>
            <w:tcBorders>
              <w:top w:val="nil"/>
              <w:left w:val="nil"/>
              <w:bottom w:val="single" w:sz="4" w:space="0" w:color="auto"/>
              <w:right w:val="single" w:sz="4" w:space="0" w:color="auto"/>
            </w:tcBorders>
            <w:shd w:val="clear" w:color="000000" w:fill="7AD694"/>
            <w:noWrap/>
            <w:vAlign w:val="bottom"/>
            <w:hideMark/>
          </w:tcPr>
          <w:p w14:paraId="56016FF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1031AC0E"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221BD9F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5987255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30AF8C9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P-Agriculture</w:t>
            </w:r>
          </w:p>
        </w:tc>
        <w:tc>
          <w:tcPr>
            <w:tcW w:w="1838" w:type="dxa"/>
            <w:tcBorders>
              <w:top w:val="nil"/>
              <w:left w:val="nil"/>
              <w:bottom w:val="single" w:sz="4" w:space="0" w:color="auto"/>
              <w:right w:val="single" w:sz="4" w:space="0" w:color="auto"/>
            </w:tcBorders>
            <w:noWrap/>
            <w:vAlign w:val="bottom"/>
            <w:hideMark/>
          </w:tcPr>
          <w:p w14:paraId="59B223F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7B40B7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2186650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3BDF68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P-Domestic Waste</w:t>
            </w:r>
          </w:p>
        </w:tc>
        <w:tc>
          <w:tcPr>
            <w:tcW w:w="1838" w:type="dxa"/>
            <w:tcBorders>
              <w:top w:val="nil"/>
              <w:left w:val="nil"/>
              <w:bottom w:val="single" w:sz="4" w:space="0" w:color="auto"/>
              <w:right w:val="single" w:sz="4" w:space="0" w:color="auto"/>
            </w:tcBorders>
            <w:noWrap/>
            <w:vAlign w:val="bottom"/>
            <w:hideMark/>
          </w:tcPr>
          <w:p w14:paraId="04BED31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2DDE03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4127C6D7"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2E04095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P-Solid Waste</w:t>
            </w:r>
          </w:p>
        </w:tc>
        <w:tc>
          <w:tcPr>
            <w:tcW w:w="1838" w:type="dxa"/>
            <w:tcBorders>
              <w:top w:val="nil"/>
              <w:left w:val="nil"/>
              <w:bottom w:val="single" w:sz="4" w:space="0" w:color="auto"/>
              <w:right w:val="single" w:sz="4" w:space="0" w:color="auto"/>
            </w:tcBorders>
            <w:noWrap/>
            <w:vAlign w:val="bottom"/>
            <w:hideMark/>
          </w:tcPr>
          <w:p w14:paraId="6BE6086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8E6847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44EF74D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31618A3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P-Hazardous (Industry)</w:t>
            </w:r>
          </w:p>
        </w:tc>
        <w:tc>
          <w:tcPr>
            <w:tcW w:w="1838" w:type="dxa"/>
            <w:tcBorders>
              <w:top w:val="nil"/>
              <w:left w:val="nil"/>
              <w:bottom w:val="single" w:sz="4" w:space="0" w:color="auto"/>
              <w:right w:val="single" w:sz="4" w:space="0" w:color="auto"/>
            </w:tcBorders>
            <w:noWrap/>
            <w:vAlign w:val="bottom"/>
            <w:hideMark/>
          </w:tcPr>
          <w:p w14:paraId="05FFFF01"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3308AD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4E75489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046E7D8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P-Oil Pollution</w:t>
            </w:r>
          </w:p>
        </w:tc>
        <w:tc>
          <w:tcPr>
            <w:tcW w:w="1838" w:type="dxa"/>
            <w:tcBorders>
              <w:top w:val="nil"/>
              <w:left w:val="nil"/>
              <w:bottom w:val="single" w:sz="4" w:space="0" w:color="auto"/>
              <w:right w:val="single" w:sz="4" w:space="0" w:color="auto"/>
            </w:tcBorders>
            <w:noWrap/>
            <w:vAlign w:val="bottom"/>
            <w:hideMark/>
          </w:tcPr>
          <w:p w14:paraId="1DD2987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65173F04"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684C148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49BB78F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P-Atmospheric</w:t>
            </w:r>
          </w:p>
        </w:tc>
        <w:tc>
          <w:tcPr>
            <w:tcW w:w="1838" w:type="dxa"/>
            <w:tcBorders>
              <w:top w:val="nil"/>
              <w:left w:val="nil"/>
              <w:bottom w:val="single" w:sz="4" w:space="0" w:color="auto"/>
              <w:right w:val="single" w:sz="4" w:space="0" w:color="auto"/>
            </w:tcBorders>
            <w:noWrap/>
            <w:vAlign w:val="bottom"/>
            <w:hideMark/>
          </w:tcPr>
          <w:p w14:paraId="381DAA3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16A688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47D96A2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7ACA0AA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P-Hotspot of Pollution</w:t>
            </w:r>
          </w:p>
        </w:tc>
        <w:tc>
          <w:tcPr>
            <w:tcW w:w="1838" w:type="dxa"/>
            <w:tcBorders>
              <w:top w:val="nil"/>
              <w:left w:val="nil"/>
              <w:bottom w:val="single" w:sz="4" w:space="0" w:color="auto"/>
              <w:right w:val="single" w:sz="4" w:space="0" w:color="auto"/>
            </w:tcBorders>
            <w:noWrap/>
            <w:vAlign w:val="bottom"/>
            <w:hideMark/>
          </w:tcPr>
          <w:p w14:paraId="340749CA"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96115E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0DE09F7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7D52026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Fisheries Production</w:t>
            </w:r>
          </w:p>
        </w:tc>
        <w:tc>
          <w:tcPr>
            <w:tcW w:w="1838" w:type="dxa"/>
            <w:tcBorders>
              <w:top w:val="nil"/>
              <w:left w:val="nil"/>
              <w:bottom w:val="single" w:sz="4" w:space="0" w:color="auto"/>
              <w:right w:val="single" w:sz="4" w:space="0" w:color="auto"/>
            </w:tcBorders>
            <w:noWrap/>
            <w:vAlign w:val="bottom"/>
            <w:hideMark/>
          </w:tcPr>
          <w:p w14:paraId="4E33EEE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22265D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5C92B7D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03A329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Catch Structures/Composition</w:t>
            </w:r>
          </w:p>
        </w:tc>
        <w:tc>
          <w:tcPr>
            <w:tcW w:w="1838" w:type="dxa"/>
            <w:tcBorders>
              <w:top w:val="nil"/>
              <w:left w:val="nil"/>
              <w:bottom w:val="single" w:sz="4" w:space="0" w:color="auto"/>
              <w:right w:val="single" w:sz="4" w:space="0" w:color="auto"/>
            </w:tcBorders>
            <w:noWrap/>
            <w:vAlign w:val="bottom"/>
            <w:hideMark/>
          </w:tcPr>
          <w:p w14:paraId="257F5D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58F1F1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1CAA9F7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58B432F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 Fishing Efforts</w:t>
            </w:r>
          </w:p>
        </w:tc>
        <w:tc>
          <w:tcPr>
            <w:tcW w:w="1838" w:type="dxa"/>
            <w:tcBorders>
              <w:top w:val="nil"/>
              <w:left w:val="nil"/>
              <w:bottom w:val="single" w:sz="4" w:space="0" w:color="auto"/>
              <w:right w:val="single" w:sz="4" w:space="0" w:color="auto"/>
            </w:tcBorders>
            <w:noWrap/>
            <w:vAlign w:val="bottom"/>
            <w:hideMark/>
          </w:tcPr>
          <w:p w14:paraId="14149B1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7C79DB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0EA7BB3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53C650D9"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F-Ratio of Capacity-enhancing subsidies to value of landed catch</w:t>
            </w:r>
          </w:p>
        </w:tc>
        <w:tc>
          <w:tcPr>
            <w:tcW w:w="1838" w:type="dxa"/>
            <w:tcBorders>
              <w:top w:val="nil"/>
              <w:left w:val="nil"/>
              <w:bottom w:val="single" w:sz="4" w:space="0" w:color="auto"/>
              <w:right w:val="single" w:sz="4" w:space="0" w:color="auto"/>
            </w:tcBorders>
            <w:noWrap/>
            <w:vAlign w:val="bottom"/>
            <w:hideMark/>
          </w:tcPr>
          <w:p w14:paraId="7A18782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2A303B90"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5FFAF61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39C06E9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F-Primary production required (ecological footprint of fisheries)</w:t>
            </w:r>
          </w:p>
        </w:tc>
        <w:tc>
          <w:tcPr>
            <w:tcW w:w="1838" w:type="dxa"/>
            <w:tcBorders>
              <w:top w:val="nil"/>
              <w:left w:val="nil"/>
              <w:bottom w:val="single" w:sz="4" w:space="0" w:color="auto"/>
              <w:right w:val="single" w:sz="4" w:space="0" w:color="auto"/>
            </w:tcBorders>
            <w:noWrap/>
            <w:vAlign w:val="bottom"/>
            <w:hideMark/>
          </w:tcPr>
          <w:p w14:paraId="265F1EE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71409BF5"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1769C20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4F4561A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F-Marine Trophic Index (MTI)</w:t>
            </w:r>
          </w:p>
        </w:tc>
        <w:tc>
          <w:tcPr>
            <w:tcW w:w="1838" w:type="dxa"/>
            <w:tcBorders>
              <w:top w:val="nil"/>
              <w:left w:val="nil"/>
              <w:bottom w:val="single" w:sz="4" w:space="0" w:color="auto"/>
              <w:right w:val="single" w:sz="4" w:space="0" w:color="auto"/>
            </w:tcBorders>
            <w:noWrap/>
            <w:vAlign w:val="bottom"/>
            <w:hideMark/>
          </w:tcPr>
          <w:p w14:paraId="33C03F1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0D7A3E5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56AC00F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1FADBA0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F-Fishing in Balance Index (FIB)</w:t>
            </w:r>
          </w:p>
        </w:tc>
        <w:tc>
          <w:tcPr>
            <w:tcW w:w="1838" w:type="dxa"/>
            <w:tcBorders>
              <w:top w:val="nil"/>
              <w:left w:val="nil"/>
              <w:bottom w:val="single" w:sz="4" w:space="0" w:color="auto"/>
              <w:right w:val="single" w:sz="4" w:space="0" w:color="auto"/>
            </w:tcBorders>
            <w:noWrap/>
            <w:vAlign w:val="bottom"/>
            <w:hideMark/>
          </w:tcPr>
          <w:p w14:paraId="66C7790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1842824B"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25B61F5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56DD2BF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F-Catch from Bottom-Impacting Gear Types</w:t>
            </w:r>
          </w:p>
        </w:tc>
        <w:tc>
          <w:tcPr>
            <w:tcW w:w="1838" w:type="dxa"/>
            <w:tcBorders>
              <w:top w:val="nil"/>
              <w:left w:val="nil"/>
              <w:bottom w:val="single" w:sz="4" w:space="0" w:color="auto"/>
              <w:right w:val="single" w:sz="4" w:space="0" w:color="auto"/>
            </w:tcBorders>
            <w:noWrap/>
            <w:vAlign w:val="bottom"/>
            <w:hideMark/>
          </w:tcPr>
          <w:p w14:paraId="7DED6B8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3F2E450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4A8D3AE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2719B0F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F-Change in Catch Potential Under Global Climate Change</w:t>
            </w:r>
          </w:p>
        </w:tc>
        <w:tc>
          <w:tcPr>
            <w:tcW w:w="1838" w:type="dxa"/>
            <w:tcBorders>
              <w:top w:val="nil"/>
              <w:left w:val="nil"/>
              <w:bottom w:val="single" w:sz="4" w:space="0" w:color="auto"/>
              <w:right w:val="single" w:sz="4" w:space="0" w:color="auto"/>
            </w:tcBorders>
            <w:noWrap/>
            <w:vAlign w:val="bottom"/>
            <w:hideMark/>
          </w:tcPr>
          <w:p w14:paraId="1FA60583"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1</w:t>
            </w:r>
          </w:p>
        </w:tc>
      </w:tr>
      <w:tr w:rsidR="00E30AFB" w:rsidRPr="00487CB8" w14:paraId="5A736CB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6D1A566F"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2672D211"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F-Aquaculture Productions</w:t>
            </w:r>
          </w:p>
        </w:tc>
        <w:tc>
          <w:tcPr>
            <w:tcW w:w="1838" w:type="dxa"/>
            <w:tcBorders>
              <w:top w:val="nil"/>
              <w:left w:val="nil"/>
              <w:bottom w:val="single" w:sz="4" w:space="0" w:color="auto"/>
              <w:right w:val="single" w:sz="4" w:space="0" w:color="auto"/>
            </w:tcBorders>
            <w:noWrap/>
            <w:vAlign w:val="bottom"/>
            <w:hideMark/>
          </w:tcPr>
          <w:p w14:paraId="1DF1A5D4"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3C34D6F"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191E72E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402A301A"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E-Occurance and Existence of Ecosystem</w:t>
            </w:r>
          </w:p>
        </w:tc>
        <w:tc>
          <w:tcPr>
            <w:tcW w:w="1838" w:type="dxa"/>
            <w:tcBorders>
              <w:top w:val="nil"/>
              <w:left w:val="nil"/>
              <w:bottom w:val="single" w:sz="4" w:space="0" w:color="auto"/>
              <w:right w:val="single" w:sz="4" w:space="0" w:color="auto"/>
            </w:tcBorders>
            <w:noWrap/>
            <w:vAlign w:val="bottom"/>
            <w:hideMark/>
          </w:tcPr>
          <w:p w14:paraId="2D8433C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380B05F9"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367E63A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29C0FC3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E-Ecosystem Health</w:t>
            </w:r>
          </w:p>
        </w:tc>
        <w:tc>
          <w:tcPr>
            <w:tcW w:w="1838" w:type="dxa"/>
            <w:tcBorders>
              <w:top w:val="nil"/>
              <w:left w:val="nil"/>
              <w:bottom w:val="single" w:sz="4" w:space="0" w:color="auto"/>
              <w:right w:val="single" w:sz="4" w:space="0" w:color="auto"/>
            </w:tcBorders>
            <w:noWrap/>
            <w:vAlign w:val="bottom"/>
            <w:hideMark/>
          </w:tcPr>
          <w:p w14:paraId="6B97C26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1BC504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19F0FFC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4D91DC8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E-Sensitivity and Vulnerability</w:t>
            </w:r>
          </w:p>
        </w:tc>
        <w:tc>
          <w:tcPr>
            <w:tcW w:w="1838" w:type="dxa"/>
            <w:tcBorders>
              <w:top w:val="nil"/>
              <w:left w:val="nil"/>
              <w:bottom w:val="single" w:sz="4" w:space="0" w:color="auto"/>
              <w:right w:val="single" w:sz="4" w:space="0" w:color="auto"/>
            </w:tcBorders>
            <w:noWrap/>
            <w:vAlign w:val="bottom"/>
            <w:hideMark/>
          </w:tcPr>
          <w:p w14:paraId="6FC5C8FC"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1EDD47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005F85E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6BA018C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E-Rehabilitation and Restoration</w:t>
            </w:r>
          </w:p>
        </w:tc>
        <w:tc>
          <w:tcPr>
            <w:tcW w:w="1838" w:type="dxa"/>
            <w:tcBorders>
              <w:top w:val="nil"/>
              <w:left w:val="nil"/>
              <w:bottom w:val="single" w:sz="4" w:space="0" w:color="auto"/>
              <w:right w:val="single" w:sz="4" w:space="0" w:color="auto"/>
            </w:tcBorders>
            <w:noWrap/>
            <w:vAlign w:val="bottom"/>
            <w:hideMark/>
          </w:tcPr>
          <w:p w14:paraId="77E25BEF"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5B95C6CA"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5BFD923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29DECA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E-Restoration and Conservation</w:t>
            </w:r>
          </w:p>
        </w:tc>
        <w:tc>
          <w:tcPr>
            <w:tcW w:w="1838" w:type="dxa"/>
            <w:tcBorders>
              <w:top w:val="nil"/>
              <w:left w:val="nil"/>
              <w:bottom w:val="single" w:sz="4" w:space="0" w:color="auto"/>
              <w:right w:val="single" w:sz="4" w:space="0" w:color="auto"/>
            </w:tcBorders>
            <w:noWrap/>
            <w:vAlign w:val="bottom"/>
            <w:hideMark/>
          </w:tcPr>
          <w:p w14:paraId="62FB3E6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84700E2"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1BF8174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17A1440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S-Demographic</w:t>
            </w:r>
          </w:p>
        </w:tc>
        <w:tc>
          <w:tcPr>
            <w:tcW w:w="1838" w:type="dxa"/>
            <w:tcBorders>
              <w:top w:val="nil"/>
              <w:left w:val="nil"/>
              <w:bottom w:val="single" w:sz="4" w:space="0" w:color="auto"/>
              <w:right w:val="single" w:sz="4" w:space="0" w:color="auto"/>
            </w:tcBorders>
            <w:noWrap/>
            <w:vAlign w:val="bottom"/>
            <w:hideMark/>
          </w:tcPr>
          <w:p w14:paraId="20BC70F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2758C7A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56F9C4AD"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46FB1450"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S-Human Wellbeing</w:t>
            </w:r>
          </w:p>
        </w:tc>
        <w:tc>
          <w:tcPr>
            <w:tcW w:w="1838" w:type="dxa"/>
            <w:tcBorders>
              <w:top w:val="nil"/>
              <w:left w:val="nil"/>
              <w:bottom w:val="single" w:sz="4" w:space="0" w:color="auto"/>
              <w:right w:val="single" w:sz="4" w:space="0" w:color="auto"/>
            </w:tcBorders>
            <w:noWrap/>
            <w:vAlign w:val="bottom"/>
            <w:hideMark/>
          </w:tcPr>
          <w:p w14:paraId="2947176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712D3841"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13F0C663"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16F7809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S-Economic Activity</w:t>
            </w:r>
          </w:p>
        </w:tc>
        <w:tc>
          <w:tcPr>
            <w:tcW w:w="1838" w:type="dxa"/>
            <w:tcBorders>
              <w:top w:val="nil"/>
              <w:left w:val="nil"/>
              <w:bottom w:val="single" w:sz="4" w:space="0" w:color="auto"/>
              <w:right w:val="single" w:sz="4" w:space="0" w:color="auto"/>
            </w:tcBorders>
            <w:noWrap/>
            <w:vAlign w:val="bottom"/>
            <w:hideMark/>
          </w:tcPr>
          <w:p w14:paraId="300CABF2"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1931C8C7"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6ED4118B"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58B1EC1E"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S-Climate Indicators</w:t>
            </w:r>
          </w:p>
        </w:tc>
        <w:tc>
          <w:tcPr>
            <w:tcW w:w="1838" w:type="dxa"/>
            <w:tcBorders>
              <w:top w:val="nil"/>
              <w:left w:val="nil"/>
              <w:bottom w:val="single" w:sz="4" w:space="0" w:color="auto"/>
              <w:right w:val="single" w:sz="4" w:space="0" w:color="auto"/>
            </w:tcBorders>
            <w:noWrap/>
            <w:vAlign w:val="bottom"/>
            <w:hideMark/>
          </w:tcPr>
          <w:p w14:paraId="3CBC270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3</w:t>
            </w:r>
          </w:p>
        </w:tc>
      </w:tr>
      <w:tr w:rsidR="00E30AFB" w:rsidRPr="00487CB8" w14:paraId="4DA3B92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25F04B9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0E90BCC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G-Legal Setting</w:t>
            </w:r>
          </w:p>
        </w:tc>
        <w:tc>
          <w:tcPr>
            <w:tcW w:w="1838" w:type="dxa"/>
            <w:tcBorders>
              <w:top w:val="nil"/>
              <w:left w:val="nil"/>
              <w:bottom w:val="single" w:sz="4" w:space="0" w:color="auto"/>
              <w:right w:val="single" w:sz="4" w:space="0" w:color="auto"/>
            </w:tcBorders>
            <w:noWrap/>
            <w:vAlign w:val="bottom"/>
            <w:hideMark/>
          </w:tcPr>
          <w:p w14:paraId="61A68E0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36A290F6"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1D02C46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0E35052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G-Policy Setting</w:t>
            </w:r>
          </w:p>
        </w:tc>
        <w:tc>
          <w:tcPr>
            <w:tcW w:w="1838" w:type="dxa"/>
            <w:tcBorders>
              <w:top w:val="nil"/>
              <w:left w:val="nil"/>
              <w:bottom w:val="single" w:sz="4" w:space="0" w:color="auto"/>
              <w:right w:val="single" w:sz="4" w:space="0" w:color="auto"/>
            </w:tcBorders>
            <w:noWrap/>
            <w:vAlign w:val="bottom"/>
            <w:hideMark/>
          </w:tcPr>
          <w:p w14:paraId="23134DF6"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D2CAC18"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15A008DC"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37808B15"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G-Governance Performance Effectiveness</w:t>
            </w:r>
          </w:p>
        </w:tc>
        <w:tc>
          <w:tcPr>
            <w:tcW w:w="1838" w:type="dxa"/>
            <w:tcBorders>
              <w:top w:val="nil"/>
              <w:left w:val="nil"/>
              <w:bottom w:val="single" w:sz="4" w:space="0" w:color="auto"/>
              <w:right w:val="single" w:sz="4" w:space="0" w:color="auto"/>
            </w:tcBorders>
            <w:noWrap/>
            <w:vAlign w:val="bottom"/>
            <w:hideMark/>
          </w:tcPr>
          <w:p w14:paraId="59647015"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B6965F3"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35D3061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7B9D4D16"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G-Completeness</w:t>
            </w:r>
          </w:p>
        </w:tc>
        <w:tc>
          <w:tcPr>
            <w:tcW w:w="1838" w:type="dxa"/>
            <w:tcBorders>
              <w:top w:val="nil"/>
              <w:left w:val="nil"/>
              <w:bottom w:val="single" w:sz="4" w:space="0" w:color="auto"/>
              <w:right w:val="single" w:sz="4" w:space="0" w:color="auto"/>
            </w:tcBorders>
            <w:noWrap/>
            <w:vAlign w:val="bottom"/>
            <w:hideMark/>
          </w:tcPr>
          <w:p w14:paraId="5CA32FB0"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73378DEC"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15791484"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lastRenderedPageBreak/>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6114BB8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G-Integration</w:t>
            </w:r>
          </w:p>
        </w:tc>
        <w:tc>
          <w:tcPr>
            <w:tcW w:w="1838" w:type="dxa"/>
            <w:tcBorders>
              <w:top w:val="nil"/>
              <w:left w:val="nil"/>
              <w:bottom w:val="single" w:sz="4" w:space="0" w:color="auto"/>
              <w:right w:val="single" w:sz="4" w:space="0" w:color="auto"/>
            </w:tcBorders>
            <w:noWrap/>
            <w:vAlign w:val="bottom"/>
            <w:hideMark/>
          </w:tcPr>
          <w:p w14:paraId="736B375B"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r w:rsidR="00E30AFB" w:rsidRPr="00487CB8" w14:paraId="0FE4CC0D" w14:textId="77777777" w:rsidTr="001B74B6">
        <w:trPr>
          <w:trHeight w:val="310"/>
        </w:trPr>
        <w:tc>
          <w:tcPr>
            <w:tcW w:w="7120" w:type="dxa"/>
            <w:tcBorders>
              <w:top w:val="nil"/>
              <w:left w:val="single" w:sz="4" w:space="0" w:color="auto"/>
              <w:bottom w:val="single" w:sz="4" w:space="0" w:color="auto"/>
              <w:right w:val="single" w:sz="4" w:space="0" w:color="auto"/>
            </w:tcBorders>
            <w:shd w:val="clear" w:color="000000" w:fill="F7B4AE"/>
            <w:noWrap/>
            <w:vAlign w:val="bottom"/>
            <w:hideMark/>
          </w:tcPr>
          <w:p w14:paraId="354C9E48"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6063" w:type="dxa"/>
            <w:tcBorders>
              <w:top w:val="nil"/>
              <w:left w:val="nil"/>
              <w:bottom w:val="single" w:sz="4" w:space="0" w:color="auto"/>
              <w:right w:val="single" w:sz="4" w:space="0" w:color="auto"/>
            </w:tcBorders>
            <w:shd w:val="clear" w:color="000000" w:fill="F7B4AE"/>
            <w:noWrap/>
            <w:vAlign w:val="bottom"/>
            <w:hideMark/>
          </w:tcPr>
          <w:p w14:paraId="5760FA42" w14:textId="77777777" w:rsidR="00E30AFB" w:rsidRPr="00487CB8" w:rsidRDefault="00E30AFB" w:rsidP="001B74B6">
            <w:pPr>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G-Engagement</w:t>
            </w:r>
          </w:p>
        </w:tc>
        <w:tc>
          <w:tcPr>
            <w:tcW w:w="1838" w:type="dxa"/>
            <w:tcBorders>
              <w:top w:val="nil"/>
              <w:left w:val="nil"/>
              <w:bottom w:val="single" w:sz="4" w:space="0" w:color="auto"/>
              <w:right w:val="single" w:sz="4" w:space="0" w:color="auto"/>
            </w:tcBorders>
            <w:noWrap/>
            <w:vAlign w:val="bottom"/>
            <w:hideMark/>
          </w:tcPr>
          <w:p w14:paraId="3E6DA878" w14:textId="77777777" w:rsidR="00E30AFB" w:rsidRPr="00487CB8" w:rsidRDefault="00E30AFB" w:rsidP="001B74B6">
            <w:pPr>
              <w:jc w:val="right"/>
              <w:rPr>
                <w:rFonts w:ascii="&quot;Times New Roman&quot;" w:eastAsia="Times New Roman" w:hAnsi="&quot;Times New Roman&quot;" w:cs="Arial"/>
                <w:color w:val="000000"/>
                <w:lang w:val="en-US" w:eastAsia="en-US"/>
              </w:rPr>
            </w:pPr>
            <w:r w:rsidRPr="00487CB8">
              <w:rPr>
                <w:rFonts w:ascii="&quot;Times New Roman&quot;" w:eastAsia="Times New Roman" w:hAnsi="&quot;Times New Roman&quot;" w:cs="Arial"/>
                <w:color w:val="000000"/>
                <w:lang w:val="en-US" w:eastAsia="en-US"/>
              </w:rPr>
              <w:t>0</w:t>
            </w:r>
          </w:p>
        </w:tc>
      </w:tr>
    </w:tbl>
    <w:p w14:paraId="5774DB00" w14:textId="77777777" w:rsidR="00E30AFB" w:rsidRPr="00487CB8" w:rsidRDefault="00E30AFB" w:rsidP="00E30AFB">
      <w:pPr>
        <w:pStyle w:val="BodyText"/>
        <w:spacing w:before="188"/>
        <w:ind w:left="360"/>
        <w:rPr>
          <w:rFonts w:ascii="Times New Roman" w:hAnsi="Times New Roman" w:cs="Times New Roman"/>
          <w:color w:val="0070C0"/>
          <w:sz w:val="24"/>
          <w:szCs w:val="24"/>
        </w:rPr>
      </w:pPr>
    </w:p>
    <w:p w14:paraId="39026565" w14:textId="77777777" w:rsidR="00E30AFB" w:rsidRDefault="00E30AFB" w:rsidP="00E30AFB"/>
    <w:p w14:paraId="2BF897BA" w14:textId="77777777" w:rsidR="00E30AFB" w:rsidRDefault="00E30AFB" w:rsidP="00E30AFB">
      <w:pPr>
        <w:pStyle w:val="ListParagraph"/>
        <w:numPr>
          <w:ilvl w:val="0"/>
          <w:numId w:val="196"/>
        </w:numPr>
        <w:ind w:left="426" w:hanging="426"/>
        <w:rPr>
          <w:rFonts w:ascii="Times New Roman" w:hAnsi="Times New Roman" w:cs="Times New Roman"/>
          <w:b/>
          <w:bCs/>
          <w:color w:val="000000" w:themeColor="text1"/>
        </w:rPr>
      </w:pPr>
      <w:r w:rsidRPr="002568A5">
        <w:rPr>
          <w:rFonts w:ascii="Times New Roman" w:hAnsi="Times New Roman" w:cs="Times New Roman"/>
          <w:b/>
          <w:bCs/>
          <w:color w:val="000000" w:themeColor="text1"/>
        </w:rPr>
        <w:t>TDA Network Total Value Points</w:t>
      </w:r>
    </w:p>
    <w:p w14:paraId="7AE191B5" w14:textId="77777777" w:rsidR="00E30AFB" w:rsidRDefault="00E30AFB" w:rsidP="00E30AFB">
      <w:pPr>
        <w:ind w:left="360"/>
        <w:rPr>
          <w:rFonts w:ascii="Times New Roman" w:hAnsi="Times New Roman" w:cs="Times New Roman"/>
          <w:color w:val="000000" w:themeColor="text1"/>
        </w:rPr>
      </w:pPr>
    </w:p>
    <w:tbl>
      <w:tblPr>
        <w:tblW w:w="11820" w:type="dxa"/>
        <w:jc w:val="center"/>
        <w:tblLook w:val="04A0" w:firstRow="1" w:lastRow="0" w:firstColumn="1" w:lastColumn="0" w:noHBand="0" w:noVBand="1"/>
      </w:tblPr>
      <w:tblGrid>
        <w:gridCol w:w="2940"/>
        <w:gridCol w:w="7280"/>
        <w:gridCol w:w="1600"/>
      </w:tblGrid>
      <w:tr w:rsidR="00E30AFB" w:rsidRPr="00DE68A1" w14:paraId="3CC341EB" w14:textId="77777777" w:rsidTr="001B74B6">
        <w:trPr>
          <w:trHeight w:val="320"/>
          <w:jc w:val="center"/>
        </w:trPr>
        <w:tc>
          <w:tcPr>
            <w:tcW w:w="2940" w:type="dxa"/>
            <w:tcBorders>
              <w:top w:val="single" w:sz="4" w:space="0" w:color="auto"/>
              <w:left w:val="single" w:sz="4" w:space="0" w:color="auto"/>
              <w:bottom w:val="single" w:sz="4" w:space="0" w:color="auto"/>
              <w:right w:val="single" w:sz="4" w:space="0" w:color="auto"/>
            </w:tcBorders>
            <w:shd w:val="clear" w:color="000000" w:fill="C0E6F5"/>
            <w:noWrap/>
            <w:vAlign w:val="bottom"/>
            <w:hideMark/>
          </w:tcPr>
          <w:p w14:paraId="3A9FD679" w14:textId="77777777" w:rsidR="00E30AFB" w:rsidRPr="00DE68A1" w:rsidRDefault="00E30AFB" w:rsidP="001B74B6">
            <w:pPr>
              <w:jc w:val="center"/>
              <w:rPr>
                <w:rFonts w:ascii="Aptos Narrow" w:eastAsia="Times New Roman" w:hAnsi="Aptos Narrow" w:cs="Times New Roman"/>
                <w:b/>
                <w:bCs/>
                <w:color w:val="000000"/>
                <w:lang w:val="en-US" w:eastAsia="en-US"/>
              </w:rPr>
            </w:pPr>
            <w:r w:rsidRPr="00DE68A1">
              <w:rPr>
                <w:rFonts w:ascii="Aptos Narrow" w:eastAsia="Times New Roman" w:hAnsi="Aptos Narrow" w:cs="Times New Roman"/>
                <w:b/>
                <w:bCs/>
                <w:color w:val="000000"/>
                <w:lang w:val="en-US" w:eastAsia="en-US"/>
              </w:rPr>
              <w:t>Domain</w:t>
            </w:r>
          </w:p>
        </w:tc>
        <w:tc>
          <w:tcPr>
            <w:tcW w:w="7280" w:type="dxa"/>
            <w:tcBorders>
              <w:top w:val="single" w:sz="4" w:space="0" w:color="auto"/>
              <w:left w:val="nil"/>
              <w:bottom w:val="single" w:sz="4" w:space="0" w:color="auto"/>
              <w:right w:val="single" w:sz="4" w:space="0" w:color="auto"/>
            </w:tcBorders>
            <w:shd w:val="clear" w:color="000000" w:fill="CAEDFB"/>
            <w:noWrap/>
            <w:vAlign w:val="bottom"/>
            <w:hideMark/>
          </w:tcPr>
          <w:p w14:paraId="20F3B467" w14:textId="77777777" w:rsidR="00E30AFB" w:rsidRPr="00DE68A1" w:rsidRDefault="00E30AFB" w:rsidP="001B74B6">
            <w:pPr>
              <w:jc w:val="center"/>
              <w:rPr>
                <w:rFonts w:ascii="Aptos Narrow" w:eastAsia="Times New Roman" w:hAnsi="Aptos Narrow" w:cs="Times New Roman"/>
                <w:b/>
                <w:bCs/>
                <w:color w:val="000000"/>
                <w:lang w:val="en-US" w:eastAsia="en-US"/>
              </w:rPr>
            </w:pPr>
            <w:r w:rsidRPr="00DE68A1">
              <w:rPr>
                <w:rFonts w:ascii="Aptos Narrow" w:eastAsia="Times New Roman" w:hAnsi="Aptos Narrow" w:cs="Times New Roman"/>
                <w:b/>
                <w:bCs/>
                <w:color w:val="000000"/>
                <w:lang w:val="en-US" w:eastAsia="en-US"/>
              </w:rPr>
              <w:t>Indicators</w:t>
            </w:r>
          </w:p>
        </w:tc>
        <w:tc>
          <w:tcPr>
            <w:tcW w:w="1600" w:type="dxa"/>
            <w:tcBorders>
              <w:top w:val="single" w:sz="4" w:space="0" w:color="auto"/>
              <w:left w:val="nil"/>
              <w:bottom w:val="single" w:sz="4" w:space="0" w:color="auto"/>
              <w:right w:val="single" w:sz="4" w:space="0" w:color="auto"/>
            </w:tcBorders>
            <w:shd w:val="clear" w:color="000000" w:fill="CAEDFB"/>
            <w:noWrap/>
            <w:vAlign w:val="bottom"/>
            <w:hideMark/>
          </w:tcPr>
          <w:p w14:paraId="405CA218" w14:textId="77777777" w:rsidR="00E30AFB" w:rsidRPr="00DE68A1" w:rsidRDefault="00E30AFB" w:rsidP="001B74B6">
            <w:pPr>
              <w:jc w:val="center"/>
              <w:rPr>
                <w:rFonts w:ascii="Aptos Narrow" w:eastAsia="Times New Roman" w:hAnsi="Aptos Narrow" w:cs="Times New Roman"/>
                <w:b/>
                <w:bCs/>
                <w:color w:val="000000"/>
                <w:lang w:val="en-US" w:eastAsia="en-US"/>
              </w:rPr>
            </w:pPr>
            <w:r w:rsidRPr="00DE68A1">
              <w:rPr>
                <w:rFonts w:ascii="Aptos Narrow" w:eastAsia="Times New Roman" w:hAnsi="Aptos Narrow" w:cs="Times New Roman"/>
                <w:b/>
                <w:bCs/>
                <w:color w:val="000000"/>
                <w:lang w:val="en-US" w:eastAsia="en-US"/>
              </w:rPr>
              <w:t>Total Value</w:t>
            </w:r>
          </w:p>
        </w:tc>
      </w:tr>
      <w:tr w:rsidR="00E30AFB" w:rsidRPr="00DE68A1" w14:paraId="63BBE232" w14:textId="77777777" w:rsidTr="001B74B6">
        <w:trPr>
          <w:trHeight w:val="290"/>
          <w:jc w:val="center"/>
        </w:trPr>
        <w:tc>
          <w:tcPr>
            <w:tcW w:w="2940" w:type="dxa"/>
            <w:tcBorders>
              <w:top w:val="nil"/>
              <w:left w:val="single" w:sz="4" w:space="0" w:color="auto"/>
              <w:bottom w:val="single" w:sz="4" w:space="0" w:color="auto"/>
              <w:right w:val="single" w:sz="4" w:space="0" w:color="auto"/>
            </w:tcBorders>
            <w:noWrap/>
            <w:vAlign w:val="bottom"/>
            <w:hideMark/>
          </w:tcPr>
          <w:p w14:paraId="29C4ADFD"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noWrap/>
            <w:vAlign w:val="bottom"/>
            <w:hideMark/>
          </w:tcPr>
          <w:p w14:paraId="79537FAD"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1600" w:type="dxa"/>
            <w:tcBorders>
              <w:top w:val="nil"/>
              <w:left w:val="nil"/>
              <w:bottom w:val="single" w:sz="4" w:space="0" w:color="auto"/>
              <w:right w:val="single" w:sz="4" w:space="0" w:color="auto"/>
            </w:tcBorders>
            <w:noWrap/>
            <w:vAlign w:val="bottom"/>
            <w:hideMark/>
          </w:tcPr>
          <w:p w14:paraId="1355F59A"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r>
      <w:tr w:rsidR="00E30AFB" w:rsidRPr="00DE68A1" w14:paraId="65E7C9CD" w14:textId="77777777" w:rsidTr="001B74B6">
        <w:trPr>
          <w:trHeight w:val="320"/>
          <w:jc w:val="center"/>
        </w:trPr>
        <w:tc>
          <w:tcPr>
            <w:tcW w:w="2940" w:type="dxa"/>
            <w:tcBorders>
              <w:top w:val="nil"/>
              <w:left w:val="single" w:sz="4" w:space="0" w:color="auto"/>
              <w:bottom w:val="single" w:sz="4" w:space="0" w:color="auto"/>
              <w:right w:val="single" w:sz="4" w:space="0" w:color="auto"/>
            </w:tcBorders>
            <w:shd w:val="clear" w:color="000000" w:fill="FBE2D5"/>
            <w:noWrap/>
            <w:vAlign w:val="bottom"/>
            <w:hideMark/>
          </w:tcPr>
          <w:p w14:paraId="39E17C6B" w14:textId="77777777" w:rsidR="00E30AFB" w:rsidRPr="00DE68A1" w:rsidRDefault="00E30AFB" w:rsidP="001B74B6">
            <w:pPr>
              <w:rPr>
                <w:rFonts w:ascii="Aptos Narrow" w:eastAsia="Times New Roman" w:hAnsi="Aptos Narrow" w:cs="Times New Roman"/>
                <w:b/>
                <w:bCs/>
                <w:color w:val="000000"/>
                <w:lang w:val="en-US" w:eastAsia="en-US"/>
              </w:rPr>
            </w:pPr>
            <w:r w:rsidRPr="00DE68A1">
              <w:rPr>
                <w:rFonts w:ascii="Aptos Narrow" w:eastAsia="Times New Roman" w:hAnsi="Aptos Narrow" w:cs="Times New Roman"/>
                <w:b/>
                <w:bCs/>
                <w:color w:val="000000"/>
                <w:lang w:val="en-US" w:eastAsia="en-US"/>
              </w:rPr>
              <w:t>Pollution</w:t>
            </w:r>
          </w:p>
        </w:tc>
        <w:tc>
          <w:tcPr>
            <w:tcW w:w="7280" w:type="dxa"/>
            <w:tcBorders>
              <w:top w:val="nil"/>
              <w:left w:val="nil"/>
              <w:bottom w:val="single" w:sz="4" w:space="0" w:color="auto"/>
              <w:right w:val="single" w:sz="4" w:space="0" w:color="auto"/>
            </w:tcBorders>
            <w:shd w:val="clear" w:color="000000" w:fill="FBE2D5"/>
            <w:noWrap/>
            <w:vAlign w:val="bottom"/>
            <w:hideMark/>
          </w:tcPr>
          <w:p w14:paraId="1A6EF010"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P-Agriculture</w:t>
            </w:r>
          </w:p>
        </w:tc>
        <w:tc>
          <w:tcPr>
            <w:tcW w:w="1600" w:type="dxa"/>
            <w:tcBorders>
              <w:top w:val="nil"/>
              <w:left w:val="nil"/>
              <w:bottom w:val="single" w:sz="4" w:space="0" w:color="auto"/>
              <w:right w:val="single" w:sz="4" w:space="0" w:color="auto"/>
            </w:tcBorders>
            <w:shd w:val="clear" w:color="000000" w:fill="FBE2D5"/>
            <w:noWrap/>
            <w:vAlign w:val="bottom"/>
            <w:hideMark/>
          </w:tcPr>
          <w:p w14:paraId="2CFC4B76"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8</w:t>
            </w:r>
          </w:p>
        </w:tc>
      </w:tr>
      <w:tr w:rsidR="00E30AFB" w:rsidRPr="00DE68A1" w14:paraId="169FBACD"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FBE2D5"/>
            <w:noWrap/>
            <w:vAlign w:val="bottom"/>
            <w:hideMark/>
          </w:tcPr>
          <w:p w14:paraId="0835B8CF"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FBE2D5"/>
            <w:noWrap/>
            <w:vAlign w:val="bottom"/>
            <w:hideMark/>
          </w:tcPr>
          <w:p w14:paraId="0FFF8FEE"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P-Domestic Waste</w:t>
            </w:r>
          </w:p>
        </w:tc>
        <w:tc>
          <w:tcPr>
            <w:tcW w:w="1600" w:type="dxa"/>
            <w:tcBorders>
              <w:top w:val="nil"/>
              <w:left w:val="nil"/>
              <w:bottom w:val="single" w:sz="4" w:space="0" w:color="auto"/>
              <w:right w:val="single" w:sz="4" w:space="0" w:color="auto"/>
            </w:tcBorders>
            <w:shd w:val="clear" w:color="000000" w:fill="FBE2D5"/>
            <w:noWrap/>
            <w:vAlign w:val="bottom"/>
            <w:hideMark/>
          </w:tcPr>
          <w:p w14:paraId="5A414FD0"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20</w:t>
            </w:r>
          </w:p>
        </w:tc>
      </w:tr>
      <w:tr w:rsidR="00E30AFB" w:rsidRPr="00DE68A1" w14:paraId="18663799"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FBE2D5"/>
            <w:noWrap/>
            <w:vAlign w:val="bottom"/>
            <w:hideMark/>
          </w:tcPr>
          <w:p w14:paraId="08CE14F4"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FBE2D5"/>
            <w:noWrap/>
            <w:vAlign w:val="bottom"/>
            <w:hideMark/>
          </w:tcPr>
          <w:p w14:paraId="65069D3F"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P-Solid Waste</w:t>
            </w:r>
          </w:p>
        </w:tc>
        <w:tc>
          <w:tcPr>
            <w:tcW w:w="1600" w:type="dxa"/>
            <w:tcBorders>
              <w:top w:val="nil"/>
              <w:left w:val="nil"/>
              <w:bottom w:val="single" w:sz="4" w:space="0" w:color="auto"/>
              <w:right w:val="single" w:sz="4" w:space="0" w:color="auto"/>
            </w:tcBorders>
            <w:shd w:val="clear" w:color="000000" w:fill="FBE2D5"/>
            <w:noWrap/>
            <w:vAlign w:val="bottom"/>
            <w:hideMark/>
          </w:tcPr>
          <w:p w14:paraId="49CB541A"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16</w:t>
            </w:r>
          </w:p>
        </w:tc>
      </w:tr>
      <w:tr w:rsidR="00E30AFB" w:rsidRPr="00DE68A1" w14:paraId="0C805EBC"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FBE2D5"/>
            <w:noWrap/>
            <w:vAlign w:val="bottom"/>
            <w:hideMark/>
          </w:tcPr>
          <w:p w14:paraId="246FAD5E"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FBE2D5"/>
            <w:noWrap/>
            <w:vAlign w:val="bottom"/>
            <w:hideMark/>
          </w:tcPr>
          <w:p w14:paraId="6B5ABF3F"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P-Hazardous (Industry)</w:t>
            </w:r>
          </w:p>
        </w:tc>
        <w:tc>
          <w:tcPr>
            <w:tcW w:w="1600" w:type="dxa"/>
            <w:tcBorders>
              <w:top w:val="nil"/>
              <w:left w:val="nil"/>
              <w:bottom w:val="single" w:sz="4" w:space="0" w:color="auto"/>
              <w:right w:val="single" w:sz="4" w:space="0" w:color="auto"/>
            </w:tcBorders>
            <w:shd w:val="clear" w:color="000000" w:fill="FBE2D5"/>
            <w:noWrap/>
            <w:vAlign w:val="bottom"/>
            <w:hideMark/>
          </w:tcPr>
          <w:p w14:paraId="1367B466"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16</w:t>
            </w:r>
          </w:p>
        </w:tc>
      </w:tr>
      <w:tr w:rsidR="00E30AFB" w:rsidRPr="00DE68A1" w14:paraId="71E5A4DF"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FBE2D5"/>
            <w:noWrap/>
            <w:vAlign w:val="bottom"/>
            <w:hideMark/>
          </w:tcPr>
          <w:p w14:paraId="33BF162F"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FBE2D5"/>
            <w:noWrap/>
            <w:vAlign w:val="bottom"/>
            <w:hideMark/>
          </w:tcPr>
          <w:p w14:paraId="44C2D247"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P-Oil Pollution</w:t>
            </w:r>
          </w:p>
        </w:tc>
        <w:tc>
          <w:tcPr>
            <w:tcW w:w="1600" w:type="dxa"/>
            <w:tcBorders>
              <w:top w:val="nil"/>
              <w:left w:val="nil"/>
              <w:bottom w:val="single" w:sz="4" w:space="0" w:color="auto"/>
              <w:right w:val="single" w:sz="4" w:space="0" w:color="auto"/>
            </w:tcBorders>
            <w:shd w:val="clear" w:color="000000" w:fill="FBE2D5"/>
            <w:noWrap/>
            <w:vAlign w:val="bottom"/>
            <w:hideMark/>
          </w:tcPr>
          <w:p w14:paraId="0109D965"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25</w:t>
            </w:r>
          </w:p>
        </w:tc>
      </w:tr>
      <w:tr w:rsidR="00E30AFB" w:rsidRPr="00DE68A1" w14:paraId="312861F9"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FBE2D5"/>
            <w:noWrap/>
            <w:vAlign w:val="bottom"/>
            <w:hideMark/>
          </w:tcPr>
          <w:p w14:paraId="11F2ED29"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FBE2D5"/>
            <w:noWrap/>
            <w:vAlign w:val="bottom"/>
            <w:hideMark/>
          </w:tcPr>
          <w:p w14:paraId="2F80FD5C"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P-Atmospheric</w:t>
            </w:r>
          </w:p>
        </w:tc>
        <w:tc>
          <w:tcPr>
            <w:tcW w:w="1600" w:type="dxa"/>
            <w:tcBorders>
              <w:top w:val="nil"/>
              <w:left w:val="nil"/>
              <w:bottom w:val="single" w:sz="4" w:space="0" w:color="auto"/>
              <w:right w:val="single" w:sz="4" w:space="0" w:color="auto"/>
            </w:tcBorders>
            <w:shd w:val="clear" w:color="000000" w:fill="FBE2D5"/>
            <w:noWrap/>
            <w:vAlign w:val="bottom"/>
            <w:hideMark/>
          </w:tcPr>
          <w:p w14:paraId="0284867F"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0</w:t>
            </w:r>
          </w:p>
        </w:tc>
      </w:tr>
      <w:tr w:rsidR="00E30AFB" w:rsidRPr="00DE68A1" w14:paraId="59519F69"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FBE2D5"/>
            <w:noWrap/>
            <w:vAlign w:val="bottom"/>
            <w:hideMark/>
          </w:tcPr>
          <w:p w14:paraId="75434AE6"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FBE2D5"/>
            <w:noWrap/>
            <w:vAlign w:val="bottom"/>
            <w:hideMark/>
          </w:tcPr>
          <w:p w14:paraId="319D484D"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P-Hotspot of Pollution</w:t>
            </w:r>
          </w:p>
        </w:tc>
        <w:tc>
          <w:tcPr>
            <w:tcW w:w="1600" w:type="dxa"/>
            <w:tcBorders>
              <w:top w:val="nil"/>
              <w:left w:val="nil"/>
              <w:bottom w:val="single" w:sz="4" w:space="0" w:color="auto"/>
              <w:right w:val="single" w:sz="4" w:space="0" w:color="auto"/>
            </w:tcBorders>
            <w:shd w:val="clear" w:color="000000" w:fill="FBE2D5"/>
            <w:noWrap/>
            <w:vAlign w:val="bottom"/>
            <w:hideMark/>
          </w:tcPr>
          <w:p w14:paraId="79EB776E"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11</w:t>
            </w:r>
          </w:p>
        </w:tc>
      </w:tr>
      <w:tr w:rsidR="00E30AFB" w:rsidRPr="00DE68A1" w14:paraId="286AAE6C" w14:textId="77777777" w:rsidTr="001B74B6">
        <w:trPr>
          <w:trHeight w:val="32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2B5D6114" w14:textId="77777777" w:rsidR="00E30AFB" w:rsidRPr="00DE68A1" w:rsidRDefault="00E30AFB" w:rsidP="001B74B6">
            <w:pPr>
              <w:rPr>
                <w:rFonts w:ascii="Aptos Narrow" w:eastAsia="Times New Roman" w:hAnsi="Aptos Narrow" w:cs="Times New Roman"/>
                <w:b/>
                <w:bCs/>
                <w:color w:val="000000"/>
                <w:lang w:val="en-US" w:eastAsia="en-US"/>
              </w:rPr>
            </w:pPr>
            <w:r w:rsidRPr="00DE68A1">
              <w:rPr>
                <w:rFonts w:ascii="Aptos Narrow" w:eastAsia="Times New Roman" w:hAnsi="Aptos Narrow" w:cs="Times New Roman"/>
                <w:b/>
                <w:bCs/>
                <w:color w:val="000000"/>
                <w:lang w:val="en-US" w:eastAsia="en-US"/>
              </w:rPr>
              <w:t>Fisheries</w:t>
            </w:r>
          </w:p>
        </w:tc>
        <w:tc>
          <w:tcPr>
            <w:tcW w:w="7280" w:type="dxa"/>
            <w:tcBorders>
              <w:top w:val="nil"/>
              <w:left w:val="nil"/>
              <w:bottom w:val="single" w:sz="4" w:space="0" w:color="auto"/>
              <w:right w:val="single" w:sz="4" w:space="0" w:color="auto"/>
            </w:tcBorders>
            <w:shd w:val="clear" w:color="000000" w:fill="CAEDFB"/>
            <w:noWrap/>
            <w:vAlign w:val="bottom"/>
            <w:hideMark/>
          </w:tcPr>
          <w:p w14:paraId="3861FF41"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 Fisheries Production</w:t>
            </w:r>
          </w:p>
        </w:tc>
        <w:tc>
          <w:tcPr>
            <w:tcW w:w="1600" w:type="dxa"/>
            <w:tcBorders>
              <w:top w:val="nil"/>
              <w:left w:val="nil"/>
              <w:bottom w:val="single" w:sz="4" w:space="0" w:color="auto"/>
              <w:right w:val="single" w:sz="4" w:space="0" w:color="auto"/>
            </w:tcBorders>
            <w:shd w:val="clear" w:color="000000" w:fill="CAEDFB"/>
            <w:noWrap/>
            <w:vAlign w:val="bottom"/>
            <w:hideMark/>
          </w:tcPr>
          <w:p w14:paraId="228A22ED"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30</w:t>
            </w:r>
          </w:p>
        </w:tc>
      </w:tr>
      <w:tr w:rsidR="00E30AFB" w:rsidRPr="00DE68A1" w14:paraId="3BAB31C6"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1FB23449"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CAEDFB"/>
            <w:noWrap/>
            <w:vAlign w:val="bottom"/>
            <w:hideMark/>
          </w:tcPr>
          <w:p w14:paraId="128CA033"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 Catch Structures/Composition</w:t>
            </w:r>
          </w:p>
        </w:tc>
        <w:tc>
          <w:tcPr>
            <w:tcW w:w="1600" w:type="dxa"/>
            <w:tcBorders>
              <w:top w:val="nil"/>
              <w:left w:val="nil"/>
              <w:bottom w:val="single" w:sz="4" w:space="0" w:color="auto"/>
              <w:right w:val="single" w:sz="4" w:space="0" w:color="auto"/>
            </w:tcBorders>
            <w:shd w:val="clear" w:color="000000" w:fill="CAEDFB"/>
            <w:noWrap/>
            <w:vAlign w:val="bottom"/>
            <w:hideMark/>
          </w:tcPr>
          <w:p w14:paraId="37EA898A"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7</w:t>
            </w:r>
          </w:p>
        </w:tc>
      </w:tr>
      <w:tr w:rsidR="00E30AFB" w:rsidRPr="00DE68A1" w14:paraId="50B4F209"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31A14D13"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CAEDFB"/>
            <w:noWrap/>
            <w:vAlign w:val="bottom"/>
            <w:hideMark/>
          </w:tcPr>
          <w:p w14:paraId="1416AB12"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 Fishing Efforts</w:t>
            </w:r>
          </w:p>
        </w:tc>
        <w:tc>
          <w:tcPr>
            <w:tcW w:w="1600" w:type="dxa"/>
            <w:tcBorders>
              <w:top w:val="nil"/>
              <w:left w:val="nil"/>
              <w:bottom w:val="single" w:sz="4" w:space="0" w:color="auto"/>
              <w:right w:val="single" w:sz="4" w:space="0" w:color="auto"/>
            </w:tcBorders>
            <w:shd w:val="clear" w:color="000000" w:fill="CAEDFB"/>
            <w:noWrap/>
            <w:vAlign w:val="bottom"/>
            <w:hideMark/>
          </w:tcPr>
          <w:p w14:paraId="44AD8ADC"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7</w:t>
            </w:r>
          </w:p>
        </w:tc>
      </w:tr>
      <w:tr w:rsidR="00E30AFB" w:rsidRPr="00DE68A1" w14:paraId="5B8F6C69"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48B6347C"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CAEDFB"/>
            <w:noWrap/>
            <w:vAlign w:val="bottom"/>
            <w:hideMark/>
          </w:tcPr>
          <w:p w14:paraId="1108647F"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F-Ratio of Capacity-enhancing subsidies to value of landed catch</w:t>
            </w:r>
          </w:p>
        </w:tc>
        <w:tc>
          <w:tcPr>
            <w:tcW w:w="1600" w:type="dxa"/>
            <w:tcBorders>
              <w:top w:val="nil"/>
              <w:left w:val="nil"/>
              <w:bottom w:val="single" w:sz="4" w:space="0" w:color="auto"/>
              <w:right w:val="single" w:sz="4" w:space="0" w:color="auto"/>
            </w:tcBorders>
            <w:shd w:val="clear" w:color="000000" w:fill="CAEDFB"/>
            <w:noWrap/>
            <w:vAlign w:val="bottom"/>
            <w:hideMark/>
          </w:tcPr>
          <w:p w14:paraId="0A0421C0"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12</w:t>
            </w:r>
          </w:p>
        </w:tc>
      </w:tr>
      <w:tr w:rsidR="00E30AFB" w:rsidRPr="00DE68A1" w14:paraId="08F6F4B7"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283ED1B0"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CAEDFB"/>
            <w:noWrap/>
            <w:vAlign w:val="bottom"/>
            <w:hideMark/>
          </w:tcPr>
          <w:p w14:paraId="0CFF02BD"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F-Primary production required (ecological footprint of fisheries)</w:t>
            </w:r>
          </w:p>
        </w:tc>
        <w:tc>
          <w:tcPr>
            <w:tcW w:w="1600" w:type="dxa"/>
            <w:tcBorders>
              <w:top w:val="nil"/>
              <w:left w:val="nil"/>
              <w:bottom w:val="single" w:sz="4" w:space="0" w:color="auto"/>
              <w:right w:val="single" w:sz="4" w:space="0" w:color="auto"/>
            </w:tcBorders>
            <w:shd w:val="clear" w:color="000000" w:fill="CAEDFB"/>
            <w:noWrap/>
            <w:vAlign w:val="bottom"/>
            <w:hideMark/>
          </w:tcPr>
          <w:p w14:paraId="2E18D02C"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18</w:t>
            </w:r>
          </w:p>
        </w:tc>
      </w:tr>
      <w:tr w:rsidR="00E30AFB" w:rsidRPr="00DE68A1" w14:paraId="37A57763"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0516C3F6"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CAEDFB"/>
            <w:noWrap/>
            <w:vAlign w:val="bottom"/>
            <w:hideMark/>
          </w:tcPr>
          <w:p w14:paraId="55685FAD"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F-Marine Trophic Index (MTI)</w:t>
            </w:r>
          </w:p>
        </w:tc>
        <w:tc>
          <w:tcPr>
            <w:tcW w:w="1600" w:type="dxa"/>
            <w:tcBorders>
              <w:top w:val="nil"/>
              <w:left w:val="nil"/>
              <w:bottom w:val="single" w:sz="4" w:space="0" w:color="auto"/>
              <w:right w:val="single" w:sz="4" w:space="0" w:color="auto"/>
            </w:tcBorders>
            <w:shd w:val="clear" w:color="000000" w:fill="CAEDFB"/>
            <w:noWrap/>
            <w:vAlign w:val="bottom"/>
            <w:hideMark/>
          </w:tcPr>
          <w:p w14:paraId="202B493D"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6</w:t>
            </w:r>
          </w:p>
        </w:tc>
      </w:tr>
      <w:tr w:rsidR="00E30AFB" w:rsidRPr="00DE68A1" w14:paraId="02C6DB82"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61E1DCB7"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CAEDFB"/>
            <w:noWrap/>
            <w:vAlign w:val="bottom"/>
            <w:hideMark/>
          </w:tcPr>
          <w:p w14:paraId="30DD4AD3"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F-Fishing in Balance Index (FIB)</w:t>
            </w:r>
          </w:p>
        </w:tc>
        <w:tc>
          <w:tcPr>
            <w:tcW w:w="1600" w:type="dxa"/>
            <w:tcBorders>
              <w:top w:val="nil"/>
              <w:left w:val="nil"/>
              <w:bottom w:val="single" w:sz="4" w:space="0" w:color="auto"/>
              <w:right w:val="single" w:sz="4" w:space="0" w:color="auto"/>
            </w:tcBorders>
            <w:shd w:val="clear" w:color="000000" w:fill="CAEDFB"/>
            <w:noWrap/>
            <w:vAlign w:val="bottom"/>
            <w:hideMark/>
          </w:tcPr>
          <w:p w14:paraId="348C3B2C"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6</w:t>
            </w:r>
          </w:p>
        </w:tc>
      </w:tr>
      <w:tr w:rsidR="00E30AFB" w:rsidRPr="00DE68A1" w14:paraId="61DD7D0E"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21DFB982"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CAEDFB"/>
            <w:noWrap/>
            <w:vAlign w:val="bottom"/>
            <w:hideMark/>
          </w:tcPr>
          <w:p w14:paraId="1EDC7B4F"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F-Catch from Bottom-Impacting Gear Types</w:t>
            </w:r>
          </w:p>
        </w:tc>
        <w:tc>
          <w:tcPr>
            <w:tcW w:w="1600" w:type="dxa"/>
            <w:tcBorders>
              <w:top w:val="nil"/>
              <w:left w:val="nil"/>
              <w:bottom w:val="single" w:sz="4" w:space="0" w:color="auto"/>
              <w:right w:val="single" w:sz="4" w:space="0" w:color="auto"/>
            </w:tcBorders>
            <w:shd w:val="clear" w:color="000000" w:fill="CAEDFB"/>
            <w:noWrap/>
            <w:vAlign w:val="bottom"/>
            <w:hideMark/>
          </w:tcPr>
          <w:p w14:paraId="0B735055"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7</w:t>
            </w:r>
          </w:p>
        </w:tc>
      </w:tr>
      <w:tr w:rsidR="00E30AFB" w:rsidRPr="00DE68A1" w14:paraId="4209B1C1"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09137A6D"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CAEDFB"/>
            <w:noWrap/>
            <w:vAlign w:val="bottom"/>
            <w:hideMark/>
          </w:tcPr>
          <w:p w14:paraId="4B4C5022"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F-Change in Catch Potential Under Global Climate Change</w:t>
            </w:r>
          </w:p>
        </w:tc>
        <w:tc>
          <w:tcPr>
            <w:tcW w:w="1600" w:type="dxa"/>
            <w:tcBorders>
              <w:top w:val="nil"/>
              <w:left w:val="nil"/>
              <w:bottom w:val="single" w:sz="4" w:space="0" w:color="auto"/>
              <w:right w:val="single" w:sz="4" w:space="0" w:color="auto"/>
            </w:tcBorders>
            <w:shd w:val="clear" w:color="000000" w:fill="CAEDFB"/>
            <w:noWrap/>
            <w:vAlign w:val="bottom"/>
            <w:hideMark/>
          </w:tcPr>
          <w:p w14:paraId="49AB0C75"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18</w:t>
            </w:r>
          </w:p>
        </w:tc>
      </w:tr>
      <w:tr w:rsidR="00E30AFB" w:rsidRPr="00DE68A1" w14:paraId="5350C68D"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C0E6F5"/>
            <w:noWrap/>
            <w:vAlign w:val="bottom"/>
            <w:hideMark/>
          </w:tcPr>
          <w:p w14:paraId="08F51D5F"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CAEDFB"/>
            <w:noWrap/>
            <w:vAlign w:val="bottom"/>
            <w:hideMark/>
          </w:tcPr>
          <w:p w14:paraId="3E747A56"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F-Aquaculture Productions</w:t>
            </w:r>
          </w:p>
        </w:tc>
        <w:tc>
          <w:tcPr>
            <w:tcW w:w="1600" w:type="dxa"/>
            <w:tcBorders>
              <w:top w:val="nil"/>
              <w:left w:val="nil"/>
              <w:bottom w:val="single" w:sz="4" w:space="0" w:color="auto"/>
              <w:right w:val="single" w:sz="4" w:space="0" w:color="auto"/>
            </w:tcBorders>
            <w:shd w:val="clear" w:color="000000" w:fill="CAEDFB"/>
            <w:noWrap/>
            <w:vAlign w:val="bottom"/>
            <w:hideMark/>
          </w:tcPr>
          <w:p w14:paraId="15861142"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48</w:t>
            </w:r>
          </w:p>
        </w:tc>
      </w:tr>
      <w:tr w:rsidR="00E30AFB" w:rsidRPr="00DE68A1" w14:paraId="0666EBBD" w14:textId="77777777" w:rsidTr="001B74B6">
        <w:trPr>
          <w:trHeight w:val="320"/>
          <w:jc w:val="center"/>
        </w:trPr>
        <w:tc>
          <w:tcPr>
            <w:tcW w:w="2940" w:type="dxa"/>
            <w:tcBorders>
              <w:top w:val="nil"/>
              <w:left w:val="single" w:sz="4" w:space="0" w:color="auto"/>
              <w:bottom w:val="single" w:sz="4" w:space="0" w:color="auto"/>
              <w:right w:val="single" w:sz="4" w:space="0" w:color="auto"/>
            </w:tcBorders>
            <w:shd w:val="clear" w:color="000000" w:fill="DAF2D0"/>
            <w:noWrap/>
            <w:vAlign w:val="bottom"/>
            <w:hideMark/>
          </w:tcPr>
          <w:p w14:paraId="5CDDE431" w14:textId="77777777" w:rsidR="00E30AFB" w:rsidRPr="00DE68A1" w:rsidRDefault="00E30AFB" w:rsidP="001B74B6">
            <w:pPr>
              <w:rPr>
                <w:rFonts w:ascii="Aptos Narrow" w:eastAsia="Times New Roman" w:hAnsi="Aptos Narrow" w:cs="Times New Roman"/>
                <w:b/>
                <w:bCs/>
                <w:color w:val="000000"/>
                <w:lang w:val="en-US" w:eastAsia="en-US"/>
              </w:rPr>
            </w:pPr>
            <w:r w:rsidRPr="00DE68A1">
              <w:rPr>
                <w:rFonts w:ascii="Aptos Narrow" w:eastAsia="Times New Roman" w:hAnsi="Aptos Narrow" w:cs="Times New Roman"/>
                <w:b/>
                <w:bCs/>
                <w:color w:val="000000"/>
                <w:lang w:val="en-US" w:eastAsia="en-US"/>
              </w:rPr>
              <w:t>Ecosystems</w:t>
            </w:r>
          </w:p>
        </w:tc>
        <w:tc>
          <w:tcPr>
            <w:tcW w:w="7280" w:type="dxa"/>
            <w:tcBorders>
              <w:top w:val="nil"/>
              <w:left w:val="nil"/>
              <w:bottom w:val="single" w:sz="4" w:space="0" w:color="auto"/>
              <w:right w:val="single" w:sz="4" w:space="0" w:color="auto"/>
            </w:tcBorders>
            <w:shd w:val="clear" w:color="000000" w:fill="DAF2D0"/>
            <w:noWrap/>
            <w:vAlign w:val="bottom"/>
            <w:hideMark/>
          </w:tcPr>
          <w:p w14:paraId="478804E4"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E-Occurance and Existence of Ecosystem</w:t>
            </w:r>
          </w:p>
        </w:tc>
        <w:tc>
          <w:tcPr>
            <w:tcW w:w="1600" w:type="dxa"/>
            <w:tcBorders>
              <w:top w:val="nil"/>
              <w:left w:val="nil"/>
              <w:bottom w:val="single" w:sz="4" w:space="0" w:color="auto"/>
              <w:right w:val="single" w:sz="4" w:space="0" w:color="auto"/>
            </w:tcBorders>
            <w:shd w:val="clear" w:color="000000" w:fill="DAF2D0"/>
            <w:noWrap/>
            <w:vAlign w:val="bottom"/>
            <w:hideMark/>
          </w:tcPr>
          <w:p w14:paraId="4830778B"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17</w:t>
            </w:r>
          </w:p>
        </w:tc>
      </w:tr>
      <w:tr w:rsidR="00E30AFB" w:rsidRPr="00DE68A1" w14:paraId="7C1553B7"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DAF2D0"/>
            <w:noWrap/>
            <w:vAlign w:val="bottom"/>
            <w:hideMark/>
          </w:tcPr>
          <w:p w14:paraId="356E55C7"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DAF2D0"/>
            <w:noWrap/>
            <w:vAlign w:val="bottom"/>
            <w:hideMark/>
          </w:tcPr>
          <w:p w14:paraId="64DD7BE6"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E-Ecosystem Health</w:t>
            </w:r>
          </w:p>
        </w:tc>
        <w:tc>
          <w:tcPr>
            <w:tcW w:w="1600" w:type="dxa"/>
            <w:tcBorders>
              <w:top w:val="nil"/>
              <w:left w:val="nil"/>
              <w:bottom w:val="single" w:sz="4" w:space="0" w:color="auto"/>
              <w:right w:val="single" w:sz="4" w:space="0" w:color="auto"/>
            </w:tcBorders>
            <w:shd w:val="clear" w:color="000000" w:fill="DAF2D0"/>
            <w:noWrap/>
            <w:vAlign w:val="bottom"/>
            <w:hideMark/>
          </w:tcPr>
          <w:p w14:paraId="1FE700C5"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24</w:t>
            </w:r>
          </w:p>
        </w:tc>
      </w:tr>
      <w:tr w:rsidR="00E30AFB" w:rsidRPr="00DE68A1" w14:paraId="3AB3A0D3"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DAF2D0"/>
            <w:noWrap/>
            <w:vAlign w:val="bottom"/>
            <w:hideMark/>
          </w:tcPr>
          <w:p w14:paraId="59397EA0"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lastRenderedPageBreak/>
              <w:t> </w:t>
            </w:r>
          </w:p>
        </w:tc>
        <w:tc>
          <w:tcPr>
            <w:tcW w:w="7280" w:type="dxa"/>
            <w:tcBorders>
              <w:top w:val="nil"/>
              <w:left w:val="nil"/>
              <w:bottom w:val="single" w:sz="4" w:space="0" w:color="auto"/>
              <w:right w:val="single" w:sz="4" w:space="0" w:color="auto"/>
            </w:tcBorders>
            <w:shd w:val="clear" w:color="000000" w:fill="DAF2D0"/>
            <w:noWrap/>
            <w:vAlign w:val="bottom"/>
            <w:hideMark/>
          </w:tcPr>
          <w:p w14:paraId="0DBBB6BD"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E-Sensitivity and Vulnerability</w:t>
            </w:r>
          </w:p>
        </w:tc>
        <w:tc>
          <w:tcPr>
            <w:tcW w:w="1600" w:type="dxa"/>
            <w:tcBorders>
              <w:top w:val="nil"/>
              <w:left w:val="nil"/>
              <w:bottom w:val="single" w:sz="4" w:space="0" w:color="auto"/>
              <w:right w:val="single" w:sz="4" w:space="0" w:color="auto"/>
            </w:tcBorders>
            <w:shd w:val="clear" w:color="000000" w:fill="DAF2D0"/>
            <w:noWrap/>
            <w:vAlign w:val="bottom"/>
            <w:hideMark/>
          </w:tcPr>
          <w:p w14:paraId="755E38BD"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57</w:t>
            </w:r>
          </w:p>
        </w:tc>
      </w:tr>
      <w:tr w:rsidR="00E30AFB" w:rsidRPr="00DE68A1" w14:paraId="63FD4CE1"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DAF2D0"/>
            <w:noWrap/>
            <w:vAlign w:val="bottom"/>
            <w:hideMark/>
          </w:tcPr>
          <w:p w14:paraId="182D835D"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DAF2D0"/>
            <w:noWrap/>
            <w:vAlign w:val="bottom"/>
            <w:hideMark/>
          </w:tcPr>
          <w:p w14:paraId="25154FEB"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E-Rehabilitation and Restoration</w:t>
            </w:r>
          </w:p>
        </w:tc>
        <w:tc>
          <w:tcPr>
            <w:tcW w:w="1600" w:type="dxa"/>
            <w:tcBorders>
              <w:top w:val="nil"/>
              <w:left w:val="nil"/>
              <w:bottom w:val="single" w:sz="4" w:space="0" w:color="auto"/>
              <w:right w:val="single" w:sz="4" w:space="0" w:color="auto"/>
            </w:tcBorders>
            <w:shd w:val="clear" w:color="000000" w:fill="DAF2D0"/>
            <w:noWrap/>
            <w:vAlign w:val="bottom"/>
            <w:hideMark/>
          </w:tcPr>
          <w:p w14:paraId="3DA7A8A3"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20</w:t>
            </w:r>
          </w:p>
        </w:tc>
      </w:tr>
      <w:tr w:rsidR="00E30AFB" w:rsidRPr="00DE68A1" w14:paraId="2578156E"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DAF2D0"/>
            <w:noWrap/>
            <w:vAlign w:val="bottom"/>
            <w:hideMark/>
          </w:tcPr>
          <w:p w14:paraId="077B4183"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DAF2D0"/>
            <w:noWrap/>
            <w:vAlign w:val="bottom"/>
            <w:hideMark/>
          </w:tcPr>
          <w:p w14:paraId="1E8CF60A"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E-Restoration and Conservation</w:t>
            </w:r>
          </w:p>
        </w:tc>
        <w:tc>
          <w:tcPr>
            <w:tcW w:w="1600" w:type="dxa"/>
            <w:tcBorders>
              <w:top w:val="nil"/>
              <w:left w:val="nil"/>
              <w:bottom w:val="single" w:sz="4" w:space="0" w:color="auto"/>
              <w:right w:val="single" w:sz="4" w:space="0" w:color="auto"/>
            </w:tcBorders>
            <w:shd w:val="clear" w:color="000000" w:fill="DAF2D0"/>
            <w:noWrap/>
            <w:vAlign w:val="bottom"/>
            <w:hideMark/>
          </w:tcPr>
          <w:p w14:paraId="20C7A0FF"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23</w:t>
            </w:r>
          </w:p>
        </w:tc>
      </w:tr>
      <w:tr w:rsidR="00E30AFB" w:rsidRPr="00DE68A1" w14:paraId="76654417" w14:textId="77777777" w:rsidTr="001B74B6">
        <w:trPr>
          <w:trHeight w:val="320"/>
          <w:jc w:val="center"/>
        </w:trPr>
        <w:tc>
          <w:tcPr>
            <w:tcW w:w="2940" w:type="dxa"/>
            <w:tcBorders>
              <w:top w:val="nil"/>
              <w:left w:val="single" w:sz="4" w:space="0" w:color="auto"/>
              <w:bottom w:val="single" w:sz="4" w:space="0" w:color="auto"/>
              <w:right w:val="single" w:sz="4" w:space="0" w:color="auto"/>
            </w:tcBorders>
            <w:shd w:val="clear" w:color="000000" w:fill="F2CEEF"/>
            <w:noWrap/>
            <w:vAlign w:val="bottom"/>
            <w:hideMark/>
          </w:tcPr>
          <w:p w14:paraId="0ADAD8AF" w14:textId="77777777" w:rsidR="00E30AFB" w:rsidRPr="00DE68A1" w:rsidRDefault="00E30AFB" w:rsidP="001B74B6">
            <w:pPr>
              <w:rPr>
                <w:rFonts w:ascii="Aptos Narrow" w:eastAsia="Times New Roman" w:hAnsi="Aptos Narrow" w:cs="Times New Roman"/>
                <w:b/>
                <w:bCs/>
                <w:color w:val="000000"/>
                <w:lang w:val="en-US" w:eastAsia="en-US"/>
              </w:rPr>
            </w:pPr>
            <w:r w:rsidRPr="00DE68A1">
              <w:rPr>
                <w:rFonts w:ascii="Aptos Narrow" w:eastAsia="Times New Roman" w:hAnsi="Aptos Narrow" w:cs="Times New Roman"/>
                <w:b/>
                <w:bCs/>
                <w:color w:val="000000"/>
                <w:lang w:val="en-US" w:eastAsia="en-US"/>
              </w:rPr>
              <w:t>Socio-Economics</w:t>
            </w:r>
          </w:p>
        </w:tc>
        <w:tc>
          <w:tcPr>
            <w:tcW w:w="7280" w:type="dxa"/>
            <w:tcBorders>
              <w:top w:val="nil"/>
              <w:left w:val="nil"/>
              <w:bottom w:val="single" w:sz="4" w:space="0" w:color="auto"/>
              <w:right w:val="single" w:sz="4" w:space="0" w:color="auto"/>
            </w:tcBorders>
            <w:shd w:val="clear" w:color="000000" w:fill="F2CEEF"/>
            <w:noWrap/>
            <w:vAlign w:val="bottom"/>
            <w:hideMark/>
          </w:tcPr>
          <w:p w14:paraId="08B75C23"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S-Demographic</w:t>
            </w:r>
          </w:p>
        </w:tc>
        <w:tc>
          <w:tcPr>
            <w:tcW w:w="1600" w:type="dxa"/>
            <w:tcBorders>
              <w:top w:val="nil"/>
              <w:left w:val="nil"/>
              <w:bottom w:val="single" w:sz="4" w:space="0" w:color="auto"/>
              <w:right w:val="single" w:sz="4" w:space="0" w:color="auto"/>
            </w:tcBorders>
            <w:shd w:val="clear" w:color="000000" w:fill="F2CEEF"/>
            <w:noWrap/>
            <w:vAlign w:val="bottom"/>
            <w:hideMark/>
          </w:tcPr>
          <w:p w14:paraId="7D5664C8"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72</w:t>
            </w:r>
          </w:p>
        </w:tc>
      </w:tr>
      <w:tr w:rsidR="00E30AFB" w:rsidRPr="00DE68A1" w14:paraId="21D12E6F"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F2CEEF"/>
            <w:noWrap/>
            <w:vAlign w:val="bottom"/>
            <w:hideMark/>
          </w:tcPr>
          <w:p w14:paraId="25F214E0"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F2CEEF"/>
            <w:noWrap/>
            <w:vAlign w:val="bottom"/>
            <w:hideMark/>
          </w:tcPr>
          <w:p w14:paraId="5317AC37"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S-Human Wellbeing</w:t>
            </w:r>
          </w:p>
        </w:tc>
        <w:tc>
          <w:tcPr>
            <w:tcW w:w="1600" w:type="dxa"/>
            <w:tcBorders>
              <w:top w:val="nil"/>
              <w:left w:val="nil"/>
              <w:bottom w:val="single" w:sz="4" w:space="0" w:color="auto"/>
              <w:right w:val="single" w:sz="4" w:space="0" w:color="auto"/>
            </w:tcBorders>
            <w:shd w:val="clear" w:color="000000" w:fill="F2CEEF"/>
            <w:noWrap/>
            <w:vAlign w:val="bottom"/>
            <w:hideMark/>
          </w:tcPr>
          <w:p w14:paraId="4E36A7D3"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65</w:t>
            </w:r>
          </w:p>
        </w:tc>
      </w:tr>
      <w:tr w:rsidR="00E30AFB" w:rsidRPr="00DE68A1" w14:paraId="27D7AE50"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F2CEEF"/>
            <w:noWrap/>
            <w:vAlign w:val="bottom"/>
            <w:hideMark/>
          </w:tcPr>
          <w:p w14:paraId="70EF1790"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F2CEEF"/>
            <w:noWrap/>
            <w:vAlign w:val="bottom"/>
            <w:hideMark/>
          </w:tcPr>
          <w:p w14:paraId="1F67D4D8"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S-Economic Activity</w:t>
            </w:r>
          </w:p>
        </w:tc>
        <w:tc>
          <w:tcPr>
            <w:tcW w:w="1600" w:type="dxa"/>
            <w:tcBorders>
              <w:top w:val="nil"/>
              <w:left w:val="nil"/>
              <w:bottom w:val="single" w:sz="4" w:space="0" w:color="auto"/>
              <w:right w:val="single" w:sz="4" w:space="0" w:color="auto"/>
            </w:tcBorders>
            <w:shd w:val="clear" w:color="000000" w:fill="F2CEEF"/>
            <w:noWrap/>
            <w:vAlign w:val="bottom"/>
            <w:hideMark/>
          </w:tcPr>
          <w:p w14:paraId="6D5D1ABD"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73</w:t>
            </w:r>
          </w:p>
        </w:tc>
      </w:tr>
      <w:tr w:rsidR="00E30AFB" w:rsidRPr="00DE68A1" w14:paraId="754C5889"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F2CEEF"/>
            <w:noWrap/>
            <w:vAlign w:val="bottom"/>
            <w:hideMark/>
          </w:tcPr>
          <w:p w14:paraId="1846EB09"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F2CEEF"/>
            <w:noWrap/>
            <w:vAlign w:val="bottom"/>
            <w:hideMark/>
          </w:tcPr>
          <w:p w14:paraId="73B3860B"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S-Climate Indicators</w:t>
            </w:r>
          </w:p>
        </w:tc>
        <w:tc>
          <w:tcPr>
            <w:tcW w:w="1600" w:type="dxa"/>
            <w:tcBorders>
              <w:top w:val="nil"/>
              <w:left w:val="nil"/>
              <w:bottom w:val="single" w:sz="4" w:space="0" w:color="auto"/>
              <w:right w:val="single" w:sz="4" w:space="0" w:color="auto"/>
            </w:tcBorders>
            <w:shd w:val="clear" w:color="000000" w:fill="F2CEEF"/>
            <w:noWrap/>
            <w:vAlign w:val="bottom"/>
            <w:hideMark/>
          </w:tcPr>
          <w:p w14:paraId="492A42AA"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69</w:t>
            </w:r>
          </w:p>
        </w:tc>
      </w:tr>
      <w:tr w:rsidR="00E30AFB" w:rsidRPr="00DE68A1" w14:paraId="36330B7B" w14:textId="77777777" w:rsidTr="001B74B6">
        <w:trPr>
          <w:trHeight w:val="320"/>
          <w:jc w:val="center"/>
        </w:trPr>
        <w:tc>
          <w:tcPr>
            <w:tcW w:w="2940" w:type="dxa"/>
            <w:tcBorders>
              <w:top w:val="nil"/>
              <w:left w:val="single" w:sz="4" w:space="0" w:color="auto"/>
              <w:bottom w:val="single" w:sz="4" w:space="0" w:color="auto"/>
              <w:right w:val="single" w:sz="4" w:space="0" w:color="auto"/>
            </w:tcBorders>
            <w:shd w:val="clear" w:color="000000" w:fill="83E28E"/>
            <w:noWrap/>
            <w:vAlign w:val="bottom"/>
            <w:hideMark/>
          </w:tcPr>
          <w:p w14:paraId="0CED6560" w14:textId="77777777" w:rsidR="00E30AFB" w:rsidRPr="00DE68A1" w:rsidRDefault="00E30AFB" w:rsidP="001B74B6">
            <w:pPr>
              <w:rPr>
                <w:rFonts w:ascii="Aptos Narrow" w:eastAsia="Times New Roman" w:hAnsi="Aptos Narrow" w:cs="Times New Roman"/>
                <w:b/>
                <w:bCs/>
                <w:color w:val="000000"/>
                <w:lang w:val="en-US" w:eastAsia="en-US"/>
              </w:rPr>
            </w:pPr>
            <w:r w:rsidRPr="00DE68A1">
              <w:rPr>
                <w:rFonts w:ascii="Aptos Narrow" w:eastAsia="Times New Roman" w:hAnsi="Aptos Narrow" w:cs="Times New Roman"/>
                <w:b/>
                <w:bCs/>
                <w:color w:val="000000"/>
                <w:lang w:val="en-US" w:eastAsia="en-US"/>
              </w:rPr>
              <w:t>Governance</w:t>
            </w:r>
          </w:p>
        </w:tc>
        <w:tc>
          <w:tcPr>
            <w:tcW w:w="7280" w:type="dxa"/>
            <w:tcBorders>
              <w:top w:val="nil"/>
              <w:left w:val="nil"/>
              <w:bottom w:val="single" w:sz="4" w:space="0" w:color="auto"/>
              <w:right w:val="single" w:sz="4" w:space="0" w:color="auto"/>
            </w:tcBorders>
            <w:shd w:val="clear" w:color="000000" w:fill="83E28E"/>
            <w:noWrap/>
            <w:vAlign w:val="bottom"/>
            <w:hideMark/>
          </w:tcPr>
          <w:p w14:paraId="0A56D30B"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G-Legal Setting</w:t>
            </w:r>
          </w:p>
        </w:tc>
        <w:tc>
          <w:tcPr>
            <w:tcW w:w="1600" w:type="dxa"/>
            <w:tcBorders>
              <w:top w:val="nil"/>
              <w:left w:val="nil"/>
              <w:bottom w:val="single" w:sz="4" w:space="0" w:color="auto"/>
              <w:right w:val="single" w:sz="4" w:space="0" w:color="auto"/>
            </w:tcBorders>
            <w:shd w:val="clear" w:color="000000" w:fill="83E28E"/>
            <w:noWrap/>
            <w:vAlign w:val="bottom"/>
            <w:hideMark/>
          </w:tcPr>
          <w:p w14:paraId="3FEB0531"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58</w:t>
            </w:r>
          </w:p>
        </w:tc>
      </w:tr>
      <w:tr w:rsidR="00E30AFB" w:rsidRPr="00DE68A1" w14:paraId="7AACB820"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83E28E"/>
            <w:noWrap/>
            <w:vAlign w:val="bottom"/>
            <w:hideMark/>
          </w:tcPr>
          <w:p w14:paraId="5F4C4FFD"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83E28E"/>
            <w:noWrap/>
            <w:vAlign w:val="bottom"/>
            <w:hideMark/>
          </w:tcPr>
          <w:p w14:paraId="0DA582BE"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G-Policy Setting</w:t>
            </w:r>
          </w:p>
        </w:tc>
        <w:tc>
          <w:tcPr>
            <w:tcW w:w="1600" w:type="dxa"/>
            <w:tcBorders>
              <w:top w:val="nil"/>
              <w:left w:val="nil"/>
              <w:bottom w:val="single" w:sz="4" w:space="0" w:color="auto"/>
              <w:right w:val="single" w:sz="4" w:space="0" w:color="auto"/>
            </w:tcBorders>
            <w:shd w:val="clear" w:color="000000" w:fill="83E28E"/>
            <w:noWrap/>
            <w:vAlign w:val="bottom"/>
            <w:hideMark/>
          </w:tcPr>
          <w:p w14:paraId="219560BB"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72</w:t>
            </w:r>
          </w:p>
        </w:tc>
      </w:tr>
      <w:tr w:rsidR="00E30AFB" w:rsidRPr="00DE68A1" w14:paraId="102FB9B6"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83E28E"/>
            <w:noWrap/>
            <w:vAlign w:val="bottom"/>
            <w:hideMark/>
          </w:tcPr>
          <w:p w14:paraId="4F20ADCB"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83E28E"/>
            <w:noWrap/>
            <w:vAlign w:val="bottom"/>
            <w:hideMark/>
          </w:tcPr>
          <w:p w14:paraId="33B81C7D"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G-Governance Performance Effectiveness</w:t>
            </w:r>
          </w:p>
        </w:tc>
        <w:tc>
          <w:tcPr>
            <w:tcW w:w="1600" w:type="dxa"/>
            <w:tcBorders>
              <w:top w:val="nil"/>
              <w:left w:val="nil"/>
              <w:bottom w:val="single" w:sz="4" w:space="0" w:color="auto"/>
              <w:right w:val="single" w:sz="4" w:space="0" w:color="auto"/>
            </w:tcBorders>
            <w:shd w:val="clear" w:color="000000" w:fill="83E28E"/>
            <w:noWrap/>
            <w:vAlign w:val="bottom"/>
            <w:hideMark/>
          </w:tcPr>
          <w:p w14:paraId="3929B5C9"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70</w:t>
            </w:r>
          </w:p>
        </w:tc>
      </w:tr>
      <w:tr w:rsidR="00E30AFB" w:rsidRPr="00DE68A1" w14:paraId="4750E092"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83E28E"/>
            <w:noWrap/>
            <w:vAlign w:val="bottom"/>
            <w:hideMark/>
          </w:tcPr>
          <w:p w14:paraId="11F43EDB"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83E28E"/>
            <w:noWrap/>
            <w:vAlign w:val="bottom"/>
            <w:hideMark/>
          </w:tcPr>
          <w:p w14:paraId="621C12D3"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G-Completeness</w:t>
            </w:r>
          </w:p>
        </w:tc>
        <w:tc>
          <w:tcPr>
            <w:tcW w:w="1600" w:type="dxa"/>
            <w:tcBorders>
              <w:top w:val="nil"/>
              <w:left w:val="nil"/>
              <w:bottom w:val="single" w:sz="4" w:space="0" w:color="auto"/>
              <w:right w:val="single" w:sz="4" w:space="0" w:color="auto"/>
            </w:tcBorders>
            <w:shd w:val="clear" w:color="000000" w:fill="83E28E"/>
            <w:noWrap/>
            <w:vAlign w:val="bottom"/>
            <w:hideMark/>
          </w:tcPr>
          <w:p w14:paraId="6A0B1C7D"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42</w:t>
            </w:r>
          </w:p>
        </w:tc>
      </w:tr>
      <w:tr w:rsidR="00E30AFB" w:rsidRPr="00DE68A1" w14:paraId="71A27C56"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83E28E"/>
            <w:noWrap/>
            <w:vAlign w:val="bottom"/>
            <w:hideMark/>
          </w:tcPr>
          <w:p w14:paraId="04C40FDE"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83E28E"/>
            <w:noWrap/>
            <w:vAlign w:val="bottom"/>
            <w:hideMark/>
          </w:tcPr>
          <w:p w14:paraId="70A16E6B"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G-Integration</w:t>
            </w:r>
          </w:p>
        </w:tc>
        <w:tc>
          <w:tcPr>
            <w:tcW w:w="1600" w:type="dxa"/>
            <w:tcBorders>
              <w:top w:val="nil"/>
              <w:left w:val="nil"/>
              <w:bottom w:val="single" w:sz="4" w:space="0" w:color="auto"/>
              <w:right w:val="single" w:sz="4" w:space="0" w:color="auto"/>
            </w:tcBorders>
            <w:shd w:val="clear" w:color="000000" w:fill="83E28E"/>
            <w:noWrap/>
            <w:vAlign w:val="bottom"/>
            <w:hideMark/>
          </w:tcPr>
          <w:p w14:paraId="7C15F69A"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48</w:t>
            </w:r>
          </w:p>
        </w:tc>
      </w:tr>
      <w:tr w:rsidR="00E30AFB" w:rsidRPr="00DE68A1" w14:paraId="20A5F98A" w14:textId="77777777" w:rsidTr="001B74B6">
        <w:trPr>
          <w:trHeight w:val="310"/>
          <w:jc w:val="center"/>
        </w:trPr>
        <w:tc>
          <w:tcPr>
            <w:tcW w:w="2940" w:type="dxa"/>
            <w:tcBorders>
              <w:top w:val="nil"/>
              <w:left w:val="single" w:sz="4" w:space="0" w:color="auto"/>
              <w:bottom w:val="single" w:sz="4" w:space="0" w:color="auto"/>
              <w:right w:val="single" w:sz="4" w:space="0" w:color="auto"/>
            </w:tcBorders>
            <w:shd w:val="clear" w:color="000000" w:fill="83E28E"/>
            <w:noWrap/>
            <w:vAlign w:val="bottom"/>
            <w:hideMark/>
          </w:tcPr>
          <w:p w14:paraId="0188DBF8" w14:textId="77777777" w:rsidR="00E30AFB" w:rsidRPr="00DE68A1" w:rsidRDefault="00E30AFB" w:rsidP="001B74B6">
            <w:pPr>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 </w:t>
            </w:r>
          </w:p>
        </w:tc>
        <w:tc>
          <w:tcPr>
            <w:tcW w:w="7280" w:type="dxa"/>
            <w:tcBorders>
              <w:top w:val="nil"/>
              <w:left w:val="nil"/>
              <w:bottom w:val="single" w:sz="4" w:space="0" w:color="auto"/>
              <w:right w:val="single" w:sz="4" w:space="0" w:color="auto"/>
            </w:tcBorders>
            <w:shd w:val="clear" w:color="000000" w:fill="83E28E"/>
            <w:noWrap/>
            <w:vAlign w:val="bottom"/>
            <w:hideMark/>
          </w:tcPr>
          <w:p w14:paraId="7A6B5BC8" w14:textId="77777777" w:rsidR="00E30AFB" w:rsidRPr="00DE68A1" w:rsidRDefault="00E30AFB" w:rsidP="001B74B6">
            <w:pPr>
              <w:rPr>
                <w:rFonts w:ascii="&quot;Times New Roman&quot;" w:eastAsia="Times New Roman" w:hAnsi="&quot;Times New Roman&quot;" w:cs="Times New Roman"/>
                <w:color w:val="000000"/>
                <w:lang w:val="en-US" w:eastAsia="en-US"/>
              </w:rPr>
            </w:pPr>
            <w:r w:rsidRPr="00DE68A1">
              <w:rPr>
                <w:rFonts w:ascii="&quot;Times New Roman&quot;" w:eastAsia="Times New Roman" w:hAnsi="&quot;Times New Roman&quot;" w:cs="Times New Roman"/>
                <w:color w:val="000000"/>
                <w:lang w:val="en-US" w:eastAsia="en-US"/>
              </w:rPr>
              <w:t>G-Engagement</w:t>
            </w:r>
          </w:p>
        </w:tc>
        <w:tc>
          <w:tcPr>
            <w:tcW w:w="1600" w:type="dxa"/>
            <w:tcBorders>
              <w:top w:val="nil"/>
              <w:left w:val="nil"/>
              <w:bottom w:val="single" w:sz="4" w:space="0" w:color="auto"/>
              <w:right w:val="single" w:sz="4" w:space="0" w:color="auto"/>
            </w:tcBorders>
            <w:shd w:val="clear" w:color="000000" w:fill="83E28E"/>
            <w:noWrap/>
            <w:vAlign w:val="bottom"/>
            <w:hideMark/>
          </w:tcPr>
          <w:p w14:paraId="03AD0BAF" w14:textId="77777777" w:rsidR="00E30AFB" w:rsidRPr="00DE68A1" w:rsidRDefault="00E30AFB" w:rsidP="001B74B6">
            <w:pPr>
              <w:jc w:val="right"/>
              <w:rPr>
                <w:rFonts w:ascii="Aptos Narrow" w:eastAsia="Times New Roman" w:hAnsi="Aptos Narrow" w:cs="Times New Roman"/>
                <w:color w:val="000000"/>
                <w:sz w:val="22"/>
                <w:szCs w:val="22"/>
                <w:lang w:val="en-US" w:eastAsia="en-US"/>
              </w:rPr>
            </w:pPr>
            <w:r w:rsidRPr="00DE68A1">
              <w:rPr>
                <w:rFonts w:ascii="Aptos Narrow" w:eastAsia="Times New Roman" w:hAnsi="Aptos Narrow" w:cs="Times New Roman"/>
                <w:color w:val="000000"/>
                <w:sz w:val="22"/>
                <w:szCs w:val="22"/>
                <w:lang w:val="en-US" w:eastAsia="en-US"/>
              </w:rPr>
              <w:t>54</w:t>
            </w:r>
          </w:p>
        </w:tc>
      </w:tr>
    </w:tbl>
    <w:p w14:paraId="1A62E91E" w14:textId="77777777" w:rsidR="00E30AFB" w:rsidRPr="002568A5" w:rsidRDefault="00E30AFB" w:rsidP="00E30AFB">
      <w:pPr>
        <w:ind w:left="360"/>
        <w:rPr>
          <w:rFonts w:ascii="Times New Roman" w:hAnsi="Times New Roman" w:cs="Times New Roman"/>
          <w:color w:val="000000" w:themeColor="text1"/>
        </w:rPr>
      </w:pPr>
    </w:p>
    <w:p w14:paraId="5F95F066" w14:textId="77777777" w:rsidR="00E30AFB" w:rsidRPr="00E678F4" w:rsidRDefault="00E30AFB" w:rsidP="00E30AFB">
      <w:pPr>
        <w:rPr>
          <w:lang w:val="en-US" w:eastAsia="en-US"/>
        </w:rPr>
      </w:pPr>
    </w:p>
    <w:p w14:paraId="1F4A2968" w14:textId="77777777" w:rsidR="00E678F4" w:rsidRPr="00CD4731" w:rsidRDefault="00E678F4" w:rsidP="00CD4731">
      <w:pPr>
        <w:spacing w:after="240"/>
        <w:jc w:val="both"/>
        <w:rPr>
          <w:rFonts w:ascii="Times New Roman" w:hAnsi="Times New Roman" w:cs="Times New Roman"/>
          <w:sz w:val="22"/>
          <w:szCs w:val="22"/>
        </w:rPr>
      </w:pPr>
    </w:p>
    <w:sectPr w:rsidR="00E678F4" w:rsidRPr="00CD4731" w:rsidSect="00D33AEE">
      <w:headerReference w:type="default" r:id="rId138"/>
      <w:footerReference w:type="even" r:id="rId139"/>
      <w:footerReference w:type="default" r:id="rId140"/>
      <w:pgSz w:w="16817" w:h="11901" w:orient="landscape"/>
      <w:pgMar w:top="1077" w:right="1440" w:bottom="1077" w:left="1440" w:header="709" w:footer="709" w:gutter="0"/>
      <w:pgNumType w:start="158"/>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4DD1B9" w14:textId="77777777" w:rsidR="00A82035" w:rsidRDefault="00A82035">
      <w:r>
        <w:separator/>
      </w:r>
    </w:p>
  </w:endnote>
  <w:endnote w:type="continuationSeparator" w:id="0">
    <w:p w14:paraId="37C89A4C" w14:textId="77777777" w:rsidR="00A82035" w:rsidRDefault="00A820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5F850887-1B55-6246-879F-0E1F381F8BD6}"/>
    <w:embedBold r:id="rId2" w:fontKey="{811C5C35-512A-6A4E-AC1E-432F091D773F}"/>
    <w:embedItalic r:id="rId3" w:fontKey="{E84AA15E-ADF5-D14C-BB73-2E18BD3B5472}"/>
    <w:embedBoldItalic r:id="rId4" w:fontKey="{341B3FE5-49EF-1B43-A0EB-4122F86ADC16}"/>
  </w:font>
  <w:font w:name="Symbol">
    <w:panose1 w:val="05050102010706020507"/>
    <w:charset w:val="02"/>
    <w:family w:val="decorative"/>
    <w:pitch w:val="variable"/>
    <w:sig w:usb0="00000000" w:usb1="10000000" w:usb2="00000000" w:usb3="00000000" w:csb0="80000000" w:csb1="00000000"/>
    <w:embedRegular r:id="rId5" w:fontKey="{78C7AF2D-9FB4-5B43-9BC1-967795321587}"/>
  </w:font>
  <w:font w:name="Arial">
    <w:panose1 w:val="020B0604020202020204"/>
    <w:charset w:val="00"/>
    <w:family w:val="swiss"/>
    <w:pitch w:val="variable"/>
    <w:sig w:usb0="E0002AFF" w:usb1="C0007843" w:usb2="00000009" w:usb3="00000000" w:csb0="000001FF" w:csb1="00000000"/>
    <w:embedRegular r:id="rId6" w:fontKey="{99EF7F38-F59D-AB4A-94DA-BC72698EF524}"/>
    <w:embedBold r:id="rId7" w:fontKey="{97665C7D-D495-F84E-A9C4-E8FD4C59C8CC}"/>
    <w:embedItalic r:id="rId8" w:fontKey="{C44D153C-192A-B24C-B490-9BD00DA75F11}"/>
  </w:font>
  <w:font w:name="Courier New">
    <w:panose1 w:val="02070309020205020404"/>
    <w:charset w:val="00"/>
    <w:family w:val="modern"/>
    <w:pitch w:val="fixed"/>
    <w:sig w:usb0="E0002AFF" w:usb1="C0007843" w:usb2="00000009" w:usb3="00000000" w:csb0="000001FF" w:csb1="00000000"/>
    <w:embedRegular r:id="rId9" w:fontKey="{2F616A8D-FA5A-804C-9A9B-C9A8BDE06CE3}"/>
  </w:font>
  <w:font w:name="Wingdings">
    <w:panose1 w:val="05000000000000000000"/>
    <w:charset w:val="4D"/>
    <w:family w:val="decorative"/>
    <w:pitch w:val="variable"/>
    <w:sig w:usb0="00000003" w:usb1="00000000" w:usb2="00000000" w:usb3="00000000" w:csb0="80000001" w:csb1="00000000"/>
    <w:embedRegular r:id="rId10" w:fontKey="{D548B32A-9F6E-8642-AD4F-0A7ED705CB0F}"/>
  </w:font>
  <w:font w:name="Calibri">
    <w:panose1 w:val="020F0502020204030204"/>
    <w:charset w:val="00"/>
    <w:family w:val="swiss"/>
    <w:pitch w:val="variable"/>
    <w:sig w:usb0="E0002AFF" w:usb1="C000247B" w:usb2="00000009" w:usb3="00000000" w:csb0="000001FF" w:csb1="00000000"/>
    <w:embedRegular r:id="rId11" w:fontKey="{A529442A-5083-9045-86F8-33C6DB1912E9}"/>
    <w:embedBold r:id="rId12" w:fontKey="{2F99A085-2F7B-F441-8CCD-575101B36B35}"/>
    <w:embedItalic r:id="rId13" w:fontKey="{90CF6F1A-F767-894C-999B-105DC17F2A81}"/>
    <w:embedBoldItalic r:id="rId14" w:fontKey="{7F9AB064-A04B-5C4F-938D-39D6BB04B0DE}"/>
  </w:font>
  <w:font w:name="Arial MT">
    <w:altName w:val="Arial"/>
    <w:panose1 w:val="020B0604020202020204"/>
    <w:charset w:val="01"/>
    <w:family w:val="swiss"/>
    <w:pitch w:val="variable"/>
  </w:font>
  <w:font w:name="Noto Sans Symbols">
    <w:panose1 w:val="020B0604020202020204"/>
    <w:charset w:val="00"/>
    <w:family w:val="auto"/>
    <w:pitch w:val="default"/>
    <w:embedRegular r:id="rId16" w:fontKey="{4FE96578-C485-B34A-94AA-A5D96B95E5A7}"/>
  </w:font>
  <w:font w:name="Trebuchet MS">
    <w:panose1 w:val="020B0603020202020204"/>
    <w:charset w:val="00"/>
    <w:family w:val="swiss"/>
    <w:pitch w:val="variable"/>
    <w:sig w:usb0="00000287" w:usb1="00000000" w:usb2="00000000" w:usb3="00000000" w:csb0="0000009F" w:csb1="00000000"/>
    <w:embedRegular r:id="rId17" w:fontKey="{8C3807E5-0205-044F-B2F7-3EAC1F53B371}"/>
  </w:font>
  <w:font w:name="Angsana New">
    <w:panose1 w:val="02020603050405020304"/>
    <w:charset w:val="DE"/>
    <w:family w:val="roman"/>
    <w:pitch w:val="variable"/>
    <w:sig w:usb0="81000003" w:usb1="00000000" w:usb2="00000000" w:usb3="00000000" w:csb0="00010001" w:csb1="00000000"/>
    <w:embedRegular r:id="rId18" w:fontKey="{2420A525-2044-6349-9982-7D2C75DD2F36}"/>
  </w:font>
  <w:font w:name="Calibri Light">
    <w:panose1 w:val="020F0302020204030204"/>
    <w:charset w:val="00"/>
    <w:family w:val="swiss"/>
    <w:pitch w:val="variable"/>
    <w:sig w:usb0="E0002AFF" w:usb1="C000247B" w:usb2="00000009" w:usb3="00000000" w:csb0="000001FF" w:csb1="00000000"/>
    <w:embedRegular r:id="rId19" w:fontKey="{9BA4CFB3-3B44-974A-81CD-7FA87105AB22}"/>
    <w:embedBold r:id="rId20" w:fontKey="{3404270E-69BC-FF47-AFC2-71F02D28047D}"/>
  </w:font>
  <w:font w:name="Georgia">
    <w:panose1 w:val="02040502050405020303"/>
    <w:charset w:val="00"/>
    <w:family w:val="roman"/>
    <w:pitch w:val="variable"/>
    <w:sig w:usb0="00000287" w:usb1="00000000" w:usb2="00000000" w:usb3="00000000" w:csb0="0000009F" w:csb1="00000000"/>
    <w:embedRegular r:id="rId21" w:fontKey="{B64A29BE-D44A-0141-9FA6-2E18F3029CDD}"/>
    <w:embedItalic r:id="rId22" w:fontKey="{B5EABDA0-95DD-914D-BDE8-F2FEE8BA08A8}"/>
  </w:font>
  <w:font w:name="&quot;Times New Roman&quot;">
    <w:altName w:val="Cambria"/>
    <w:panose1 w:val="020B0604020202020204"/>
    <w:charset w:val="00"/>
    <w:family w:val="roman"/>
    <w:pitch w:val="default"/>
  </w:font>
  <w:font w:name="Aptos">
    <w:panose1 w:val="020B0004020202020204"/>
    <w:charset w:val="00"/>
    <w:family w:val="swiss"/>
    <w:pitch w:val="variable"/>
    <w:sig w:usb0="20000287" w:usb1="00000003" w:usb2="00000000" w:usb3="00000000" w:csb0="0000019F" w:csb1="00000000"/>
    <w:embedRegular r:id="rId24" w:fontKey="{995C3842-2001-2645-8D78-9C3420ED1F4D}"/>
    <w:embedItalic r:id="rId25" w:fontKey="{5BE9B170-548E-9544-B39F-FFA1D68BFF90}"/>
    <w:embedBoldItalic r:id="rId26" w:fontKey="{CCBFEE78-AF33-0B4E-ADA6-D94335695EB0}"/>
  </w:font>
  <w:font w:name="Segoe UI Symbol">
    <w:panose1 w:val="020B0502040204020203"/>
    <w:charset w:val="00"/>
    <w:family w:val="swiss"/>
    <w:pitch w:val="variable"/>
    <w:sig w:usb0="800001E3" w:usb1="1200FFEF" w:usb2="00040000" w:usb3="00000000" w:csb0="00000001" w:csb1="00000000"/>
    <w:embedRegular r:id="rId27" w:fontKey="{CE100986-C675-5C42-BB48-7BD0F0549661}"/>
    <w:embedBold r:id="rId28" w:fontKey="{CECE83E8-5D5C-3549-B2CE-005CAE026DBD}"/>
  </w:font>
  <w:font w:name="Aptos Narrow">
    <w:panose1 w:val="020B0004020202020204"/>
    <w:charset w:val="00"/>
    <w:family w:val="swiss"/>
    <w:pitch w:val="variable"/>
    <w:sig w:usb0="20000287" w:usb1="00000003" w:usb2="00000000" w:usb3="00000000" w:csb0="0000019F" w:csb1="00000000"/>
    <w:embedRegular r:id="rId29" w:fontKey="{E94BFBFC-ECA3-9343-9BC1-5498C1247B5B}"/>
    <w:embedBold r:id="rId30" w:fontKey="{9E47F391-8ECE-7D4B-8350-A37285D5516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DBD527" w14:textId="77777777" w:rsidR="00E30AFB" w:rsidRDefault="00E30AFB">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3D8D2870" w14:textId="77777777" w:rsidR="00E30AFB" w:rsidRDefault="00E30AFB">
    <w:pPr>
      <w:pBdr>
        <w:top w:val="nil"/>
        <w:left w:val="nil"/>
        <w:bottom w:val="nil"/>
        <w:right w:val="nil"/>
        <w:between w:val="nil"/>
      </w:pBdr>
      <w:tabs>
        <w:tab w:val="center" w:pos="4680"/>
        <w:tab w:val="right" w:pos="9360"/>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C9402D" w14:textId="77777777" w:rsidR="00E30AFB" w:rsidRDefault="00E30AFB">
    <w:pPr>
      <w:widowControl w:val="0"/>
      <w:pBdr>
        <w:top w:val="nil"/>
        <w:left w:val="nil"/>
        <w:bottom w:val="nil"/>
        <w:right w:val="nil"/>
        <w:between w:val="nil"/>
      </w:pBdr>
      <w:spacing w:line="276" w:lineRule="auto"/>
      <w:rPr>
        <w:color w:val="000000"/>
      </w:rPr>
    </w:pPr>
  </w:p>
  <w:tbl>
    <w:tblPr>
      <w:tblW w:w="6810" w:type="dxa"/>
      <w:jc w:val="right"/>
      <w:tblLayout w:type="fixed"/>
      <w:tblLook w:val="0400" w:firstRow="0" w:lastRow="0" w:firstColumn="0" w:lastColumn="0" w:noHBand="0" w:noVBand="1"/>
    </w:tblPr>
    <w:tblGrid>
      <w:gridCol w:w="6195"/>
      <w:gridCol w:w="615"/>
    </w:tblGrid>
    <w:tr w:rsidR="00E30AFB" w14:paraId="30CD2EFD" w14:textId="77777777">
      <w:trPr>
        <w:jc w:val="right"/>
      </w:trPr>
      <w:tc>
        <w:tcPr>
          <w:tcW w:w="6195" w:type="dxa"/>
          <w:vAlign w:val="center"/>
        </w:tcPr>
        <w:p w14:paraId="32AFC4B5" w14:textId="77777777" w:rsidR="00E30AFB" w:rsidRDefault="00E30AFB">
          <w:pPr>
            <w:pBdr>
              <w:top w:val="nil"/>
              <w:left w:val="nil"/>
              <w:bottom w:val="nil"/>
              <w:right w:val="nil"/>
              <w:between w:val="nil"/>
            </w:pBdr>
            <w:tabs>
              <w:tab w:val="center" w:pos="4680"/>
              <w:tab w:val="right" w:pos="9360"/>
            </w:tabs>
            <w:rPr>
              <w:smallCaps/>
              <w:color w:val="000000"/>
            </w:rPr>
          </w:pPr>
          <w:r>
            <w:rPr>
              <w:b/>
              <w:color w:val="0070C0"/>
              <w:sz w:val="16"/>
              <w:szCs w:val="16"/>
            </w:rPr>
            <w:t xml:space="preserve">Transboundary Diagnostic Analysis Report / TDA Report for the SCS SAP UNOP Project </w:t>
          </w:r>
        </w:p>
      </w:tc>
      <w:tc>
        <w:tcPr>
          <w:tcW w:w="615" w:type="dxa"/>
          <w:shd w:val="clear" w:color="auto" w:fill="4472C4"/>
          <w:vAlign w:val="center"/>
        </w:tcPr>
        <w:p w14:paraId="1C1A1CBD" w14:textId="77777777" w:rsidR="00E30AFB" w:rsidRDefault="00E30AFB">
          <w:pPr>
            <w:pBdr>
              <w:top w:val="nil"/>
              <w:left w:val="nil"/>
              <w:bottom w:val="nil"/>
              <w:right w:val="nil"/>
              <w:between w:val="nil"/>
            </w:pBdr>
            <w:tabs>
              <w:tab w:val="center" w:pos="4680"/>
              <w:tab w:val="right" w:pos="9360"/>
            </w:tabs>
            <w:jc w:val="center"/>
            <w:rPr>
              <w:color w:val="FFFFFF"/>
            </w:rPr>
          </w:pPr>
          <w:r>
            <w:rPr>
              <w:color w:val="FFFFFF"/>
            </w:rPr>
            <w:fldChar w:fldCharType="begin"/>
          </w:r>
          <w:r>
            <w:rPr>
              <w:color w:val="FFFFFF"/>
            </w:rPr>
            <w:instrText>PAGE</w:instrText>
          </w:r>
          <w:r>
            <w:rPr>
              <w:color w:val="FFFFFF"/>
            </w:rPr>
            <w:fldChar w:fldCharType="separate"/>
          </w:r>
          <w:r>
            <w:rPr>
              <w:noProof/>
              <w:color w:val="FFFFFF"/>
            </w:rPr>
            <w:t>6</w:t>
          </w:r>
          <w:r>
            <w:rPr>
              <w:color w:val="FFFFFF"/>
            </w:rPr>
            <w:fldChar w:fldCharType="end"/>
          </w:r>
        </w:p>
      </w:tc>
    </w:tr>
  </w:tbl>
  <w:p w14:paraId="4A907FD1" w14:textId="77777777" w:rsidR="00E30AFB" w:rsidRDefault="00E30AFB">
    <w:pPr>
      <w:pBdr>
        <w:top w:val="nil"/>
        <w:left w:val="nil"/>
        <w:bottom w:val="nil"/>
        <w:right w:val="nil"/>
        <w:between w:val="nil"/>
      </w:pBdr>
      <w:tabs>
        <w:tab w:val="center" w:pos="4680"/>
        <w:tab w:val="right" w:pos="9360"/>
      </w:tabs>
      <w:jc w:val="right"/>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B1A1D" w14:textId="77777777" w:rsidR="00026F8C" w:rsidRDefault="00000000">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10156D88" w14:textId="77777777" w:rsidR="00026F8C" w:rsidRDefault="00026F8C">
    <w:pPr>
      <w:pBdr>
        <w:top w:val="nil"/>
        <w:left w:val="nil"/>
        <w:bottom w:val="nil"/>
        <w:right w:val="nil"/>
        <w:between w:val="nil"/>
      </w:pBdr>
      <w:tabs>
        <w:tab w:val="center" w:pos="4680"/>
        <w:tab w:val="right" w:pos="9360"/>
      </w:tabs>
      <w:ind w:right="360"/>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6B449" w14:textId="77777777" w:rsidR="00026F8C" w:rsidRDefault="00026F8C">
    <w:pPr>
      <w:widowControl w:val="0"/>
      <w:pBdr>
        <w:top w:val="nil"/>
        <w:left w:val="nil"/>
        <w:bottom w:val="nil"/>
        <w:right w:val="nil"/>
        <w:between w:val="nil"/>
      </w:pBdr>
      <w:spacing w:line="276" w:lineRule="auto"/>
      <w:rPr>
        <w:color w:val="000000"/>
      </w:rPr>
    </w:pPr>
  </w:p>
  <w:tbl>
    <w:tblPr>
      <w:tblStyle w:val="aff6"/>
      <w:tblW w:w="6810" w:type="dxa"/>
      <w:jc w:val="right"/>
      <w:tblLayout w:type="fixed"/>
      <w:tblLook w:val="0400" w:firstRow="0" w:lastRow="0" w:firstColumn="0" w:lastColumn="0" w:noHBand="0" w:noVBand="1"/>
    </w:tblPr>
    <w:tblGrid>
      <w:gridCol w:w="6195"/>
      <w:gridCol w:w="615"/>
    </w:tblGrid>
    <w:tr w:rsidR="00026F8C" w14:paraId="3AF4525E" w14:textId="77777777">
      <w:trPr>
        <w:jc w:val="right"/>
      </w:trPr>
      <w:tc>
        <w:tcPr>
          <w:tcW w:w="6195" w:type="dxa"/>
          <w:vAlign w:val="center"/>
        </w:tcPr>
        <w:p w14:paraId="1BEF1D0D" w14:textId="1AB83031" w:rsidR="00026F8C" w:rsidRDefault="00935136">
          <w:pPr>
            <w:pBdr>
              <w:top w:val="nil"/>
              <w:left w:val="nil"/>
              <w:bottom w:val="nil"/>
              <w:right w:val="nil"/>
              <w:between w:val="nil"/>
            </w:pBdr>
            <w:tabs>
              <w:tab w:val="center" w:pos="4680"/>
              <w:tab w:val="right" w:pos="9360"/>
            </w:tabs>
            <w:rPr>
              <w:smallCaps/>
              <w:color w:val="000000"/>
            </w:rPr>
          </w:pPr>
          <w:r>
            <w:rPr>
              <w:b/>
              <w:color w:val="0070C0"/>
              <w:sz w:val="16"/>
              <w:szCs w:val="16"/>
            </w:rPr>
            <w:t xml:space="preserve">Transboundary Diagnostic Analysis Report / TDA Report for the SCS SAP UNOP Project </w:t>
          </w:r>
        </w:p>
      </w:tc>
      <w:tc>
        <w:tcPr>
          <w:tcW w:w="615" w:type="dxa"/>
          <w:shd w:val="clear" w:color="auto" w:fill="4472C4"/>
          <w:vAlign w:val="center"/>
        </w:tcPr>
        <w:p w14:paraId="3F3A4EF8" w14:textId="330FAD4E" w:rsidR="00026F8C" w:rsidRDefault="00000000">
          <w:pPr>
            <w:pBdr>
              <w:top w:val="nil"/>
              <w:left w:val="nil"/>
              <w:bottom w:val="nil"/>
              <w:right w:val="nil"/>
              <w:between w:val="nil"/>
            </w:pBdr>
            <w:tabs>
              <w:tab w:val="center" w:pos="4680"/>
              <w:tab w:val="right" w:pos="9360"/>
            </w:tabs>
            <w:jc w:val="center"/>
            <w:rPr>
              <w:color w:val="FFFFFF"/>
            </w:rPr>
          </w:pPr>
          <w:r>
            <w:rPr>
              <w:color w:val="FFFFFF"/>
            </w:rPr>
            <w:fldChar w:fldCharType="begin"/>
          </w:r>
          <w:r>
            <w:rPr>
              <w:color w:val="FFFFFF"/>
            </w:rPr>
            <w:instrText>PAGE</w:instrText>
          </w:r>
          <w:r>
            <w:rPr>
              <w:color w:val="FFFFFF"/>
            </w:rPr>
            <w:fldChar w:fldCharType="separate"/>
          </w:r>
          <w:r w:rsidR="00CB0EA6">
            <w:rPr>
              <w:noProof/>
              <w:color w:val="FFFFFF"/>
            </w:rPr>
            <w:t>6</w:t>
          </w:r>
          <w:r>
            <w:rPr>
              <w:color w:val="FFFFFF"/>
            </w:rPr>
            <w:fldChar w:fldCharType="end"/>
          </w:r>
        </w:p>
      </w:tc>
    </w:tr>
  </w:tbl>
  <w:p w14:paraId="4A08A48F" w14:textId="77777777" w:rsidR="00026F8C" w:rsidRDefault="00026F8C">
    <w:pPr>
      <w:pBdr>
        <w:top w:val="nil"/>
        <w:left w:val="nil"/>
        <w:bottom w:val="nil"/>
        <w:right w:val="nil"/>
        <w:between w:val="nil"/>
      </w:pBdr>
      <w:tabs>
        <w:tab w:val="center" w:pos="4680"/>
        <w:tab w:val="right" w:pos="9360"/>
      </w:tabs>
      <w:jc w:val="right"/>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3AA817" w14:textId="77777777" w:rsidR="00A82035" w:rsidRDefault="00A82035">
      <w:r>
        <w:separator/>
      </w:r>
    </w:p>
  </w:footnote>
  <w:footnote w:type="continuationSeparator" w:id="0">
    <w:p w14:paraId="59E2BBED" w14:textId="77777777" w:rsidR="00A82035" w:rsidRDefault="00A820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C74E3D" w14:textId="77777777" w:rsidR="00E30AFB" w:rsidRDefault="00E30AFB">
    <w:pPr>
      <w:pBdr>
        <w:top w:val="nil"/>
        <w:left w:val="nil"/>
        <w:bottom w:val="nil"/>
        <w:right w:val="nil"/>
        <w:between w:val="nil"/>
      </w:pBdr>
      <w:tabs>
        <w:tab w:val="center" w:pos="4680"/>
        <w:tab w:val="right" w:pos="13960"/>
      </w:tabs>
      <w:jc w:val="both"/>
      <w:rPr>
        <w:color w:val="000000"/>
        <w:sz w:val="21"/>
        <w:szCs w:val="21"/>
      </w:rPr>
    </w:pPr>
    <w:r>
      <w:rPr>
        <w:color w:val="000000"/>
        <w:sz w:val="21"/>
        <w:szCs w:val="21"/>
      </w:rPr>
      <w:t>Indonesia /SCS SAP Project</w:t>
    </w:r>
    <w:r>
      <w:rPr>
        <w:color w:val="000000"/>
        <w:sz w:val="21"/>
        <w:szCs w:val="21"/>
      </w:rPr>
      <w:tab/>
    </w:r>
    <w:r>
      <w:rPr>
        <w:color w:val="000000"/>
        <w:sz w:val="21"/>
        <w:szCs w:val="21"/>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6D2657" w14:textId="6552953E" w:rsidR="00026F8C" w:rsidRDefault="00000000">
    <w:pPr>
      <w:pBdr>
        <w:top w:val="nil"/>
        <w:left w:val="nil"/>
        <w:bottom w:val="nil"/>
        <w:right w:val="nil"/>
        <w:between w:val="nil"/>
      </w:pBdr>
      <w:tabs>
        <w:tab w:val="center" w:pos="4680"/>
        <w:tab w:val="right" w:pos="13960"/>
      </w:tabs>
      <w:jc w:val="both"/>
      <w:rPr>
        <w:color w:val="000000"/>
        <w:sz w:val="21"/>
        <w:szCs w:val="21"/>
      </w:rPr>
    </w:pPr>
    <w:r>
      <w:rPr>
        <w:color w:val="000000"/>
        <w:sz w:val="21"/>
        <w:szCs w:val="21"/>
      </w:rPr>
      <w:t>Indonesia /SCS SAP Project</w:t>
    </w:r>
    <w:r>
      <w:rPr>
        <w:color w:val="000000"/>
        <w:sz w:val="21"/>
        <w:szCs w:val="21"/>
      </w:rPr>
      <w:tab/>
    </w:r>
    <w:r>
      <w:rPr>
        <w:color w:val="000000"/>
        <w:sz w:val="21"/>
        <w:szCs w:val="21"/>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56AC9"/>
    <w:multiLevelType w:val="hybridMultilevel"/>
    <w:tmpl w:val="E77AD6EA"/>
    <w:lvl w:ilvl="0" w:tplc="B3E4C670">
      <w:start w:val="1"/>
      <w:numFmt w:val="decimal"/>
      <w:lvlText w:val="8.%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15:restartNumberingAfterBreak="0">
    <w:nsid w:val="00F554CB"/>
    <w:multiLevelType w:val="hybridMultilevel"/>
    <w:tmpl w:val="E6E0C32A"/>
    <w:lvl w:ilvl="0" w:tplc="79764364">
      <w:start w:val="5"/>
      <w:numFmt w:val="lowerLetter"/>
      <w:lvlText w:val="%1."/>
      <w:lvlJc w:val="left"/>
      <w:pPr>
        <w:ind w:left="720" w:hanging="360"/>
      </w:pPr>
      <w:rPr>
        <w:rFonts w:hint="default"/>
        <w:b/>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 w15:restartNumberingAfterBreak="0">
    <w:nsid w:val="015304D2"/>
    <w:multiLevelType w:val="multilevel"/>
    <w:tmpl w:val="435439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1913B74"/>
    <w:multiLevelType w:val="multilevel"/>
    <w:tmpl w:val="471439D6"/>
    <w:lvl w:ilvl="0">
      <w:start w:val="1"/>
      <w:numFmt w:val="decimal"/>
      <w:lvlText w:val="%1."/>
      <w:lvlJc w:val="left"/>
      <w:pPr>
        <w:tabs>
          <w:tab w:val="num" w:pos="1004"/>
        </w:tabs>
        <w:ind w:left="1004" w:hanging="720"/>
      </w:pPr>
    </w:lvl>
    <w:lvl w:ilvl="1">
      <w:start w:val="1"/>
      <w:numFmt w:val="decimal"/>
      <w:lvlText w:val="%2."/>
      <w:lvlJc w:val="left"/>
      <w:pPr>
        <w:tabs>
          <w:tab w:val="num" w:pos="1724"/>
        </w:tabs>
        <w:ind w:left="1724" w:hanging="720"/>
      </w:pPr>
    </w:lvl>
    <w:lvl w:ilvl="2">
      <w:start w:val="1"/>
      <w:numFmt w:val="decimal"/>
      <w:lvlText w:val="%3."/>
      <w:lvlJc w:val="left"/>
      <w:pPr>
        <w:tabs>
          <w:tab w:val="num" w:pos="2444"/>
        </w:tabs>
        <w:ind w:left="2444" w:hanging="720"/>
      </w:pPr>
    </w:lvl>
    <w:lvl w:ilvl="3">
      <w:start w:val="1"/>
      <w:numFmt w:val="decimal"/>
      <w:lvlText w:val="%4."/>
      <w:lvlJc w:val="left"/>
      <w:pPr>
        <w:tabs>
          <w:tab w:val="num" w:pos="3164"/>
        </w:tabs>
        <w:ind w:left="3164" w:hanging="720"/>
      </w:pPr>
    </w:lvl>
    <w:lvl w:ilvl="4">
      <w:start w:val="1"/>
      <w:numFmt w:val="decimal"/>
      <w:lvlText w:val="%5."/>
      <w:lvlJc w:val="left"/>
      <w:pPr>
        <w:tabs>
          <w:tab w:val="num" w:pos="3884"/>
        </w:tabs>
        <w:ind w:left="3884" w:hanging="720"/>
      </w:pPr>
    </w:lvl>
    <w:lvl w:ilvl="5">
      <w:start w:val="1"/>
      <w:numFmt w:val="decimal"/>
      <w:lvlText w:val="%6."/>
      <w:lvlJc w:val="left"/>
      <w:pPr>
        <w:tabs>
          <w:tab w:val="num" w:pos="4604"/>
        </w:tabs>
        <w:ind w:left="4604" w:hanging="720"/>
      </w:pPr>
    </w:lvl>
    <w:lvl w:ilvl="6">
      <w:start w:val="1"/>
      <w:numFmt w:val="decimal"/>
      <w:lvlText w:val="%7."/>
      <w:lvlJc w:val="left"/>
      <w:pPr>
        <w:tabs>
          <w:tab w:val="num" w:pos="5324"/>
        </w:tabs>
        <w:ind w:left="5324" w:hanging="720"/>
      </w:pPr>
    </w:lvl>
    <w:lvl w:ilvl="7">
      <w:start w:val="1"/>
      <w:numFmt w:val="decimal"/>
      <w:lvlText w:val="%8."/>
      <w:lvlJc w:val="left"/>
      <w:pPr>
        <w:tabs>
          <w:tab w:val="num" w:pos="6044"/>
        </w:tabs>
        <w:ind w:left="6044" w:hanging="720"/>
      </w:pPr>
    </w:lvl>
    <w:lvl w:ilvl="8">
      <w:start w:val="1"/>
      <w:numFmt w:val="decimal"/>
      <w:lvlText w:val="%9."/>
      <w:lvlJc w:val="left"/>
      <w:pPr>
        <w:tabs>
          <w:tab w:val="num" w:pos="6764"/>
        </w:tabs>
        <w:ind w:left="6764" w:hanging="720"/>
      </w:pPr>
    </w:lvl>
  </w:abstractNum>
  <w:abstractNum w:abstractNumId="4" w15:restartNumberingAfterBreak="0">
    <w:nsid w:val="037C6B96"/>
    <w:multiLevelType w:val="multilevel"/>
    <w:tmpl w:val="579C69B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3B90780"/>
    <w:multiLevelType w:val="multilevel"/>
    <w:tmpl w:val="FE92BD42"/>
    <w:lvl w:ilvl="0">
      <w:start w:val="1"/>
      <w:numFmt w:val="decimal"/>
      <w:lvlText w:val="%1."/>
      <w:lvlJc w:val="left"/>
      <w:pPr>
        <w:ind w:left="644" w:hanging="360"/>
      </w:pPr>
      <w:rPr>
        <w:rFonts w:hint="default"/>
        <w:color w:val="0070C0"/>
      </w:rPr>
    </w:lvl>
    <w:lvl w:ilvl="1">
      <w:start w:val="1"/>
      <w:numFmt w:val="decimal"/>
      <w:isLgl/>
      <w:lvlText w:val="%1.%2."/>
      <w:lvlJc w:val="left"/>
      <w:pPr>
        <w:ind w:left="1364" w:hanging="720"/>
      </w:pPr>
      <w:rPr>
        <w:rFonts w:hint="default"/>
      </w:rPr>
    </w:lvl>
    <w:lvl w:ilvl="2">
      <w:start w:val="1"/>
      <w:numFmt w:val="decimal"/>
      <w:isLgl/>
      <w:lvlText w:val="%1.%2.%3."/>
      <w:lvlJc w:val="left"/>
      <w:pPr>
        <w:ind w:left="1724" w:hanging="720"/>
      </w:pPr>
      <w:rPr>
        <w:rFonts w:hint="default"/>
      </w:rPr>
    </w:lvl>
    <w:lvl w:ilvl="3">
      <w:start w:val="1"/>
      <w:numFmt w:val="decimal"/>
      <w:isLgl/>
      <w:lvlText w:val="%1.%2.%3.%4."/>
      <w:lvlJc w:val="left"/>
      <w:pPr>
        <w:ind w:left="2444" w:hanging="108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524" w:hanging="1440"/>
      </w:pPr>
      <w:rPr>
        <w:rFonts w:hint="default"/>
      </w:rPr>
    </w:lvl>
    <w:lvl w:ilvl="6">
      <w:start w:val="1"/>
      <w:numFmt w:val="decimal"/>
      <w:isLgl/>
      <w:lvlText w:val="%1.%2.%3.%4.%5.%6.%7."/>
      <w:lvlJc w:val="left"/>
      <w:pPr>
        <w:ind w:left="4244" w:hanging="1800"/>
      </w:pPr>
      <w:rPr>
        <w:rFonts w:hint="default"/>
      </w:rPr>
    </w:lvl>
    <w:lvl w:ilvl="7">
      <w:start w:val="1"/>
      <w:numFmt w:val="decimal"/>
      <w:isLgl/>
      <w:lvlText w:val="%1.%2.%3.%4.%5.%6.%7.%8."/>
      <w:lvlJc w:val="left"/>
      <w:pPr>
        <w:ind w:left="4604" w:hanging="1800"/>
      </w:pPr>
      <w:rPr>
        <w:rFonts w:hint="default"/>
      </w:rPr>
    </w:lvl>
    <w:lvl w:ilvl="8">
      <w:start w:val="1"/>
      <w:numFmt w:val="decimal"/>
      <w:isLgl/>
      <w:lvlText w:val="%1.%2.%3.%4.%5.%6.%7.%8.%9."/>
      <w:lvlJc w:val="left"/>
      <w:pPr>
        <w:ind w:left="5324" w:hanging="2160"/>
      </w:pPr>
      <w:rPr>
        <w:rFonts w:hint="default"/>
      </w:rPr>
    </w:lvl>
  </w:abstractNum>
  <w:abstractNum w:abstractNumId="6" w15:restartNumberingAfterBreak="0">
    <w:nsid w:val="05007C91"/>
    <w:multiLevelType w:val="hybridMultilevel"/>
    <w:tmpl w:val="4C7CC8BA"/>
    <w:lvl w:ilvl="0" w:tplc="24147984">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1" w:tplc="310C0208">
      <w:numFmt w:val="bullet"/>
      <w:lvlText w:val="•"/>
      <w:lvlJc w:val="left"/>
      <w:pPr>
        <w:ind w:left="1946" w:hanging="360"/>
      </w:pPr>
      <w:rPr>
        <w:rFonts w:hint="default"/>
        <w:lang w:val="en-US" w:eastAsia="en-US" w:bidi="ar-SA"/>
      </w:rPr>
    </w:lvl>
    <w:lvl w:ilvl="2" w:tplc="28F230EE">
      <w:numFmt w:val="bullet"/>
      <w:lvlText w:val="•"/>
      <w:lvlJc w:val="left"/>
      <w:pPr>
        <w:ind w:left="2813" w:hanging="360"/>
      </w:pPr>
      <w:rPr>
        <w:rFonts w:hint="default"/>
        <w:lang w:val="en-US" w:eastAsia="en-US" w:bidi="ar-SA"/>
      </w:rPr>
    </w:lvl>
    <w:lvl w:ilvl="3" w:tplc="979A5B58">
      <w:numFmt w:val="bullet"/>
      <w:lvlText w:val="•"/>
      <w:lvlJc w:val="left"/>
      <w:pPr>
        <w:ind w:left="3680" w:hanging="360"/>
      </w:pPr>
      <w:rPr>
        <w:rFonts w:hint="default"/>
        <w:lang w:val="en-US" w:eastAsia="en-US" w:bidi="ar-SA"/>
      </w:rPr>
    </w:lvl>
    <w:lvl w:ilvl="4" w:tplc="C9B822A0">
      <w:numFmt w:val="bullet"/>
      <w:lvlText w:val="•"/>
      <w:lvlJc w:val="left"/>
      <w:pPr>
        <w:ind w:left="4547" w:hanging="360"/>
      </w:pPr>
      <w:rPr>
        <w:rFonts w:hint="default"/>
        <w:lang w:val="en-US" w:eastAsia="en-US" w:bidi="ar-SA"/>
      </w:rPr>
    </w:lvl>
    <w:lvl w:ilvl="5" w:tplc="AABA1676">
      <w:numFmt w:val="bullet"/>
      <w:lvlText w:val="•"/>
      <w:lvlJc w:val="left"/>
      <w:pPr>
        <w:ind w:left="5414" w:hanging="360"/>
      </w:pPr>
      <w:rPr>
        <w:rFonts w:hint="default"/>
        <w:lang w:val="en-US" w:eastAsia="en-US" w:bidi="ar-SA"/>
      </w:rPr>
    </w:lvl>
    <w:lvl w:ilvl="6" w:tplc="178227AE">
      <w:numFmt w:val="bullet"/>
      <w:lvlText w:val="•"/>
      <w:lvlJc w:val="left"/>
      <w:pPr>
        <w:ind w:left="6280" w:hanging="360"/>
      </w:pPr>
      <w:rPr>
        <w:rFonts w:hint="default"/>
        <w:lang w:val="en-US" w:eastAsia="en-US" w:bidi="ar-SA"/>
      </w:rPr>
    </w:lvl>
    <w:lvl w:ilvl="7" w:tplc="C52A8BE8">
      <w:numFmt w:val="bullet"/>
      <w:lvlText w:val="•"/>
      <w:lvlJc w:val="left"/>
      <w:pPr>
        <w:ind w:left="7147" w:hanging="360"/>
      </w:pPr>
      <w:rPr>
        <w:rFonts w:hint="default"/>
        <w:lang w:val="en-US" w:eastAsia="en-US" w:bidi="ar-SA"/>
      </w:rPr>
    </w:lvl>
    <w:lvl w:ilvl="8" w:tplc="AD648A9A">
      <w:numFmt w:val="bullet"/>
      <w:lvlText w:val="•"/>
      <w:lvlJc w:val="left"/>
      <w:pPr>
        <w:ind w:left="8014" w:hanging="360"/>
      </w:pPr>
      <w:rPr>
        <w:rFonts w:hint="default"/>
        <w:lang w:val="en-US" w:eastAsia="en-US" w:bidi="ar-SA"/>
      </w:rPr>
    </w:lvl>
  </w:abstractNum>
  <w:abstractNum w:abstractNumId="7" w15:restartNumberingAfterBreak="0">
    <w:nsid w:val="054012AA"/>
    <w:multiLevelType w:val="hybridMultilevel"/>
    <w:tmpl w:val="5076494E"/>
    <w:lvl w:ilvl="0" w:tplc="9106FAFA">
      <w:start w:val="1"/>
      <w:numFmt w:val="decimal"/>
      <w:lvlText w:val="%1."/>
      <w:lvlJc w:val="left"/>
      <w:pPr>
        <w:ind w:left="627" w:hanging="268"/>
      </w:pPr>
      <w:rPr>
        <w:rFonts w:ascii="Arial" w:eastAsia="Arial" w:hAnsi="Arial" w:cs="Arial" w:hint="default"/>
        <w:b/>
        <w:bCs/>
        <w:i w:val="0"/>
        <w:iCs w:val="0"/>
        <w:spacing w:val="-2"/>
        <w:w w:val="100"/>
        <w:sz w:val="24"/>
        <w:szCs w:val="24"/>
        <w:lang w:val="en-US" w:eastAsia="en-US" w:bidi="ar-SA"/>
      </w:rPr>
    </w:lvl>
    <w:lvl w:ilvl="1" w:tplc="E6FA8504">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2" w:tplc="5D1E9D8A">
      <w:numFmt w:val="bullet"/>
      <w:lvlText w:val="o"/>
      <w:lvlJc w:val="left"/>
      <w:pPr>
        <w:ind w:left="1801" w:hanging="360"/>
      </w:pPr>
      <w:rPr>
        <w:rFonts w:ascii="Courier New" w:eastAsia="Courier New" w:hAnsi="Courier New" w:cs="Courier New" w:hint="default"/>
        <w:b w:val="0"/>
        <w:bCs w:val="0"/>
        <w:i w:val="0"/>
        <w:iCs w:val="0"/>
        <w:spacing w:val="0"/>
        <w:w w:val="100"/>
        <w:sz w:val="20"/>
        <w:szCs w:val="20"/>
        <w:lang w:val="en-US" w:eastAsia="en-US" w:bidi="ar-SA"/>
      </w:rPr>
    </w:lvl>
    <w:lvl w:ilvl="3" w:tplc="39002010">
      <w:numFmt w:val="bullet"/>
      <w:lvlText w:val="•"/>
      <w:lvlJc w:val="left"/>
      <w:pPr>
        <w:ind w:left="2793" w:hanging="360"/>
      </w:pPr>
      <w:rPr>
        <w:rFonts w:hint="default"/>
        <w:lang w:val="en-US" w:eastAsia="en-US" w:bidi="ar-SA"/>
      </w:rPr>
    </w:lvl>
    <w:lvl w:ilvl="4" w:tplc="5FE2C98E">
      <w:numFmt w:val="bullet"/>
      <w:lvlText w:val="•"/>
      <w:lvlJc w:val="left"/>
      <w:pPr>
        <w:ind w:left="3787" w:hanging="360"/>
      </w:pPr>
      <w:rPr>
        <w:rFonts w:hint="default"/>
        <w:lang w:val="en-US" w:eastAsia="en-US" w:bidi="ar-SA"/>
      </w:rPr>
    </w:lvl>
    <w:lvl w:ilvl="5" w:tplc="F594BA48">
      <w:numFmt w:val="bullet"/>
      <w:lvlText w:val="•"/>
      <w:lvlJc w:val="left"/>
      <w:pPr>
        <w:ind w:left="4780" w:hanging="360"/>
      </w:pPr>
      <w:rPr>
        <w:rFonts w:hint="default"/>
        <w:lang w:val="en-US" w:eastAsia="en-US" w:bidi="ar-SA"/>
      </w:rPr>
    </w:lvl>
    <w:lvl w:ilvl="6" w:tplc="01D23EE4">
      <w:numFmt w:val="bullet"/>
      <w:lvlText w:val="•"/>
      <w:lvlJc w:val="left"/>
      <w:pPr>
        <w:ind w:left="5774" w:hanging="360"/>
      </w:pPr>
      <w:rPr>
        <w:rFonts w:hint="default"/>
        <w:lang w:val="en-US" w:eastAsia="en-US" w:bidi="ar-SA"/>
      </w:rPr>
    </w:lvl>
    <w:lvl w:ilvl="7" w:tplc="46266F94">
      <w:numFmt w:val="bullet"/>
      <w:lvlText w:val="•"/>
      <w:lvlJc w:val="left"/>
      <w:pPr>
        <w:ind w:left="6767" w:hanging="360"/>
      </w:pPr>
      <w:rPr>
        <w:rFonts w:hint="default"/>
        <w:lang w:val="en-US" w:eastAsia="en-US" w:bidi="ar-SA"/>
      </w:rPr>
    </w:lvl>
    <w:lvl w:ilvl="8" w:tplc="223808C2">
      <w:numFmt w:val="bullet"/>
      <w:lvlText w:val="•"/>
      <w:lvlJc w:val="left"/>
      <w:pPr>
        <w:ind w:left="7761" w:hanging="360"/>
      </w:pPr>
      <w:rPr>
        <w:rFonts w:hint="default"/>
        <w:lang w:val="en-US" w:eastAsia="en-US" w:bidi="ar-SA"/>
      </w:rPr>
    </w:lvl>
  </w:abstractNum>
  <w:abstractNum w:abstractNumId="8" w15:restartNumberingAfterBreak="0">
    <w:nsid w:val="06CC7204"/>
    <w:multiLevelType w:val="hybridMultilevel"/>
    <w:tmpl w:val="C0EE008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15:restartNumberingAfterBreak="0">
    <w:nsid w:val="07A1578D"/>
    <w:multiLevelType w:val="multilevel"/>
    <w:tmpl w:val="EC74BE88"/>
    <w:lvl w:ilvl="0">
      <w:start w:val="4"/>
      <w:numFmt w:val="decimal"/>
      <w:lvlText w:val="%1."/>
      <w:lvlJc w:val="left"/>
      <w:pPr>
        <w:ind w:left="440" w:hanging="44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07A85FFE"/>
    <w:multiLevelType w:val="hybridMultilevel"/>
    <w:tmpl w:val="D910C918"/>
    <w:lvl w:ilvl="0" w:tplc="633424A2">
      <w:start w:val="1"/>
      <w:numFmt w:val="bullet"/>
      <w:lvlText w:val=""/>
      <w:lvlJc w:val="left"/>
      <w:pPr>
        <w:ind w:left="720" w:hanging="360"/>
      </w:pPr>
      <w:rPr>
        <w:rFonts w:ascii="Symbol" w:hAnsi="Symbol" w:hint="default"/>
      </w:rPr>
    </w:lvl>
    <w:lvl w:ilvl="1" w:tplc="D8BE9CEE" w:tentative="1">
      <w:start w:val="1"/>
      <w:numFmt w:val="bullet"/>
      <w:lvlText w:val="o"/>
      <w:lvlJc w:val="left"/>
      <w:pPr>
        <w:ind w:left="1440" w:hanging="360"/>
      </w:pPr>
      <w:rPr>
        <w:rFonts w:ascii="Courier New" w:hAnsi="Courier New" w:cs="Courier New" w:hint="default"/>
      </w:rPr>
    </w:lvl>
    <w:lvl w:ilvl="2" w:tplc="C94C1898" w:tentative="1">
      <w:start w:val="1"/>
      <w:numFmt w:val="bullet"/>
      <w:lvlText w:val=""/>
      <w:lvlJc w:val="left"/>
      <w:pPr>
        <w:ind w:left="2160" w:hanging="360"/>
      </w:pPr>
      <w:rPr>
        <w:rFonts w:ascii="Wingdings" w:hAnsi="Wingdings" w:hint="default"/>
      </w:rPr>
    </w:lvl>
    <w:lvl w:ilvl="3" w:tplc="DA662FCC" w:tentative="1">
      <w:start w:val="1"/>
      <w:numFmt w:val="bullet"/>
      <w:lvlText w:val=""/>
      <w:lvlJc w:val="left"/>
      <w:pPr>
        <w:ind w:left="2880" w:hanging="360"/>
      </w:pPr>
      <w:rPr>
        <w:rFonts w:ascii="Symbol" w:hAnsi="Symbol" w:hint="default"/>
      </w:rPr>
    </w:lvl>
    <w:lvl w:ilvl="4" w:tplc="FCFAA008" w:tentative="1">
      <w:start w:val="1"/>
      <w:numFmt w:val="bullet"/>
      <w:lvlText w:val="o"/>
      <w:lvlJc w:val="left"/>
      <w:pPr>
        <w:ind w:left="3600" w:hanging="360"/>
      </w:pPr>
      <w:rPr>
        <w:rFonts w:ascii="Courier New" w:hAnsi="Courier New" w:cs="Courier New" w:hint="default"/>
      </w:rPr>
    </w:lvl>
    <w:lvl w:ilvl="5" w:tplc="FF424E3A" w:tentative="1">
      <w:start w:val="1"/>
      <w:numFmt w:val="bullet"/>
      <w:lvlText w:val=""/>
      <w:lvlJc w:val="left"/>
      <w:pPr>
        <w:ind w:left="4320" w:hanging="360"/>
      </w:pPr>
      <w:rPr>
        <w:rFonts w:ascii="Wingdings" w:hAnsi="Wingdings" w:hint="default"/>
      </w:rPr>
    </w:lvl>
    <w:lvl w:ilvl="6" w:tplc="97E25CF8" w:tentative="1">
      <w:start w:val="1"/>
      <w:numFmt w:val="bullet"/>
      <w:lvlText w:val=""/>
      <w:lvlJc w:val="left"/>
      <w:pPr>
        <w:ind w:left="5040" w:hanging="360"/>
      </w:pPr>
      <w:rPr>
        <w:rFonts w:ascii="Symbol" w:hAnsi="Symbol" w:hint="default"/>
      </w:rPr>
    </w:lvl>
    <w:lvl w:ilvl="7" w:tplc="FB2212E0" w:tentative="1">
      <w:start w:val="1"/>
      <w:numFmt w:val="bullet"/>
      <w:lvlText w:val="o"/>
      <w:lvlJc w:val="left"/>
      <w:pPr>
        <w:ind w:left="5760" w:hanging="360"/>
      </w:pPr>
      <w:rPr>
        <w:rFonts w:ascii="Courier New" w:hAnsi="Courier New" w:cs="Courier New" w:hint="default"/>
      </w:rPr>
    </w:lvl>
    <w:lvl w:ilvl="8" w:tplc="627A75EE" w:tentative="1">
      <w:start w:val="1"/>
      <w:numFmt w:val="bullet"/>
      <w:lvlText w:val=""/>
      <w:lvlJc w:val="left"/>
      <w:pPr>
        <w:ind w:left="6480" w:hanging="360"/>
      </w:pPr>
      <w:rPr>
        <w:rFonts w:ascii="Wingdings" w:hAnsi="Wingdings" w:hint="default"/>
      </w:rPr>
    </w:lvl>
  </w:abstractNum>
  <w:abstractNum w:abstractNumId="11" w15:restartNumberingAfterBreak="0">
    <w:nsid w:val="07EF16DC"/>
    <w:multiLevelType w:val="hybridMultilevel"/>
    <w:tmpl w:val="7010B7C2"/>
    <w:lvl w:ilvl="0" w:tplc="3D24100A">
      <w:start w:val="1"/>
      <w:numFmt w:val="upperLetter"/>
      <w:lvlText w:val="%1."/>
      <w:lvlJc w:val="left"/>
      <w:pPr>
        <w:ind w:left="1440" w:hanging="360"/>
        <w:jc w:val="right"/>
      </w:pPr>
      <w:rPr>
        <w:rFonts w:ascii="Arial" w:eastAsia="Arial" w:hAnsi="Arial" w:cs="Arial" w:hint="default"/>
        <w:b/>
        <w:bCs/>
        <w:i w:val="0"/>
        <w:iCs w:val="0"/>
        <w:spacing w:val="-2"/>
        <w:w w:val="100"/>
        <w:sz w:val="24"/>
        <w:szCs w:val="24"/>
        <w:lang w:val="en-US" w:eastAsia="en-US" w:bidi="ar-SA"/>
      </w:rPr>
    </w:lvl>
    <w:lvl w:ilvl="1" w:tplc="C2A842FE">
      <w:numFmt w:val="bullet"/>
      <w:lvlText w:val="•"/>
      <w:lvlJc w:val="left"/>
      <w:pPr>
        <w:ind w:left="2412" w:hanging="360"/>
      </w:pPr>
      <w:rPr>
        <w:rFonts w:hint="default"/>
        <w:lang w:val="en-US" w:eastAsia="en-US" w:bidi="ar-SA"/>
      </w:rPr>
    </w:lvl>
    <w:lvl w:ilvl="2" w:tplc="97704374">
      <w:numFmt w:val="bullet"/>
      <w:lvlText w:val="•"/>
      <w:lvlJc w:val="left"/>
      <w:pPr>
        <w:ind w:left="3384" w:hanging="360"/>
      </w:pPr>
      <w:rPr>
        <w:rFonts w:hint="default"/>
        <w:lang w:val="en-US" w:eastAsia="en-US" w:bidi="ar-SA"/>
      </w:rPr>
    </w:lvl>
    <w:lvl w:ilvl="3" w:tplc="1EBC6B84">
      <w:numFmt w:val="bullet"/>
      <w:lvlText w:val="•"/>
      <w:lvlJc w:val="left"/>
      <w:pPr>
        <w:ind w:left="4356" w:hanging="360"/>
      </w:pPr>
      <w:rPr>
        <w:rFonts w:hint="default"/>
        <w:lang w:val="en-US" w:eastAsia="en-US" w:bidi="ar-SA"/>
      </w:rPr>
    </w:lvl>
    <w:lvl w:ilvl="4" w:tplc="3326C188">
      <w:numFmt w:val="bullet"/>
      <w:lvlText w:val="•"/>
      <w:lvlJc w:val="left"/>
      <w:pPr>
        <w:ind w:left="5328" w:hanging="360"/>
      </w:pPr>
      <w:rPr>
        <w:rFonts w:hint="default"/>
        <w:lang w:val="en-US" w:eastAsia="en-US" w:bidi="ar-SA"/>
      </w:rPr>
    </w:lvl>
    <w:lvl w:ilvl="5" w:tplc="33E8D756">
      <w:numFmt w:val="bullet"/>
      <w:lvlText w:val="•"/>
      <w:lvlJc w:val="left"/>
      <w:pPr>
        <w:ind w:left="6300" w:hanging="360"/>
      </w:pPr>
      <w:rPr>
        <w:rFonts w:hint="default"/>
        <w:lang w:val="en-US" w:eastAsia="en-US" w:bidi="ar-SA"/>
      </w:rPr>
    </w:lvl>
    <w:lvl w:ilvl="6" w:tplc="80F47F6E">
      <w:numFmt w:val="bullet"/>
      <w:lvlText w:val="•"/>
      <w:lvlJc w:val="left"/>
      <w:pPr>
        <w:ind w:left="7272" w:hanging="360"/>
      </w:pPr>
      <w:rPr>
        <w:rFonts w:hint="default"/>
        <w:lang w:val="en-US" w:eastAsia="en-US" w:bidi="ar-SA"/>
      </w:rPr>
    </w:lvl>
    <w:lvl w:ilvl="7" w:tplc="29A4F2D0">
      <w:numFmt w:val="bullet"/>
      <w:lvlText w:val="•"/>
      <w:lvlJc w:val="left"/>
      <w:pPr>
        <w:ind w:left="8244" w:hanging="360"/>
      </w:pPr>
      <w:rPr>
        <w:rFonts w:hint="default"/>
        <w:lang w:val="en-US" w:eastAsia="en-US" w:bidi="ar-SA"/>
      </w:rPr>
    </w:lvl>
    <w:lvl w:ilvl="8" w:tplc="9E801E8C">
      <w:numFmt w:val="bullet"/>
      <w:lvlText w:val="•"/>
      <w:lvlJc w:val="left"/>
      <w:pPr>
        <w:ind w:left="9216" w:hanging="360"/>
      </w:pPr>
      <w:rPr>
        <w:rFonts w:hint="default"/>
        <w:lang w:val="en-US" w:eastAsia="en-US" w:bidi="ar-SA"/>
      </w:rPr>
    </w:lvl>
  </w:abstractNum>
  <w:abstractNum w:abstractNumId="12" w15:restartNumberingAfterBreak="0">
    <w:nsid w:val="07F4580E"/>
    <w:multiLevelType w:val="multilevel"/>
    <w:tmpl w:val="8E584C46"/>
    <w:lvl w:ilvl="0">
      <w:start w:val="4"/>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087D4B82"/>
    <w:multiLevelType w:val="multilevel"/>
    <w:tmpl w:val="FD4E634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0A0347FD"/>
    <w:multiLevelType w:val="multilevel"/>
    <w:tmpl w:val="15BAEC48"/>
    <w:lvl w:ilvl="0">
      <w:start w:val="4"/>
      <w:numFmt w:val="decimal"/>
      <w:lvlText w:val="%1"/>
      <w:lvlJc w:val="left"/>
      <w:pPr>
        <w:ind w:left="450" w:hanging="450"/>
      </w:pPr>
      <w:rPr>
        <w:rFonts w:hint="default"/>
      </w:rPr>
    </w:lvl>
    <w:lvl w:ilvl="1">
      <w:start w:val="4"/>
      <w:numFmt w:val="decimal"/>
      <w:lvlText w:val="%1.%2"/>
      <w:lvlJc w:val="left"/>
      <w:pPr>
        <w:ind w:left="450" w:hanging="45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C141F20"/>
    <w:multiLevelType w:val="hybridMultilevel"/>
    <w:tmpl w:val="8A068414"/>
    <w:lvl w:ilvl="0" w:tplc="81C62536">
      <w:numFmt w:val="bullet"/>
      <w:lvlText w:val="-"/>
      <w:lvlJc w:val="left"/>
      <w:pPr>
        <w:ind w:left="1080" w:hanging="360"/>
      </w:pPr>
      <w:rPr>
        <w:rFonts w:ascii="Calibri" w:eastAsia="Calibri" w:hAnsi="Calibri" w:cs="Calibri" w:hint="default"/>
        <w:b w:val="0"/>
        <w:bCs w:val="0"/>
        <w:i w:val="0"/>
        <w:iCs w:val="0"/>
        <w:spacing w:val="0"/>
        <w:w w:val="100"/>
        <w:sz w:val="24"/>
        <w:szCs w:val="24"/>
        <w:lang w:val="en-US" w:eastAsia="en-US" w:bidi="ar-SA"/>
      </w:rPr>
    </w:lvl>
    <w:lvl w:ilvl="1" w:tplc="D7BE2A92">
      <w:numFmt w:val="bullet"/>
      <w:lvlText w:val="•"/>
      <w:lvlJc w:val="left"/>
      <w:pPr>
        <w:ind w:left="1946" w:hanging="360"/>
      </w:pPr>
      <w:rPr>
        <w:rFonts w:hint="default"/>
        <w:lang w:val="en-US" w:eastAsia="en-US" w:bidi="ar-SA"/>
      </w:rPr>
    </w:lvl>
    <w:lvl w:ilvl="2" w:tplc="68E23058">
      <w:numFmt w:val="bullet"/>
      <w:lvlText w:val="•"/>
      <w:lvlJc w:val="left"/>
      <w:pPr>
        <w:ind w:left="2813" w:hanging="360"/>
      </w:pPr>
      <w:rPr>
        <w:rFonts w:hint="default"/>
        <w:lang w:val="en-US" w:eastAsia="en-US" w:bidi="ar-SA"/>
      </w:rPr>
    </w:lvl>
    <w:lvl w:ilvl="3" w:tplc="034AB0C6">
      <w:numFmt w:val="bullet"/>
      <w:lvlText w:val="•"/>
      <w:lvlJc w:val="left"/>
      <w:pPr>
        <w:ind w:left="3680" w:hanging="360"/>
      </w:pPr>
      <w:rPr>
        <w:rFonts w:hint="default"/>
        <w:lang w:val="en-US" w:eastAsia="en-US" w:bidi="ar-SA"/>
      </w:rPr>
    </w:lvl>
    <w:lvl w:ilvl="4" w:tplc="37A4F616">
      <w:numFmt w:val="bullet"/>
      <w:lvlText w:val="•"/>
      <w:lvlJc w:val="left"/>
      <w:pPr>
        <w:ind w:left="4547" w:hanging="360"/>
      </w:pPr>
      <w:rPr>
        <w:rFonts w:hint="default"/>
        <w:lang w:val="en-US" w:eastAsia="en-US" w:bidi="ar-SA"/>
      </w:rPr>
    </w:lvl>
    <w:lvl w:ilvl="5" w:tplc="534020B0">
      <w:numFmt w:val="bullet"/>
      <w:lvlText w:val="•"/>
      <w:lvlJc w:val="left"/>
      <w:pPr>
        <w:ind w:left="5414" w:hanging="360"/>
      </w:pPr>
      <w:rPr>
        <w:rFonts w:hint="default"/>
        <w:lang w:val="en-US" w:eastAsia="en-US" w:bidi="ar-SA"/>
      </w:rPr>
    </w:lvl>
    <w:lvl w:ilvl="6" w:tplc="74E8522E">
      <w:numFmt w:val="bullet"/>
      <w:lvlText w:val="•"/>
      <w:lvlJc w:val="left"/>
      <w:pPr>
        <w:ind w:left="6280" w:hanging="360"/>
      </w:pPr>
      <w:rPr>
        <w:rFonts w:hint="default"/>
        <w:lang w:val="en-US" w:eastAsia="en-US" w:bidi="ar-SA"/>
      </w:rPr>
    </w:lvl>
    <w:lvl w:ilvl="7" w:tplc="0A468904">
      <w:numFmt w:val="bullet"/>
      <w:lvlText w:val="•"/>
      <w:lvlJc w:val="left"/>
      <w:pPr>
        <w:ind w:left="7147" w:hanging="360"/>
      </w:pPr>
      <w:rPr>
        <w:rFonts w:hint="default"/>
        <w:lang w:val="en-US" w:eastAsia="en-US" w:bidi="ar-SA"/>
      </w:rPr>
    </w:lvl>
    <w:lvl w:ilvl="8" w:tplc="EF3C67DA">
      <w:numFmt w:val="bullet"/>
      <w:lvlText w:val="•"/>
      <w:lvlJc w:val="left"/>
      <w:pPr>
        <w:ind w:left="8014" w:hanging="360"/>
      </w:pPr>
      <w:rPr>
        <w:rFonts w:hint="default"/>
        <w:lang w:val="en-US" w:eastAsia="en-US" w:bidi="ar-SA"/>
      </w:rPr>
    </w:lvl>
  </w:abstractNum>
  <w:abstractNum w:abstractNumId="16" w15:restartNumberingAfterBreak="0">
    <w:nsid w:val="0CD50AFB"/>
    <w:multiLevelType w:val="multilevel"/>
    <w:tmpl w:val="07744E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DA17EC7"/>
    <w:multiLevelType w:val="hybridMultilevel"/>
    <w:tmpl w:val="D9646CFC"/>
    <w:lvl w:ilvl="0" w:tplc="5D2E4486">
      <w:start w:val="1"/>
      <w:numFmt w:val="decimal"/>
      <w:lvlText w:val="(%1)"/>
      <w:lvlJc w:val="left"/>
      <w:pPr>
        <w:ind w:left="1080" w:hanging="360"/>
      </w:pPr>
      <w:rPr>
        <w:rFonts w:ascii="Arial" w:eastAsia="Arial" w:hAnsi="Arial" w:cs="Arial" w:hint="default"/>
        <w:b/>
        <w:bCs/>
        <w:i w:val="0"/>
        <w:iCs w:val="0"/>
        <w:spacing w:val="-2"/>
        <w:w w:val="100"/>
        <w:sz w:val="24"/>
        <w:szCs w:val="24"/>
        <w:lang w:val="en-US" w:eastAsia="en-US" w:bidi="ar-SA"/>
      </w:rPr>
    </w:lvl>
    <w:lvl w:ilvl="1" w:tplc="5714EF78">
      <w:numFmt w:val="bullet"/>
      <w:lvlText w:val="•"/>
      <w:lvlJc w:val="left"/>
      <w:pPr>
        <w:ind w:left="1980" w:hanging="360"/>
      </w:pPr>
      <w:rPr>
        <w:rFonts w:hint="default"/>
        <w:lang w:val="en-US" w:eastAsia="en-US" w:bidi="ar-SA"/>
      </w:rPr>
    </w:lvl>
    <w:lvl w:ilvl="2" w:tplc="8830235A">
      <w:numFmt w:val="bullet"/>
      <w:lvlText w:val="•"/>
      <w:lvlJc w:val="left"/>
      <w:pPr>
        <w:ind w:left="2880" w:hanging="360"/>
      </w:pPr>
      <w:rPr>
        <w:rFonts w:hint="default"/>
        <w:lang w:val="en-US" w:eastAsia="en-US" w:bidi="ar-SA"/>
      </w:rPr>
    </w:lvl>
    <w:lvl w:ilvl="3" w:tplc="7D0481A4">
      <w:numFmt w:val="bullet"/>
      <w:lvlText w:val="•"/>
      <w:lvlJc w:val="left"/>
      <w:pPr>
        <w:ind w:left="3780" w:hanging="360"/>
      </w:pPr>
      <w:rPr>
        <w:rFonts w:hint="default"/>
        <w:lang w:val="en-US" w:eastAsia="en-US" w:bidi="ar-SA"/>
      </w:rPr>
    </w:lvl>
    <w:lvl w:ilvl="4" w:tplc="EB5A7BCC">
      <w:numFmt w:val="bullet"/>
      <w:lvlText w:val="•"/>
      <w:lvlJc w:val="left"/>
      <w:pPr>
        <w:ind w:left="4680" w:hanging="360"/>
      </w:pPr>
      <w:rPr>
        <w:rFonts w:hint="default"/>
        <w:lang w:val="en-US" w:eastAsia="en-US" w:bidi="ar-SA"/>
      </w:rPr>
    </w:lvl>
    <w:lvl w:ilvl="5" w:tplc="DF1CEF52">
      <w:numFmt w:val="bullet"/>
      <w:lvlText w:val="•"/>
      <w:lvlJc w:val="left"/>
      <w:pPr>
        <w:ind w:left="5580" w:hanging="360"/>
      </w:pPr>
      <w:rPr>
        <w:rFonts w:hint="default"/>
        <w:lang w:val="en-US" w:eastAsia="en-US" w:bidi="ar-SA"/>
      </w:rPr>
    </w:lvl>
    <w:lvl w:ilvl="6" w:tplc="E3281C60">
      <w:numFmt w:val="bullet"/>
      <w:lvlText w:val="•"/>
      <w:lvlJc w:val="left"/>
      <w:pPr>
        <w:ind w:left="6480" w:hanging="360"/>
      </w:pPr>
      <w:rPr>
        <w:rFonts w:hint="default"/>
        <w:lang w:val="en-US" w:eastAsia="en-US" w:bidi="ar-SA"/>
      </w:rPr>
    </w:lvl>
    <w:lvl w:ilvl="7" w:tplc="05FC08F8">
      <w:numFmt w:val="bullet"/>
      <w:lvlText w:val="•"/>
      <w:lvlJc w:val="left"/>
      <w:pPr>
        <w:ind w:left="7380" w:hanging="360"/>
      </w:pPr>
      <w:rPr>
        <w:rFonts w:hint="default"/>
        <w:lang w:val="en-US" w:eastAsia="en-US" w:bidi="ar-SA"/>
      </w:rPr>
    </w:lvl>
    <w:lvl w:ilvl="8" w:tplc="57D61282">
      <w:numFmt w:val="bullet"/>
      <w:lvlText w:val="•"/>
      <w:lvlJc w:val="left"/>
      <w:pPr>
        <w:ind w:left="8280" w:hanging="360"/>
      </w:pPr>
      <w:rPr>
        <w:rFonts w:hint="default"/>
        <w:lang w:val="en-US" w:eastAsia="en-US" w:bidi="ar-SA"/>
      </w:rPr>
    </w:lvl>
  </w:abstractNum>
  <w:abstractNum w:abstractNumId="18" w15:restartNumberingAfterBreak="0">
    <w:nsid w:val="0E690925"/>
    <w:multiLevelType w:val="multilevel"/>
    <w:tmpl w:val="01A8C2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0EAD4038"/>
    <w:multiLevelType w:val="hybridMultilevel"/>
    <w:tmpl w:val="E73C6F6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055464F"/>
    <w:multiLevelType w:val="hybridMultilevel"/>
    <w:tmpl w:val="F4C01A8C"/>
    <w:lvl w:ilvl="0" w:tplc="BD5289D4">
      <w:start w:val="1"/>
      <w:numFmt w:val="decimal"/>
      <w:lvlText w:val="(%1)"/>
      <w:lvlJc w:val="left"/>
      <w:pPr>
        <w:ind w:left="720" w:hanging="360"/>
      </w:pPr>
      <w:rPr>
        <w:rFonts w:ascii="Arial MT" w:eastAsia="Arial MT" w:hAnsi="Arial MT" w:cs="Arial MT" w:hint="default"/>
        <w:b w:val="0"/>
        <w:bCs w:val="0"/>
        <w:i w:val="0"/>
        <w:iCs w:val="0"/>
        <w:spacing w:val="-2"/>
        <w:w w:val="100"/>
        <w:sz w:val="24"/>
        <w:szCs w:val="24"/>
        <w:lang w:val="en-US" w:eastAsia="en-US" w:bidi="ar-SA"/>
      </w:rPr>
    </w:lvl>
    <w:lvl w:ilvl="1" w:tplc="2D5A6288">
      <w:numFmt w:val="bullet"/>
      <w:lvlText w:val="•"/>
      <w:lvlJc w:val="left"/>
      <w:pPr>
        <w:ind w:left="1658" w:hanging="360"/>
      </w:pPr>
      <w:rPr>
        <w:rFonts w:hint="default"/>
        <w:lang w:val="en-US" w:eastAsia="en-US" w:bidi="ar-SA"/>
      </w:rPr>
    </w:lvl>
    <w:lvl w:ilvl="2" w:tplc="81B0A784">
      <w:numFmt w:val="bullet"/>
      <w:lvlText w:val="•"/>
      <w:lvlJc w:val="left"/>
      <w:pPr>
        <w:ind w:left="2597" w:hanging="360"/>
      </w:pPr>
      <w:rPr>
        <w:rFonts w:hint="default"/>
        <w:lang w:val="en-US" w:eastAsia="en-US" w:bidi="ar-SA"/>
      </w:rPr>
    </w:lvl>
    <w:lvl w:ilvl="3" w:tplc="1F602DBA">
      <w:numFmt w:val="bullet"/>
      <w:lvlText w:val="•"/>
      <w:lvlJc w:val="left"/>
      <w:pPr>
        <w:ind w:left="3536" w:hanging="360"/>
      </w:pPr>
      <w:rPr>
        <w:rFonts w:hint="default"/>
        <w:lang w:val="en-US" w:eastAsia="en-US" w:bidi="ar-SA"/>
      </w:rPr>
    </w:lvl>
    <w:lvl w:ilvl="4" w:tplc="8796EA90">
      <w:numFmt w:val="bullet"/>
      <w:lvlText w:val="•"/>
      <w:lvlJc w:val="left"/>
      <w:pPr>
        <w:ind w:left="4475" w:hanging="360"/>
      </w:pPr>
      <w:rPr>
        <w:rFonts w:hint="default"/>
        <w:lang w:val="en-US" w:eastAsia="en-US" w:bidi="ar-SA"/>
      </w:rPr>
    </w:lvl>
    <w:lvl w:ilvl="5" w:tplc="5AE20758">
      <w:numFmt w:val="bullet"/>
      <w:lvlText w:val="•"/>
      <w:lvlJc w:val="left"/>
      <w:pPr>
        <w:ind w:left="5414" w:hanging="360"/>
      </w:pPr>
      <w:rPr>
        <w:rFonts w:hint="default"/>
        <w:lang w:val="en-US" w:eastAsia="en-US" w:bidi="ar-SA"/>
      </w:rPr>
    </w:lvl>
    <w:lvl w:ilvl="6" w:tplc="FC5AC5D0">
      <w:numFmt w:val="bullet"/>
      <w:lvlText w:val="•"/>
      <w:lvlJc w:val="left"/>
      <w:pPr>
        <w:ind w:left="6352" w:hanging="360"/>
      </w:pPr>
      <w:rPr>
        <w:rFonts w:hint="default"/>
        <w:lang w:val="en-US" w:eastAsia="en-US" w:bidi="ar-SA"/>
      </w:rPr>
    </w:lvl>
    <w:lvl w:ilvl="7" w:tplc="6E6EDC10">
      <w:numFmt w:val="bullet"/>
      <w:lvlText w:val="•"/>
      <w:lvlJc w:val="left"/>
      <w:pPr>
        <w:ind w:left="7291" w:hanging="360"/>
      </w:pPr>
      <w:rPr>
        <w:rFonts w:hint="default"/>
        <w:lang w:val="en-US" w:eastAsia="en-US" w:bidi="ar-SA"/>
      </w:rPr>
    </w:lvl>
    <w:lvl w:ilvl="8" w:tplc="E5E87050">
      <w:numFmt w:val="bullet"/>
      <w:lvlText w:val="•"/>
      <w:lvlJc w:val="left"/>
      <w:pPr>
        <w:ind w:left="8230" w:hanging="360"/>
      </w:pPr>
      <w:rPr>
        <w:rFonts w:hint="default"/>
        <w:lang w:val="en-US" w:eastAsia="en-US" w:bidi="ar-SA"/>
      </w:rPr>
    </w:lvl>
  </w:abstractNum>
  <w:abstractNum w:abstractNumId="21" w15:restartNumberingAfterBreak="0">
    <w:nsid w:val="10900497"/>
    <w:multiLevelType w:val="multilevel"/>
    <w:tmpl w:val="8C80A83A"/>
    <w:lvl w:ilvl="0">
      <w:start w:val="4"/>
      <w:numFmt w:val="decimal"/>
      <w:lvlText w:val="%1."/>
      <w:lvlJc w:val="left"/>
      <w:pPr>
        <w:ind w:left="720" w:hanging="720"/>
      </w:pPr>
      <w:rPr>
        <w:rFonts w:ascii="Times New Roman" w:hAnsi="Times New Roman" w:cs="Times New Roman" w:hint="default"/>
        <w:color w:val="auto"/>
        <w:sz w:val="24"/>
      </w:rPr>
    </w:lvl>
    <w:lvl w:ilvl="1">
      <w:start w:val="4"/>
      <w:numFmt w:val="decimal"/>
      <w:lvlText w:val="%1.%2."/>
      <w:lvlJc w:val="left"/>
      <w:pPr>
        <w:ind w:left="720" w:hanging="720"/>
      </w:pPr>
      <w:rPr>
        <w:rFonts w:ascii="Times New Roman" w:hAnsi="Times New Roman" w:cs="Times New Roman" w:hint="default"/>
        <w:color w:val="auto"/>
        <w:sz w:val="24"/>
      </w:rPr>
    </w:lvl>
    <w:lvl w:ilvl="2">
      <w:start w:val="6"/>
      <w:numFmt w:val="decimal"/>
      <w:lvlText w:val="%1.%2.%3."/>
      <w:lvlJc w:val="left"/>
      <w:pPr>
        <w:ind w:left="720" w:hanging="720"/>
      </w:pPr>
      <w:rPr>
        <w:rFonts w:ascii="Times New Roman" w:hAnsi="Times New Roman" w:cs="Times New Roman" w:hint="default"/>
        <w:color w:val="auto"/>
        <w:sz w:val="24"/>
      </w:rPr>
    </w:lvl>
    <w:lvl w:ilvl="3">
      <w:start w:val="3"/>
      <w:numFmt w:val="decimal"/>
      <w:lvlText w:val="%1.%2.%3.%4."/>
      <w:lvlJc w:val="left"/>
      <w:pPr>
        <w:ind w:left="1080" w:hanging="1080"/>
      </w:pPr>
      <w:rPr>
        <w:rFonts w:ascii="Times New Roman" w:hAnsi="Times New Roman" w:cs="Times New Roman" w:hint="default"/>
        <w:color w:val="auto"/>
        <w:sz w:val="24"/>
      </w:rPr>
    </w:lvl>
    <w:lvl w:ilvl="4">
      <w:start w:val="1"/>
      <w:numFmt w:val="decimal"/>
      <w:lvlText w:val="%1.%2.%3.%4.%5."/>
      <w:lvlJc w:val="left"/>
      <w:pPr>
        <w:ind w:left="1080" w:hanging="1080"/>
      </w:pPr>
      <w:rPr>
        <w:rFonts w:ascii="Times New Roman" w:hAnsi="Times New Roman" w:cs="Times New Roman" w:hint="default"/>
        <w:color w:val="auto"/>
        <w:sz w:val="24"/>
      </w:rPr>
    </w:lvl>
    <w:lvl w:ilvl="5">
      <w:start w:val="1"/>
      <w:numFmt w:val="decimal"/>
      <w:lvlText w:val="%1.%2.%3.%4.%5.%6."/>
      <w:lvlJc w:val="left"/>
      <w:pPr>
        <w:ind w:left="1440" w:hanging="1440"/>
      </w:pPr>
      <w:rPr>
        <w:rFonts w:ascii="Times New Roman" w:hAnsi="Times New Roman" w:cs="Times New Roman" w:hint="default"/>
        <w:color w:val="auto"/>
        <w:sz w:val="24"/>
      </w:rPr>
    </w:lvl>
    <w:lvl w:ilvl="6">
      <w:start w:val="1"/>
      <w:numFmt w:val="decimal"/>
      <w:lvlText w:val="%1.%2.%3.%4.%5.%6.%7."/>
      <w:lvlJc w:val="left"/>
      <w:pPr>
        <w:ind w:left="1800" w:hanging="1800"/>
      </w:pPr>
      <w:rPr>
        <w:rFonts w:ascii="Times New Roman" w:hAnsi="Times New Roman" w:cs="Times New Roman" w:hint="default"/>
        <w:color w:val="auto"/>
        <w:sz w:val="24"/>
      </w:rPr>
    </w:lvl>
    <w:lvl w:ilvl="7">
      <w:start w:val="1"/>
      <w:numFmt w:val="decimal"/>
      <w:lvlText w:val="%1.%2.%3.%4.%5.%6.%7.%8."/>
      <w:lvlJc w:val="left"/>
      <w:pPr>
        <w:ind w:left="1800" w:hanging="1800"/>
      </w:pPr>
      <w:rPr>
        <w:rFonts w:ascii="Times New Roman" w:hAnsi="Times New Roman" w:cs="Times New Roman" w:hint="default"/>
        <w:color w:val="auto"/>
        <w:sz w:val="24"/>
      </w:rPr>
    </w:lvl>
    <w:lvl w:ilvl="8">
      <w:start w:val="1"/>
      <w:numFmt w:val="decimal"/>
      <w:lvlText w:val="%1.%2.%3.%4.%5.%6.%7.%8.%9."/>
      <w:lvlJc w:val="left"/>
      <w:pPr>
        <w:ind w:left="2160" w:hanging="2160"/>
      </w:pPr>
      <w:rPr>
        <w:rFonts w:ascii="Times New Roman" w:hAnsi="Times New Roman" w:cs="Times New Roman" w:hint="default"/>
        <w:color w:val="auto"/>
        <w:sz w:val="24"/>
      </w:rPr>
    </w:lvl>
  </w:abstractNum>
  <w:abstractNum w:abstractNumId="22" w15:restartNumberingAfterBreak="0">
    <w:nsid w:val="11132884"/>
    <w:multiLevelType w:val="multilevel"/>
    <w:tmpl w:val="F4BA2820"/>
    <w:lvl w:ilvl="0">
      <w:start w:val="33"/>
      <w:numFmt w:val="bullet"/>
      <w:lvlText w:val="-"/>
      <w:lvlJc w:val="left"/>
      <w:pPr>
        <w:ind w:left="1080" w:hanging="360"/>
      </w:pPr>
      <w:rPr>
        <w:rFonts w:ascii="Calibri" w:eastAsia="Calibri" w:hAnsi="Calibri" w:cs="Calibri"/>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3" w15:restartNumberingAfterBreak="0">
    <w:nsid w:val="11633391"/>
    <w:multiLevelType w:val="hybridMultilevel"/>
    <w:tmpl w:val="1A6C029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4" w15:restartNumberingAfterBreak="0">
    <w:nsid w:val="11CE30E7"/>
    <w:multiLevelType w:val="multilevel"/>
    <w:tmpl w:val="7F427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1DB3EB9"/>
    <w:multiLevelType w:val="hybridMultilevel"/>
    <w:tmpl w:val="E4DA0938"/>
    <w:lvl w:ilvl="0" w:tplc="21F4E832">
      <w:start w:val="1"/>
      <w:numFmt w:val="decimal"/>
      <w:lvlText w:val="(%1)"/>
      <w:lvlJc w:val="left"/>
      <w:pPr>
        <w:ind w:left="1080" w:hanging="360"/>
      </w:pPr>
      <w:rPr>
        <w:rFonts w:ascii="Arial" w:eastAsia="Arial" w:hAnsi="Arial" w:cs="Arial" w:hint="default"/>
        <w:b/>
        <w:bCs/>
        <w:i w:val="0"/>
        <w:iCs w:val="0"/>
        <w:spacing w:val="-2"/>
        <w:w w:val="100"/>
        <w:sz w:val="24"/>
        <w:szCs w:val="24"/>
        <w:lang w:val="en-US" w:eastAsia="en-US" w:bidi="ar-SA"/>
      </w:rPr>
    </w:lvl>
    <w:lvl w:ilvl="1" w:tplc="8D9C1A80">
      <w:numFmt w:val="bullet"/>
      <w:lvlText w:val="•"/>
      <w:lvlJc w:val="left"/>
      <w:pPr>
        <w:ind w:left="1946" w:hanging="360"/>
      </w:pPr>
      <w:rPr>
        <w:rFonts w:hint="default"/>
        <w:lang w:val="en-US" w:eastAsia="en-US" w:bidi="ar-SA"/>
      </w:rPr>
    </w:lvl>
    <w:lvl w:ilvl="2" w:tplc="114E5840">
      <w:numFmt w:val="bullet"/>
      <w:lvlText w:val="•"/>
      <w:lvlJc w:val="left"/>
      <w:pPr>
        <w:ind w:left="2813" w:hanging="360"/>
      </w:pPr>
      <w:rPr>
        <w:rFonts w:hint="default"/>
        <w:lang w:val="en-US" w:eastAsia="en-US" w:bidi="ar-SA"/>
      </w:rPr>
    </w:lvl>
    <w:lvl w:ilvl="3" w:tplc="29EEDB4E">
      <w:numFmt w:val="bullet"/>
      <w:lvlText w:val="•"/>
      <w:lvlJc w:val="left"/>
      <w:pPr>
        <w:ind w:left="3680" w:hanging="360"/>
      </w:pPr>
      <w:rPr>
        <w:rFonts w:hint="default"/>
        <w:lang w:val="en-US" w:eastAsia="en-US" w:bidi="ar-SA"/>
      </w:rPr>
    </w:lvl>
    <w:lvl w:ilvl="4" w:tplc="FE5EF8DA">
      <w:numFmt w:val="bullet"/>
      <w:lvlText w:val="•"/>
      <w:lvlJc w:val="left"/>
      <w:pPr>
        <w:ind w:left="4547" w:hanging="360"/>
      </w:pPr>
      <w:rPr>
        <w:rFonts w:hint="default"/>
        <w:lang w:val="en-US" w:eastAsia="en-US" w:bidi="ar-SA"/>
      </w:rPr>
    </w:lvl>
    <w:lvl w:ilvl="5" w:tplc="78A0284C">
      <w:numFmt w:val="bullet"/>
      <w:lvlText w:val="•"/>
      <w:lvlJc w:val="left"/>
      <w:pPr>
        <w:ind w:left="5414" w:hanging="360"/>
      </w:pPr>
      <w:rPr>
        <w:rFonts w:hint="default"/>
        <w:lang w:val="en-US" w:eastAsia="en-US" w:bidi="ar-SA"/>
      </w:rPr>
    </w:lvl>
    <w:lvl w:ilvl="6" w:tplc="55E6D1BC">
      <w:numFmt w:val="bullet"/>
      <w:lvlText w:val="•"/>
      <w:lvlJc w:val="left"/>
      <w:pPr>
        <w:ind w:left="6280" w:hanging="360"/>
      </w:pPr>
      <w:rPr>
        <w:rFonts w:hint="default"/>
        <w:lang w:val="en-US" w:eastAsia="en-US" w:bidi="ar-SA"/>
      </w:rPr>
    </w:lvl>
    <w:lvl w:ilvl="7" w:tplc="A24248B2">
      <w:numFmt w:val="bullet"/>
      <w:lvlText w:val="•"/>
      <w:lvlJc w:val="left"/>
      <w:pPr>
        <w:ind w:left="7147" w:hanging="360"/>
      </w:pPr>
      <w:rPr>
        <w:rFonts w:hint="default"/>
        <w:lang w:val="en-US" w:eastAsia="en-US" w:bidi="ar-SA"/>
      </w:rPr>
    </w:lvl>
    <w:lvl w:ilvl="8" w:tplc="65223EB8">
      <w:numFmt w:val="bullet"/>
      <w:lvlText w:val="•"/>
      <w:lvlJc w:val="left"/>
      <w:pPr>
        <w:ind w:left="8014" w:hanging="360"/>
      </w:pPr>
      <w:rPr>
        <w:rFonts w:hint="default"/>
        <w:lang w:val="en-US" w:eastAsia="en-US" w:bidi="ar-SA"/>
      </w:rPr>
    </w:lvl>
  </w:abstractNum>
  <w:abstractNum w:abstractNumId="26" w15:restartNumberingAfterBreak="0">
    <w:nsid w:val="12D22E29"/>
    <w:multiLevelType w:val="hybridMultilevel"/>
    <w:tmpl w:val="23084556"/>
    <w:lvl w:ilvl="0" w:tplc="5650AFEC">
      <w:numFmt w:val="bullet"/>
      <w:lvlText w:val="-"/>
      <w:lvlJc w:val="left"/>
      <w:pPr>
        <w:ind w:left="1080" w:hanging="360"/>
      </w:pPr>
      <w:rPr>
        <w:rFonts w:ascii="Calibri" w:eastAsia="Calibri" w:hAnsi="Calibri" w:cs="Calibri" w:hint="default"/>
        <w:b w:val="0"/>
        <w:bCs w:val="0"/>
        <w:i w:val="0"/>
        <w:iCs w:val="0"/>
        <w:spacing w:val="0"/>
        <w:w w:val="100"/>
        <w:sz w:val="24"/>
        <w:szCs w:val="24"/>
        <w:lang w:val="en-US" w:eastAsia="en-US" w:bidi="ar-SA"/>
      </w:rPr>
    </w:lvl>
    <w:lvl w:ilvl="1" w:tplc="6DC0D5D6">
      <w:numFmt w:val="bullet"/>
      <w:lvlText w:val="•"/>
      <w:lvlJc w:val="left"/>
      <w:pPr>
        <w:ind w:left="1946" w:hanging="360"/>
      </w:pPr>
      <w:rPr>
        <w:rFonts w:hint="default"/>
        <w:lang w:val="en-US" w:eastAsia="en-US" w:bidi="ar-SA"/>
      </w:rPr>
    </w:lvl>
    <w:lvl w:ilvl="2" w:tplc="28B03D54">
      <w:numFmt w:val="bullet"/>
      <w:lvlText w:val="•"/>
      <w:lvlJc w:val="left"/>
      <w:pPr>
        <w:ind w:left="2813" w:hanging="360"/>
      </w:pPr>
      <w:rPr>
        <w:rFonts w:hint="default"/>
        <w:lang w:val="en-US" w:eastAsia="en-US" w:bidi="ar-SA"/>
      </w:rPr>
    </w:lvl>
    <w:lvl w:ilvl="3" w:tplc="369C5E2A">
      <w:numFmt w:val="bullet"/>
      <w:lvlText w:val="•"/>
      <w:lvlJc w:val="left"/>
      <w:pPr>
        <w:ind w:left="3680" w:hanging="360"/>
      </w:pPr>
      <w:rPr>
        <w:rFonts w:hint="default"/>
        <w:lang w:val="en-US" w:eastAsia="en-US" w:bidi="ar-SA"/>
      </w:rPr>
    </w:lvl>
    <w:lvl w:ilvl="4" w:tplc="E104123E">
      <w:numFmt w:val="bullet"/>
      <w:lvlText w:val="•"/>
      <w:lvlJc w:val="left"/>
      <w:pPr>
        <w:ind w:left="4547" w:hanging="360"/>
      </w:pPr>
      <w:rPr>
        <w:rFonts w:hint="default"/>
        <w:lang w:val="en-US" w:eastAsia="en-US" w:bidi="ar-SA"/>
      </w:rPr>
    </w:lvl>
    <w:lvl w:ilvl="5" w:tplc="14FC6F60">
      <w:numFmt w:val="bullet"/>
      <w:lvlText w:val="•"/>
      <w:lvlJc w:val="left"/>
      <w:pPr>
        <w:ind w:left="5414" w:hanging="360"/>
      </w:pPr>
      <w:rPr>
        <w:rFonts w:hint="default"/>
        <w:lang w:val="en-US" w:eastAsia="en-US" w:bidi="ar-SA"/>
      </w:rPr>
    </w:lvl>
    <w:lvl w:ilvl="6" w:tplc="2B387B08">
      <w:numFmt w:val="bullet"/>
      <w:lvlText w:val="•"/>
      <w:lvlJc w:val="left"/>
      <w:pPr>
        <w:ind w:left="6280" w:hanging="360"/>
      </w:pPr>
      <w:rPr>
        <w:rFonts w:hint="default"/>
        <w:lang w:val="en-US" w:eastAsia="en-US" w:bidi="ar-SA"/>
      </w:rPr>
    </w:lvl>
    <w:lvl w:ilvl="7" w:tplc="614C0564">
      <w:numFmt w:val="bullet"/>
      <w:lvlText w:val="•"/>
      <w:lvlJc w:val="left"/>
      <w:pPr>
        <w:ind w:left="7147" w:hanging="360"/>
      </w:pPr>
      <w:rPr>
        <w:rFonts w:hint="default"/>
        <w:lang w:val="en-US" w:eastAsia="en-US" w:bidi="ar-SA"/>
      </w:rPr>
    </w:lvl>
    <w:lvl w:ilvl="8" w:tplc="29D67D88">
      <w:numFmt w:val="bullet"/>
      <w:lvlText w:val="•"/>
      <w:lvlJc w:val="left"/>
      <w:pPr>
        <w:ind w:left="8014" w:hanging="360"/>
      </w:pPr>
      <w:rPr>
        <w:rFonts w:hint="default"/>
        <w:lang w:val="en-US" w:eastAsia="en-US" w:bidi="ar-SA"/>
      </w:rPr>
    </w:lvl>
  </w:abstractNum>
  <w:abstractNum w:abstractNumId="27" w15:restartNumberingAfterBreak="0">
    <w:nsid w:val="135D137D"/>
    <w:multiLevelType w:val="hybridMultilevel"/>
    <w:tmpl w:val="954AE66C"/>
    <w:lvl w:ilvl="0" w:tplc="56A0C92A">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E79A9BD4">
      <w:numFmt w:val="bullet"/>
      <w:lvlText w:val="•"/>
      <w:lvlJc w:val="left"/>
      <w:pPr>
        <w:ind w:left="1511" w:hanging="360"/>
      </w:pPr>
      <w:rPr>
        <w:rFonts w:hint="default"/>
        <w:lang w:val="en-US" w:eastAsia="en-US" w:bidi="ar-SA"/>
      </w:rPr>
    </w:lvl>
    <w:lvl w:ilvl="2" w:tplc="93EAFB7A">
      <w:numFmt w:val="bullet"/>
      <w:lvlText w:val="•"/>
      <w:lvlJc w:val="left"/>
      <w:pPr>
        <w:ind w:left="2203" w:hanging="360"/>
      </w:pPr>
      <w:rPr>
        <w:rFonts w:hint="default"/>
        <w:lang w:val="en-US" w:eastAsia="en-US" w:bidi="ar-SA"/>
      </w:rPr>
    </w:lvl>
    <w:lvl w:ilvl="3" w:tplc="3CECBE0C">
      <w:numFmt w:val="bullet"/>
      <w:lvlText w:val="•"/>
      <w:lvlJc w:val="left"/>
      <w:pPr>
        <w:ind w:left="2894" w:hanging="360"/>
      </w:pPr>
      <w:rPr>
        <w:rFonts w:hint="default"/>
        <w:lang w:val="en-US" w:eastAsia="en-US" w:bidi="ar-SA"/>
      </w:rPr>
    </w:lvl>
    <w:lvl w:ilvl="4" w:tplc="4E6882AE">
      <w:numFmt w:val="bullet"/>
      <w:lvlText w:val="•"/>
      <w:lvlJc w:val="left"/>
      <w:pPr>
        <w:ind w:left="3586" w:hanging="360"/>
      </w:pPr>
      <w:rPr>
        <w:rFonts w:hint="default"/>
        <w:lang w:val="en-US" w:eastAsia="en-US" w:bidi="ar-SA"/>
      </w:rPr>
    </w:lvl>
    <w:lvl w:ilvl="5" w:tplc="E13AFDC8">
      <w:numFmt w:val="bullet"/>
      <w:lvlText w:val="•"/>
      <w:lvlJc w:val="left"/>
      <w:pPr>
        <w:ind w:left="4278" w:hanging="360"/>
      </w:pPr>
      <w:rPr>
        <w:rFonts w:hint="default"/>
        <w:lang w:val="en-US" w:eastAsia="en-US" w:bidi="ar-SA"/>
      </w:rPr>
    </w:lvl>
    <w:lvl w:ilvl="6" w:tplc="A07C2DFA">
      <w:numFmt w:val="bullet"/>
      <w:lvlText w:val="•"/>
      <w:lvlJc w:val="left"/>
      <w:pPr>
        <w:ind w:left="4969" w:hanging="360"/>
      </w:pPr>
      <w:rPr>
        <w:rFonts w:hint="default"/>
        <w:lang w:val="en-US" w:eastAsia="en-US" w:bidi="ar-SA"/>
      </w:rPr>
    </w:lvl>
    <w:lvl w:ilvl="7" w:tplc="29A65342">
      <w:numFmt w:val="bullet"/>
      <w:lvlText w:val="•"/>
      <w:lvlJc w:val="left"/>
      <w:pPr>
        <w:ind w:left="5661" w:hanging="360"/>
      </w:pPr>
      <w:rPr>
        <w:rFonts w:hint="default"/>
        <w:lang w:val="en-US" w:eastAsia="en-US" w:bidi="ar-SA"/>
      </w:rPr>
    </w:lvl>
    <w:lvl w:ilvl="8" w:tplc="7D4C37B6">
      <w:numFmt w:val="bullet"/>
      <w:lvlText w:val="•"/>
      <w:lvlJc w:val="left"/>
      <w:pPr>
        <w:ind w:left="6352" w:hanging="360"/>
      </w:pPr>
      <w:rPr>
        <w:rFonts w:hint="default"/>
        <w:lang w:val="en-US" w:eastAsia="en-US" w:bidi="ar-SA"/>
      </w:rPr>
    </w:lvl>
  </w:abstractNum>
  <w:abstractNum w:abstractNumId="28" w15:restartNumberingAfterBreak="0">
    <w:nsid w:val="14DE2FA8"/>
    <w:multiLevelType w:val="hybridMultilevel"/>
    <w:tmpl w:val="E04EB150"/>
    <w:lvl w:ilvl="0" w:tplc="BEAC6976">
      <w:start w:val="1"/>
      <w:numFmt w:val="decimal"/>
      <w:lvlText w:val="%1."/>
      <w:lvlJc w:val="left"/>
      <w:pPr>
        <w:ind w:left="627" w:hanging="268"/>
      </w:pPr>
      <w:rPr>
        <w:rFonts w:ascii="Arial" w:eastAsia="Arial" w:hAnsi="Arial" w:cs="Arial" w:hint="default"/>
        <w:b/>
        <w:bCs/>
        <w:i w:val="0"/>
        <w:iCs w:val="0"/>
        <w:spacing w:val="-2"/>
        <w:w w:val="100"/>
        <w:sz w:val="24"/>
        <w:szCs w:val="24"/>
        <w:lang w:val="en-US" w:eastAsia="en-US" w:bidi="ar-SA"/>
      </w:rPr>
    </w:lvl>
    <w:lvl w:ilvl="1" w:tplc="4BF20D32">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2" w:tplc="A218180C">
      <w:numFmt w:val="bullet"/>
      <w:lvlText w:val="o"/>
      <w:lvlJc w:val="left"/>
      <w:pPr>
        <w:ind w:left="1801" w:hanging="360"/>
      </w:pPr>
      <w:rPr>
        <w:rFonts w:ascii="Courier New" w:eastAsia="Courier New" w:hAnsi="Courier New" w:cs="Courier New" w:hint="default"/>
        <w:b w:val="0"/>
        <w:bCs w:val="0"/>
        <w:i w:val="0"/>
        <w:iCs w:val="0"/>
        <w:spacing w:val="0"/>
        <w:w w:val="100"/>
        <w:sz w:val="20"/>
        <w:szCs w:val="20"/>
        <w:lang w:val="en-US" w:eastAsia="en-US" w:bidi="ar-SA"/>
      </w:rPr>
    </w:lvl>
    <w:lvl w:ilvl="3" w:tplc="EEA617EA">
      <w:numFmt w:val="bullet"/>
      <w:lvlText w:val="•"/>
      <w:lvlJc w:val="left"/>
      <w:pPr>
        <w:ind w:left="2793" w:hanging="360"/>
      </w:pPr>
      <w:rPr>
        <w:rFonts w:hint="default"/>
        <w:lang w:val="en-US" w:eastAsia="en-US" w:bidi="ar-SA"/>
      </w:rPr>
    </w:lvl>
    <w:lvl w:ilvl="4" w:tplc="BB1A5D3A">
      <w:numFmt w:val="bullet"/>
      <w:lvlText w:val="•"/>
      <w:lvlJc w:val="left"/>
      <w:pPr>
        <w:ind w:left="3787" w:hanging="360"/>
      </w:pPr>
      <w:rPr>
        <w:rFonts w:hint="default"/>
        <w:lang w:val="en-US" w:eastAsia="en-US" w:bidi="ar-SA"/>
      </w:rPr>
    </w:lvl>
    <w:lvl w:ilvl="5" w:tplc="136ED62A">
      <w:numFmt w:val="bullet"/>
      <w:lvlText w:val="•"/>
      <w:lvlJc w:val="left"/>
      <w:pPr>
        <w:ind w:left="4780" w:hanging="360"/>
      </w:pPr>
      <w:rPr>
        <w:rFonts w:hint="default"/>
        <w:lang w:val="en-US" w:eastAsia="en-US" w:bidi="ar-SA"/>
      </w:rPr>
    </w:lvl>
    <w:lvl w:ilvl="6" w:tplc="9CC81E08">
      <w:numFmt w:val="bullet"/>
      <w:lvlText w:val="•"/>
      <w:lvlJc w:val="left"/>
      <w:pPr>
        <w:ind w:left="5774" w:hanging="360"/>
      </w:pPr>
      <w:rPr>
        <w:rFonts w:hint="default"/>
        <w:lang w:val="en-US" w:eastAsia="en-US" w:bidi="ar-SA"/>
      </w:rPr>
    </w:lvl>
    <w:lvl w:ilvl="7" w:tplc="5A585660">
      <w:numFmt w:val="bullet"/>
      <w:lvlText w:val="•"/>
      <w:lvlJc w:val="left"/>
      <w:pPr>
        <w:ind w:left="6767" w:hanging="360"/>
      </w:pPr>
      <w:rPr>
        <w:rFonts w:hint="default"/>
        <w:lang w:val="en-US" w:eastAsia="en-US" w:bidi="ar-SA"/>
      </w:rPr>
    </w:lvl>
    <w:lvl w:ilvl="8" w:tplc="F6F6FDE6">
      <w:numFmt w:val="bullet"/>
      <w:lvlText w:val="•"/>
      <w:lvlJc w:val="left"/>
      <w:pPr>
        <w:ind w:left="7761" w:hanging="360"/>
      </w:pPr>
      <w:rPr>
        <w:rFonts w:hint="default"/>
        <w:lang w:val="en-US" w:eastAsia="en-US" w:bidi="ar-SA"/>
      </w:rPr>
    </w:lvl>
  </w:abstractNum>
  <w:abstractNum w:abstractNumId="29" w15:restartNumberingAfterBreak="0">
    <w:nsid w:val="14F64FDF"/>
    <w:multiLevelType w:val="multilevel"/>
    <w:tmpl w:val="DB36497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5132247"/>
    <w:multiLevelType w:val="multilevel"/>
    <w:tmpl w:val="77EC1E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6130AF8"/>
    <w:multiLevelType w:val="hybridMultilevel"/>
    <w:tmpl w:val="215AF0A2"/>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32" w15:restartNumberingAfterBreak="0">
    <w:nsid w:val="16381334"/>
    <w:multiLevelType w:val="multilevel"/>
    <w:tmpl w:val="644AE7F6"/>
    <w:lvl w:ilvl="0">
      <w:start w:val="1"/>
      <w:numFmt w:val="decimal"/>
      <w:lvlText w:val="%1."/>
      <w:lvlJc w:val="left"/>
      <w:pPr>
        <w:ind w:left="720" w:hanging="360"/>
      </w:pPr>
      <w:rPr>
        <w:rFonts w:hint="default"/>
      </w:rPr>
    </w:lvl>
    <w:lvl w:ilvl="1">
      <w:start w:val="5"/>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17D90F97"/>
    <w:multiLevelType w:val="multilevel"/>
    <w:tmpl w:val="77FEE302"/>
    <w:lvl w:ilvl="0">
      <w:start w:val="6"/>
      <w:numFmt w:val="decimal"/>
      <w:lvlText w:val="%1."/>
      <w:lvlJc w:val="left"/>
      <w:pPr>
        <w:ind w:left="510" w:hanging="510"/>
      </w:pPr>
      <w:rPr>
        <w:rFonts w:hint="default"/>
      </w:rPr>
    </w:lvl>
    <w:lvl w:ilvl="1">
      <w:start w:val="4"/>
      <w:numFmt w:val="decimal"/>
      <w:lvlText w:val="%1.%2."/>
      <w:lvlJc w:val="left"/>
      <w:pPr>
        <w:ind w:left="510" w:hanging="51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8CC0B30"/>
    <w:multiLevelType w:val="multilevel"/>
    <w:tmpl w:val="CC3EF104"/>
    <w:lvl w:ilvl="0">
      <w:start w:val="1"/>
      <w:numFmt w:val="decimal"/>
      <w:lvlText w:val="%1."/>
      <w:lvlJc w:val="left"/>
      <w:pPr>
        <w:ind w:left="627" w:hanging="268"/>
      </w:pPr>
      <w:rPr>
        <w:rFonts w:hint="default"/>
        <w:spacing w:val="-2"/>
        <w:w w:val="100"/>
        <w:lang w:val="en-US" w:eastAsia="en-US" w:bidi="ar-SA"/>
      </w:rPr>
    </w:lvl>
    <w:lvl w:ilvl="1">
      <w:start w:val="1"/>
      <w:numFmt w:val="decimal"/>
      <w:lvlText w:val="%1.%2."/>
      <w:lvlJc w:val="left"/>
      <w:pPr>
        <w:ind w:left="812" w:hanging="436"/>
      </w:pPr>
      <w:rPr>
        <w:rFonts w:ascii="Arial" w:eastAsia="Arial" w:hAnsi="Arial" w:cs="Arial" w:hint="default"/>
        <w:b/>
        <w:bCs/>
        <w:i w:val="0"/>
        <w:iCs w:val="0"/>
        <w:spacing w:val="-2"/>
        <w:w w:val="100"/>
        <w:sz w:val="24"/>
        <w:szCs w:val="24"/>
        <w:lang w:val="en-US" w:eastAsia="en-US" w:bidi="ar-SA"/>
      </w:rPr>
    </w:lvl>
    <w:lvl w:ilvl="2">
      <w:start w:val="1"/>
      <w:numFmt w:val="decimal"/>
      <w:lvlText w:val="%1.%2.%3."/>
      <w:lvlJc w:val="left"/>
      <w:pPr>
        <w:ind w:left="1080" w:hanging="720"/>
      </w:pPr>
      <w:rPr>
        <w:rFonts w:ascii="Arial" w:eastAsia="Arial" w:hAnsi="Arial" w:cs="Arial" w:hint="default"/>
        <w:b/>
        <w:bCs/>
        <w:i w:val="0"/>
        <w:iCs w:val="0"/>
        <w:spacing w:val="-2"/>
        <w:w w:val="100"/>
        <w:sz w:val="24"/>
        <w:szCs w:val="24"/>
        <w:lang w:val="en-US" w:eastAsia="en-US" w:bidi="ar-SA"/>
      </w:rPr>
    </w:lvl>
    <w:lvl w:ilvl="3">
      <w:start w:val="1"/>
      <w:numFmt w:val="decimal"/>
      <w:lvlText w:val="%1.%2.%3.%4."/>
      <w:lvlJc w:val="left"/>
      <w:pPr>
        <w:ind w:left="1260" w:hanging="916"/>
      </w:pPr>
      <w:rPr>
        <w:rFonts w:ascii="Arial" w:eastAsia="Arial" w:hAnsi="Arial" w:cs="Arial" w:hint="default"/>
        <w:b/>
        <w:bCs/>
        <w:i w:val="0"/>
        <w:iCs w:val="0"/>
        <w:spacing w:val="-2"/>
        <w:w w:val="100"/>
        <w:sz w:val="24"/>
        <w:szCs w:val="24"/>
        <w:lang w:val="en-US" w:eastAsia="en-US" w:bidi="ar-SA"/>
      </w:rPr>
    </w:lvl>
    <w:lvl w:ilvl="4">
      <w:numFmt w:val="bullet"/>
      <w:lvlText w:val="•"/>
      <w:lvlJc w:val="left"/>
      <w:pPr>
        <w:ind w:left="2472" w:hanging="916"/>
      </w:pPr>
      <w:rPr>
        <w:rFonts w:hint="default"/>
        <w:lang w:val="en-US" w:eastAsia="en-US" w:bidi="ar-SA"/>
      </w:rPr>
    </w:lvl>
    <w:lvl w:ilvl="5">
      <w:numFmt w:val="bullet"/>
      <w:lvlText w:val="•"/>
      <w:lvlJc w:val="left"/>
      <w:pPr>
        <w:ind w:left="3685" w:hanging="916"/>
      </w:pPr>
      <w:rPr>
        <w:rFonts w:hint="default"/>
        <w:lang w:val="en-US" w:eastAsia="en-US" w:bidi="ar-SA"/>
      </w:rPr>
    </w:lvl>
    <w:lvl w:ilvl="6">
      <w:numFmt w:val="bullet"/>
      <w:lvlText w:val="•"/>
      <w:lvlJc w:val="left"/>
      <w:pPr>
        <w:ind w:left="4897" w:hanging="916"/>
      </w:pPr>
      <w:rPr>
        <w:rFonts w:hint="default"/>
        <w:lang w:val="en-US" w:eastAsia="en-US" w:bidi="ar-SA"/>
      </w:rPr>
    </w:lvl>
    <w:lvl w:ilvl="7">
      <w:numFmt w:val="bullet"/>
      <w:lvlText w:val="•"/>
      <w:lvlJc w:val="left"/>
      <w:pPr>
        <w:ind w:left="6110" w:hanging="916"/>
      </w:pPr>
      <w:rPr>
        <w:rFonts w:hint="default"/>
        <w:lang w:val="en-US" w:eastAsia="en-US" w:bidi="ar-SA"/>
      </w:rPr>
    </w:lvl>
    <w:lvl w:ilvl="8">
      <w:numFmt w:val="bullet"/>
      <w:lvlText w:val="•"/>
      <w:lvlJc w:val="left"/>
      <w:pPr>
        <w:ind w:left="7322" w:hanging="916"/>
      </w:pPr>
      <w:rPr>
        <w:rFonts w:hint="default"/>
        <w:lang w:val="en-US" w:eastAsia="en-US" w:bidi="ar-SA"/>
      </w:rPr>
    </w:lvl>
  </w:abstractNum>
  <w:abstractNum w:abstractNumId="35" w15:restartNumberingAfterBreak="0">
    <w:nsid w:val="195E5B88"/>
    <w:multiLevelType w:val="multilevel"/>
    <w:tmpl w:val="543E3A2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9964038"/>
    <w:multiLevelType w:val="hybridMultilevel"/>
    <w:tmpl w:val="CC986346"/>
    <w:lvl w:ilvl="0" w:tplc="838AB5A4">
      <w:start w:val="6"/>
      <w:numFmt w:val="decimal"/>
      <w:lvlText w:val="%1."/>
      <w:lvlJc w:val="left"/>
      <w:pPr>
        <w:ind w:left="388" w:hanging="360"/>
      </w:pPr>
      <w:rPr>
        <w:rFonts w:hint="default"/>
        <w:color w:val="0000FF"/>
      </w:rPr>
    </w:lvl>
    <w:lvl w:ilvl="1" w:tplc="38090019" w:tentative="1">
      <w:start w:val="1"/>
      <w:numFmt w:val="lowerLetter"/>
      <w:lvlText w:val="%2."/>
      <w:lvlJc w:val="left"/>
      <w:pPr>
        <w:ind w:left="1108" w:hanging="360"/>
      </w:pPr>
    </w:lvl>
    <w:lvl w:ilvl="2" w:tplc="3809001B" w:tentative="1">
      <w:start w:val="1"/>
      <w:numFmt w:val="lowerRoman"/>
      <w:lvlText w:val="%3."/>
      <w:lvlJc w:val="right"/>
      <w:pPr>
        <w:ind w:left="1828" w:hanging="180"/>
      </w:pPr>
    </w:lvl>
    <w:lvl w:ilvl="3" w:tplc="3809000F" w:tentative="1">
      <w:start w:val="1"/>
      <w:numFmt w:val="decimal"/>
      <w:lvlText w:val="%4."/>
      <w:lvlJc w:val="left"/>
      <w:pPr>
        <w:ind w:left="2548" w:hanging="360"/>
      </w:pPr>
    </w:lvl>
    <w:lvl w:ilvl="4" w:tplc="38090019" w:tentative="1">
      <w:start w:val="1"/>
      <w:numFmt w:val="lowerLetter"/>
      <w:lvlText w:val="%5."/>
      <w:lvlJc w:val="left"/>
      <w:pPr>
        <w:ind w:left="3268" w:hanging="360"/>
      </w:pPr>
    </w:lvl>
    <w:lvl w:ilvl="5" w:tplc="3809001B" w:tentative="1">
      <w:start w:val="1"/>
      <w:numFmt w:val="lowerRoman"/>
      <w:lvlText w:val="%6."/>
      <w:lvlJc w:val="right"/>
      <w:pPr>
        <w:ind w:left="3988" w:hanging="180"/>
      </w:pPr>
    </w:lvl>
    <w:lvl w:ilvl="6" w:tplc="3809000F" w:tentative="1">
      <w:start w:val="1"/>
      <w:numFmt w:val="decimal"/>
      <w:lvlText w:val="%7."/>
      <w:lvlJc w:val="left"/>
      <w:pPr>
        <w:ind w:left="4708" w:hanging="360"/>
      </w:pPr>
    </w:lvl>
    <w:lvl w:ilvl="7" w:tplc="38090019" w:tentative="1">
      <w:start w:val="1"/>
      <w:numFmt w:val="lowerLetter"/>
      <w:lvlText w:val="%8."/>
      <w:lvlJc w:val="left"/>
      <w:pPr>
        <w:ind w:left="5428" w:hanging="360"/>
      </w:pPr>
    </w:lvl>
    <w:lvl w:ilvl="8" w:tplc="3809001B" w:tentative="1">
      <w:start w:val="1"/>
      <w:numFmt w:val="lowerRoman"/>
      <w:lvlText w:val="%9."/>
      <w:lvlJc w:val="right"/>
      <w:pPr>
        <w:ind w:left="6148" w:hanging="180"/>
      </w:pPr>
    </w:lvl>
  </w:abstractNum>
  <w:abstractNum w:abstractNumId="37" w15:restartNumberingAfterBreak="0">
    <w:nsid w:val="19A87C80"/>
    <w:multiLevelType w:val="multilevel"/>
    <w:tmpl w:val="0C7EB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A5E48E5"/>
    <w:multiLevelType w:val="hybridMultilevel"/>
    <w:tmpl w:val="9FAAB24C"/>
    <w:lvl w:ilvl="0" w:tplc="B6F20660">
      <w:start w:val="2"/>
      <w:numFmt w:val="decimal"/>
      <w:lvlText w:val="%1."/>
      <w:lvlJc w:val="left"/>
      <w:pPr>
        <w:ind w:left="388" w:hanging="360"/>
      </w:pPr>
      <w:rPr>
        <w:rFonts w:ascii="Arial" w:eastAsia="Arial" w:hAnsi="Arial" w:cs="Arial" w:hint="default"/>
        <w:b/>
        <w:bCs/>
        <w:i w:val="0"/>
        <w:iCs w:val="0"/>
        <w:color w:val="0000FF"/>
        <w:spacing w:val="0"/>
        <w:w w:val="100"/>
        <w:sz w:val="28"/>
        <w:szCs w:val="28"/>
        <w:lang w:val="en-US" w:eastAsia="en-US" w:bidi="ar-SA"/>
      </w:rPr>
    </w:lvl>
    <w:lvl w:ilvl="1" w:tplc="0638CAC4">
      <w:numFmt w:val="bullet"/>
      <w:lvlText w:val="•"/>
      <w:lvlJc w:val="left"/>
      <w:pPr>
        <w:ind w:left="1250" w:hanging="360"/>
      </w:pPr>
      <w:rPr>
        <w:rFonts w:hint="default"/>
        <w:lang w:val="en-US" w:eastAsia="en-US" w:bidi="ar-SA"/>
      </w:rPr>
    </w:lvl>
    <w:lvl w:ilvl="2" w:tplc="6AA6BDCA">
      <w:numFmt w:val="bullet"/>
      <w:lvlText w:val="•"/>
      <w:lvlJc w:val="left"/>
      <w:pPr>
        <w:ind w:left="2121" w:hanging="360"/>
      </w:pPr>
      <w:rPr>
        <w:rFonts w:hint="default"/>
        <w:lang w:val="en-US" w:eastAsia="en-US" w:bidi="ar-SA"/>
      </w:rPr>
    </w:lvl>
    <w:lvl w:ilvl="3" w:tplc="842AD140">
      <w:numFmt w:val="bullet"/>
      <w:lvlText w:val="•"/>
      <w:lvlJc w:val="left"/>
      <w:pPr>
        <w:ind w:left="2992" w:hanging="360"/>
      </w:pPr>
      <w:rPr>
        <w:rFonts w:hint="default"/>
        <w:lang w:val="en-US" w:eastAsia="en-US" w:bidi="ar-SA"/>
      </w:rPr>
    </w:lvl>
    <w:lvl w:ilvl="4" w:tplc="0974E130">
      <w:numFmt w:val="bullet"/>
      <w:lvlText w:val="•"/>
      <w:lvlJc w:val="left"/>
      <w:pPr>
        <w:ind w:left="3862" w:hanging="360"/>
      </w:pPr>
      <w:rPr>
        <w:rFonts w:hint="default"/>
        <w:lang w:val="en-US" w:eastAsia="en-US" w:bidi="ar-SA"/>
      </w:rPr>
    </w:lvl>
    <w:lvl w:ilvl="5" w:tplc="89EA4BC2">
      <w:numFmt w:val="bullet"/>
      <w:lvlText w:val="•"/>
      <w:lvlJc w:val="left"/>
      <w:pPr>
        <w:ind w:left="4733" w:hanging="360"/>
      </w:pPr>
      <w:rPr>
        <w:rFonts w:hint="default"/>
        <w:lang w:val="en-US" w:eastAsia="en-US" w:bidi="ar-SA"/>
      </w:rPr>
    </w:lvl>
    <w:lvl w:ilvl="6" w:tplc="CDDAAE8A">
      <w:numFmt w:val="bullet"/>
      <w:lvlText w:val="•"/>
      <w:lvlJc w:val="left"/>
      <w:pPr>
        <w:ind w:left="5604" w:hanging="360"/>
      </w:pPr>
      <w:rPr>
        <w:rFonts w:hint="default"/>
        <w:lang w:val="en-US" w:eastAsia="en-US" w:bidi="ar-SA"/>
      </w:rPr>
    </w:lvl>
    <w:lvl w:ilvl="7" w:tplc="54EAE8AA">
      <w:numFmt w:val="bullet"/>
      <w:lvlText w:val="•"/>
      <w:lvlJc w:val="left"/>
      <w:pPr>
        <w:ind w:left="6474" w:hanging="360"/>
      </w:pPr>
      <w:rPr>
        <w:rFonts w:hint="default"/>
        <w:lang w:val="en-US" w:eastAsia="en-US" w:bidi="ar-SA"/>
      </w:rPr>
    </w:lvl>
    <w:lvl w:ilvl="8" w:tplc="4DF2984C">
      <w:numFmt w:val="bullet"/>
      <w:lvlText w:val="•"/>
      <w:lvlJc w:val="left"/>
      <w:pPr>
        <w:ind w:left="7345" w:hanging="360"/>
      </w:pPr>
      <w:rPr>
        <w:rFonts w:hint="default"/>
        <w:lang w:val="en-US" w:eastAsia="en-US" w:bidi="ar-SA"/>
      </w:rPr>
    </w:lvl>
  </w:abstractNum>
  <w:abstractNum w:abstractNumId="39" w15:restartNumberingAfterBreak="0">
    <w:nsid w:val="1D1B5166"/>
    <w:multiLevelType w:val="hybridMultilevel"/>
    <w:tmpl w:val="FD16E918"/>
    <w:lvl w:ilvl="0" w:tplc="E818A830">
      <w:start w:val="1"/>
      <w:numFmt w:val="low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D2722F3"/>
    <w:multiLevelType w:val="hybridMultilevel"/>
    <w:tmpl w:val="00C6EC26"/>
    <w:lvl w:ilvl="0" w:tplc="FD08C0C6">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1" w:tplc="2070BA3E">
      <w:numFmt w:val="bullet"/>
      <w:lvlText w:val="•"/>
      <w:lvlJc w:val="left"/>
      <w:pPr>
        <w:ind w:left="1946" w:hanging="360"/>
      </w:pPr>
      <w:rPr>
        <w:rFonts w:hint="default"/>
        <w:lang w:val="en-US" w:eastAsia="en-US" w:bidi="ar-SA"/>
      </w:rPr>
    </w:lvl>
    <w:lvl w:ilvl="2" w:tplc="9082750C">
      <w:numFmt w:val="bullet"/>
      <w:lvlText w:val="•"/>
      <w:lvlJc w:val="left"/>
      <w:pPr>
        <w:ind w:left="2813" w:hanging="360"/>
      </w:pPr>
      <w:rPr>
        <w:rFonts w:hint="default"/>
        <w:lang w:val="en-US" w:eastAsia="en-US" w:bidi="ar-SA"/>
      </w:rPr>
    </w:lvl>
    <w:lvl w:ilvl="3" w:tplc="D3CA6E4A">
      <w:numFmt w:val="bullet"/>
      <w:lvlText w:val="•"/>
      <w:lvlJc w:val="left"/>
      <w:pPr>
        <w:ind w:left="3680" w:hanging="360"/>
      </w:pPr>
      <w:rPr>
        <w:rFonts w:hint="default"/>
        <w:lang w:val="en-US" w:eastAsia="en-US" w:bidi="ar-SA"/>
      </w:rPr>
    </w:lvl>
    <w:lvl w:ilvl="4" w:tplc="8DAECD1A">
      <w:numFmt w:val="bullet"/>
      <w:lvlText w:val="•"/>
      <w:lvlJc w:val="left"/>
      <w:pPr>
        <w:ind w:left="4547" w:hanging="360"/>
      </w:pPr>
      <w:rPr>
        <w:rFonts w:hint="default"/>
        <w:lang w:val="en-US" w:eastAsia="en-US" w:bidi="ar-SA"/>
      </w:rPr>
    </w:lvl>
    <w:lvl w:ilvl="5" w:tplc="EFC4ED38">
      <w:numFmt w:val="bullet"/>
      <w:lvlText w:val="•"/>
      <w:lvlJc w:val="left"/>
      <w:pPr>
        <w:ind w:left="5414" w:hanging="360"/>
      </w:pPr>
      <w:rPr>
        <w:rFonts w:hint="default"/>
        <w:lang w:val="en-US" w:eastAsia="en-US" w:bidi="ar-SA"/>
      </w:rPr>
    </w:lvl>
    <w:lvl w:ilvl="6" w:tplc="0BCA8564">
      <w:numFmt w:val="bullet"/>
      <w:lvlText w:val="•"/>
      <w:lvlJc w:val="left"/>
      <w:pPr>
        <w:ind w:left="6280" w:hanging="360"/>
      </w:pPr>
      <w:rPr>
        <w:rFonts w:hint="default"/>
        <w:lang w:val="en-US" w:eastAsia="en-US" w:bidi="ar-SA"/>
      </w:rPr>
    </w:lvl>
    <w:lvl w:ilvl="7" w:tplc="C1C65CB0">
      <w:numFmt w:val="bullet"/>
      <w:lvlText w:val="•"/>
      <w:lvlJc w:val="left"/>
      <w:pPr>
        <w:ind w:left="7147" w:hanging="360"/>
      </w:pPr>
      <w:rPr>
        <w:rFonts w:hint="default"/>
        <w:lang w:val="en-US" w:eastAsia="en-US" w:bidi="ar-SA"/>
      </w:rPr>
    </w:lvl>
    <w:lvl w:ilvl="8" w:tplc="5D34F67E">
      <w:numFmt w:val="bullet"/>
      <w:lvlText w:val="•"/>
      <w:lvlJc w:val="left"/>
      <w:pPr>
        <w:ind w:left="8014" w:hanging="360"/>
      </w:pPr>
      <w:rPr>
        <w:rFonts w:hint="default"/>
        <w:lang w:val="en-US" w:eastAsia="en-US" w:bidi="ar-SA"/>
      </w:rPr>
    </w:lvl>
  </w:abstractNum>
  <w:abstractNum w:abstractNumId="41" w15:restartNumberingAfterBreak="0">
    <w:nsid w:val="1F1B0086"/>
    <w:multiLevelType w:val="multilevel"/>
    <w:tmpl w:val="A7E80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21126B75"/>
    <w:multiLevelType w:val="multilevel"/>
    <w:tmpl w:val="5D74BF4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211274E9"/>
    <w:multiLevelType w:val="hybridMultilevel"/>
    <w:tmpl w:val="AC64FF2A"/>
    <w:lvl w:ilvl="0" w:tplc="84E27BB8">
      <w:start w:val="1"/>
      <w:numFmt w:val="decimal"/>
      <w:lvlText w:val="%1."/>
      <w:lvlJc w:val="left"/>
      <w:pPr>
        <w:ind w:left="1080" w:hanging="360"/>
      </w:pPr>
      <w:rPr>
        <w:rFonts w:ascii="Arial MT" w:eastAsia="Arial MT" w:hAnsi="Arial MT" w:cs="Arial MT" w:hint="default"/>
        <w:b w:val="0"/>
        <w:bCs w:val="0"/>
        <w:i w:val="0"/>
        <w:iCs w:val="0"/>
        <w:spacing w:val="-2"/>
        <w:w w:val="100"/>
        <w:sz w:val="24"/>
        <w:szCs w:val="24"/>
        <w:lang w:val="en-US" w:eastAsia="en-US" w:bidi="ar-SA"/>
      </w:rPr>
    </w:lvl>
    <w:lvl w:ilvl="1" w:tplc="E888539A">
      <w:numFmt w:val="bullet"/>
      <w:lvlText w:val="•"/>
      <w:lvlJc w:val="left"/>
      <w:pPr>
        <w:ind w:left="1946" w:hanging="360"/>
      </w:pPr>
      <w:rPr>
        <w:rFonts w:hint="default"/>
        <w:lang w:val="en-US" w:eastAsia="en-US" w:bidi="ar-SA"/>
      </w:rPr>
    </w:lvl>
    <w:lvl w:ilvl="2" w:tplc="D55CEBD8">
      <w:numFmt w:val="bullet"/>
      <w:lvlText w:val="•"/>
      <w:lvlJc w:val="left"/>
      <w:pPr>
        <w:ind w:left="2813" w:hanging="360"/>
      </w:pPr>
      <w:rPr>
        <w:rFonts w:hint="default"/>
        <w:lang w:val="en-US" w:eastAsia="en-US" w:bidi="ar-SA"/>
      </w:rPr>
    </w:lvl>
    <w:lvl w:ilvl="3" w:tplc="3C5C25BC">
      <w:numFmt w:val="bullet"/>
      <w:lvlText w:val="•"/>
      <w:lvlJc w:val="left"/>
      <w:pPr>
        <w:ind w:left="3680" w:hanging="360"/>
      </w:pPr>
      <w:rPr>
        <w:rFonts w:hint="default"/>
        <w:lang w:val="en-US" w:eastAsia="en-US" w:bidi="ar-SA"/>
      </w:rPr>
    </w:lvl>
    <w:lvl w:ilvl="4" w:tplc="F8A2F190">
      <w:numFmt w:val="bullet"/>
      <w:lvlText w:val="•"/>
      <w:lvlJc w:val="left"/>
      <w:pPr>
        <w:ind w:left="4547" w:hanging="360"/>
      </w:pPr>
      <w:rPr>
        <w:rFonts w:hint="default"/>
        <w:lang w:val="en-US" w:eastAsia="en-US" w:bidi="ar-SA"/>
      </w:rPr>
    </w:lvl>
    <w:lvl w:ilvl="5" w:tplc="CF267896">
      <w:numFmt w:val="bullet"/>
      <w:lvlText w:val="•"/>
      <w:lvlJc w:val="left"/>
      <w:pPr>
        <w:ind w:left="5414" w:hanging="360"/>
      </w:pPr>
      <w:rPr>
        <w:rFonts w:hint="default"/>
        <w:lang w:val="en-US" w:eastAsia="en-US" w:bidi="ar-SA"/>
      </w:rPr>
    </w:lvl>
    <w:lvl w:ilvl="6" w:tplc="7A92CF12">
      <w:numFmt w:val="bullet"/>
      <w:lvlText w:val="•"/>
      <w:lvlJc w:val="left"/>
      <w:pPr>
        <w:ind w:left="6280" w:hanging="360"/>
      </w:pPr>
      <w:rPr>
        <w:rFonts w:hint="default"/>
        <w:lang w:val="en-US" w:eastAsia="en-US" w:bidi="ar-SA"/>
      </w:rPr>
    </w:lvl>
    <w:lvl w:ilvl="7" w:tplc="68921E26">
      <w:numFmt w:val="bullet"/>
      <w:lvlText w:val="•"/>
      <w:lvlJc w:val="left"/>
      <w:pPr>
        <w:ind w:left="7147" w:hanging="360"/>
      </w:pPr>
      <w:rPr>
        <w:rFonts w:hint="default"/>
        <w:lang w:val="en-US" w:eastAsia="en-US" w:bidi="ar-SA"/>
      </w:rPr>
    </w:lvl>
    <w:lvl w:ilvl="8" w:tplc="165E76C8">
      <w:numFmt w:val="bullet"/>
      <w:lvlText w:val="•"/>
      <w:lvlJc w:val="left"/>
      <w:pPr>
        <w:ind w:left="8014" w:hanging="360"/>
      </w:pPr>
      <w:rPr>
        <w:rFonts w:hint="default"/>
        <w:lang w:val="en-US" w:eastAsia="en-US" w:bidi="ar-SA"/>
      </w:rPr>
    </w:lvl>
  </w:abstractNum>
  <w:abstractNum w:abstractNumId="44" w15:restartNumberingAfterBreak="0">
    <w:nsid w:val="21974779"/>
    <w:multiLevelType w:val="multilevel"/>
    <w:tmpl w:val="5852B168"/>
    <w:lvl w:ilvl="0">
      <w:start w:val="4"/>
      <w:numFmt w:val="decimal"/>
      <w:lvlText w:val="%1."/>
      <w:lvlJc w:val="left"/>
      <w:pPr>
        <w:ind w:left="900" w:hanging="900"/>
      </w:pPr>
      <w:rPr>
        <w:rFonts w:ascii="Times New Roman" w:hAnsi="Times New Roman" w:cs="Times New Roman" w:hint="default"/>
        <w:color w:val="auto"/>
        <w:sz w:val="24"/>
      </w:rPr>
    </w:lvl>
    <w:lvl w:ilvl="1">
      <w:start w:val="4"/>
      <w:numFmt w:val="decimal"/>
      <w:lvlText w:val="%1.%2."/>
      <w:lvlJc w:val="left"/>
      <w:pPr>
        <w:ind w:left="900" w:hanging="900"/>
      </w:pPr>
      <w:rPr>
        <w:rFonts w:ascii="Times New Roman" w:hAnsi="Times New Roman" w:cs="Times New Roman" w:hint="default"/>
        <w:color w:val="auto"/>
        <w:sz w:val="24"/>
      </w:rPr>
    </w:lvl>
    <w:lvl w:ilvl="2">
      <w:start w:val="6"/>
      <w:numFmt w:val="decimal"/>
      <w:lvlText w:val="%1.%2.%3."/>
      <w:lvlJc w:val="left"/>
      <w:pPr>
        <w:ind w:left="900" w:hanging="900"/>
      </w:pPr>
      <w:rPr>
        <w:rFonts w:ascii="Times New Roman" w:hAnsi="Times New Roman" w:cs="Times New Roman" w:hint="default"/>
        <w:color w:val="auto"/>
        <w:sz w:val="24"/>
      </w:rPr>
    </w:lvl>
    <w:lvl w:ilvl="3">
      <w:start w:val="1"/>
      <w:numFmt w:val="decimal"/>
      <w:lvlText w:val="%1.%2.%3.%4."/>
      <w:lvlJc w:val="left"/>
      <w:pPr>
        <w:ind w:left="1080" w:hanging="1080"/>
      </w:pPr>
      <w:rPr>
        <w:rFonts w:ascii="Times New Roman" w:hAnsi="Times New Roman" w:cs="Times New Roman" w:hint="default"/>
        <w:color w:val="auto"/>
        <w:sz w:val="24"/>
      </w:rPr>
    </w:lvl>
    <w:lvl w:ilvl="4">
      <w:start w:val="3"/>
      <w:numFmt w:val="decimal"/>
      <w:lvlText w:val="%1.%2.%3.%4.%5."/>
      <w:lvlJc w:val="left"/>
      <w:pPr>
        <w:ind w:left="1080" w:hanging="1080"/>
      </w:pPr>
      <w:rPr>
        <w:rFonts w:ascii="Times New Roman" w:hAnsi="Times New Roman" w:cs="Times New Roman" w:hint="default"/>
        <w:color w:val="auto"/>
        <w:sz w:val="24"/>
      </w:rPr>
    </w:lvl>
    <w:lvl w:ilvl="5">
      <w:start w:val="1"/>
      <w:numFmt w:val="decimal"/>
      <w:lvlText w:val="%1.%2.%3.%4.%5.%6."/>
      <w:lvlJc w:val="left"/>
      <w:pPr>
        <w:ind w:left="1440" w:hanging="1440"/>
      </w:pPr>
      <w:rPr>
        <w:rFonts w:ascii="Times New Roman" w:hAnsi="Times New Roman" w:cs="Times New Roman" w:hint="default"/>
        <w:color w:val="auto"/>
        <w:sz w:val="24"/>
      </w:rPr>
    </w:lvl>
    <w:lvl w:ilvl="6">
      <w:start w:val="1"/>
      <w:numFmt w:val="decimal"/>
      <w:lvlText w:val="%1.%2.%3.%4.%5.%6.%7."/>
      <w:lvlJc w:val="left"/>
      <w:pPr>
        <w:ind w:left="1800" w:hanging="1800"/>
      </w:pPr>
      <w:rPr>
        <w:rFonts w:ascii="Times New Roman" w:hAnsi="Times New Roman" w:cs="Times New Roman" w:hint="default"/>
        <w:color w:val="auto"/>
        <w:sz w:val="24"/>
      </w:rPr>
    </w:lvl>
    <w:lvl w:ilvl="7">
      <w:start w:val="1"/>
      <w:numFmt w:val="decimal"/>
      <w:lvlText w:val="%1.%2.%3.%4.%5.%6.%7.%8."/>
      <w:lvlJc w:val="left"/>
      <w:pPr>
        <w:ind w:left="1800" w:hanging="1800"/>
      </w:pPr>
      <w:rPr>
        <w:rFonts w:ascii="Times New Roman" w:hAnsi="Times New Roman" w:cs="Times New Roman" w:hint="default"/>
        <w:color w:val="auto"/>
        <w:sz w:val="24"/>
      </w:rPr>
    </w:lvl>
    <w:lvl w:ilvl="8">
      <w:start w:val="1"/>
      <w:numFmt w:val="decimal"/>
      <w:lvlText w:val="%1.%2.%3.%4.%5.%6.%7.%8.%9."/>
      <w:lvlJc w:val="left"/>
      <w:pPr>
        <w:ind w:left="2160" w:hanging="2160"/>
      </w:pPr>
      <w:rPr>
        <w:rFonts w:ascii="Times New Roman" w:hAnsi="Times New Roman" w:cs="Times New Roman" w:hint="default"/>
        <w:color w:val="auto"/>
        <w:sz w:val="24"/>
      </w:rPr>
    </w:lvl>
  </w:abstractNum>
  <w:abstractNum w:abstractNumId="45" w15:restartNumberingAfterBreak="0">
    <w:nsid w:val="225134D7"/>
    <w:multiLevelType w:val="hybridMultilevel"/>
    <w:tmpl w:val="BAE46AD8"/>
    <w:lvl w:ilvl="0" w:tplc="60283D52">
      <w:numFmt w:val="bullet"/>
      <w:lvlText w:val="-"/>
      <w:lvlJc w:val="left"/>
      <w:pPr>
        <w:ind w:left="1072" w:hanging="360"/>
      </w:pPr>
      <w:rPr>
        <w:rFonts w:ascii="Calibri" w:eastAsia="Calibri" w:hAnsi="Calibri" w:cs="Calibri" w:hint="default"/>
        <w:spacing w:val="0"/>
        <w:w w:val="100"/>
        <w:lang w:val="en-US" w:eastAsia="en-US" w:bidi="ar-SA"/>
      </w:rPr>
    </w:lvl>
    <w:lvl w:ilvl="1" w:tplc="D2E65C18">
      <w:numFmt w:val="bullet"/>
      <w:lvlText w:val="•"/>
      <w:lvlJc w:val="left"/>
      <w:pPr>
        <w:ind w:left="1946" w:hanging="360"/>
      </w:pPr>
      <w:rPr>
        <w:rFonts w:hint="default"/>
        <w:lang w:val="en-US" w:eastAsia="en-US" w:bidi="ar-SA"/>
      </w:rPr>
    </w:lvl>
    <w:lvl w:ilvl="2" w:tplc="5B8C819C">
      <w:numFmt w:val="bullet"/>
      <w:lvlText w:val="•"/>
      <w:lvlJc w:val="left"/>
      <w:pPr>
        <w:ind w:left="2813" w:hanging="360"/>
      </w:pPr>
      <w:rPr>
        <w:rFonts w:hint="default"/>
        <w:lang w:val="en-US" w:eastAsia="en-US" w:bidi="ar-SA"/>
      </w:rPr>
    </w:lvl>
    <w:lvl w:ilvl="3" w:tplc="E25C9CD0">
      <w:numFmt w:val="bullet"/>
      <w:lvlText w:val="•"/>
      <w:lvlJc w:val="left"/>
      <w:pPr>
        <w:ind w:left="3680" w:hanging="360"/>
      </w:pPr>
      <w:rPr>
        <w:rFonts w:hint="default"/>
        <w:lang w:val="en-US" w:eastAsia="en-US" w:bidi="ar-SA"/>
      </w:rPr>
    </w:lvl>
    <w:lvl w:ilvl="4" w:tplc="7C92545C">
      <w:numFmt w:val="bullet"/>
      <w:lvlText w:val="•"/>
      <w:lvlJc w:val="left"/>
      <w:pPr>
        <w:ind w:left="4547" w:hanging="360"/>
      </w:pPr>
      <w:rPr>
        <w:rFonts w:hint="default"/>
        <w:lang w:val="en-US" w:eastAsia="en-US" w:bidi="ar-SA"/>
      </w:rPr>
    </w:lvl>
    <w:lvl w:ilvl="5" w:tplc="E56AAAAA">
      <w:numFmt w:val="bullet"/>
      <w:lvlText w:val="•"/>
      <w:lvlJc w:val="left"/>
      <w:pPr>
        <w:ind w:left="5414" w:hanging="360"/>
      </w:pPr>
      <w:rPr>
        <w:rFonts w:hint="default"/>
        <w:lang w:val="en-US" w:eastAsia="en-US" w:bidi="ar-SA"/>
      </w:rPr>
    </w:lvl>
    <w:lvl w:ilvl="6" w:tplc="E1B8F3C4">
      <w:numFmt w:val="bullet"/>
      <w:lvlText w:val="•"/>
      <w:lvlJc w:val="left"/>
      <w:pPr>
        <w:ind w:left="6280" w:hanging="360"/>
      </w:pPr>
      <w:rPr>
        <w:rFonts w:hint="default"/>
        <w:lang w:val="en-US" w:eastAsia="en-US" w:bidi="ar-SA"/>
      </w:rPr>
    </w:lvl>
    <w:lvl w:ilvl="7" w:tplc="69904EE4">
      <w:numFmt w:val="bullet"/>
      <w:lvlText w:val="•"/>
      <w:lvlJc w:val="left"/>
      <w:pPr>
        <w:ind w:left="7147" w:hanging="360"/>
      </w:pPr>
      <w:rPr>
        <w:rFonts w:hint="default"/>
        <w:lang w:val="en-US" w:eastAsia="en-US" w:bidi="ar-SA"/>
      </w:rPr>
    </w:lvl>
    <w:lvl w:ilvl="8" w:tplc="F000D496">
      <w:numFmt w:val="bullet"/>
      <w:lvlText w:val="•"/>
      <w:lvlJc w:val="left"/>
      <w:pPr>
        <w:ind w:left="8014" w:hanging="360"/>
      </w:pPr>
      <w:rPr>
        <w:rFonts w:hint="default"/>
        <w:lang w:val="en-US" w:eastAsia="en-US" w:bidi="ar-SA"/>
      </w:rPr>
    </w:lvl>
  </w:abstractNum>
  <w:abstractNum w:abstractNumId="46" w15:restartNumberingAfterBreak="0">
    <w:nsid w:val="228C0869"/>
    <w:multiLevelType w:val="hybridMultilevel"/>
    <w:tmpl w:val="AC28FE8A"/>
    <w:lvl w:ilvl="0" w:tplc="C21AF14E">
      <w:numFmt w:val="bullet"/>
      <w:lvlText w:val="-"/>
      <w:lvlJc w:val="left"/>
      <w:pPr>
        <w:ind w:left="1080" w:hanging="360"/>
      </w:pPr>
      <w:rPr>
        <w:rFonts w:ascii="Arial MT" w:eastAsia="Arial MT" w:hAnsi="Arial MT" w:cs="Arial MT" w:hint="default"/>
        <w:b w:val="0"/>
        <w:bCs w:val="0"/>
        <w:i w:val="0"/>
        <w:iCs w:val="0"/>
        <w:spacing w:val="0"/>
        <w:w w:val="100"/>
        <w:sz w:val="24"/>
        <w:szCs w:val="24"/>
        <w:lang w:val="en-US" w:eastAsia="en-US" w:bidi="ar-SA"/>
      </w:rPr>
    </w:lvl>
    <w:lvl w:ilvl="1" w:tplc="F4027F7A">
      <w:numFmt w:val="bullet"/>
      <w:lvlText w:val="•"/>
      <w:lvlJc w:val="left"/>
      <w:pPr>
        <w:ind w:left="1980" w:hanging="360"/>
      </w:pPr>
      <w:rPr>
        <w:rFonts w:hint="default"/>
        <w:lang w:val="en-US" w:eastAsia="en-US" w:bidi="ar-SA"/>
      </w:rPr>
    </w:lvl>
    <w:lvl w:ilvl="2" w:tplc="DDEC46F4">
      <w:numFmt w:val="bullet"/>
      <w:lvlText w:val="•"/>
      <w:lvlJc w:val="left"/>
      <w:pPr>
        <w:ind w:left="2880" w:hanging="360"/>
      </w:pPr>
      <w:rPr>
        <w:rFonts w:hint="default"/>
        <w:lang w:val="en-US" w:eastAsia="en-US" w:bidi="ar-SA"/>
      </w:rPr>
    </w:lvl>
    <w:lvl w:ilvl="3" w:tplc="6426608C">
      <w:numFmt w:val="bullet"/>
      <w:lvlText w:val="•"/>
      <w:lvlJc w:val="left"/>
      <w:pPr>
        <w:ind w:left="3780" w:hanging="360"/>
      </w:pPr>
      <w:rPr>
        <w:rFonts w:hint="default"/>
        <w:lang w:val="en-US" w:eastAsia="en-US" w:bidi="ar-SA"/>
      </w:rPr>
    </w:lvl>
    <w:lvl w:ilvl="4" w:tplc="33687CB0">
      <w:numFmt w:val="bullet"/>
      <w:lvlText w:val="•"/>
      <w:lvlJc w:val="left"/>
      <w:pPr>
        <w:ind w:left="4680" w:hanging="360"/>
      </w:pPr>
      <w:rPr>
        <w:rFonts w:hint="default"/>
        <w:lang w:val="en-US" w:eastAsia="en-US" w:bidi="ar-SA"/>
      </w:rPr>
    </w:lvl>
    <w:lvl w:ilvl="5" w:tplc="C916EB78">
      <w:numFmt w:val="bullet"/>
      <w:lvlText w:val="•"/>
      <w:lvlJc w:val="left"/>
      <w:pPr>
        <w:ind w:left="5580" w:hanging="360"/>
      </w:pPr>
      <w:rPr>
        <w:rFonts w:hint="default"/>
        <w:lang w:val="en-US" w:eastAsia="en-US" w:bidi="ar-SA"/>
      </w:rPr>
    </w:lvl>
    <w:lvl w:ilvl="6" w:tplc="F6BC4EAC">
      <w:numFmt w:val="bullet"/>
      <w:lvlText w:val="•"/>
      <w:lvlJc w:val="left"/>
      <w:pPr>
        <w:ind w:left="6480" w:hanging="360"/>
      </w:pPr>
      <w:rPr>
        <w:rFonts w:hint="default"/>
        <w:lang w:val="en-US" w:eastAsia="en-US" w:bidi="ar-SA"/>
      </w:rPr>
    </w:lvl>
    <w:lvl w:ilvl="7" w:tplc="742C18F8">
      <w:numFmt w:val="bullet"/>
      <w:lvlText w:val="•"/>
      <w:lvlJc w:val="left"/>
      <w:pPr>
        <w:ind w:left="7380" w:hanging="360"/>
      </w:pPr>
      <w:rPr>
        <w:rFonts w:hint="default"/>
        <w:lang w:val="en-US" w:eastAsia="en-US" w:bidi="ar-SA"/>
      </w:rPr>
    </w:lvl>
    <w:lvl w:ilvl="8" w:tplc="5FDE2B8A">
      <w:numFmt w:val="bullet"/>
      <w:lvlText w:val="•"/>
      <w:lvlJc w:val="left"/>
      <w:pPr>
        <w:ind w:left="8280" w:hanging="360"/>
      </w:pPr>
      <w:rPr>
        <w:rFonts w:hint="default"/>
        <w:lang w:val="en-US" w:eastAsia="en-US" w:bidi="ar-SA"/>
      </w:rPr>
    </w:lvl>
  </w:abstractNum>
  <w:abstractNum w:abstractNumId="47" w15:restartNumberingAfterBreak="0">
    <w:nsid w:val="229F77EC"/>
    <w:multiLevelType w:val="hybridMultilevel"/>
    <w:tmpl w:val="A9C0D93A"/>
    <w:lvl w:ilvl="0" w:tplc="81AAC5F4">
      <w:start w:val="7"/>
      <w:numFmt w:val="decimal"/>
      <w:lvlText w:val="%1."/>
      <w:lvlJc w:val="left"/>
      <w:pPr>
        <w:ind w:left="388" w:hanging="360"/>
      </w:pPr>
      <w:rPr>
        <w:rFonts w:hint="default"/>
        <w:color w:val="0000FF"/>
      </w:rPr>
    </w:lvl>
    <w:lvl w:ilvl="1" w:tplc="38090019" w:tentative="1">
      <w:start w:val="1"/>
      <w:numFmt w:val="lowerLetter"/>
      <w:lvlText w:val="%2."/>
      <w:lvlJc w:val="left"/>
      <w:pPr>
        <w:ind w:left="1108" w:hanging="360"/>
      </w:pPr>
    </w:lvl>
    <w:lvl w:ilvl="2" w:tplc="3809001B" w:tentative="1">
      <w:start w:val="1"/>
      <w:numFmt w:val="lowerRoman"/>
      <w:lvlText w:val="%3."/>
      <w:lvlJc w:val="right"/>
      <w:pPr>
        <w:ind w:left="1828" w:hanging="180"/>
      </w:pPr>
    </w:lvl>
    <w:lvl w:ilvl="3" w:tplc="3809000F" w:tentative="1">
      <w:start w:val="1"/>
      <w:numFmt w:val="decimal"/>
      <w:lvlText w:val="%4."/>
      <w:lvlJc w:val="left"/>
      <w:pPr>
        <w:ind w:left="2548" w:hanging="360"/>
      </w:pPr>
    </w:lvl>
    <w:lvl w:ilvl="4" w:tplc="38090019" w:tentative="1">
      <w:start w:val="1"/>
      <w:numFmt w:val="lowerLetter"/>
      <w:lvlText w:val="%5."/>
      <w:lvlJc w:val="left"/>
      <w:pPr>
        <w:ind w:left="3268" w:hanging="360"/>
      </w:pPr>
    </w:lvl>
    <w:lvl w:ilvl="5" w:tplc="3809001B" w:tentative="1">
      <w:start w:val="1"/>
      <w:numFmt w:val="lowerRoman"/>
      <w:lvlText w:val="%6."/>
      <w:lvlJc w:val="right"/>
      <w:pPr>
        <w:ind w:left="3988" w:hanging="180"/>
      </w:pPr>
    </w:lvl>
    <w:lvl w:ilvl="6" w:tplc="3809000F" w:tentative="1">
      <w:start w:val="1"/>
      <w:numFmt w:val="decimal"/>
      <w:lvlText w:val="%7."/>
      <w:lvlJc w:val="left"/>
      <w:pPr>
        <w:ind w:left="4708" w:hanging="360"/>
      </w:pPr>
    </w:lvl>
    <w:lvl w:ilvl="7" w:tplc="38090019" w:tentative="1">
      <w:start w:val="1"/>
      <w:numFmt w:val="lowerLetter"/>
      <w:lvlText w:val="%8."/>
      <w:lvlJc w:val="left"/>
      <w:pPr>
        <w:ind w:left="5428" w:hanging="360"/>
      </w:pPr>
    </w:lvl>
    <w:lvl w:ilvl="8" w:tplc="3809001B" w:tentative="1">
      <w:start w:val="1"/>
      <w:numFmt w:val="lowerRoman"/>
      <w:lvlText w:val="%9."/>
      <w:lvlJc w:val="right"/>
      <w:pPr>
        <w:ind w:left="6148" w:hanging="180"/>
      </w:pPr>
    </w:lvl>
  </w:abstractNum>
  <w:abstractNum w:abstractNumId="48" w15:restartNumberingAfterBreak="0">
    <w:nsid w:val="24157FE1"/>
    <w:multiLevelType w:val="hybridMultilevel"/>
    <w:tmpl w:val="4712F87C"/>
    <w:lvl w:ilvl="0" w:tplc="3DECFE0C">
      <w:numFmt w:val="bullet"/>
      <w:lvlText w:val=""/>
      <w:lvlJc w:val="left"/>
      <w:pPr>
        <w:ind w:left="1080" w:hanging="360"/>
      </w:pPr>
      <w:rPr>
        <w:rFonts w:ascii="Symbol" w:eastAsia="Symbol" w:hAnsi="Symbol" w:cs="Symbol" w:hint="default"/>
        <w:spacing w:val="0"/>
        <w:w w:val="100"/>
        <w:lang w:val="en-US" w:eastAsia="en-US" w:bidi="ar-SA"/>
      </w:rPr>
    </w:lvl>
    <w:lvl w:ilvl="1" w:tplc="A314C7C4">
      <w:numFmt w:val="bullet"/>
      <w:lvlText w:val="•"/>
      <w:lvlJc w:val="left"/>
      <w:pPr>
        <w:ind w:left="1946" w:hanging="360"/>
      </w:pPr>
      <w:rPr>
        <w:rFonts w:hint="default"/>
        <w:lang w:val="en-US" w:eastAsia="en-US" w:bidi="ar-SA"/>
      </w:rPr>
    </w:lvl>
    <w:lvl w:ilvl="2" w:tplc="227C5B38">
      <w:numFmt w:val="bullet"/>
      <w:lvlText w:val="•"/>
      <w:lvlJc w:val="left"/>
      <w:pPr>
        <w:ind w:left="2813" w:hanging="360"/>
      </w:pPr>
      <w:rPr>
        <w:rFonts w:hint="default"/>
        <w:lang w:val="en-US" w:eastAsia="en-US" w:bidi="ar-SA"/>
      </w:rPr>
    </w:lvl>
    <w:lvl w:ilvl="3" w:tplc="FEFCCBA6">
      <w:numFmt w:val="bullet"/>
      <w:lvlText w:val="•"/>
      <w:lvlJc w:val="left"/>
      <w:pPr>
        <w:ind w:left="3680" w:hanging="360"/>
      </w:pPr>
      <w:rPr>
        <w:rFonts w:hint="default"/>
        <w:lang w:val="en-US" w:eastAsia="en-US" w:bidi="ar-SA"/>
      </w:rPr>
    </w:lvl>
    <w:lvl w:ilvl="4" w:tplc="1BA86794">
      <w:numFmt w:val="bullet"/>
      <w:lvlText w:val="•"/>
      <w:lvlJc w:val="left"/>
      <w:pPr>
        <w:ind w:left="4547" w:hanging="360"/>
      </w:pPr>
      <w:rPr>
        <w:rFonts w:hint="default"/>
        <w:lang w:val="en-US" w:eastAsia="en-US" w:bidi="ar-SA"/>
      </w:rPr>
    </w:lvl>
    <w:lvl w:ilvl="5" w:tplc="2F949F64">
      <w:numFmt w:val="bullet"/>
      <w:lvlText w:val="•"/>
      <w:lvlJc w:val="left"/>
      <w:pPr>
        <w:ind w:left="5414" w:hanging="360"/>
      </w:pPr>
      <w:rPr>
        <w:rFonts w:hint="default"/>
        <w:lang w:val="en-US" w:eastAsia="en-US" w:bidi="ar-SA"/>
      </w:rPr>
    </w:lvl>
    <w:lvl w:ilvl="6" w:tplc="5D64415A">
      <w:numFmt w:val="bullet"/>
      <w:lvlText w:val="•"/>
      <w:lvlJc w:val="left"/>
      <w:pPr>
        <w:ind w:left="6280" w:hanging="360"/>
      </w:pPr>
      <w:rPr>
        <w:rFonts w:hint="default"/>
        <w:lang w:val="en-US" w:eastAsia="en-US" w:bidi="ar-SA"/>
      </w:rPr>
    </w:lvl>
    <w:lvl w:ilvl="7" w:tplc="870C4DA8">
      <w:numFmt w:val="bullet"/>
      <w:lvlText w:val="•"/>
      <w:lvlJc w:val="left"/>
      <w:pPr>
        <w:ind w:left="7147" w:hanging="360"/>
      </w:pPr>
      <w:rPr>
        <w:rFonts w:hint="default"/>
        <w:lang w:val="en-US" w:eastAsia="en-US" w:bidi="ar-SA"/>
      </w:rPr>
    </w:lvl>
    <w:lvl w:ilvl="8" w:tplc="B6A4306E">
      <w:numFmt w:val="bullet"/>
      <w:lvlText w:val="•"/>
      <w:lvlJc w:val="left"/>
      <w:pPr>
        <w:ind w:left="8014" w:hanging="360"/>
      </w:pPr>
      <w:rPr>
        <w:rFonts w:hint="default"/>
        <w:lang w:val="en-US" w:eastAsia="en-US" w:bidi="ar-SA"/>
      </w:rPr>
    </w:lvl>
  </w:abstractNum>
  <w:abstractNum w:abstractNumId="49" w15:restartNumberingAfterBreak="0">
    <w:nsid w:val="253E6AE3"/>
    <w:multiLevelType w:val="hybridMultilevel"/>
    <w:tmpl w:val="A368477A"/>
    <w:lvl w:ilvl="0" w:tplc="91ACF630">
      <w:numFmt w:val="bullet"/>
      <w:lvlText w:val="-"/>
      <w:lvlJc w:val="left"/>
      <w:pPr>
        <w:ind w:left="1080" w:hanging="360"/>
      </w:pPr>
      <w:rPr>
        <w:rFonts w:ascii="Calibri" w:eastAsia="Calibri" w:hAnsi="Calibri" w:cs="Calibri" w:hint="default"/>
        <w:b w:val="0"/>
        <w:bCs w:val="0"/>
        <w:i w:val="0"/>
        <w:iCs w:val="0"/>
        <w:spacing w:val="0"/>
        <w:w w:val="100"/>
        <w:sz w:val="24"/>
        <w:szCs w:val="24"/>
        <w:lang w:val="en-US" w:eastAsia="en-US" w:bidi="ar-SA"/>
      </w:rPr>
    </w:lvl>
    <w:lvl w:ilvl="1" w:tplc="4C8C2862">
      <w:numFmt w:val="bullet"/>
      <w:lvlText w:val="•"/>
      <w:lvlJc w:val="left"/>
      <w:pPr>
        <w:ind w:left="1946" w:hanging="360"/>
      </w:pPr>
      <w:rPr>
        <w:rFonts w:hint="default"/>
        <w:lang w:val="en-US" w:eastAsia="en-US" w:bidi="ar-SA"/>
      </w:rPr>
    </w:lvl>
    <w:lvl w:ilvl="2" w:tplc="8166AE6E">
      <w:numFmt w:val="bullet"/>
      <w:lvlText w:val="•"/>
      <w:lvlJc w:val="left"/>
      <w:pPr>
        <w:ind w:left="2813" w:hanging="360"/>
      </w:pPr>
      <w:rPr>
        <w:rFonts w:hint="default"/>
        <w:lang w:val="en-US" w:eastAsia="en-US" w:bidi="ar-SA"/>
      </w:rPr>
    </w:lvl>
    <w:lvl w:ilvl="3" w:tplc="66DC6682">
      <w:numFmt w:val="bullet"/>
      <w:lvlText w:val="•"/>
      <w:lvlJc w:val="left"/>
      <w:pPr>
        <w:ind w:left="3680" w:hanging="360"/>
      </w:pPr>
      <w:rPr>
        <w:rFonts w:hint="default"/>
        <w:lang w:val="en-US" w:eastAsia="en-US" w:bidi="ar-SA"/>
      </w:rPr>
    </w:lvl>
    <w:lvl w:ilvl="4" w:tplc="EF82FC7E">
      <w:numFmt w:val="bullet"/>
      <w:lvlText w:val="•"/>
      <w:lvlJc w:val="left"/>
      <w:pPr>
        <w:ind w:left="4547" w:hanging="360"/>
      </w:pPr>
      <w:rPr>
        <w:rFonts w:hint="default"/>
        <w:lang w:val="en-US" w:eastAsia="en-US" w:bidi="ar-SA"/>
      </w:rPr>
    </w:lvl>
    <w:lvl w:ilvl="5" w:tplc="09428928">
      <w:numFmt w:val="bullet"/>
      <w:lvlText w:val="•"/>
      <w:lvlJc w:val="left"/>
      <w:pPr>
        <w:ind w:left="5414" w:hanging="360"/>
      </w:pPr>
      <w:rPr>
        <w:rFonts w:hint="default"/>
        <w:lang w:val="en-US" w:eastAsia="en-US" w:bidi="ar-SA"/>
      </w:rPr>
    </w:lvl>
    <w:lvl w:ilvl="6" w:tplc="2D70A37A">
      <w:numFmt w:val="bullet"/>
      <w:lvlText w:val="•"/>
      <w:lvlJc w:val="left"/>
      <w:pPr>
        <w:ind w:left="6280" w:hanging="360"/>
      </w:pPr>
      <w:rPr>
        <w:rFonts w:hint="default"/>
        <w:lang w:val="en-US" w:eastAsia="en-US" w:bidi="ar-SA"/>
      </w:rPr>
    </w:lvl>
    <w:lvl w:ilvl="7" w:tplc="12441D6C">
      <w:numFmt w:val="bullet"/>
      <w:lvlText w:val="•"/>
      <w:lvlJc w:val="left"/>
      <w:pPr>
        <w:ind w:left="7147" w:hanging="360"/>
      </w:pPr>
      <w:rPr>
        <w:rFonts w:hint="default"/>
        <w:lang w:val="en-US" w:eastAsia="en-US" w:bidi="ar-SA"/>
      </w:rPr>
    </w:lvl>
    <w:lvl w:ilvl="8" w:tplc="3B7ED120">
      <w:numFmt w:val="bullet"/>
      <w:lvlText w:val="•"/>
      <w:lvlJc w:val="left"/>
      <w:pPr>
        <w:ind w:left="8014" w:hanging="360"/>
      </w:pPr>
      <w:rPr>
        <w:rFonts w:hint="default"/>
        <w:lang w:val="en-US" w:eastAsia="en-US" w:bidi="ar-SA"/>
      </w:rPr>
    </w:lvl>
  </w:abstractNum>
  <w:abstractNum w:abstractNumId="50" w15:restartNumberingAfterBreak="0">
    <w:nsid w:val="25A0126C"/>
    <w:multiLevelType w:val="hybridMultilevel"/>
    <w:tmpl w:val="F6FE0C32"/>
    <w:lvl w:ilvl="0" w:tplc="52586002">
      <w:numFmt w:val="bullet"/>
      <w:lvlText w:val="-"/>
      <w:lvlJc w:val="left"/>
      <w:pPr>
        <w:ind w:left="1080" w:hanging="360"/>
      </w:pPr>
      <w:rPr>
        <w:rFonts w:ascii="Arial MT" w:eastAsia="Arial MT" w:hAnsi="Arial MT" w:cs="Arial MT" w:hint="default"/>
        <w:b w:val="0"/>
        <w:bCs w:val="0"/>
        <w:i w:val="0"/>
        <w:iCs w:val="0"/>
        <w:spacing w:val="0"/>
        <w:w w:val="100"/>
        <w:sz w:val="24"/>
        <w:szCs w:val="24"/>
        <w:lang w:val="en-US" w:eastAsia="en-US" w:bidi="ar-SA"/>
      </w:rPr>
    </w:lvl>
    <w:lvl w:ilvl="1" w:tplc="A16E71FA">
      <w:numFmt w:val="bullet"/>
      <w:lvlText w:val="•"/>
      <w:lvlJc w:val="left"/>
      <w:pPr>
        <w:ind w:left="1980" w:hanging="360"/>
      </w:pPr>
      <w:rPr>
        <w:rFonts w:hint="default"/>
        <w:lang w:val="en-US" w:eastAsia="en-US" w:bidi="ar-SA"/>
      </w:rPr>
    </w:lvl>
    <w:lvl w:ilvl="2" w:tplc="16866F82">
      <w:numFmt w:val="bullet"/>
      <w:lvlText w:val="•"/>
      <w:lvlJc w:val="left"/>
      <w:pPr>
        <w:ind w:left="2880" w:hanging="360"/>
      </w:pPr>
      <w:rPr>
        <w:rFonts w:hint="default"/>
        <w:lang w:val="en-US" w:eastAsia="en-US" w:bidi="ar-SA"/>
      </w:rPr>
    </w:lvl>
    <w:lvl w:ilvl="3" w:tplc="3F561B28">
      <w:numFmt w:val="bullet"/>
      <w:lvlText w:val="•"/>
      <w:lvlJc w:val="left"/>
      <w:pPr>
        <w:ind w:left="3780" w:hanging="360"/>
      </w:pPr>
      <w:rPr>
        <w:rFonts w:hint="default"/>
        <w:lang w:val="en-US" w:eastAsia="en-US" w:bidi="ar-SA"/>
      </w:rPr>
    </w:lvl>
    <w:lvl w:ilvl="4" w:tplc="283AC2B8">
      <w:numFmt w:val="bullet"/>
      <w:lvlText w:val="•"/>
      <w:lvlJc w:val="left"/>
      <w:pPr>
        <w:ind w:left="4680" w:hanging="360"/>
      </w:pPr>
      <w:rPr>
        <w:rFonts w:hint="default"/>
        <w:lang w:val="en-US" w:eastAsia="en-US" w:bidi="ar-SA"/>
      </w:rPr>
    </w:lvl>
    <w:lvl w:ilvl="5" w:tplc="89A0238E">
      <w:numFmt w:val="bullet"/>
      <w:lvlText w:val="•"/>
      <w:lvlJc w:val="left"/>
      <w:pPr>
        <w:ind w:left="5580" w:hanging="360"/>
      </w:pPr>
      <w:rPr>
        <w:rFonts w:hint="default"/>
        <w:lang w:val="en-US" w:eastAsia="en-US" w:bidi="ar-SA"/>
      </w:rPr>
    </w:lvl>
    <w:lvl w:ilvl="6" w:tplc="80B63F60">
      <w:numFmt w:val="bullet"/>
      <w:lvlText w:val="•"/>
      <w:lvlJc w:val="left"/>
      <w:pPr>
        <w:ind w:left="6480" w:hanging="360"/>
      </w:pPr>
      <w:rPr>
        <w:rFonts w:hint="default"/>
        <w:lang w:val="en-US" w:eastAsia="en-US" w:bidi="ar-SA"/>
      </w:rPr>
    </w:lvl>
    <w:lvl w:ilvl="7" w:tplc="B10833B6">
      <w:numFmt w:val="bullet"/>
      <w:lvlText w:val="•"/>
      <w:lvlJc w:val="left"/>
      <w:pPr>
        <w:ind w:left="7380" w:hanging="360"/>
      </w:pPr>
      <w:rPr>
        <w:rFonts w:hint="default"/>
        <w:lang w:val="en-US" w:eastAsia="en-US" w:bidi="ar-SA"/>
      </w:rPr>
    </w:lvl>
    <w:lvl w:ilvl="8" w:tplc="2D7A25DE">
      <w:numFmt w:val="bullet"/>
      <w:lvlText w:val="•"/>
      <w:lvlJc w:val="left"/>
      <w:pPr>
        <w:ind w:left="8280" w:hanging="360"/>
      </w:pPr>
      <w:rPr>
        <w:rFonts w:hint="default"/>
        <w:lang w:val="en-US" w:eastAsia="en-US" w:bidi="ar-SA"/>
      </w:rPr>
    </w:lvl>
  </w:abstractNum>
  <w:abstractNum w:abstractNumId="51" w15:restartNumberingAfterBreak="0">
    <w:nsid w:val="25B41C36"/>
    <w:multiLevelType w:val="hybridMultilevel"/>
    <w:tmpl w:val="D2F0BE42"/>
    <w:lvl w:ilvl="0" w:tplc="8AA8B6E8">
      <w:numFmt w:val="bullet"/>
      <w:lvlText w:val="-"/>
      <w:lvlJc w:val="left"/>
      <w:pPr>
        <w:ind w:left="1080" w:hanging="360"/>
      </w:pPr>
      <w:rPr>
        <w:rFonts w:ascii="Calibri" w:eastAsia="Calibri" w:hAnsi="Calibri" w:cs="Calibri" w:hint="default"/>
        <w:b w:val="0"/>
        <w:bCs w:val="0"/>
        <w:i w:val="0"/>
        <w:iCs w:val="0"/>
        <w:spacing w:val="0"/>
        <w:w w:val="100"/>
        <w:sz w:val="24"/>
        <w:szCs w:val="24"/>
        <w:lang w:val="en-US" w:eastAsia="en-US" w:bidi="ar-SA"/>
      </w:rPr>
    </w:lvl>
    <w:lvl w:ilvl="1" w:tplc="626AECA0">
      <w:numFmt w:val="bullet"/>
      <w:lvlText w:val="•"/>
      <w:lvlJc w:val="left"/>
      <w:pPr>
        <w:ind w:left="1982" w:hanging="360"/>
      </w:pPr>
      <w:rPr>
        <w:rFonts w:hint="default"/>
        <w:lang w:val="en-US" w:eastAsia="en-US" w:bidi="ar-SA"/>
      </w:rPr>
    </w:lvl>
    <w:lvl w:ilvl="2" w:tplc="3AF2B082">
      <w:numFmt w:val="bullet"/>
      <w:lvlText w:val="•"/>
      <w:lvlJc w:val="left"/>
      <w:pPr>
        <w:ind w:left="2885" w:hanging="360"/>
      </w:pPr>
      <w:rPr>
        <w:rFonts w:hint="default"/>
        <w:lang w:val="en-US" w:eastAsia="en-US" w:bidi="ar-SA"/>
      </w:rPr>
    </w:lvl>
    <w:lvl w:ilvl="3" w:tplc="20EED658">
      <w:numFmt w:val="bullet"/>
      <w:lvlText w:val="•"/>
      <w:lvlJc w:val="left"/>
      <w:pPr>
        <w:ind w:left="3788" w:hanging="360"/>
      </w:pPr>
      <w:rPr>
        <w:rFonts w:hint="default"/>
        <w:lang w:val="en-US" w:eastAsia="en-US" w:bidi="ar-SA"/>
      </w:rPr>
    </w:lvl>
    <w:lvl w:ilvl="4" w:tplc="7A80DC30">
      <w:numFmt w:val="bullet"/>
      <w:lvlText w:val="•"/>
      <w:lvlJc w:val="left"/>
      <w:pPr>
        <w:ind w:left="4691" w:hanging="360"/>
      </w:pPr>
      <w:rPr>
        <w:rFonts w:hint="default"/>
        <w:lang w:val="en-US" w:eastAsia="en-US" w:bidi="ar-SA"/>
      </w:rPr>
    </w:lvl>
    <w:lvl w:ilvl="5" w:tplc="9CE21C38">
      <w:numFmt w:val="bullet"/>
      <w:lvlText w:val="•"/>
      <w:lvlJc w:val="left"/>
      <w:pPr>
        <w:ind w:left="5594" w:hanging="360"/>
      </w:pPr>
      <w:rPr>
        <w:rFonts w:hint="default"/>
        <w:lang w:val="en-US" w:eastAsia="en-US" w:bidi="ar-SA"/>
      </w:rPr>
    </w:lvl>
    <w:lvl w:ilvl="6" w:tplc="EEACE0AC">
      <w:numFmt w:val="bullet"/>
      <w:lvlText w:val="•"/>
      <w:lvlJc w:val="left"/>
      <w:pPr>
        <w:ind w:left="6496" w:hanging="360"/>
      </w:pPr>
      <w:rPr>
        <w:rFonts w:hint="default"/>
        <w:lang w:val="en-US" w:eastAsia="en-US" w:bidi="ar-SA"/>
      </w:rPr>
    </w:lvl>
    <w:lvl w:ilvl="7" w:tplc="B1DA76CA">
      <w:numFmt w:val="bullet"/>
      <w:lvlText w:val="•"/>
      <w:lvlJc w:val="left"/>
      <w:pPr>
        <w:ind w:left="7399" w:hanging="360"/>
      </w:pPr>
      <w:rPr>
        <w:rFonts w:hint="default"/>
        <w:lang w:val="en-US" w:eastAsia="en-US" w:bidi="ar-SA"/>
      </w:rPr>
    </w:lvl>
    <w:lvl w:ilvl="8" w:tplc="B70843BE">
      <w:numFmt w:val="bullet"/>
      <w:lvlText w:val="•"/>
      <w:lvlJc w:val="left"/>
      <w:pPr>
        <w:ind w:left="8302" w:hanging="360"/>
      </w:pPr>
      <w:rPr>
        <w:rFonts w:hint="default"/>
        <w:lang w:val="en-US" w:eastAsia="en-US" w:bidi="ar-SA"/>
      </w:rPr>
    </w:lvl>
  </w:abstractNum>
  <w:abstractNum w:abstractNumId="52" w15:restartNumberingAfterBreak="0">
    <w:nsid w:val="25C70974"/>
    <w:multiLevelType w:val="hybridMultilevel"/>
    <w:tmpl w:val="8C18EE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6FA031A"/>
    <w:multiLevelType w:val="multilevel"/>
    <w:tmpl w:val="42D2D1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270942AB"/>
    <w:multiLevelType w:val="multilevel"/>
    <w:tmpl w:val="C67AAD36"/>
    <w:lvl w:ilvl="0">
      <w:start w:val="4"/>
      <w:numFmt w:val="decimal"/>
      <w:lvlText w:val="%1."/>
      <w:lvlJc w:val="left"/>
      <w:pPr>
        <w:ind w:left="660" w:hanging="66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5" w15:restartNumberingAfterBreak="0">
    <w:nsid w:val="276B6F56"/>
    <w:multiLevelType w:val="multilevel"/>
    <w:tmpl w:val="FBC67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94D1749"/>
    <w:multiLevelType w:val="multilevel"/>
    <w:tmpl w:val="E496EAB8"/>
    <w:lvl w:ilvl="0">
      <w:start w:val="4"/>
      <w:numFmt w:val="decimal"/>
      <w:lvlText w:val="%1."/>
      <w:lvlJc w:val="left"/>
      <w:pPr>
        <w:ind w:left="900" w:hanging="900"/>
      </w:pPr>
      <w:rPr>
        <w:rFonts w:ascii="Times New Roman" w:hAnsi="Times New Roman" w:cs="Times New Roman" w:hint="default"/>
        <w:color w:val="auto"/>
        <w:sz w:val="24"/>
      </w:rPr>
    </w:lvl>
    <w:lvl w:ilvl="1">
      <w:start w:val="4"/>
      <w:numFmt w:val="decimal"/>
      <w:lvlText w:val="%1.%2."/>
      <w:lvlJc w:val="left"/>
      <w:pPr>
        <w:ind w:left="900" w:hanging="900"/>
      </w:pPr>
      <w:rPr>
        <w:rFonts w:ascii="Times New Roman" w:hAnsi="Times New Roman" w:cs="Times New Roman" w:hint="default"/>
        <w:color w:val="auto"/>
        <w:sz w:val="24"/>
      </w:rPr>
    </w:lvl>
    <w:lvl w:ilvl="2">
      <w:start w:val="6"/>
      <w:numFmt w:val="decimal"/>
      <w:lvlText w:val="%1.%2.%3."/>
      <w:lvlJc w:val="left"/>
      <w:pPr>
        <w:ind w:left="900" w:hanging="900"/>
      </w:pPr>
      <w:rPr>
        <w:rFonts w:ascii="Times New Roman" w:hAnsi="Times New Roman" w:cs="Times New Roman" w:hint="default"/>
        <w:color w:val="auto"/>
        <w:sz w:val="24"/>
      </w:rPr>
    </w:lvl>
    <w:lvl w:ilvl="3">
      <w:start w:val="2"/>
      <w:numFmt w:val="decimal"/>
      <w:lvlText w:val="%1.%2.%3.%4."/>
      <w:lvlJc w:val="left"/>
      <w:pPr>
        <w:ind w:left="1080" w:hanging="1080"/>
      </w:pPr>
      <w:rPr>
        <w:rFonts w:ascii="Times New Roman" w:hAnsi="Times New Roman" w:cs="Times New Roman" w:hint="default"/>
        <w:color w:val="auto"/>
        <w:sz w:val="24"/>
      </w:rPr>
    </w:lvl>
    <w:lvl w:ilvl="4">
      <w:start w:val="1"/>
      <w:numFmt w:val="decimal"/>
      <w:lvlText w:val="%1.%2.%3.%4.%5."/>
      <w:lvlJc w:val="left"/>
      <w:pPr>
        <w:ind w:left="1080" w:hanging="1080"/>
      </w:pPr>
      <w:rPr>
        <w:rFonts w:ascii="Times New Roman" w:hAnsi="Times New Roman" w:cs="Times New Roman" w:hint="default"/>
        <w:color w:val="auto"/>
        <w:sz w:val="24"/>
      </w:rPr>
    </w:lvl>
    <w:lvl w:ilvl="5">
      <w:start w:val="1"/>
      <w:numFmt w:val="decimal"/>
      <w:lvlText w:val="%1.%2.%3.%4.%5.%6."/>
      <w:lvlJc w:val="left"/>
      <w:pPr>
        <w:ind w:left="1440" w:hanging="1440"/>
      </w:pPr>
      <w:rPr>
        <w:rFonts w:ascii="Times New Roman" w:hAnsi="Times New Roman" w:cs="Times New Roman" w:hint="default"/>
        <w:color w:val="auto"/>
        <w:sz w:val="24"/>
      </w:rPr>
    </w:lvl>
    <w:lvl w:ilvl="6">
      <w:start w:val="1"/>
      <w:numFmt w:val="decimal"/>
      <w:lvlText w:val="%1.%2.%3.%4.%5.%6.%7."/>
      <w:lvlJc w:val="left"/>
      <w:pPr>
        <w:ind w:left="1800" w:hanging="1800"/>
      </w:pPr>
      <w:rPr>
        <w:rFonts w:ascii="Times New Roman" w:hAnsi="Times New Roman" w:cs="Times New Roman" w:hint="default"/>
        <w:color w:val="auto"/>
        <w:sz w:val="24"/>
      </w:rPr>
    </w:lvl>
    <w:lvl w:ilvl="7">
      <w:start w:val="1"/>
      <w:numFmt w:val="decimal"/>
      <w:lvlText w:val="%1.%2.%3.%4.%5.%6.%7.%8."/>
      <w:lvlJc w:val="left"/>
      <w:pPr>
        <w:ind w:left="1800" w:hanging="1800"/>
      </w:pPr>
      <w:rPr>
        <w:rFonts w:ascii="Times New Roman" w:hAnsi="Times New Roman" w:cs="Times New Roman" w:hint="default"/>
        <w:color w:val="auto"/>
        <w:sz w:val="24"/>
      </w:rPr>
    </w:lvl>
    <w:lvl w:ilvl="8">
      <w:start w:val="1"/>
      <w:numFmt w:val="decimal"/>
      <w:lvlText w:val="%1.%2.%3.%4.%5.%6.%7.%8.%9."/>
      <w:lvlJc w:val="left"/>
      <w:pPr>
        <w:ind w:left="2160" w:hanging="2160"/>
      </w:pPr>
      <w:rPr>
        <w:rFonts w:ascii="Times New Roman" w:hAnsi="Times New Roman" w:cs="Times New Roman" w:hint="default"/>
        <w:color w:val="auto"/>
        <w:sz w:val="24"/>
      </w:rPr>
    </w:lvl>
  </w:abstractNum>
  <w:abstractNum w:abstractNumId="57" w15:restartNumberingAfterBreak="0">
    <w:nsid w:val="29525B44"/>
    <w:multiLevelType w:val="multilevel"/>
    <w:tmpl w:val="0148A972"/>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2A1B09E1"/>
    <w:multiLevelType w:val="multilevel"/>
    <w:tmpl w:val="50F67B9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9" w15:restartNumberingAfterBreak="0">
    <w:nsid w:val="2AAE0143"/>
    <w:multiLevelType w:val="multilevel"/>
    <w:tmpl w:val="10AE315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0" w15:restartNumberingAfterBreak="0">
    <w:nsid w:val="2B8E2482"/>
    <w:multiLevelType w:val="multilevel"/>
    <w:tmpl w:val="896C5778"/>
    <w:lvl w:ilvl="0">
      <w:start w:val="5"/>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15:restartNumberingAfterBreak="0">
    <w:nsid w:val="2BF16AC1"/>
    <w:multiLevelType w:val="hybridMultilevel"/>
    <w:tmpl w:val="41EC5B16"/>
    <w:lvl w:ilvl="0" w:tplc="AA7A9646">
      <w:start w:val="2"/>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2" w15:restartNumberingAfterBreak="0">
    <w:nsid w:val="2C527C5D"/>
    <w:multiLevelType w:val="hybridMultilevel"/>
    <w:tmpl w:val="C234FA38"/>
    <w:lvl w:ilvl="0" w:tplc="DFBA99FE">
      <w:numFmt w:val="bullet"/>
      <w:lvlText w:val="-"/>
      <w:lvlJc w:val="left"/>
      <w:pPr>
        <w:ind w:left="1072" w:hanging="360"/>
      </w:pPr>
      <w:rPr>
        <w:rFonts w:ascii="Calibri" w:eastAsia="Calibri" w:hAnsi="Calibri" w:cs="Calibri" w:hint="default"/>
        <w:spacing w:val="0"/>
        <w:w w:val="100"/>
        <w:lang w:val="en-US" w:eastAsia="en-US" w:bidi="ar-SA"/>
      </w:rPr>
    </w:lvl>
    <w:lvl w:ilvl="1" w:tplc="2B5824CE">
      <w:numFmt w:val="bullet"/>
      <w:lvlText w:val="•"/>
      <w:lvlJc w:val="left"/>
      <w:pPr>
        <w:ind w:left="1982" w:hanging="360"/>
      </w:pPr>
      <w:rPr>
        <w:rFonts w:hint="default"/>
        <w:lang w:val="en-US" w:eastAsia="en-US" w:bidi="ar-SA"/>
      </w:rPr>
    </w:lvl>
    <w:lvl w:ilvl="2" w:tplc="7E283A24">
      <w:numFmt w:val="bullet"/>
      <w:lvlText w:val="•"/>
      <w:lvlJc w:val="left"/>
      <w:pPr>
        <w:ind w:left="2885" w:hanging="360"/>
      </w:pPr>
      <w:rPr>
        <w:rFonts w:hint="default"/>
        <w:lang w:val="en-US" w:eastAsia="en-US" w:bidi="ar-SA"/>
      </w:rPr>
    </w:lvl>
    <w:lvl w:ilvl="3" w:tplc="C272306A">
      <w:numFmt w:val="bullet"/>
      <w:lvlText w:val="•"/>
      <w:lvlJc w:val="left"/>
      <w:pPr>
        <w:ind w:left="3788" w:hanging="360"/>
      </w:pPr>
      <w:rPr>
        <w:rFonts w:hint="default"/>
        <w:lang w:val="en-US" w:eastAsia="en-US" w:bidi="ar-SA"/>
      </w:rPr>
    </w:lvl>
    <w:lvl w:ilvl="4" w:tplc="D910EE44">
      <w:numFmt w:val="bullet"/>
      <w:lvlText w:val="•"/>
      <w:lvlJc w:val="left"/>
      <w:pPr>
        <w:ind w:left="4691" w:hanging="360"/>
      </w:pPr>
      <w:rPr>
        <w:rFonts w:hint="default"/>
        <w:lang w:val="en-US" w:eastAsia="en-US" w:bidi="ar-SA"/>
      </w:rPr>
    </w:lvl>
    <w:lvl w:ilvl="5" w:tplc="3C2EF9CA">
      <w:numFmt w:val="bullet"/>
      <w:lvlText w:val="•"/>
      <w:lvlJc w:val="left"/>
      <w:pPr>
        <w:ind w:left="5594" w:hanging="360"/>
      </w:pPr>
      <w:rPr>
        <w:rFonts w:hint="default"/>
        <w:lang w:val="en-US" w:eastAsia="en-US" w:bidi="ar-SA"/>
      </w:rPr>
    </w:lvl>
    <w:lvl w:ilvl="6" w:tplc="759C71F2">
      <w:numFmt w:val="bullet"/>
      <w:lvlText w:val="•"/>
      <w:lvlJc w:val="left"/>
      <w:pPr>
        <w:ind w:left="6496" w:hanging="360"/>
      </w:pPr>
      <w:rPr>
        <w:rFonts w:hint="default"/>
        <w:lang w:val="en-US" w:eastAsia="en-US" w:bidi="ar-SA"/>
      </w:rPr>
    </w:lvl>
    <w:lvl w:ilvl="7" w:tplc="E6E216AE">
      <w:numFmt w:val="bullet"/>
      <w:lvlText w:val="•"/>
      <w:lvlJc w:val="left"/>
      <w:pPr>
        <w:ind w:left="7399" w:hanging="360"/>
      </w:pPr>
      <w:rPr>
        <w:rFonts w:hint="default"/>
        <w:lang w:val="en-US" w:eastAsia="en-US" w:bidi="ar-SA"/>
      </w:rPr>
    </w:lvl>
    <w:lvl w:ilvl="8" w:tplc="683A0FB8">
      <w:numFmt w:val="bullet"/>
      <w:lvlText w:val="•"/>
      <w:lvlJc w:val="left"/>
      <w:pPr>
        <w:ind w:left="8302" w:hanging="360"/>
      </w:pPr>
      <w:rPr>
        <w:rFonts w:hint="default"/>
        <w:lang w:val="en-US" w:eastAsia="en-US" w:bidi="ar-SA"/>
      </w:rPr>
    </w:lvl>
  </w:abstractNum>
  <w:abstractNum w:abstractNumId="63" w15:restartNumberingAfterBreak="0">
    <w:nsid w:val="2D1B2F4D"/>
    <w:multiLevelType w:val="multilevel"/>
    <w:tmpl w:val="8E804E30"/>
    <w:lvl w:ilvl="0">
      <w:start w:val="4"/>
      <w:numFmt w:val="decimal"/>
      <w:lvlText w:val="%1."/>
      <w:lvlJc w:val="left"/>
      <w:pPr>
        <w:ind w:left="720" w:hanging="720"/>
      </w:pPr>
      <w:rPr>
        <w:rFonts w:ascii="Times New Roman" w:hAnsi="Times New Roman" w:cs="Times New Roman" w:hint="default"/>
        <w:color w:val="auto"/>
        <w:sz w:val="24"/>
      </w:rPr>
    </w:lvl>
    <w:lvl w:ilvl="1">
      <w:start w:val="4"/>
      <w:numFmt w:val="decimal"/>
      <w:lvlText w:val="%1.%2."/>
      <w:lvlJc w:val="left"/>
      <w:pPr>
        <w:ind w:left="720" w:hanging="720"/>
      </w:pPr>
      <w:rPr>
        <w:rFonts w:ascii="Times New Roman" w:hAnsi="Times New Roman" w:cs="Times New Roman" w:hint="default"/>
        <w:color w:val="auto"/>
        <w:sz w:val="24"/>
      </w:rPr>
    </w:lvl>
    <w:lvl w:ilvl="2">
      <w:start w:val="7"/>
      <w:numFmt w:val="decimal"/>
      <w:lvlText w:val="%1.%2.%3."/>
      <w:lvlJc w:val="left"/>
      <w:pPr>
        <w:ind w:left="720" w:hanging="720"/>
      </w:pPr>
      <w:rPr>
        <w:rFonts w:ascii="Times New Roman" w:hAnsi="Times New Roman" w:cs="Times New Roman" w:hint="default"/>
        <w:color w:val="auto"/>
        <w:sz w:val="24"/>
      </w:rPr>
    </w:lvl>
    <w:lvl w:ilvl="3">
      <w:start w:val="1"/>
      <w:numFmt w:val="decimal"/>
      <w:lvlText w:val="%1.%2.%3.%4."/>
      <w:lvlJc w:val="left"/>
      <w:pPr>
        <w:ind w:left="1080" w:hanging="1080"/>
      </w:pPr>
      <w:rPr>
        <w:rFonts w:ascii="Times New Roman" w:hAnsi="Times New Roman" w:cs="Times New Roman" w:hint="default"/>
        <w:color w:val="auto"/>
        <w:sz w:val="24"/>
      </w:rPr>
    </w:lvl>
    <w:lvl w:ilvl="4">
      <w:start w:val="1"/>
      <w:numFmt w:val="decimal"/>
      <w:lvlText w:val="%1.%2.%3.%4.%5."/>
      <w:lvlJc w:val="left"/>
      <w:pPr>
        <w:ind w:left="1080" w:hanging="1080"/>
      </w:pPr>
      <w:rPr>
        <w:rFonts w:ascii="Times New Roman" w:hAnsi="Times New Roman" w:cs="Times New Roman" w:hint="default"/>
        <w:color w:val="auto"/>
        <w:sz w:val="24"/>
      </w:rPr>
    </w:lvl>
    <w:lvl w:ilvl="5">
      <w:start w:val="1"/>
      <w:numFmt w:val="decimal"/>
      <w:lvlText w:val="%1.%2.%3.%4.%5.%6."/>
      <w:lvlJc w:val="left"/>
      <w:pPr>
        <w:ind w:left="1440" w:hanging="1440"/>
      </w:pPr>
      <w:rPr>
        <w:rFonts w:ascii="Times New Roman" w:hAnsi="Times New Roman" w:cs="Times New Roman" w:hint="default"/>
        <w:color w:val="auto"/>
        <w:sz w:val="24"/>
      </w:rPr>
    </w:lvl>
    <w:lvl w:ilvl="6">
      <w:start w:val="1"/>
      <w:numFmt w:val="decimal"/>
      <w:lvlText w:val="%1.%2.%3.%4.%5.%6.%7."/>
      <w:lvlJc w:val="left"/>
      <w:pPr>
        <w:ind w:left="1800" w:hanging="1800"/>
      </w:pPr>
      <w:rPr>
        <w:rFonts w:ascii="Times New Roman" w:hAnsi="Times New Roman" w:cs="Times New Roman" w:hint="default"/>
        <w:color w:val="auto"/>
        <w:sz w:val="24"/>
      </w:rPr>
    </w:lvl>
    <w:lvl w:ilvl="7">
      <w:start w:val="1"/>
      <w:numFmt w:val="decimal"/>
      <w:lvlText w:val="%1.%2.%3.%4.%5.%6.%7.%8."/>
      <w:lvlJc w:val="left"/>
      <w:pPr>
        <w:ind w:left="1800" w:hanging="1800"/>
      </w:pPr>
      <w:rPr>
        <w:rFonts w:ascii="Times New Roman" w:hAnsi="Times New Roman" w:cs="Times New Roman" w:hint="default"/>
        <w:color w:val="auto"/>
        <w:sz w:val="24"/>
      </w:rPr>
    </w:lvl>
    <w:lvl w:ilvl="8">
      <w:start w:val="1"/>
      <w:numFmt w:val="decimal"/>
      <w:lvlText w:val="%1.%2.%3.%4.%5.%6.%7.%8.%9."/>
      <w:lvlJc w:val="left"/>
      <w:pPr>
        <w:ind w:left="2160" w:hanging="2160"/>
      </w:pPr>
      <w:rPr>
        <w:rFonts w:ascii="Times New Roman" w:hAnsi="Times New Roman" w:cs="Times New Roman" w:hint="default"/>
        <w:color w:val="auto"/>
        <w:sz w:val="24"/>
      </w:rPr>
    </w:lvl>
  </w:abstractNum>
  <w:abstractNum w:abstractNumId="64" w15:restartNumberingAfterBreak="0">
    <w:nsid w:val="2E524354"/>
    <w:multiLevelType w:val="hybridMultilevel"/>
    <w:tmpl w:val="584CB3E2"/>
    <w:lvl w:ilvl="0" w:tplc="7B4EE7B4">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90EC37B0">
      <w:numFmt w:val="bullet"/>
      <w:lvlText w:val="•"/>
      <w:lvlJc w:val="left"/>
      <w:pPr>
        <w:ind w:left="1511" w:hanging="360"/>
      </w:pPr>
      <w:rPr>
        <w:rFonts w:hint="default"/>
        <w:lang w:val="en-US" w:eastAsia="en-US" w:bidi="ar-SA"/>
      </w:rPr>
    </w:lvl>
    <w:lvl w:ilvl="2" w:tplc="ACF25FAC">
      <w:numFmt w:val="bullet"/>
      <w:lvlText w:val="•"/>
      <w:lvlJc w:val="left"/>
      <w:pPr>
        <w:ind w:left="2203" w:hanging="360"/>
      </w:pPr>
      <w:rPr>
        <w:rFonts w:hint="default"/>
        <w:lang w:val="en-US" w:eastAsia="en-US" w:bidi="ar-SA"/>
      </w:rPr>
    </w:lvl>
    <w:lvl w:ilvl="3" w:tplc="D4684A2C">
      <w:numFmt w:val="bullet"/>
      <w:lvlText w:val="•"/>
      <w:lvlJc w:val="left"/>
      <w:pPr>
        <w:ind w:left="2894" w:hanging="360"/>
      </w:pPr>
      <w:rPr>
        <w:rFonts w:hint="default"/>
        <w:lang w:val="en-US" w:eastAsia="en-US" w:bidi="ar-SA"/>
      </w:rPr>
    </w:lvl>
    <w:lvl w:ilvl="4" w:tplc="DE8C4EDC">
      <w:numFmt w:val="bullet"/>
      <w:lvlText w:val="•"/>
      <w:lvlJc w:val="left"/>
      <w:pPr>
        <w:ind w:left="3586" w:hanging="360"/>
      </w:pPr>
      <w:rPr>
        <w:rFonts w:hint="default"/>
        <w:lang w:val="en-US" w:eastAsia="en-US" w:bidi="ar-SA"/>
      </w:rPr>
    </w:lvl>
    <w:lvl w:ilvl="5" w:tplc="D44C20AE">
      <w:numFmt w:val="bullet"/>
      <w:lvlText w:val="•"/>
      <w:lvlJc w:val="left"/>
      <w:pPr>
        <w:ind w:left="4278" w:hanging="360"/>
      </w:pPr>
      <w:rPr>
        <w:rFonts w:hint="default"/>
        <w:lang w:val="en-US" w:eastAsia="en-US" w:bidi="ar-SA"/>
      </w:rPr>
    </w:lvl>
    <w:lvl w:ilvl="6" w:tplc="01765D84">
      <w:numFmt w:val="bullet"/>
      <w:lvlText w:val="•"/>
      <w:lvlJc w:val="left"/>
      <w:pPr>
        <w:ind w:left="4969" w:hanging="360"/>
      </w:pPr>
      <w:rPr>
        <w:rFonts w:hint="default"/>
        <w:lang w:val="en-US" w:eastAsia="en-US" w:bidi="ar-SA"/>
      </w:rPr>
    </w:lvl>
    <w:lvl w:ilvl="7" w:tplc="0F4AF9C6">
      <w:numFmt w:val="bullet"/>
      <w:lvlText w:val="•"/>
      <w:lvlJc w:val="left"/>
      <w:pPr>
        <w:ind w:left="5661" w:hanging="360"/>
      </w:pPr>
      <w:rPr>
        <w:rFonts w:hint="default"/>
        <w:lang w:val="en-US" w:eastAsia="en-US" w:bidi="ar-SA"/>
      </w:rPr>
    </w:lvl>
    <w:lvl w:ilvl="8" w:tplc="CE52C38C">
      <w:numFmt w:val="bullet"/>
      <w:lvlText w:val="•"/>
      <w:lvlJc w:val="left"/>
      <w:pPr>
        <w:ind w:left="6352" w:hanging="360"/>
      </w:pPr>
      <w:rPr>
        <w:rFonts w:hint="default"/>
        <w:lang w:val="en-US" w:eastAsia="en-US" w:bidi="ar-SA"/>
      </w:rPr>
    </w:lvl>
  </w:abstractNum>
  <w:abstractNum w:abstractNumId="65" w15:restartNumberingAfterBreak="0">
    <w:nsid w:val="2ED27177"/>
    <w:multiLevelType w:val="multilevel"/>
    <w:tmpl w:val="FE92BD42"/>
    <w:lvl w:ilvl="0">
      <w:start w:val="1"/>
      <w:numFmt w:val="decimal"/>
      <w:lvlText w:val="%1."/>
      <w:lvlJc w:val="left"/>
      <w:pPr>
        <w:ind w:left="644" w:hanging="360"/>
      </w:pPr>
      <w:rPr>
        <w:rFonts w:hint="default"/>
        <w:color w:val="0070C0"/>
      </w:rPr>
    </w:lvl>
    <w:lvl w:ilvl="1">
      <w:start w:val="1"/>
      <w:numFmt w:val="decimal"/>
      <w:isLgl/>
      <w:lvlText w:val="%1.%2."/>
      <w:lvlJc w:val="left"/>
      <w:pPr>
        <w:ind w:left="1364" w:hanging="720"/>
      </w:pPr>
      <w:rPr>
        <w:rFonts w:hint="default"/>
      </w:rPr>
    </w:lvl>
    <w:lvl w:ilvl="2">
      <w:start w:val="1"/>
      <w:numFmt w:val="decimal"/>
      <w:isLgl/>
      <w:lvlText w:val="%1.%2.%3."/>
      <w:lvlJc w:val="left"/>
      <w:pPr>
        <w:ind w:left="1855" w:hanging="720"/>
      </w:pPr>
      <w:rPr>
        <w:rFonts w:hint="default"/>
      </w:rPr>
    </w:lvl>
    <w:lvl w:ilvl="3">
      <w:start w:val="1"/>
      <w:numFmt w:val="decimal"/>
      <w:isLgl/>
      <w:lvlText w:val="%1.%2.%3.%4."/>
      <w:lvlJc w:val="left"/>
      <w:pPr>
        <w:ind w:left="2444" w:hanging="108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524" w:hanging="1440"/>
      </w:pPr>
      <w:rPr>
        <w:rFonts w:hint="default"/>
      </w:rPr>
    </w:lvl>
    <w:lvl w:ilvl="6">
      <w:start w:val="1"/>
      <w:numFmt w:val="decimal"/>
      <w:isLgl/>
      <w:lvlText w:val="%1.%2.%3.%4.%5.%6.%7."/>
      <w:lvlJc w:val="left"/>
      <w:pPr>
        <w:ind w:left="4244" w:hanging="1800"/>
      </w:pPr>
      <w:rPr>
        <w:rFonts w:hint="default"/>
      </w:rPr>
    </w:lvl>
    <w:lvl w:ilvl="7">
      <w:start w:val="1"/>
      <w:numFmt w:val="decimal"/>
      <w:isLgl/>
      <w:lvlText w:val="%1.%2.%3.%4.%5.%6.%7.%8."/>
      <w:lvlJc w:val="left"/>
      <w:pPr>
        <w:ind w:left="4604" w:hanging="1800"/>
      </w:pPr>
      <w:rPr>
        <w:rFonts w:hint="default"/>
      </w:rPr>
    </w:lvl>
    <w:lvl w:ilvl="8">
      <w:start w:val="1"/>
      <w:numFmt w:val="decimal"/>
      <w:isLgl/>
      <w:lvlText w:val="%1.%2.%3.%4.%5.%6.%7.%8.%9."/>
      <w:lvlJc w:val="left"/>
      <w:pPr>
        <w:ind w:left="5324" w:hanging="2160"/>
      </w:pPr>
      <w:rPr>
        <w:rFonts w:hint="default"/>
      </w:rPr>
    </w:lvl>
  </w:abstractNum>
  <w:abstractNum w:abstractNumId="66" w15:restartNumberingAfterBreak="0">
    <w:nsid w:val="2EFD639B"/>
    <w:multiLevelType w:val="multilevel"/>
    <w:tmpl w:val="20329DD4"/>
    <w:lvl w:ilvl="0">
      <w:start w:val="3"/>
      <w:numFmt w:val="decimal"/>
      <w:lvlText w:val="%1"/>
      <w:lvlJc w:val="left"/>
      <w:pPr>
        <w:ind w:left="880" w:hanging="504"/>
      </w:pPr>
      <w:rPr>
        <w:rFonts w:hint="default"/>
        <w:lang w:val="en-US" w:eastAsia="en-US" w:bidi="ar-SA"/>
      </w:rPr>
    </w:lvl>
    <w:lvl w:ilvl="1">
      <w:start w:val="1"/>
      <w:numFmt w:val="decimal"/>
      <w:lvlText w:val="%1.%2."/>
      <w:lvlJc w:val="left"/>
      <w:pPr>
        <w:ind w:left="880" w:hanging="504"/>
        <w:jc w:val="right"/>
      </w:pPr>
      <w:rPr>
        <w:rFonts w:ascii="Arial" w:eastAsia="Arial" w:hAnsi="Arial" w:cs="Arial" w:hint="default"/>
        <w:b/>
        <w:bCs/>
        <w:i w:val="0"/>
        <w:iCs w:val="0"/>
        <w:spacing w:val="-2"/>
        <w:w w:val="100"/>
        <w:sz w:val="24"/>
        <w:szCs w:val="24"/>
        <w:lang w:val="en-US" w:eastAsia="en-US" w:bidi="ar-SA"/>
      </w:rPr>
    </w:lvl>
    <w:lvl w:ilvl="2">
      <w:start w:val="1"/>
      <w:numFmt w:val="decimal"/>
      <w:lvlText w:val="%1.%2.%3."/>
      <w:lvlJc w:val="left"/>
      <w:pPr>
        <w:ind w:left="360" w:hanging="720"/>
        <w:jc w:val="right"/>
      </w:pPr>
      <w:rPr>
        <w:rFonts w:ascii="Arial" w:eastAsia="Arial" w:hAnsi="Arial" w:cs="Arial" w:hint="default"/>
        <w:b/>
        <w:bCs/>
        <w:i w:val="0"/>
        <w:iCs w:val="0"/>
        <w:spacing w:val="-2"/>
        <w:w w:val="100"/>
        <w:sz w:val="24"/>
        <w:szCs w:val="24"/>
        <w:lang w:val="en-US" w:eastAsia="en-US" w:bidi="ar-SA"/>
      </w:rPr>
    </w:lvl>
    <w:lvl w:ilvl="3">
      <w:numFmt w:val="bullet"/>
      <w:lvlText w:val="•"/>
      <w:lvlJc w:val="left"/>
      <w:pPr>
        <w:ind w:left="2523" w:hanging="720"/>
      </w:pPr>
      <w:rPr>
        <w:rFonts w:hint="default"/>
        <w:lang w:val="en-US" w:eastAsia="en-US" w:bidi="ar-SA"/>
      </w:rPr>
    </w:lvl>
    <w:lvl w:ilvl="4">
      <w:numFmt w:val="bullet"/>
      <w:lvlText w:val="•"/>
      <w:lvlJc w:val="left"/>
      <w:pPr>
        <w:ind w:left="3607" w:hanging="720"/>
      </w:pPr>
      <w:rPr>
        <w:rFonts w:hint="default"/>
        <w:lang w:val="en-US" w:eastAsia="en-US" w:bidi="ar-SA"/>
      </w:rPr>
    </w:lvl>
    <w:lvl w:ilvl="5">
      <w:numFmt w:val="bullet"/>
      <w:lvlText w:val="•"/>
      <w:lvlJc w:val="left"/>
      <w:pPr>
        <w:ind w:left="4690" w:hanging="720"/>
      </w:pPr>
      <w:rPr>
        <w:rFonts w:hint="default"/>
        <w:lang w:val="en-US" w:eastAsia="en-US" w:bidi="ar-SA"/>
      </w:rPr>
    </w:lvl>
    <w:lvl w:ilvl="6">
      <w:numFmt w:val="bullet"/>
      <w:lvlText w:val="•"/>
      <w:lvlJc w:val="left"/>
      <w:pPr>
        <w:ind w:left="5774" w:hanging="720"/>
      </w:pPr>
      <w:rPr>
        <w:rFonts w:hint="default"/>
        <w:lang w:val="en-US" w:eastAsia="en-US" w:bidi="ar-SA"/>
      </w:rPr>
    </w:lvl>
    <w:lvl w:ilvl="7">
      <w:numFmt w:val="bullet"/>
      <w:lvlText w:val="•"/>
      <w:lvlJc w:val="left"/>
      <w:pPr>
        <w:ind w:left="6857" w:hanging="720"/>
      </w:pPr>
      <w:rPr>
        <w:rFonts w:hint="default"/>
        <w:lang w:val="en-US" w:eastAsia="en-US" w:bidi="ar-SA"/>
      </w:rPr>
    </w:lvl>
    <w:lvl w:ilvl="8">
      <w:numFmt w:val="bullet"/>
      <w:lvlText w:val="•"/>
      <w:lvlJc w:val="left"/>
      <w:pPr>
        <w:ind w:left="7941" w:hanging="720"/>
      </w:pPr>
      <w:rPr>
        <w:rFonts w:hint="default"/>
        <w:lang w:val="en-US" w:eastAsia="en-US" w:bidi="ar-SA"/>
      </w:rPr>
    </w:lvl>
  </w:abstractNum>
  <w:abstractNum w:abstractNumId="67" w15:restartNumberingAfterBreak="0">
    <w:nsid w:val="30114320"/>
    <w:multiLevelType w:val="hybridMultilevel"/>
    <w:tmpl w:val="31C01B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313E580B"/>
    <w:multiLevelType w:val="multilevel"/>
    <w:tmpl w:val="B0FC4BCC"/>
    <w:lvl w:ilvl="0">
      <w:start w:val="4"/>
      <w:numFmt w:val="decimal"/>
      <w:lvlText w:val="%1."/>
      <w:lvlJc w:val="left"/>
      <w:pPr>
        <w:ind w:left="900" w:hanging="900"/>
      </w:pPr>
      <w:rPr>
        <w:rFonts w:ascii="Times New Roman" w:hAnsi="Times New Roman" w:cs="Times New Roman" w:hint="default"/>
        <w:b w:val="0"/>
        <w:color w:val="auto"/>
        <w:sz w:val="24"/>
      </w:rPr>
    </w:lvl>
    <w:lvl w:ilvl="1">
      <w:start w:val="4"/>
      <w:numFmt w:val="decimal"/>
      <w:lvlText w:val="%1.%2."/>
      <w:lvlJc w:val="left"/>
      <w:pPr>
        <w:ind w:left="1331" w:hanging="900"/>
      </w:pPr>
      <w:rPr>
        <w:rFonts w:ascii="Times New Roman" w:hAnsi="Times New Roman" w:cs="Times New Roman" w:hint="default"/>
        <w:b w:val="0"/>
        <w:color w:val="auto"/>
        <w:sz w:val="24"/>
      </w:rPr>
    </w:lvl>
    <w:lvl w:ilvl="2">
      <w:start w:val="4"/>
      <w:numFmt w:val="decimal"/>
      <w:lvlText w:val="%1.%2.%3."/>
      <w:lvlJc w:val="left"/>
      <w:pPr>
        <w:ind w:left="1762" w:hanging="900"/>
      </w:pPr>
      <w:rPr>
        <w:rFonts w:ascii="Times New Roman" w:hAnsi="Times New Roman" w:cs="Times New Roman" w:hint="default"/>
        <w:b w:val="0"/>
        <w:color w:val="auto"/>
        <w:sz w:val="24"/>
      </w:rPr>
    </w:lvl>
    <w:lvl w:ilvl="3">
      <w:start w:val="1"/>
      <w:numFmt w:val="decimal"/>
      <w:lvlText w:val="%1.%2.%3.%4."/>
      <w:lvlJc w:val="left"/>
      <w:pPr>
        <w:ind w:left="2373" w:hanging="1080"/>
      </w:pPr>
      <w:rPr>
        <w:rFonts w:ascii="Times New Roman" w:hAnsi="Times New Roman" w:cs="Times New Roman" w:hint="default"/>
        <w:b w:val="0"/>
        <w:color w:val="auto"/>
        <w:sz w:val="24"/>
      </w:rPr>
    </w:lvl>
    <w:lvl w:ilvl="4">
      <w:start w:val="1"/>
      <w:numFmt w:val="decimal"/>
      <w:lvlText w:val="%1.%2.%3.%4.%5."/>
      <w:lvlJc w:val="left"/>
      <w:pPr>
        <w:ind w:left="2804" w:hanging="1080"/>
      </w:pPr>
      <w:rPr>
        <w:rFonts w:ascii="Times New Roman" w:hAnsi="Times New Roman" w:cs="Times New Roman" w:hint="default"/>
        <w:b w:val="0"/>
        <w:color w:val="auto"/>
        <w:sz w:val="24"/>
      </w:rPr>
    </w:lvl>
    <w:lvl w:ilvl="5">
      <w:start w:val="1"/>
      <w:numFmt w:val="decimal"/>
      <w:lvlText w:val="%1.%2.%3.%4.%5.%6."/>
      <w:lvlJc w:val="left"/>
      <w:pPr>
        <w:ind w:left="3595" w:hanging="1440"/>
      </w:pPr>
      <w:rPr>
        <w:rFonts w:ascii="Times New Roman" w:hAnsi="Times New Roman" w:cs="Times New Roman" w:hint="default"/>
        <w:b w:val="0"/>
        <w:color w:val="auto"/>
        <w:sz w:val="24"/>
      </w:rPr>
    </w:lvl>
    <w:lvl w:ilvl="6">
      <w:start w:val="1"/>
      <w:numFmt w:val="decimal"/>
      <w:lvlText w:val="%1.%2.%3.%4.%5.%6.%7."/>
      <w:lvlJc w:val="left"/>
      <w:pPr>
        <w:ind w:left="4386" w:hanging="1800"/>
      </w:pPr>
      <w:rPr>
        <w:rFonts w:ascii="Times New Roman" w:hAnsi="Times New Roman" w:cs="Times New Roman" w:hint="default"/>
        <w:b w:val="0"/>
        <w:color w:val="auto"/>
        <w:sz w:val="24"/>
      </w:rPr>
    </w:lvl>
    <w:lvl w:ilvl="7">
      <w:start w:val="1"/>
      <w:numFmt w:val="decimal"/>
      <w:lvlText w:val="%1.%2.%3.%4.%5.%6.%7.%8."/>
      <w:lvlJc w:val="left"/>
      <w:pPr>
        <w:ind w:left="4817" w:hanging="1800"/>
      </w:pPr>
      <w:rPr>
        <w:rFonts w:ascii="Times New Roman" w:hAnsi="Times New Roman" w:cs="Times New Roman" w:hint="default"/>
        <w:b w:val="0"/>
        <w:color w:val="auto"/>
        <w:sz w:val="24"/>
      </w:rPr>
    </w:lvl>
    <w:lvl w:ilvl="8">
      <w:start w:val="1"/>
      <w:numFmt w:val="decimal"/>
      <w:lvlText w:val="%1.%2.%3.%4.%5.%6.%7.%8.%9."/>
      <w:lvlJc w:val="left"/>
      <w:pPr>
        <w:ind w:left="5608" w:hanging="2160"/>
      </w:pPr>
      <w:rPr>
        <w:rFonts w:ascii="Times New Roman" w:hAnsi="Times New Roman" w:cs="Times New Roman" w:hint="default"/>
        <w:b w:val="0"/>
        <w:color w:val="auto"/>
        <w:sz w:val="24"/>
      </w:rPr>
    </w:lvl>
  </w:abstractNum>
  <w:abstractNum w:abstractNumId="69" w15:restartNumberingAfterBreak="0">
    <w:nsid w:val="32B8704F"/>
    <w:multiLevelType w:val="hybridMultilevel"/>
    <w:tmpl w:val="CE764274"/>
    <w:lvl w:ilvl="0" w:tplc="C4F81B48">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0D827F9C">
      <w:numFmt w:val="bullet"/>
      <w:lvlText w:val="•"/>
      <w:lvlJc w:val="left"/>
      <w:pPr>
        <w:ind w:left="1511" w:hanging="360"/>
      </w:pPr>
      <w:rPr>
        <w:rFonts w:hint="default"/>
        <w:lang w:val="en-US" w:eastAsia="en-US" w:bidi="ar-SA"/>
      </w:rPr>
    </w:lvl>
    <w:lvl w:ilvl="2" w:tplc="1BD8A096">
      <w:numFmt w:val="bullet"/>
      <w:lvlText w:val="•"/>
      <w:lvlJc w:val="left"/>
      <w:pPr>
        <w:ind w:left="2203" w:hanging="360"/>
      </w:pPr>
      <w:rPr>
        <w:rFonts w:hint="default"/>
        <w:lang w:val="en-US" w:eastAsia="en-US" w:bidi="ar-SA"/>
      </w:rPr>
    </w:lvl>
    <w:lvl w:ilvl="3" w:tplc="3F866E86">
      <w:numFmt w:val="bullet"/>
      <w:lvlText w:val="•"/>
      <w:lvlJc w:val="left"/>
      <w:pPr>
        <w:ind w:left="2894" w:hanging="360"/>
      </w:pPr>
      <w:rPr>
        <w:rFonts w:hint="default"/>
        <w:lang w:val="en-US" w:eastAsia="en-US" w:bidi="ar-SA"/>
      </w:rPr>
    </w:lvl>
    <w:lvl w:ilvl="4" w:tplc="97005250">
      <w:numFmt w:val="bullet"/>
      <w:lvlText w:val="•"/>
      <w:lvlJc w:val="left"/>
      <w:pPr>
        <w:ind w:left="3586" w:hanging="360"/>
      </w:pPr>
      <w:rPr>
        <w:rFonts w:hint="default"/>
        <w:lang w:val="en-US" w:eastAsia="en-US" w:bidi="ar-SA"/>
      </w:rPr>
    </w:lvl>
    <w:lvl w:ilvl="5" w:tplc="5830A70E">
      <w:numFmt w:val="bullet"/>
      <w:lvlText w:val="•"/>
      <w:lvlJc w:val="left"/>
      <w:pPr>
        <w:ind w:left="4278" w:hanging="360"/>
      </w:pPr>
      <w:rPr>
        <w:rFonts w:hint="default"/>
        <w:lang w:val="en-US" w:eastAsia="en-US" w:bidi="ar-SA"/>
      </w:rPr>
    </w:lvl>
    <w:lvl w:ilvl="6" w:tplc="5E80B840">
      <w:numFmt w:val="bullet"/>
      <w:lvlText w:val="•"/>
      <w:lvlJc w:val="left"/>
      <w:pPr>
        <w:ind w:left="4969" w:hanging="360"/>
      </w:pPr>
      <w:rPr>
        <w:rFonts w:hint="default"/>
        <w:lang w:val="en-US" w:eastAsia="en-US" w:bidi="ar-SA"/>
      </w:rPr>
    </w:lvl>
    <w:lvl w:ilvl="7" w:tplc="13227AB2">
      <w:numFmt w:val="bullet"/>
      <w:lvlText w:val="•"/>
      <w:lvlJc w:val="left"/>
      <w:pPr>
        <w:ind w:left="5661" w:hanging="360"/>
      </w:pPr>
      <w:rPr>
        <w:rFonts w:hint="default"/>
        <w:lang w:val="en-US" w:eastAsia="en-US" w:bidi="ar-SA"/>
      </w:rPr>
    </w:lvl>
    <w:lvl w:ilvl="8" w:tplc="6DD64710">
      <w:numFmt w:val="bullet"/>
      <w:lvlText w:val="•"/>
      <w:lvlJc w:val="left"/>
      <w:pPr>
        <w:ind w:left="6352" w:hanging="360"/>
      </w:pPr>
      <w:rPr>
        <w:rFonts w:hint="default"/>
        <w:lang w:val="en-US" w:eastAsia="en-US" w:bidi="ar-SA"/>
      </w:rPr>
    </w:lvl>
  </w:abstractNum>
  <w:abstractNum w:abstractNumId="70" w15:restartNumberingAfterBreak="0">
    <w:nsid w:val="33103946"/>
    <w:multiLevelType w:val="hybridMultilevel"/>
    <w:tmpl w:val="EB7A553C"/>
    <w:lvl w:ilvl="0" w:tplc="53068E34">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1" w:tplc="FBB01F60">
      <w:numFmt w:val="bullet"/>
      <w:lvlText w:val="•"/>
      <w:lvlJc w:val="left"/>
      <w:pPr>
        <w:ind w:left="1946" w:hanging="360"/>
      </w:pPr>
      <w:rPr>
        <w:rFonts w:hint="default"/>
        <w:lang w:val="en-US" w:eastAsia="en-US" w:bidi="ar-SA"/>
      </w:rPr>
    </w:lvl>
    <w:lvl w:ilvl="2" w:tplc="00926260">
      <w:numFmt w:val="bullet"/>
      <w:lvlText w:val="•"/>
      <w:lvlJc w:val="left"/>
      <w:pPr>
        <w:ind w:left="2813" w:hanging="360"/>
      </w:pPr>
      <w:rPr>
        <w:rFonts w:hint="default"/>
        <w:lang w:val="en-US" w:eastAsia="en-US" w:bidi="ar-SA"/>
      </w:rPr>
    </w:lvl>
    <w:lvl w:ilvl="3" w:tplc="9B2C94AE">
      <w:numFmt w:val="bullet"/>
      <w:lvlText w:val="•"/>
      <w:lvlJc w:val="left"/>
      <w:pPr>
        <w:ind w:left="3680" w:hanging="360"/>
      </w:pPr>
      <w:rPr>
        <w:rFonts w:hint="default"/>
        <w:lang w:val="en-US" w:eastAsia="en-US" w:bidi="ar-SA"/>
      </w:rPr>
    </w:lvl>
    <w:lvl w:ilvl="4" w:tplc="63F04ADE">
      <w:numFmt w:val="bullet"/>
      <w:lvlText w:val="•"/>
      <w:lvlJc w:val="left"/>
      <w:pPr>
        <w:ind w:left="4547" w:hanging="360"/>
      </w:pPr>
      <w:rPr>
        <w:rFonts w:hint="default"/>
        <w:lang w:val="en-US" w:eastAsia="en-US" w:bidi="ar-SA"/>
      </w:rPr>
    </w:lvl>
    <w:lvl w:ilvl="5" w:tplc="7C1E12E2">
      <w:numFmt w:val="bullet"/>
      <w:lvlText w:val="•"/>
      <w:lvlJc w:val="left"/>
      <w:pPr>
        <w:ind w:left="5414" w:hanging="360"/>
      </w:pPr>
      <w:rPr>
        <w:rFonts w:hint="default"/>
        <w:lang w:val="en-US" w:eastAsia="en-US" w:bidi="ar-SA"/>
      </w:rPr>
    </w:lvl>
    <w:lvl w:ilvl="6" w:tplc="A9AE009C">
      <w:numFmt w:val="bullet"/>
      <w:lvlText w:val="•"/>
      <w:lvlJc w:val="left"/>
      <w:pPr>
        <w:ind w:left="6280" w:hanging="360"/>
      </w:pPr>
      <w:rPr>
        <w:rFonts w:hint="default"/>
        <w:lang w:val="en-US" w:eastAsia="en-US" w:bidi="ar-SA"/>
      </w:rPr>
    </w:lvl>
    <w:lvl w:ilvl="7" w:tplc="ABD2240E">
      <w:numFmt w:val="bullet"/>
      <w:lvlText w:val="•"/>
      <w:lvlJc w:val="left"/>
      <w:pPr>
        <w:ind w:left="7147" w:hanging="360"/>
      </w:pPr>
      <w:rPr>
        <w:rFonts w:hint="default"/>
        <w:lang w:val="en-US" w:eastAsia="en-US" w:bidi="ar-SA"/>
      </w:rPr>
    </w:lvl>
    <w:lvl w:ilvl="8" w:tplc="8FD41A22">
      <w:numFmt w:val="bullet"/>
      <w:lvlText w:val="•"/>
      <w:lvlJc w:val="left"/>
      <w:pPr>
        <w:ind w:left="8014" w:hanging="360"/>
      </w:pPr>
      <w:rPr>
        <w:rFonts w:hint="default"/>
        <w:lang w:val="en-US" w:eastAsia="en-US" w:bidi="ar-SA"/>
      </w:rPr>
    </w:lvl>
  </w:abstractNum>
  <w:abstractNum w:abstractNumId="71" w15:restartNumberingAfterBreak="0">
    <w:nsid w:val="336453B6"/>
    <w:multiLevelType w:val="hybridMultilevel"/>
    <w:tmpl w:val="21F2AE62"/>
    <w:lvl w:ilvl="0" w:tplc="3D2C2C40">
      <w:start w:val="5"/>
      <w:numFmt w:val="decimal"/>
      <w:lvlText w:val="%1."/>
      <w:lvlJc w:val="left"/>
      <w:pPr>
        <w:ind w:left="388" w:hanging="360"/>
      </w:pPr>
      <w:rPr>
        <w:rFonts w:hint="default"/>
        <w:color w:val="0000FF"/>
      </w:rPr>
    </w:lvl>
    <w:lvl w:ilvl="1" w:tplc="38090019" w:tentative="1">
      <w:start w:val="1"/>
      <w:numFmt w:val="lowerLetter"/>
      <w:lvlText w:val="%2."/>
      <w:lvlJc w:val="left"/>
      <w:pPr>
        <w:ind w:left="1108" w:hanging="360"/>
      </w:pPr>
    </w:lvl>
    <w:lvl w:ilvl="2" w:tplc="3809001B" w:tentative="1">
      <w:start w:val="1"/>
      <w:numFmt w:val="lowerRoman"/>
      <w:lvlText w:val="%3."/>
      <w:lvlJc w:val="right"/>
      <w:pPr>
        <w:ind w:left="1828" w:hanging="180"/>
      </w:pPr>
    </w:lvl>
    <w:lvl w:ilvl="3" w:tplc="3809000F" w:tentative="1">
      <w:start w:val="1"/>
      <w:numFmt w:val="decimal"/>
      <w:lvlText w:val="%4."/>
      <w:lvlJc w:val="left"/>
      <w:pPr>
        <w:ind w:left="2548" w:hanging="360"/>
      </w:pPr>
    </w:lvl>
    <w:lvl w:ilvl="4" w:tplc="38090019" w:tentative="1">
      <w:start w:val="1"/>
      <w:numFmt w:val="lowerLetter"/>
      <w:lvlText w:val="%5."/>
      <w:lvlJc w:val="left"/>
      <w:pPr>
        <w:ind w:left="3268" w:hanging="360"/>
      </w:pPr>
    </w:lvl>
    <w:lvl w:ilvl="5" w:tplc="3809001B" w:tentative="1">
      <w:start w:val="1"/>
      <w:numFmt w:val="lowerRoman"/>
      <w:lvlText w:val="%6."/>
      <w:lvlJc w:val="right"/>
      <w:pPr>
        <w:ind w:left="3988" w:hanging="180"/>
      </w:pPr>
    </w:lvl>
    <w:lvl w:ilvl="6" w:tplc="3809000F" w:tentative="1">
      <w:start w:val="1"/>
      <w:numFmt w:val="decimal"/>
      <w:lvlText w:val="%7."/>
      <w:lvlJc w:val="left"/>
      <w:pPr>
        <w:ind w:left="4708" w:hanging="360"/>
      </w:pPr>
    </w:lvl>
    <w:lvl w:ilvl="7" w:tplc="38090019" w:tentative="1">
      <w:start w:val="1"/>
      <w:numFmt w:val="lowerLetter"/>
      <w:lvlText w:val="%8."/>
      <w:lvlJc w:val="left"/>
      <w:pPr>
        <w:ind w:left="5428" w:hanging="360"/>
      </w:pPr>
    </w:lvl>
    <w:lvl w:ilvl="8" w:tplc="3809001B" w:tentative="1">
      <w:start w:val="1"/>
      <w:numFmt w:val="lowerRoman"/>
      <w:lvlText w:val="%9."/>
      <w:lvlJc w:val="right"/>
      <w:pPr>
        <w:ind w:left="6148" w:hanging="180"/>
      </w:pPr>
    </w:lvl>
  </w:abstractNum>
  <w:abstractNum w:abstractNumId="72" w15:restartNumberingAfterBreak="0">
    <w:nsid w:val="33B8625C"/>
    <w:multiLevelType w:val="hybridMultilevel"/>
    <w:tmpl w:val="CD9A3D80"/>
    <w:lvl w:ilvl="0" w:tplc="6F522474">
      <w:numFmt w:val="decimal"/>
      <w:lvlText w:val="%1"/>
      <w:lvlJc w:val="left"/>
      <w:pPr>
        <w:ind w:left="482" w:hanging="360"/>
      </w:pPr>
      <w:rPr>
        <w:rFonts w:hint="default"/>
        <w:color w:val="000000"/>
      </w:rPr>
    </w:lvl>
    <w:lvl w:ilvl="1" w:tplc="38090019" w:tentative="1">
      <w:start w:val="1"/>
      <w:numFmt w:val="lowerLetter"/>
      <w:lvlText w:val="%2."/>
      <w:lvlJc w:val="left"/>
      <w:pPr>
        <w:ind w:left="1202" w:hanging="360"/>
      </w:pPr>
    </w:lvl>
    <w:lvl w:ilvl="2" w:tplc="3809001B" w:tentative="1">
      <w:start w:val="1"/>
      <w:numFmt w:val="lowerRoman"/>
      <w:lvlText w:val="%3."/>
      <w:lvlJc w:val="right"/>
      <w:pPr>
        <w:ind w:left="1922" w:hanging="180"/>
      </w:pPr>
    </w:lvl>
    <w:lvl w:ilvl="3" w:tplc="3809000F" w:tentative="1">
      <w:start w:val="1"/>
      <w:numFmt w:val="decimal"/>
      <w:lvlText w:val="%4."/>
      <w:lvlJc w:val="left"/>
      <w:pPr>
        <w:ind w:left="2642" w:hanging="360"/>
      </w:pPr>
    </w:lvl>
    <w:lvl w:ilvl="4" w:tplc="38090019" w:tentative="1">
      <w:start w:val="1"/>
      <w:numFmt w:val="lowerLetter"/>
      <w:lvlText w:val="%5."/>
      <w:lvlJc w:val="left"/>
      <w:pPr>
        <w:ind w:left="3362" w:hanging="360"/>
      </w:pPr>
    </w:lvl>
    <w:lvl w:ilvl="5" w:tplc="3809001B" w:tentative="1">
      <w:start w:val="1"/>
      <w:numFmt w:val="lowerRoman"/>
      <w:lvlText w:val="%6."/>
      <w:lvlJc w:val="right"/>
      <w:pPr>
        <w:ind w:left="4082" w:hanging="180"/>
      </w:pPr>
    </w:lvl>
    <w:lvl w:ilvl="6" w:tplc="3809000F" w:tentative="1">
      <w:start w:val="1"/>
      <w:numFmt w:val="decimal"/>
      <w:lvlText w:val="%7."/>
      <w:lvlJc w:val="left"/>
      <w:pPr>
        <w:ind w:left="4802" w:hanging="360"/>
      </w:pPr>
    </w:lvl>
    <w:lvl w:ilvl="7" w:tplc="38090019" w:tentative="1">
      <w:start w:val="1"/>
      <w:numFmt w:val="lowerLetter"/>
      <w:lvlText w:val="%8."/>
      <w:lvlJc w:val="left"/>
      <w:pPr>
        <w:ind w:left="5522" w:hanging="360"/>
      </w:pPr>
    </w:lvl>
    <w:lvl w:ilvl="8" w:tplc="3809001B" w:tentative="1">
      <w:start w:val="1"/>
      <w:numFmt w:val="lowerRoman"/>
      <w:lvlText w:val="%9."/>
      <w:lvlJc w:val="right"/>
      <w:pPr>
        <w:ind w:left="6242" w:hanging="180"/>
      </w:pPr>
    </w:lvl>
  </w:abstractNum>
  <w:abstractNum w:abstractNumId="73" w15:restartNumberingAfterBreak="0">
    <w:nsid w:val="33B971C5"/>
    <w:multiLevelType w:val="multilevel"/>
    <w:tmpl w:val="A2B45D6C"/>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33BE38B1"/>
    <w:multiLevelType w:val="hybridMultilevel"/>
    <w:tmpl w:val="2AD0E52E"/>
    <w:lvl w:ilvl="0" w:tplc="CB96D2B0">
      <w:start w:val="1"/>
      <w:numFmt w:val="decimal"/>
      <w:lvlText w:val="%1."/>
      <w:lvlJc w:val="left"/>
      <w:pPr>
        <w:ind w:left="1080" w:hanging="360"/>
      </w:pPr>
      <w:rPr>
        <w:rFonts w:ascii="Arial MT" w:eastAsia="Arial MT" w:hAnsi="Arial MT" w:cs="Arial MT" w:hint="default"/>
        <w:b w:val="0"/>
        <w:bCs w:val="0"/>
        <w:i w:val="0"/>
        <w:iCs w:val="0"/>
        <w:spacing w:val="-2"/>
        <w:w w:val="100"/>
        <w:sz w:val="24"/>
        <w:szCs w:val="24"/>
        <w:lang w:val="en-US" w:eastAsia="en-US" w:bidi="ar-SA"/>
      </w:rPr>
    </w:lvl>
    <w:lvl w:ilvl="1" w:tplc="34D4135A">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2" w:tplc="B38A4D5A">
      <w:numFmt w:val="bullet"/>
      <w:lvlText w:val="•"/>
      <w:lvlJc w:val="left"/>
      <w:pPr>
        <w:ind w:left="2813" w:hanging="360"/>
      </w:pPr>
      <w:rPr>
        <w:rFonts w:hint="default"/>
        <w:lang w:val="en-US" w:eastAsia="en-US" w:bidi="ar-SA"/>
      </w:rPr>
    </w:lvl>
    <w:lvl w:ilvl="3" w:tplc="022E196E">
      <w:numFmt w:val="bullet"/>
      <w:lvlText w:val="•"/>
      <w:lvlJc w:val="left"/>
      <w:pPr>
        <w:ind w:left="3680" w:hanging="360"/>
      </w:pPr>
      <w:rPr>
        <w:rFonts w:hint="default"/>
        <w:lang w:val="en-US" w:eastAsia="en-US" w:bidi="ar-SA"/>
      </w:rPr>
    </w:lvl>
    <w:lvl w:ilvl="4" w:tplc="E2FC78BE">
      <w:numFmt w:val="bullet"/>
      <w:lvlText w:val="•"/>
      <w:lvlJc w:val="left"/>
      <w:pPr>
        <w:ind w:left="4547" w:hanging="360"/>
      </w:pPr>
      <w:rPr>
        <w:rFonts w:hint="default"/>
        <w:lang w:val="en-US" w:eastAsia="en-US" w:bidi="ar-SA"/>
      </w:rPr>
    </w:lvl>
    <w:lvl w:ilvl="5" w:tplc="97C61B8E">
      <w:numFmt w:val="bullet"/>
      <w:lvlText w:val="•"/>
      <w:lvlJc w:val="left"/>
      <w:pPr>
        <w:ind w:left="5414" w:hanging="360"/>
      </w:pPr>
      <w:rPr>
        <w:rFonts w:hint="default"/>
        <w:lang w:val="en-US" w:eastAsia="en-US" w:bidi="ar-SA"/>
      </w:rPr>
    </w:lvl>
    <w:lvl w:ilvl="6" w:tplc="75DE4804">
      <w:numFmt w:val="bullet"/>
      <w:lvlText w:val="•"/>
      <w:lvlJc w:val="left"/>
      <w:pPr>
        <w:ind w:left="6280" w:hanging="360"/>
      </w:pPr>
      <w:rPr>
        <w:rFonts w:hint="default"/>
        <w:lang w:val="en-US" w:eastAsia="en-US" w:bidi="ar-SA"/>
      </w:rPr>
    </w:lvl>
    <w:lvl w:ilvl="7" w:tplc="183ACC2A">
      <w:numFmt w:val="bullet"/>
      <w:lvlText w:val="•"/>
      <w:lvlJc w:val="left"/>
      <w:pPr>
        <w:ind w:left="7147" w:hanging="360"/>
      </w:pPr>
      <w:rPr>
        <w:rFonts w:hint="default"/>
        <w:lang w:val="en-US" w:eastAsia="en-US" w:bidi="ar-SA"/>
      </w:rPr>
    </w:lvl>
    <w:lvl w:ilvl="8" w:tplc="0F883D54">
      <w:numFmt w:val="bullet"/>
      <w:lvlText w:val="•"/>
      <w:lvlJc w:val="left"/>
      <w:pPr>
        <w:ind w:left="8014" w:hanging="360"/>
      </w:pPr>
      <w:rPr>
        <w:rFonts w:hint="default"/>
        <w:lang w:val="en-US" w:eastAsia="en-US" w:bidi="ar-SA"/>
      </w:rPr>
    </w:lvl>
  </w:abstractNum>
  <w:abstractNum w:abstractNumId="75" w15:restartNumberingAfterBreak="0">
    <w:nsid w:val="349D2581"/>
    <w:multiLevelType w:val="multilevel"/>
    <w:tmpl w:val="FD88F0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351118DE"/>
    <w:multiLevelType w:val="hybridMultilevel"/>
    <w:tmpl w:val="6FD84332"/>
    <w:lvl w:ilvl="0" w:tplc="5D10BF06">
      <w:numFmt w:val="bullet"/>
      <w:lvlText w:val="-"/>
      <w:lvlJc w:val="left"/>
      <w:pPr>
        <w:ind w:left="1080" w:hanging="360"/>
      </w:pPr>
      <w:rPr>
        <w:rFonts w:ascii="Arial MT" w:eastAsia="Arial MT" w:hAnsi="Arial MT" w:cs="Arial MT" w:hint="default"/>
        <w:b w:val="0"/>
        <w:bCs w:val="0"/>
        <w:i w:val="0"/>
        <w:iCs w:val="0"/>
        <w:spacing w:val="0"/>
        <w:w w:val="100"/>
        <w:sz w:val="24"/>
        <w:szCs w:val="24"/>
        <w:lang w:val="en-US" w:eastAsia="en-US" w:bidi="ar-SA"/>
      </w:rPr>
    </w:lvl>
    <w:lvl w:ilvl="1" w:tplc="EBD01A24">
      <w:numFmt w:val="bullet"/>
      <w:lvlText w:val="•"/>
      <w:lvlJc w:val="left"/>
      <w:pPr>
        <w:ind w:left="1946" w:hanging="360"/>
      </w:pPr>
      <w:rPr>
        <w:rFonts w:hint="default"/>
        <w:lang w:val="en-US" w:eastAsia="en-US" w:bidi="ar-SA"/>
      </w:rPr>
    </w:lvl>
    <w:lvl w:ilvl="2" w:tplc="4C5254E6">
      <w:numFmt w:val="bullet"/>
      <w:lvlText w:val="•"/>
      <w:lvlJc w:val="left"/>
      <w:pPr>
        <w:ind w:left="2813" w:hanging="360"/>
      </w:pPr>
      <w:rPr>
        <w:rFonts w:hint="default"/>
        <w:lang w:val="en-US" w:eastAsia="en-US" w:bidi="ar-SA"/>
      </w:rPr>
    </w:lvl>
    <w:lvl w:ilvl="3" w:tplc="4B7402F2">
      <w:numFmt w:val="bullet"/>
      <w:lvlText w:val="•"/>
      <w:lvlJc w:val="left"/>
      <w:pPr>
        <w:ind w:left="3680" w:hanging="360"/>
      </w:pPr>
      <w:rPr>
        <w:rFonts w:hint="default"/>
        <w:lang w:val="en-US" w:eastAsia="en-US" w:bidi="ar-SA"/>
      </w:rPr>
    </w:lvl>
    <w:lvl w:ilvl="4" w:tplc="655ABCCC">
      <w:numFmt w:val="bullet"/>
      <w:lvlText w:val="•"/>
      <w:lvlJc w:val="left"/>
      <w:pPr>
        <w:ind w:left="4547" w:hanging="360"/>
      </w:pPr>
      <w:rPr>
        <w:rFonts w:hint="default"/>
        <w:lang w:val="en-US" w:eastAsia="en-US" w:bidi="ar-SA"/>
      </w:rPr>
    </w:lvl>
    <w:lvl w:ilvl="5" w:tplc="5D1C85FA">
      <w:numFmt w:val="bullet"/>
      <w:lvlText w:val="•"/>
      <w:lvlJc w:val="left"/>
      <w:pPr>
        <w:ind w:left="5414" w:hanging="360"/>
      </w:pPr>
      <w:rPr>
        <w:rFonts w:hint="default"/>
        <w:lang w:val="en-US" w:eastAsia="en-US" w:bidi="ar-SA"/>
      </w:rPr>
    </w:lvl>
    <w:lvl w:ilvl="6" w:tplc="7196EF0C">
      <w:numFmt w:val="bullet"/>
      <w:lvlText w:val="•"/>
      <w:lvlJc w:val="left"/>
      <w:pPr>
        <w:ind w:left="6280" w:hanging="360"/>
      </w:pPr>
      <w:rPr>
        <w:rFonts w:hint="default"/>
        <w:lang w:val="en-US" w:eastAsia="en-US" w:bidi="ar-SA"/>
      </w:rPr>
    </w:lvl>
    <w:lvl w:ilvl="7" w:tplc="2CE49436">
      <w:numFmt w:val="bullet"/>
      <w:lvlText w:val="•"/>
      <w:lvlJc w:val="left"/>
      <w:pPr>
        <w:ind w:left="7147" w:hanging="360"/>
      </w:pPr>
      <w:rPr>
        <w:rFonts w:hint="default"/>
        <w:lang w:val="en-US" w:eastAsia="en-US" w:bidi="ar-SA"/>
      </w:rPr>
    </w:lvl>
    <w:lvl w:ilvl="8" w:tplc="853E27A4">
      <w:numFmt w:val="bullet"/>
      <w:lvlText w:val="•"/>
      <w:lvlJc w:val="left"/>
      <w:pPr>
        <w:ind w:left="8014" w:hanging="360"/>
      </w:pPr>
      <w:rPr>
        <w:rFonts w:hint="default"/>
        <w:lang w:val="en-US" w:eastAsia="en-US" w:bidi="ar-SA"/>
      </w:rPr>
    </w:lvl>
  </w:abstractNum>
  <w:abstractNum w:abstractNumId="77" w15:restartNumberingAfterBreak="0">
    <w:nsid w:val="35873899"/>
    <w:multiLevelType w:val="multilevel"/>
    <w:tmpl w:val="F2D44F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363F4BEE"/>
    <w:multiLevelType w:val="multilevel"/>
    <w:tmpl w:val="4C1643EA"/>
    <w:lvl w:ilvl="0">
      <w:start w:val="7"/>
      <w:numFmt w:val="decimal"/>
      <w:lvlText w:val="%1."/>
      <w:lvlJc w:val="left"/>
      <w:pPr>
        <w:ind w:left="510" w:hanging="510"/>
      </w:pPr>
      <w:rPr>
        <w:rFonts w:hint="default"/>
      </w:rPr>
    </w:lvl>
    <w:lvl w:ilvl="1">
      <w:start w:val="4"/>
      <w:numFmt w:val="decimal"/>
      <w:lvlText w:val="%1.%2."/>
      <w:lvlJc w:val="left"/>
      <w:pPr>
        <w:ind w:left="510" w:hanging="51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9" w15:restartNumberingAfterBreak="0">
    <w:nsid w:val="36FC1446"/>
    <w:multiLevelType w:val="hybridMultilevel"/>
    <w:tmpl w:val="CCF20CE6"/>
    <w:lvl w:ilvl="0" w:tplc="EFCE5970">
      <w:start w:val="1"/>
      <w:numFmt w:val="decimal"/>
      <w:lvlText w:val="4.%1."/>
      <w:lvlJc w:val="left"/>
      <w:pPr>
        <w:ind w:left="108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0" w15:restartNumberingAfterBreak="0">
    <w:nsid w:val="37421380"/>
    <w:multiLevelType w:val="hybridMultilevel"/>
    <w:tmpl w:val="7D06E6A4"/>
    <w:lvl w:ilvl="0" w:tplc="E4DC684E">
      <w:numFmt w:val="bullet"/>
      <w:lvlText w:val="-"/>
      <w:lvlJc w:val="left"/>
      <w:pPr>
        <w:ind w:left="1080" w:hanging="360"/>
      </w:pPr>
      <w:rPr>
        <w:rFonts w:ascii="Arial MT" w:eastAsia="Arial MT" w:hAnsi="Arial MT" w:cs="Arial MT" w:hint="default"/>
        <w:b w:val="0"/>
        <w:bCs w:val="0"/>
        <w:i w:val="0"/>
        <w:iCs w:val="0"/>
        <w:spacing w:val="0"/>
        <w:w w:val="100"/>
        <w:sz w:val="24"/>
        <w:szCs w:val="24"/>
        <w:lang w:val="en-US" w:eastAsia="en-US" w:bidi="ar-SA"/>
      </w:rPr>
    </w:lvl>
    <w:lvl w:ilvl="1" w:tplc="E618D9E4">
      <w:numFmt w:val="bullet"/>
      <w:lvlText w:val="•"/>
      <w:lvlJc w:val="left"/>
      <w:pPr>
        <w:ind w:left="1946" w:hanging="360"/>
      </w:pPr>
      <w:rPr>
        <w:rFonts w:hint="default"/>
        <w:lang w:val="en-US" w:eastAsia="en-US" w:bidi="ar-SA"/>
      </w:rPr>
    </w:lvl>
    <w:lvl w:ilvl="2" w:tplc="9A52C038">
      <w:numFmt w:val="bullet"/>
      <w:lvlText w:val="•"/>
      <w:lvlJc w:val="left"/>
      <w:pPr>
        <w:ind w:left="2813" w:hanging="360"/>
      </w:pPr>
      <w:rPr>
        <w:rFonts w:hint="default"/>
        <w:lang w:val="en-US" w:eastAsia="en-US" w:bidi="ar-SA"/>
      </w:rPr>
    </w:lvl>
    <w:lvl w:ilvl="3" w:tplc="98AEC51C">
      <w:numFmt w:val="bullet"/>
      <w:lvlText w:val="•"/>
      <w:lvlJc w:val="left"/>
      <w:pPr>
        <w:ind w:left="3680" w:hanging="360"/>
      </w:pPr>
      <w:rPr>
        <w:rFonts w:hint="default"/>
        <w:lang w:val="en-US" w:eastAsia="en-US" w:bidi="ar-SA"/>
      </w:rPr>
    </w:lvl>
    <w:lvl w:ilvl="4" w:tplc="40EC2570">
      <w:numFmt w:val="bullet"/>
      <w:lvlText w:val="•"/>
      <w:lvlJc w:val="left"/>
      <w:pPr>
        <w:ind w:left="4547" w:hanging="360"/>
      </w:pPr>
      <w:rPr>
        <w:rFonts w:hint="default"/>
        <w:lang w:val="en-US" w:eastAsia="en-US" w:bidi="ar-SA"/>
      </w:rPr>
    </w:lvl>
    <w:lvl w:ilvl="5" w:tplc="99EA0D86">
      <w:numFmt w:val="bullet"/>
      <w:lvlText w:val="•"/>
      <w:lvlJc w:val="left"/>
      <w:pPr>
        <w:ind w:left="5414" w:hanging="360"/>
      </w:pPr>
      <w:rPr>
        <w:rFonts w:hint="default"/>
        <w:lang w:val="en-US" w:eastAsia="en-US" w:bidi="ar-SA"/>
      </w:rPr>
    </w:lvl>
    <w:lvl w:ilvl="6" w:tplc="2EB40A14">
      <w:numFmt w:val="bullet"/>
      <w:lvlText w:val="•"/>
      <w:lvlJc w:val="left"/>
      <w:pPr>
        <w:ind w:left="6280" w:hanging="360"/>
      </w:pPr>
      <w:rPr>
        <w:rFonts w:hint="default"/>
        <w:lang w:val="en-US" w:eastAsia="en-US" w:bidi="ar-SA"/>
      </w:rPr>
    </w:lvl>
    <w:lvl w:ilvl="7" w:tplc="014C104C">
      <w:numFmt w:val="bullet"/>
      <w:lvlText w:val="•"/>
      <w:lvlJc w:val="left"/>
      <w:pPr>
        <w:ind w:left="7147" w:hanging="360"/>
      </w:pPr>
      <w:rPr>
        <w:rFonts w:hint="default"/>
        <w:lang w:val="en-US" w:eastAsia="en-US" w:bidi="ar-SA"/>
      </w:rPr>
    </w:lvl>
    <w:lvl w:ilvl="8" w:tplc="A2E4832E">
      <w:numFmt w:val="bullet"/>
      <w:lvlText w:val="•"/>
      <w:lvlJc w:val="left"/>
      <w:pPr>
        <w:ind w:left="8014" w:hanging="360"/>
      </w:pPr>
      <w:rPr>
        <w:rFonts w:hint="default"/>
        <w:lang w:val="en-US" w:eastAsia="en-US" w:bidi="ar-SA"/>
      </w:rPr>
    </w:lvl>
  </w:abstractNum>
  <w:abstractNum w:abstractNumId="81" w15:restartNumberingAfterBreak="0">
    <w:nsid w:val="38887C31"/>
    <w:multiLevelType w:val="multilevel"/>
    <w:tmpl w:val="64C090B4"/>
    <w:lvl w:ilvl="0">
      <w:start w:val="6"/>
      <w:numFmt w:val="decimal"/>
      <w:lvlText w:val="%1."/>
      <w:lvlJc w:val="left"/>
      <w:pPr>
        <w:ind w:left="660" w:hanging="66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2" w15:restartNumberingAfterBreak="0">
    <w:nsid w:val="395A7742"/>
    <w:multiLevelType w:val="hybridMultilevel"/>
    <w:tmpl w:val="06066C96"/>
    <w:lvl w:ilvl="0" w:tplc="1A3CCB8A">
      <w:numFmt w:val="bullet"/>
      <w:lvlText w:val="-"/>
      <w:lvlJc w:val="left"/>
      <w:pPr>
        <w:ind w:left="1080" w:hanging="360"/>
      </w:pPr>
      <w:rPr>
        <w:rFonts w:ascii="Arial MT" w:eastAsia="Arial MT" w:hAnsi="Arial MT" w:cs="Arial MT" w:hint="default"/>
        <w:b w:val="0"/>
        <w:bCs w:val="0"/>
        <w:i w:val="0"/>
        <w:iCs w:val="0"/>
        <w:spacing w:val="0"/>
        <w:w w:val="100"/>
        <w:sz w:val="24"/>
        <w:szCs w:val="24"/>
        <w:lang w:val="en-US" w:eastAsia="en-US" w:bidi="ar-SA"/>
      </w:rPr>
    </w:lvl>
    <w:lvl w:ilvl="1" w:tplc="ED5C767E">
      <w:numFmt w:val="bullet"/>
      <w:lvlText w:val="•"/>
      <w:lvlJc w:val="left"/>
      <w:pPr>
        <w:ind w:left="1982" w:hanging="360"/>
      </w:pPr>
      <w:rPr>
        <w:rFonts w:hint="default"/>
        <w:lang w:val="en-US" w:eastAsia="en-US" w:bidi="ar-SA"/>
      </w:rPr>
    </w:lvl>
    <w:lvl w:ilvl="2" w:tplc="1CA65CCA">
      <w:numFmt w:val="bullet"/>
      <w:lvlText w:val="•"/>
      <w:lvlJc w:val="left"/>
      <w:pPr>
        <w:ind w:left="2885" w:hanging="360"/>
      </w:pPr>
      <w:rPr>
        <w:rFonts w:hint="default"/>
        <w:lang w:val="en-US" w:eastAsia="en-US" w:bidi="ar-SA"/>
      </w:rPr>
    </w:lvl>
    <w:lvl w:ilvl="3" w:tplc="2CE00F7A">
      <w:numFmt w:val="bullet"/>
      <w:lvlText w:val="•"/>
      <w:lvlJc w:val="left"/>
      <w:pPr>
        <w:ind w:left="3788" w:hanging="360"/>
      </w:pPr>
      <w:rPr>
        <w:rFonts w:hint="default"/>
        <w:lang w:val="en-US" w:eastAsia="en-US" w:bidi="ar-SA"/>
      </w:rPr>
    </w:lvl>
    <w:lvl w:ilvl="4" w:tplc="0D40C9CE">
      <w:numFmt w:val="bullet"/>
      <w:lvlText w:val="•"/>
      <w:lvlJc w:val="left"/>
      <w:pPr>
        <w:ind w:left="4691" w:hanging="360"/>
      </w:pPr>
      <w:rPr>
        <w:rFonts w:hint="default"/>
        <w:lang w:val="en-US" w:eastAsia="en-US" w:bidi="ar-SA"/>
      </w:rPr>
    </w:lvl>
    <w:lvl w:ilvl="5" w:tplc="94B09244">
      <w:numFmt w:val="bullet"/>
      <w:lvlText w:val="•"/>
      <w:lvlJc w:val="left"/>
      <w:pPr>
        <w:ind w:left="5594" w:hanging="360"/>
      </w:pPr>
      <w:rPr>
        <w:rFonts w:hint="default"/>
        <w:lang w:val="en-US" w:eastAsia="en-US" w:bidi="ar-SA"/>
      </w:rPr>
    </w:lvl>
    <w:lvl w:ilvl="6" w:tplc="AB1262D6">
      <w:numFmt w:val="bullet"/>
      <w:lvlText w:val="•"/>
      <w:lvlJc w:val="left"/>
      <w:pPr>
        <w:ind w:left="6496" w:hanging="360"/>
      </w:pPr>
      <w:rPr>
        <w:rFonts w:hint="default"/>
        <w:lang w:val="en-US" w:eastAsia="en-US" w:bidi="ar-SA"/>
      </w:rPr>
    </w:lvl>
    <w:lvl w:ilvl="7" w:tplc="35544C40">
      <w:numFmt w:val="bullet"/>
      <w:lvlText w:val="•"/>
      <w:lvlJc w:val="left"/>
      <w:pPr>
        <w:ind w:left="7399" w:hanging="360"/>
      </w:pPr>
      <w:rPr>
        <w:rFonts w:hint="default"/>
        <w:lang w:val="en-US" w:eastAsia="en-US" w:bidi="ar-SA"/>
      </w:rPr>
    </w:lvl>
    <w:lvl w:ilvl="8" w:tplc="B39A9EC2">
      <w:numFmt w:val="bullet"/>
      <w:lvlText w:val="•"/>
      <w:lvlJc w:val="left"/>
      <w:pPr>
        <w:ind w:left="8302" w:hanging="360"/>
      </w:pPr>
      <w:rPr>
        <w:rFonts w:hint="default"/>
        <w:lang w:val="en-US" w:eastAsia="en-US" w:bidi="ar-SA"/>
      </w:rPr>
    </w:lvl>
  </w:abstractNum>
  <w:abstractNum w:abstractNumId="83" w15:restartNumberingAfterBreak="0">
    <w:nsid w:val="396A4CCF"/>
    <w:multiLevelType w:val="hybridMultilevel"/>
    <w:tmpl w:val="AA0AC90A"/>
    <w:lvl w:ilvl="0" w:tplc="10DAC3E2">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4536BA68">
      <w:numFmt w:val="bullet"/>
      <w:lvlText w:val="•"/>
      <w:lvlJc w:val="left"/>
      <w:pPr>
        <w:ind w:left="1511" w:hanging="360"/>
      </w:pPr>
      <w:rPr>
        <w:rFonts w:hint="default"/>
        <w:lang w:val="en-US" w:eastAsia="en-US" w:bidi="ar-SA"/>
      </w:rPr>
    </w:lvl>
    <w:lvl w:ilvl="2" w:tplc="9620F7E6">
      <w:numFmt w:val="bullet"/>
      <w:lvlText w:val="•"/>
      <w:lvlJc w:val="left"/>
      <w:pPr>
        <w:ind w:left="2203" w:hanging="360"/>
      </w:pPr>
      <w:rPr>
        <w:rFonts w:hint="default"/>
        <w:lang w:val="en-US" w:eastAsia="en-US" w:bidi="ar-SA"/>
      </w:rPr>
    </w:lvl>
    <w:lvl w:ilvl="3" w:tplc="E2F22216">
      <w:numFmt w:val="bullet"/>
      <w:lvlText w:val="•"/>
      <w:lvlJc w:val="left"/>
      <w:pPr>
        <w:ind w:left="2894" w:hanging="360"/>
      </w:pPr>
      <w:rPr>
        <w:rFonts w:hint="default"/>
        <w:lang w:val="en-US" w:eastAsia="en-US" w:bidi="ar-SA"/>
      </w:rPr>
    </w:lvl>
    <w:lvl w:ilvl="4" w:tplc="F21E3036">
      <w:numFmt w:val="bullet"/>
      <w:lvlText w:val="•"/>
      <w:lvlJc w:val="left"/>
      <w:pPr>
        <w:ind w:left="3586" w:hanging="360"/>
      </w:pPr>
      <w:rPr>
        <w:rFonts w:hint="default"/>
        <w:lang w:val="en-US" w:eastAsia="en-US" w:bidi="ar-SA"/>
      </w:rPr>
    </w:lvl>
    <w:lvl w:ilvl="5" w:tplc="D214DBD6">
      <w:numFmt w:val="bullet"/>
      <w:lvlText w:val="•"/>
      <w:lvlJc w:val="left"/>
      <w:pPr>
        <w:ind w:left="4278" w:hanging="360"/>
      </w:pPr>
      <w:rPr>
        <w:rFonts w:hint="default"/>
        <w:lang w:val="en-US" w:eastAsia="en-US" w:bidi="ar-SA"/>
      </w:rPr>
    </w:lvl>
    <w:lvl w:ilvl="6" w:tplc="50BCA198">
      <w:numFmt w:val="bullet"/>
      <w:lvlText w:val="•"/>
      <w:lvlJc w:val="left"/>
      <w:pPr>
        <w:ind w:left="4969" w:hanging="360"/>
      </w:pPr>
      <w:rPr>
        <w:rFonts w:hint="default"/>
        <w:lang w:val="en-US" w:eastAsia="en-US" w:bidi="ar-SA"/>
      </w:rPr>
    </w:lvl>
    <w:lvl w:ilvl="7" w:tplc="DFC425B2">
      <w:numFmt w:val="bullet"/>
      <w:lvlText w:val="•"/>
      <w:lvlJc w:val="left"/>
      <w:pPr>
        <w:ind w:left="5661" w:hanging="360"/>
      </w:pPr>
      <w:rPr>
        <w:rFonts w:hint="default"/>
        <w:lang w:val="en-US" w:eastAsia="en-US" w:bidi="ar-SA"/>
      </w:rPr>
    </w:lvl>
    <w:lvl w:ilvl="8" w:tplc="678E3D70">
      <w:numFmt w:val="bullet"/>
      <w:lvlText w:val="•"/>
      <w:lvlJc w:val="left"/>
      <w:pPr>
        <w:ind w:left="6352" w:hanging="360"/>
      </w:pPr>
      <w:rPr>
        <w:rFonts w:hint="default"/>
        <w:lang w:val="en-US" w:eastAsia="en-US" w:bidi="ar-SA"/>
      </w:rPr>
    </w:lvl>
  </w:abstractNum>
  <w:abstractNum w:abstractNumId="84" w15:restartNumberingAfterBreak="0">
    <w:nsid w:val="3B237391"/>
    <w:multiLevelType w:val="hybridMultilevel"/>
    <w:tmpl w:val="91E68BF2"/>
    <w:lvl w:ilvl="0" w:tplc="3CFE27CC">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0FA6B322">
      <w:numFmt w:val="bullet"/>
      <w:lvlText w:val="•"/>
      <w:lvlJc w:val="left"/>
      <w:pPr>
        <w:ind w:left="1511" w:hanging="360"/>
      </w:pPr>
      <w:rPr>
        <w:rFonts w:hint="default"/>
        <w:lang w:val="en-US" w:eastAsia="en-US" w:bidi="ar-SA"/>
      </w:rPr>
    </w:lvl>
    <w:lvl w:ilvl="2" w:tplc="9C8081A4">
      <w:numFmt w:val="bullet"/>
      <w:lvlText w:val="•"/>
      <w:lvlJc w:val="left"/>
      <w:pPr>
        <w:ind w:left="2203" w:hanging="360"/>
      </w:pPr>
      <w:rPr>
        <w:rFonts w:hint="default"/>
        <w:lang w:val="en-US" w:eastAsia="en-US" w:bidi="ar-SA"/>
      </w:rPr>
    </w:lvl>
    <w:lvl w:ilvl="3" w:tplc="19424AA0">
      <w:numFmt w:val="bullet"/>
      <w:lvlText w:val="•"/>
      <w:lvlJc w:val="left"/>
      <w:pPr>
        <w:ind w:left="2894" w:hanging="360"/>
      </w:pPr>
      <w:rPr>
        <w:rFonts w:hint="default"/>
        <w:lang w:val="en-US" w:eastAsia="en-US" w:bidi="ar-SA"/>
      </w:rPr>
    </w:lvl>
    <w:lvl w:ilvl="4" w:tplc="58DEA5B4">
      <w:numFmt w:val="bullet"/>
      <w:lvlText w:val="•"/>
      <w:lvlJc w:val="left"/>
      <w:pPr>
        <w:ind w:left="3586" w:hanging="360"/>
      </w:pPr>
      <w:rPr>
        <w:rFonts w:hint="default"/>
        <w:lang w:val="en-US" w:eastAsia="en-US" w:bidi="ar-SA"/>
      </w:rPr>
    </w:lvl>
    <w:lvl w:ilvl="5" w:tplc="7818AFC0">
      <w:numFmt w:val="bullet"/>
      <w:lvlText w:val="•"/>
      <w:lvlJc w:val="left"/>
      <w:pPr>
        <w:ind w:left="4278" w:hanging="360"/>
      </w:pPr>
      <w:rPr>
        <w:rFonts w:hint="default"/>
        <w:lang w:val="en-US" w:eastAsia="en-US" w:bidi="ar-SA"/>
      </w:rPr>
    </w:lvl>
    <w:lvl w:ilvl="6" w:tplc="EFA4FE0A">
      <w:numFmt w:val="bullet"/>
      <w:lvlText w:val="•"/>
      <w:lvlJc w:val="left"/>
      <w:pPr>
        <w:ind w:left="4969" w:hanging="360"/>
      </w:pPr>
      <w:rPr>
        <w:rFonts w:hint="default"/>
        <w:lang w:val="en-US" w:eastAsia="en-US" w:bidi="ar-SA"/>
      </w:rPr>
    </w:lvl>
    <w:lvl w:ilvl="7" w:tplc="7D826DF6">
      <w:numFmt w:val="bullet"/>
      <w:lvlText w:val="•"/>
      <w:lvlJc w:val="left"/>
      <w:pPr>
        <w:ind w:left="5661" w:hanging="360"/>
      </w:pPr>
      <w:rPr>
        <w:rFonts w:hint="default"/>
        <w:lang w:val="en-US" w:eastAsia="en-US" w:bidi="ar-SA"/>
      </w:rPr>
    </w:lvl>
    <w:lvl w:ilvl="8" w:tplc="D0CA92F4">
      <w:numFmt w:val="bullet"/>
      <w:lvlText w:val="•"/>
      <w:lvlJc w:val="left"/>
      <w:pPr>
        <w:ind w:left="6352" w:hanging="360"/>
      </w:pPr>
      <w:rPr>
        <w:rFonts w:hint="default"/>
        <w:lang w:val="en-US" w:eastAsia="en-US" w:bidi="ar-SA"/>
      </w:rPr>
    </w:lvl>
  </w:abstractNum>
  <w:abstractNum w:abstractNumId="85" w15:restartNumberingAfterBreak="0">
    <w:nsid w:val="3B7B2F89"/>
    <w:multiLevelType w:val="multilevel"/>
    <w:tmpl w:val="9EE4F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3BA1484B"/>
    <w:multiLevelType w:val="hybridMultilevel"/>
    <w:tmpl w:val="2D5EB48A"/>
    <w:lvl w:ilvl="0" w:tplc="7F1000A0">
      <w:start w:val="1"/>
      <w:numFmt w:val="decimal"/>
      <w:lvlText w:val="%1."/>
      <w:lvlJc w:val="left"/>
      <w:pPr>
        <w:ind w:left="1080" w:hanging="360"/>
      </w:pPr>
      <w:rPr>
        <w:rFonts w:ascii="Arial MT" w:eastAsia="Arial MT" w:hAnsi="Arial MT" w:cs="Arial MT" w:hint="default"/>
        <w:b w:val="0"/>
        <w:bCs w:val="0"/>
        <w:i w:val="0"/>
        <w:iCs w:val="0"/>
        <w:spacing w:val="-2"/>
        <w:w w:val="100"/>
        <w:sz w:val="24"/>
        <w:szCs w:val="24"/>
        <w:lang w:val="en-US" w:eastAsia="en-US" w:bidi="ar-SA"/>
      </w:rPr>
    </w:lvl>
    <w:lvl w:ilvl="1" w:tplc="7AFC787C">
      <w:numFmt w:val="bullet"/>
      <w:lvlText w:val="•"/>
      <w:lvlJc w:val="left"/>
      <w:pPr>
        <w:ind w:left="1946" w:hanging="360"/>
      </w:pPr>
      <w:rPr>
        <w:rFonts w:hint="default"/>
        <w:lang w:val="en-US" w:eastAsia="en-US" w:bidi="ar-SA"/>
      </w:rPr>
    </w:lvl>
    <w:lvl w:ilvl="2" w:tplc="BDACEA48">
      <w:numFmt w:val="bullet"/>
      <w:lvlText w:val="•"/>
      <w:lvlJc w:val="left"/>
      <w:pPr>
        <w:ind w:left="2813" w:hanging="360"/>
      </w:pPr>
      <w:rPr>
        <w:rFonts w:hint="default"/>
        <w:lang w:val="en-US" w:eastAsia="en-US" w:bidi="ar-SA"/>
      </w:rPr>
    </w:lvl>
    <w:lvl w:ilvl="3" w:tplc="68A6354C">
      <w:numFmt w:val="bullet"/>
      <w:lvlText w:val="•"/>
      <w:lvlJc w:val="left"/>
      <w:pPr>
        <w:ind w:left="3680" w:hanging="360"/>
      </w:pPr>
      <w:rPr>
        <w:rFonts w:hint="default"/>
        <w:lang w:val="en-US" w:eastAsia="en-US" w:bidi="ar-SA"/>
      </w:rPr>
    </w:lvl>
    <w:lvl w:ilvl="4" w:tplc="1EECA4AC">
      <w:numFmt w:val="bullet"/>
      <w:lvlText w:val="•"/>
      <w:lvlJc w:val="left"/>
      <w:pPr>
        <w:ind w:left="4547" w:hanging="360"/>
      </w:pPr>
      <w:rPr>
        <w:rFonts w:hint="default"/>
        <w:lang w:val="en-US" w:eastAsia="en-US" w:bidi="ar-SA"/>
      </w:rPr>
    </w:lvl>
    <w:lvl w:ilvl="5" w:tplc="0C06C170">
      <w:numFmt w:val="bullet"/>
      <w:lvlText w:val="•"/>
      <w:lvlJc w:val="left"/>
      <w:pPr>
        <w:ind w:left="5414" w:hanging="360"/>
      </w:pPr>
      <w:rPr>
        <w:rFonts w:hint="default"/>
        <w:lang w:val="en-US" w:eastAsia="en-US" w:bidi="ar-SA"/>
      </w:rPr>
    </w:lvl>
    <w:lvl w:ilvl="6" w:tplc="97C4C4FA">
      <w:numFmt w:val="bullet"/>
      <w:lvlText w:val="•"/>
      <w:lvlJc w:val="left"/>
      <w:pPr>
        <w:ind w:left="6280" w:hanging="360"/>
      </w:pPr>
      <w:rPr>
        <w:rFonts w:hint="default"/>
        <w:lang w:val="en-US" w:eastAsia="en-US" w:bidi="ar-SA"/>
      </w:rPr>
    </w:lvl>
    <w:lvl w:ilvl="7" w:tplc="2EAAA172">
      <w:numFmt w:val="bullet"/>
      <w:lvlText w:val="•"/>
      <w:lvlJc w:val="left"/>
      <w:pPr>
        <w:ind w:left="7147" w:hanging="360"/>
      </w:pPr>
      <w:rPr>
        <w:rFonts w:hint="default"/>
        <w:lang w:val="en-US" w:eastAsia="en-US" w:bidi="ar-SA"/>
      </w:rPr>
    </w:lvl>
    <w:lvl w:ilvl="8" w:tplc="03701F14">
      <w:numFmt w:val="bullet"/>
      <w:lvlText w:val="•"/>
      <w:lvlJc w:val="left"/>
      <w:pPr>
        <w:ind w:left="8014" w:hanging="360"/>
      </w:pPr>
      <w:rPr>
        <w:rFonts w:hint="default"/>
        <w:lang w:val="en-US" w:eastAsia="en-US" w:bidi="ar-SA"/>
      </w:rPr>
    </w:lvl>
  </w:abstractNum>
  <w:abstractNum w:abstractNumId="87" w15:restartNumberingAfterBreak="0">
    <w:nsid w:val="3C821008"/>
    <w:multiLevelType w:val="hybridMultilevel"/>
    <w:tmpl w:val="18D27094"/>
    <w:lvl w:ilvl="0" w:tplc="38090001">
      <w:start w:val="1"/>
      <w:numFmt w:val="bullet"/>
      <w:lvlText w:val=""/>
      <w:lvlJc w:val="left"/>
      <w:pPr>
        <w:ind w:left="1571" w:hanging="360"/>
      </w:pPr>
      <w:rPr>
        <w:rFonts w:ascii="Symbol" w:hAnsi="Symbol" w:hint="default"/>
      </w:rPr>
    </w:lvl>
    <w:lvl w:ilvl="1" w:tplc="38090003" w:tentative="1">
      <w:start w:val="1"/>
      <w:numFmt w:val="bullet"/>
      <w:lvlText w:val="o"/>
      <w:lvlJc w:val="left"/>
      <w:pPr>
        <w:ind w:left="2291" w:hanging="360"/>
      </w:pPr>
      <w:rPr>
        <w:rFonts w:ascii="Courier New" w:hAnsi="Courier New" w:cs="Courier New" w:hint="default"/>
      </w:rPr>
    </w:lvl>
    <w:lvl w:ilvl="2" w:tplc="38090005" w:tentative="1">
      <w:start w:val="1"/>
      <w:numFmt w:val="bullet"/>
      <w:lvlText w:val=""/>
      <w:lvlJc w:val="left"/>
      <w:pPr>
        <w:ind w:left="3011" w:hanging="360"/>
      </w:pPr>
      <w:rPr>
        <w:rFonts w:ascii="Wingdings" w:hAnsi="Wingdings" w:hint="default"/>
      </w:rPr>
    </w:lvl>
    <w:lvl w:ilvl="3" w:tplc="38090001" w:tentative="1">
      <w:start w:val="1"/>
      <w:numFmt w:val="bullet"/>
      <w:lvlText w:val=""/>
      <w:lvlJc w:val="left"/>
      <w:pPr>
        <w:ind w:left="3731" w:hanging="360"/>
      </w:pPr>
      <w:rPr>
        <w:rFonts w:ascii="Symbol" w:hAnsi="Symbol" w:hint="default"/>
      </w:rPr>
    </w:lvl>
    <w:lvl w:ilvl="4" w:tplc="38090003" w:tentative="1">
      <w:start w:val="1"/>
      <w:numFmt w:val="bullet"/>
      <w:lvlText w:val="o"/>
      <w:lvlJc w:val="left"/>
      <w:pPr>
        <w:ind w:left="4451" w:hanging="360"/>
      </w:pPr>
      <w:rPr>
        <w:rFonts w:ascii="Courier New" w:hAnsi="Courier New" w:cs="Courier New" w:hint="default"/>
      </w:rPr>
    </w:lvl>
    <w:lvl w:ilvl="5" w:tplc="38090005" w:tentative="1">
      <w:start w:val="1"/>
      <w:numFmt w:val="bullet"/>
      <w:lvlText w:val=""/>
      <w:lvlJc w:val="left"/>
      <w:pPr>
        <w:ind w:left="5171" w:hanging="360"/>
      </w:pPr>
      <w:rPr>
        <w:rFonts w:ascii="Wingdings" w:hAnsi="Wingdings" w:hint="default"/>
      </w:rPr>
    </w:lvl>
    <w:lvl w:ilvl="6" w:tplc="38090001" w:tentative="1">
      <w:start w:val="1"/>
      <w:numFmt w:val="bullet"/>
      <w:lvlText w:val=""/>
      <w:lvlJc w:val="left"/>
      <w:pPr>
        <w:ind w:left="5891" w:hanging="360"/>
      </w:pPr>
      <w:rPr>
        <w:rFonts w:ascii="Symbol" w:hAnsi="Symbol" w:hint="default"/>
      </w:rPr>
    </w:lvl>
    <w:lvl w:ilvl="7" w:tplc="38090003" w:tentative="1">
      <w:start w:val="1"/>
      <w:numFmt w:val="bullet"/>
      <w:lvlText w:val="o"/>
      <w:lvlJc w:val="left"/>
      <w:pPr>
        <w:ind w:left="6611" w:hanging="360"/>
      </w:pPr>
      <w:rPr>
        <w:rFonts w:ascii="Courier New" w:hAnsi="Courier New" w:cs="Courier New" w:hint="default"/>
      </w:rPr>
    </w:lvl>
    <w:lvl w:ilvl="8" w:tplc="38090005" w:tentative="1">
      <w:start w:val="1"/>
      <w:numFmt w:val="bullet"/>
      <w:lvlText w:val=""/>
      <w:lvlJc w:val="left"/>
      <w:pPr>
        <w:ind w:left="7331" w:hanging="360"/>
      </w:pPr>
      <w:rPr>
        <w:rFonts w:ascii="Wingdings" w:hAnsi="Wingdings" w:hint="default"/>
      </w:rPr>
    </w:lvl>
  </w:abstractNum>
  <w:abstractNum w:abstractNumId="88" w15:restartNumberingAfterBreak="0">
    <w:nsid w:val="3F2D5A3F"/>
    <w:multiLevelType w:val="multilevel"/>
    <w:tmpl w:val="CA4663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3F5138EC"/>
    <w:multiLevelType w:val="multilevel"/>
    <w:tmpl w:val="FA808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3F945B2F"/>
    <w:multiLevelType w:val="hybridMultilevel"/>
    <w:tmpl w:val="D910CD08"/>
    <w:lvl w:ilvl="0" w:tplc="3A147ADA">
      <w:numFmt w:val="bullet"/>
      <w:lvlText w:val="-"/>
      <w:lvlJc w:val="left"/>
      <w:pPr>
        <w:ind w:left="826" w:hanging="360"/>
      </w:pPr>
      <w:rPr>
        <w:rFonts w:ascii="Arial MT" w:eastAsia="Arial MT" w:hAnsi="Arial MT" w:cs="Arial MT" w:hint="default"/>
        <w:b w:val="0"/>
        <w:bCs w:val="0"/>
        <w:i w:val="0"/>
        <w:iCs w:val="0"/>
        <w:spacing w:val="0"/>
        <w:w w:val="100"/>
        <w:sz w:val="24"/>
        <w:szCs w:val="24"/>
        <w:lang w:val="en-US" w:eastAsia="en-US" w:bidi="ar-SA"/>
      </w:rPr>
    </w:lvl>
    <w:lvl w:ilvl="1" w:tplc="84924C60">
      <w:numFmt w:val="bullet"/>
      <w:lvlText w:val="•"/>
      <w:lvlJc w:val="left"/>
      <w:pPr>
        <w:ind w:left="1119" w:hanging="360"/>
      </w:pPr>
      <w:rPr>
        <w:rFonts w:hint="default"/>
        <w:lang w:val="en-US" w:eastAsia="en-US" w:bidi="ar-SA"/>
      </w:rPr>
    </w:lvl>
    <w:lvl w:ilvl="2" w:tplc="8A9858EE">
      <w:numFmt w:val="bullet"/>
      <w:lvlText w:val="•"/>
      <w:lvlJc w:val="left"/>
      <w:pPr>
        <w:ind w:left="1418" w:hanging="360"/>
      </w:pPr>
      <w:rPr>
        <w:rFonts w:hint="default"/>
        <w:lang w:val="en-US" w:eastAsia="en-US" w:bidi="ar-SA"/>
      </w:rPr>
    </w:lvl>
    <w:lvl w:ilvl="3" w:tplc="F6082D74">
      <w:numFmt w:val="bullet"/>
      <w:lvlText w:val="•"/>
      <w:lvlJc w:val="left"/>
      <w:pPr>
        <w:ind w:left="1717" w:hanging="360"/>
      </w:pPr>
      <w:rPr>
        <w:rFonts w:hint="default"/>
        <w:lang w:val="en-US" w:eastAsia="en-US" w:bidi="ar-SA"/>
      </w:rPr>
    </w:lvl>
    <w:lvl w:ilvl="4" w:tplc="32C06250">
      <w:numFmt w:val="bullet"/>
      <w:lvlText w:val="•"/>
      <w:lvlJc w:val="left"/>
      <w:pPr>
        <w:ind w:left="2016" w:hanging="360"/>
      </w:pPr>
      <w:rPr>
        <w:rFonts w:hint="default"/>
        <w:lang w:val="en-US" w:eastAsia="en-US" w:bidi="ar-SA"/>
      </w:rPr>
    </w:lvl>
    <w:lvl w:ilvl="5" w:tplc="2F8214B6">
      <w:numFmt w:val="bullet"/>
      <w:lvlText w:val="•"/>
      <w:lvlJc w:val="left"/>
      <w:pPr>
        <w:ind w:left="2316" w:hanging="360"/>
      </w:pPr>
      <w:rPr>
        <w:rFonts w:hint="default"/>
        <w:lang w:val="en-US" w:eastAsia="en-US" w:bidi="ar-SA"/>
      </w:rPr>
    </w:lvl>
    <w:lvl w:ilvl="6" w:tplc="D184514E">
      <w:numFmt w:val="bullet"/>
      <w:lvlText w:val="•"/>
      <w:lvlJc w:val="left"/>
      <w:pPr>
        <w:ind w:left="2615" w:hanging="360"/>
      </w:pPr>
      <w:rPr>
        <w:rFonts w:hint="default"/>
        <w:lang w:val="en-US" w:eastAsia="en-US" w:bidi="ar-SA"/>
      </w:rPr>
    </w:lvl>
    <w:lvl w:ilvl="7" w:tplc="9D02C5D4">
      <w:numFmt w:val="bullet"/>
      <w:lvlText w:val="•"/>
      <w:lvlJc w:val="left"/>
      <w:pPr>
        <w:ind w:left="2914" w:hanging="360"/>
      </w:pPr>
      <w:rPr>
        <w:rFonts w:hint="default"/>
        <w:lang w:val="en-US" w:eastAsia="en-US" w:bidi="ar-SA"/>
      </w:rPr>
    </w:lvl>
    <w:lvl w:ilvl="8" w:tplc="F474CA46">
      <w:numFmt w:val="bullet"/>
      <w:lvlText w:val="•"/>
      <w:lvlJc w:val="left"/>
      <w:pPr>
        <w:ind w:left="3213" w:hanging="360"/>
      </w:pPr>
      <w:rPr>
        <w:rFonts w:hint="default"/>
        <w:lang w:val="en-US" w:eastAsia="en-US" w:bidi="ar-SA"/>
      </w:rPr>
    </w:lvl>
  </w:abstractNum>
  <w:abstractNum w:abstractNumId="91" w15:restartNumberingAfterBreak="0">
    <w:nsid w:val="405374E8"/>
    <w:multiLevelType w:val="hybridMultilevel"/>
    <w:tmpl w:val="78C49292"/>
    <w:lvl w:ilvl="0" w:tplc="5E6CA8B6">
      <w:numFmt w:val="bullet"/>
      <w:lvlText w:val="●"/>
      <w:lvlJc w:val="left"/>
      <w:pPr>
        <w:ind w:left="1068" w:hanging="361"/>
      </w:pPr>
      <w:rPr>
        <w:rFonts w:ascii="Arial MT" w:eastAsia="Arial MT" w:hAnsi="Arial MT" w:cs="Arial MT" w:hint="default"/>
        <w:b w:val="0"/>
        <w:bCs w:val="0"/>
        <w:i w:val="0"/>
        <w:iCs w:val="0"/>
        <w:spacing w:val="0"/>
        <w:w w:val="60"/>
        <w:sz w:val="24"/>
        <w:szCs w:val="24"/>
        <w:lang w:val="en-US" w:eastAsia="en-US" w:bidi="ar-SA"/>
      </w:rPr>
    </w:lvl>
    <w:lvl w:ilvl="1" w:tplc="ED4AECC0">
      <w:numFmt w:val="bullet"/>
      <w:lvlText w:val="•"/>
      <w:lvlJc w:val="left"/>
      <w:pPr>
        <w:ind w:left="1964" w:hanging="361"/>
      </w:pPr>
      <w:rPr>
        <w:rFonts w:hint="default"/>
        <w:lang w:val="en-US" w:eastAsia="en-US" w:bidi="ar-SA"/>
      </w:rPr>
    </w:lvl>
    <w:lvl w:ilvl="2" w:tplc="2E6410E2">
      <w:numFmt w:val="bullet"/>
      <w:lvlText w:val="•"/>
      <w:lvlJc w:val="left"/>
      <w:pPr>
        <w:ind w:left="2869" w:hanging="361"/>
      </w:pPr>
      <w:rPr>
        <w:rFonts w:hint="default"/>
        <w:lang w:val="en-US" w:eastAsia="en-US" w:bidi="ar-SA"/>
      </w:rPr>
    </w:lvl>
    <w:lvl w:ilvl="3" w:tplc="1814FFF0">
      <w:numFmt w:val="bullet"/>
      <w:lvlText w:val="•"/>
      <w:lvlJc w:val="left"/>
      <w:pPr>
        <w:ind w:left="3774" w:hanging="361"/>
      </w:pPr>
      <w:rPr>
        <w:rFonts w:hint="default"/>
        <w:lang w:val="en-US" w:eastAsia="en-US" w:bidi="ar-SA"/>
      </w:rPr>
    </w:lvl>
    <w:lvl w:ilvl="4" w:tplc="2D3486A0">
      <w:numFmt w:val="bullet"/>
      <w:lvlText w:val="•"/>
      <w:lvlJc w:val="left"/>
      <w:pPr>
        <w:ind w:left="4679" w:hanging="361"/>
      </w:pPr>
      <w:rPr>
        <w:rFonts w:hint="default"/>
        <w:lang w:val="en-US" w:eastAsia="en-US" w:bidi="ar-SA"/>
      </w:rPr>
    </w:lvl>
    <w:lvl w:ilvl="5" w:tplc="1594188A">
      <w:numFmt w:val="bullet"/>
      <w:lvlText w:val="•"/>
      <w:lvlJc w:val="left"/>
      <w:pPr>
        <w:ind w:left="5584" w:hanging="361"/>
      </w:pPr>
      <w:rPr>
        <w:rFonts w:hint="default"/>
        <w:lang w:val="en-US" w:eastAsia="en-US" w:bidi="ar-SA"/>
      </w:rPr>
    </w:lvl>
    <w:lvl w:ilvl="6" w:tplc="CBAC4106">
      <w:numFmt w:val="bullet"/>
      <w:lvlText w:val="•"/>
      <w:lvlJc w:val="left"/>
      <w:pPr>
        <w:ind w:left="6488" w:hanging="361"/>
      </w:pPr>
      <w:rPr>
        <w:rFonts w:hint="default"/>
        <w:lang w:val="en-US" w:eastAsia="en-US" w:bidi="ar-SA"/>
      </w:rPr>
    </w:lvl>
    <w:lvl w:ilvl="7" w:tplc="189A25FE">
      <w:numFmt w:val="bullet"/>
      <w:lvlText w:val="•"/>
      <w:lvlJc w:val="left"/>
      <w:pPr>
        <w:ind w:left="7393" w:hanging="361"/>
      </w:pPr>
      <w:rPr>
        <w:rFonts w:hint="default"/>
        <w:lang w:val="en-US" w:eastAsia="en-US" w:bidi="ar-SA"/>
      </w:rPr>
    </w:lvl>
    <w:lvl w:ilvl="8" w:tplc="E25C6D40">
      <w:numFmt w:val="bullet"/>
      <w:lvlText w:val="•"/>
      <w:lvlJc w:val="left"/>
      <w:pPr>
        <w:ind w:left="8298" w:hanging="361"/>
      </w:pPr>
      <w:rPr>
        <w:rFonts w:hint="default"/>
        <w:lang w:val="en-US" w:eastAsia="en-US" w:bidi="ar-SA"/>
      </w:rPr>
    </w:lvl>
  </w:abstractNum>
  <w:abstractNum w:abstractNumId="92" w15:restartNumberingAfterBreak="0">
    <w:nsid w:val="40C17847"/>
    <w:multiLevelType w:val="hybridMultilevel"/>
    <w:tmpl w:val="0AEA0BC0"/>
    <w:lvl w:ilvl="0" w:tplc="23A4D784">
      <w:numFmt w:val="bullet"/>
      <w:lvlText w:val="o"/>
      <w:lvlJc w:val="left"/>
      <w:pPr>
        <w:ind w:left="1801" w:hanging="360"/>
      </w:pPr>
      <w:rPr>
        <w:rFonts w:ascii="Courier New" w:eastAsia="Courier New" w:hAnsi="Courier New" w:cs="Courier New" w:hint="default"/>
        <w:b w:val="0"/>
        <w:bCs w:val="0"/>
        <w:i w:val="0"/>
        <w:iCs w:val="0"/>
        <w:spacing w:val="0"/>
        <w:w w:val="100"/>
        <w:sz w:val="20"/>
        <w:szCs w:val="20"/>
        <w:lang w:val="en-US" w:eastAsia="en-US" w:bidi="ar-SA"/>
      </w:rPr>
    </w:lvl>
    <w:lvl w:ilvl="1" w:tplc="819A795C">
      <w:numFmt w:val="bullet"/>
      <w:lvlText w:val="•"/>
      <w:lvlJc w:val="left"/>
      <w:pPr>
        <w:ind w:left="2594" w:hanging="360"/>
      </w:pPr>
      <w:rPr>
        <w:rFonts w:hint="default"/>
        <w:lang w:val="en-US" w:eastAsia="en-US" w:bidi="ar-SA"/>
      </w:rPr>
    </w:lvl>
    <w:lvl w:ilvl="2" w:tplc="5D60BB88">
      <w:numFmt w:val="bullet"/>
      <w:lvlText w:val="•"/>
      <w:lvlJc w:val="left"/>
      <w:pPr>
        <w:ind w:left="3389" w:hanging="360"/>
      </w:pPr>
      <w:rPr>
        <w:rFonts w:hint="default"/>
        <w:lang w:val="en-US" w:eastAsia="en-US" w:bidi="ar-SA"/>
      </w:rPr>
    </w:lvl>
    <w:lvl w:ilvl="3" w:tplc="045462FE">
      <w:numFmt w:val="bullet"/>
      <w:lvlText w:val="•"/>
      <w:lvlJc w:val="left"/>
      <w:pPr>
        <w:ind w:left="4184" w:hanging="360"/>
      </w:pPr>
      <w:rPr>
        <w:rFonts w:hint="default"/>
        <w:lang w:val="en-US" w:eastAsia="en-US" w:bidi="ar-SA"/>
      </w:rPr>
    </w:lvl>
    <w:lvl w:ilvl="4" w:tplc="31B0A868">
      <w:numFmt w:val="bullet"/>
      <w:lvlText w:val="•"/>
      <w:lvlJc w:val="left"/>
      <w:pPr>
        <w:ind w:left="4979" w:hanging="360"/>
      </w:pPr>
      <w:rPr>
        <w:rFonts w:hint="default"/>
        <w:lang w:val="en-US" w:eastAsia="en-US" w:bidi="ar-SA"/>
      </w:rPr>
    </w:lvl>
    <w:lvl w:ilvl="5" w:tplc="28E2BFBE">
      <w:numFmt w:val="bullet"/>
      <w:lvlText w:val="•"/>
      <w:lvlJc w:val="left"/>
      <w:pPr>
        <w:ind w:left="5774" w:hanging="360"/>
      </w:pPr>
      <w:rPr>
        <w:rFonts w:hint="default"/>
        <w:lang w:val="en-US" w:eastAsia="en-US" w:bidi="ar-SA"/>
      </w:rPr>
    </w:lvl>
    <w:lvl w:ilvl="6" w:tplc="5DA291A2">
      <w:numFmt w:val="bullet"/>
      <w:lvlText w:val="•"/>
      <w:lvlJc w:val="left"/>
      <w:pPr>
        <w:ind w:left="6568" w:hanging="360"/>
      </w:pPr>
      <w:rPr>
        <w:rFonts w:hint="default"/>
        <w:lang w:val="en-US" w:eastAsia="en-US" w:bidi="ar-SA"/>
      </w:rPr>
    </w:lvl>
    <w:lvl w:ilvl="7" w:tplc="70329946">
      <w:numFmt w:val="bullet"/>
      <w:lvlText w:val="•"/>
      <w:lvlJc w:val="left"/>
      <w:pPr>
        <w:ind w:left="7363" w:hanging="360"/>
      </w:pPr>
      <w:rPr>
        <w:rFonts w:hint="default"/>
        <w:lang w:val="en-US" w:eastAsia="en-US" w:bidi="ar-SA"/>
      </w:rPr>
    </w:lvl>
    <w:lvl w:ilvl="8" w:tplc="BB541D98">
      <w:numFmt w:val="bullet"/>
      <w:lvlText w:val="•"/>
      <w:lvlJc w:val="left"/>
      <w:pPr>
        <w:ind w:left="8158" w:hanging="360"/>
      </w:pPr>
      <w:rPr>
        <w:rFonts w:hint="default"/>
        <w:lang w:val="en-US" w:eastAsia="en-US" w:bidi="ar-SA"/>
      </w:rPr>
    </w:lvl>
  </w:abstractNum>
  <w:abstractNum w:abstractNumId="93" w15:restartNumberingAfterBreak="0">
    <w:nsid w:val="416F7182"/>
    <w:multiLevelType w:val="multilevel"/>
    <w:tmpl w:val="A15A67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42045B7E"/>
    <w:multiLevelType w:val="hybridMultilevel"/>
    <w:tmpl w:val="60088806"/>
    <w:lvl w:ilvl="0" w:tplc="D88E7928">
      <w:start w:val="3"/>
      <w:numFmt w:val="upperLetter"/>
      <w:lvlText w:val="%1."/>
      <w:lvlJc w:val="left"/>
      <w:pPr>
        <w:tabs>
          <w:tab w:val="num" w:pos="720"/>
        </w:tabs>
        <w:ind w:left="720" w:hanging="360"/>
      </w:pPr>
    </w:lvl>
    <w:lvl w:ilvl="1" w:tplc="90BAA86A" w:tentative="1">
      <w:start w:val="1"/>
      <w:numFmt w:val="decimal"/>
      <w:lvlText w:val="%2."/>
      <w:lvlJc w:val="left"/>
      <w:pPr>
        <w:tabs>
          <w:tab w:val="num" w:pos="1440"/>
        </w:tabs>
        <w:ind w:left="1440" w:hanging="360"/>
      </w:pPr>
    </w:lvl>
    <w:lvl w:ilvl="2" w:tplc="8A4296D8" w:tentative="1">
      <w:start w:val="1"/>
      <w:numFmt w:val="decimal"/>
      <w:lvlText w:val="%3."/>
      <w:lvlJc w:val="left"/>
      <w:pPr>
        <w:tabs>
          <w:tab w:val="num" w:pos="2160"/>
        </w:tabs>
        <w:ind w:left="2160" w:hanging="360"/>
      </w:pPr>
    </w:lvl>
    <w:lvl w:ilvl="3" w:tplc="6D943C4E" w:tentative="1">
      <w:start w:val="1"/>
      <w:numFmt w:val="decimal"/>
      <w:lvlText w:val="%4."/>
      <w:lvlJc w:val="left"/>
      <w:pPr>
        <w:tabs>
          <w:tab w:val="num" w:pos="2880"/>
        </w:tabs>
        <w:ind w:left="2880" w:hanging="360"/>
      </w:pPr>
    </w:lvl>
    <w:lvl w:ilvl="4" w:tplc="043E0CD6" w:tentative="1">
      <w:start w:val="1"/>
      <w:numFmt w:val="decimal"/>
      <w:lvlText w:val="%5."/>
      <w:lvlJc w:val="left"/>
      <w:pPr>
        <w:tabs>
          <w:tab w:val="num" w:pos="3600"/>
        </w:tabs>
        <w:ind w:left="3600" w:hanging="360"/>
      </w:pPr>
    </w:lvl>
    <w:lvl w:ilvl="5" w:tplc="EA82295E" w:tentative="1">
      <w:start w:val="1"/>
      <w:numFmt w:val="decimal"/>
      <w:lvlText w:val="%6."/>
      <w:lvlJc w:val="left"/>
      <w:pPr>
        <w:tabs>
          <w:tab w:val="num" w:pos="4320"/>
        </w:tabs>
        <w:ind w:left="4320" w:hanging="360"/>
      </w:pPr>
    </w:lvl>
    <w:lvl w:ilvl="6" w:tplc="77CC6B08" w:tentative="1">
      <w:start w:val="1"/>
      <w:numFmt w:val="decimal"/>
      <w:lvlText w:val="%7."/>
      <w:lvlJc w:val="left"/>
      <w:pPr>
        <w:tabs>
          <w:tab w:val="num" w:pos="5040"/>
        </w:tabs>
        <w:ind w:left="5040" w:hanging="360"/>
      </w:pPr>
    </w:lvl>
    <w:lvl w:ilvl="7" w:tplc="AAF03CD0" w:tentative="1">
      <w:start w:val="1"/>
      <w:numFmt w:val="decimal"/>
      <w:lvlText w:val="%8."/>
      <w:lvlJc w:val="left"/>
      <w:pPr>
        <w:tabs>
          <w:tab w:val="num" w:pos="5760"/>
        </w:tabs>
        <w:ind w:left="5760" w:hanging="360"/>
      </w:pPr>
    </w:lvl>
    <w:lvl w:ilvl="8" w:tplc="814CB474" w:tentative="1">
      <w:start w:val="1"/>
      <w:numFmt w:val="decimal"/>
      <w:lvlText w:val="%9."/>
      <w:lvlJc w:val="left"/>
      <w:pPr>
        <w:tabs>
          <w:tab w:val="num" w:pos="6480"/>
        </w:tabs>
        <w:ind w:left="6480" w:hanging="360"/>
      </w:pPr>
    </w:lvl>
  </w:abstractNum>
  <w:abstractNum w:abstractNumId="95" w15:restartNumberingAfterBreak="0">
    <w:nsid w:val="422D7154"/>
    <w:multiLevelType w:val="hybridMultilevel"/>
    <w:tmpl w:val="DAA0ECF6"/>
    <w:lvl w:ilvl="0" w:tplc="43068970">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1" w:tplc="0A361E34">
      <w:numFmt w:val="bullet"/>
      <w:lvlText w:val="o"/>
      <w:lvlJc w:val="left"/>
      <w:pPr>
        <w:ind w:left="1801" w:hanging="360"/>
      </w:pPr>
      <w:rPr>
        <w:rFonts w:ascii="Courier New" w:eastAsia="Courier New" w:hAnsi="Courier New" w:cs="Courier New" w:hint="default"/>
        <w:b w:val="0"/>
        <w:bCs w:val="0"/>
        <w:i w:val="0"/>
        <w:iCs w:val="0"/>
        <w:spacing w:val="0"/>
        <w:w w:val="100"/>
        <w:sz w:val="20"/>
        <w:szCs w:val="20"/>
        <w:lang w:val="en-US" w:eastAsia="en-US" w:bidi="ar-SA"/>
      </w:rPr>
    </w:lvl>
    <w:lvl w:ilvl="2" w:tplc="12C095AE">
      <w:numFmt w:val="bullet"/>
      <w:lvlText w:val="•"/>
      <w:lvlJc w:val="left"/>
      <w:pPr>
        <w:ind w:left="2683" w:hanging="360"/>
      </w:pPr>
      <w:rPr>
        <w:rFonts w:hint="default"/>
        <w:lang w:val="en-US" w:eastAsia="en-US" w:bidi="ar-SA"/>
      </w:rPr>
    </w:lvl>
    <w:lvl w:ilvl="3" w:tplc="AA2274FE">
      <w:numFmt w:val="bullet"/>
      <w:lvlText w:val="•"/>
      <w:lvlJc w:val="left"/>
      <w:pPr>
        <w:ind w:left="3566" w:hanging="360"/>
      </w:pPr>
      <w:rPr>
        <w:rFonts w:hint="default"/>
        <w:lang w:val="en-US" w:eastAsia="en-US" w:bidi="ar-SA"/>
      </w:rPr>
    </w:lvl>
    <w:lvl w:ilvl="4" w:tplc="CFAA42CC">
      <w:numFmt w:val="bullet"/>
      <w:lvlText w:val="•"/>
      <w:lvlJc w:val="left"/>
      <w:pPr>
        <w:ind w:left="4449" w:hanging="360"/>
      </w:pPr>
      <w:rPr>
        <w:rFonts w:hint="default"/>
        <w:lang w:val="en-US" w:eastAsia="en-US" w:bidi="ar-SA"/>
      </w:rPr>
    </w:lvl>
    <w:lvl w:ilvl="5" w:tplc="D9400B9C">
      <w:numFmt w:val="bullet"/>
      <w:lvlText w:val="•"/>
      <w:lvlJc w:val="left"/>
      <w:pPr>
        <w:ind w:left="5332" w:hanging="360"/>
      </w:pPr>
      <w:rPr>
        <w:rFonts w:hint="default"/>
        <w:lang w:val="en-US" w:eastAsia="en-US" w:bidi="ar-SA"/>
      </w:rPr>
    </w:lvl>
    <w:lvl w:ilvl="6" w:tplc="B5364DB4">
      <w:numFmt w:val="bullet"/>
      <w:lvlText w:val="•"/>
      <w:lvlJc w:val="left"/>
      <w:pPr>
        <w:ind w:left="6215" w:hanging="360"/>
      </w:pPr>
      <w:rPr>
        <w:rFonts w:hint="default"/>
        <w:lang w:val="en-US" w:eastAsia="en-US" w:bidi="ar-SA"/>
      </w:rPr>
    </w:lvl>
    <w:lvl w:ilvl="7" w:tplc="51FA6CCC">
      <w:numFmt w:val="bullet"/>
      <w:lvlText w:val="•"/>
      <w:lvlJc w:val="left"/>
      <w:pPr>
        <w:ind w:left="7098" w:hanging="360"/>
      </w:pPr>
      <w:rPr>
        <w:rFonts w:hint="default"/>
        <w:lang w:val="en-US" w:eastAsia="en-US" w:bidi="ar-SA"/>
      </w:rPr>
    </w:lvl>
    <w:lvl w:ilvl="8" w:tplc="614AEC9C">
      <w:numFmt w:val="bullet"/>
      <w:lvlText w:val="•"/>
      <w:lvlJc w:val="left"/>
      <w:pPr>
        <w:ind w:left="7981" w:hanging="360"/>
      </w:pPr>
      <w:rPr>
        <w:rFonts w:hint="default"/>
        <w:lang w:val="en-US" w:eastAsia="en-US" w:bidi="ar-SA"/>
      </w:rPr>
    </w:lvl>
  </w:abstractNum>
  <w:abstractNum w:abstractNumId="96" w15:restartNumberingAfterBreak="0">
    <w:nsid w:val="44412CE1"/>
    <w:multiLevelType w:val="hybridMultilevel"/>
    <w:tmpl w:val="E4F8B868"/>
    <w:lvl w:ilvl="0" w:tplc="F9AE2AD0">
      <w:start w:val="1"/>
      <w:numFmt w:val="decimal"/>
      <w:lvlText w:val="%1."/>
      <w:lvlJc w:val="left"/>
      <w:pPr>
        <w:ind w:left="1080" w:hanging="360"/>
      </w:pPr>
      <w:rPr>
        <w:rFonts w:ascii="Arial MT" w:eastAsia="Arial MT" w:hAnsi="Arial MT" w:cs="Arial MT" w:hint="default"/>
        <w:b w:val="0"/>
        <w:bCs w:val="0"/>
        <w:i w:val="0"/>
        <w:iCs w:val="0"/>
        <w:spacing w:val="-2"/>
        <w:w w:val="100"/>
        <w:sz w:val="24"/>
        <w:szCs w:val="24"/>
        <w:lang w:val="en-US" w:eastAsia="en-US" w:bidi="ar-SA"/>
      </w:rPr>
    </w:lvl>
    <w:lvl w:ilvl="1" w:tplc="CD34C15E">
      <w:numFmt w:val="bullet"/>
      <w:lvlText w:val="•"/>
      <w:lvlJc w:val="left"/>
      <w:pPr>
        <w:ind w:left="1946" w:hanging="360"/>
      </w:pPr>
      <w:rPr>
        <w:rFonts w:hint="default"/>
        <w:lang w:val="en-US" w:eastAsia="en-US" w:bidi="ar-SA"/>
      </w:rPr>
    </w:lvl>
    <w:lvl w:ilvl="2" w:tplc="AD88BDE0">
      <w:numFmt w:val="bullet"/>
      <w:lvlText w:val="•"/>
      <w:lvlJc w:val="left"/>
      <w:pPr>
        <w:ind w:left="2813" w:hanging="360"/>
      </w:pPr>
      <w:rPr>
        <w:rFonts w:hint="default"/>
        <w:lang w:val="en-US" w:eastAsia="en-US" w:bidi="ar-SA"/>
      </w:rPr>
    </w:lvl>
    <w:lvl w:ilvl="3" w:tplc="DDAA4592">
      <w:numFmt w:val="bullet"/>
      <w:lvlText w:val="•"/>
      <w:lvlJc w:val="left"/>
      <w:pPr>
        <w:ind w:left="3680" w:hanging="360"/>
      </w:pPr>
      <w:rPr>
        <w:rFonts w:hint="default"/>
        <w:lang w:val="en-US" w:eastAsia="en-US" w:bidi="ar-SA"/>
      </w:rPr>
    </w:lvl>
    <w:lvl w:ilvl="4" w:tplc="6B644568">
      <w:numFmt w:val="bullet"/>
      <w:lvlText w:val="•"/>
      <w:lvlJc w:val="left"/>
      <w:pPr>
        <w:ind w:left="4547" w:hanging="360"/>
      </w:pPr>
      <w:rPr>
        <w:rFonts w:hint="default"/>
        <w:lang w:val="en-US" w:eastAsia="en-US" w:bidi="ar-SA"/>
      </w:rPr>
    </w:lvl>
    <w:lvl w:ilvl="5" w:tplc="2F6C91FA">
      <w:numFmt w:val="bullet"/>
      <w:lvlText w:val="•"/>
      <w:lvlJc w:val="left"/>
      <w:pPr>
        <w:ind w:left="5414" w:hanging="360"/>
      </w:pPr>
      <w:rPr>
        <w:rFonts w:hint="default"/>
        <w:lang w:val="en-US" w:eastAsia="en-US" w:bidi="ar-SA"/>
      </w:rPr>
    </w:lvl>
    <w:lvl w:ilvl="6" w:tplc="8B70D690">
      <w:numFmt w:val="bullet"/>
      <w:lvlText w:val="•"/>
      <w:lvlJc w:val="left"/>
      <w:pPr>
        <w:ind w:left="6280" w:hanging="360"/>
      </w:pPr>
      <w:rPr>
        <w:rFonts w:hint="default"/>
        <w:lang w:val="en-US" w:eastAsia="en-US" w:bidi="ar-SA"/>
      </w:rPr>
    </w:lvl>
    <w:lvl w:ilvl="7" w:tplc="0F3E0482">
      <w:numFmt w:val="bullet"/>
      <w:lvlText w:val="•"/>
      <w:lvlJc w:val="left"/>
      <w:pPr>
        <w:ind w:left="7147" w:hanging="360"/>
      </w:pPr>
      <w:rPr>
        <w:rFonts w:hint="default"/>
        <w:lang w:val="en-US" w:eastAsia="en-US" w:bidi="ar-SA"/>
      </w:rPr>
    </w:lvl>
    <w:lvl w:ilvl="8" w:tplc="38FA5514">
      <w:numFmt w:val="bullet"/>
      <w:lvlText w:val="•"/>
      <w:lvlJc w:val="left"/>
      <w:pPr>
        <w:ind w:left="8014" w:hanging="360"/>
      </w:pPr>
      <w:rPr>
        <w:rFonts w:hint="default"/>
        <w:lang w:val="en-US" w:eastAsia="en-US" w:bidi="ar-SA"/>
      </w:rPr>
    </w:lvl>
  </w:abstractNum>
  <w:abstractNum w:abstractNumId="97" w15:restartNumberingAfterBreak="0">
    <w:nsid w:val="44541FF7"/>
    <w:multiLevelType w:val="hybridMultilevel"/>
    <w:tmpl w:val="FC724DE4"/>
    <w:lvl w:ilvl="0" w:tplc="A4F4BC24">
      <w:numFmt w:val="bullet"/>
      <w:lvlText w:val="-"/>
      <w:lvlJc w:val="left"/>
      <w:pPr>
        <w:ind w:left="1080" w:hanging="360"/>
      </w:pPr>
      <w:rPr>
        <w:rFonts w:ascii="Arial MT" w:eastAsia="Arial MT" w:hAnsi="Arial MT" w:cs="Arial MT" w:hint="default"/>
        <w:b w:val="0"/>
        <w:bCs w:val="0"/>
        <w:i w:val="0"/>
        <w:iCs w:val="0"/>
        <w:spacing w:val="0"/>
        <w:w w:val="100"/>
        <w:sz w:val="24"/>
        <w:szCs w:val="24"/>
        <w:lang w:val="en-US" w:eastAsia="en-US" w:bidi="ar-SA"/>
      </w:rPr>
    </w:lvl>
    <w:lvl w:ilvl="1" w:tplc="4260C8E2">
      <w:numFmt w:val="bullet"/>
      <w:lvlText w:val="•"/>
      <w:lvlJc w:val="left"/>
      <w:pPr>
        <w:ind w:left="1946" w:hanging="360"/>
      </w:pPr>
      <w:rPr>
        <w:rFonts w:hint="default"/>
        <w:lang w:val="en-US" w:eastAsia="en-US" w:bidi="ar-SA"/>
      </w:rPr>
    </w:lvl>
    <w:lvl w:ilvl="2" w:tplc="111EF21A">
      <w:numFmt w:val="bullet"/>
      <w:lvlText w:val="•"/>
      <w:lvlJc w:val="left"/>
      <w:pPr>
        <w:ind w:left="2813" w:hanging="360"/>
      </w:pPr>
      <w:rPr>
        <w:rFonts w:hint="default"/>
        <w:lang w:val="en-US" w:eastAsia="en-US" w:bidi="ar-SA"/>
      </w:rPr>
    </w:lvl>
    <w:lvl w:ilvl="3" w:tplc="718680A0">
      <w:numFmt w:val="bullet"/>
      <w:lvlText w:val="•"/>
      <w:lvlJc w:val="left"/>
      <w:pPr>
        <w:ind w:left="3680" w:hanging="360"/>
      </w:pPr>
      <w:rPr>
        <w:rFonts w:hint="default"/>
        <w:lang w:val="en-US" w:eastAsia="en-US" w:bidi="ar-SA"/>
      </w:rPr>
    </w:lvl>
    <w:lvl w:ilvl="4" w:tplc="2076C4FC">
      <w:numFmt w:val="bullet"/>
      <w:lvlText w:val="•"/>
      <w:lvlJc w:val="left"/>
      <w:pPr>
        <w:ind w:left="4547" w:hanging="360"/>
      </w:pPr>
      <w:rPr>
        <w:rFonts w:hint="default"/>
        <w:lang w:val="en-US" w:eastAsia="en-US" w:bidi="ar-SA"/>
      </w:rPr>
    </w:lvl>
    <w:lvl w:ilvl="5" w:tplc="98F8030E">
      <w:numFmt w:val="bullet"/>
      <w:lvlText w:val="•"/>
      <w:lvlJc w:val="left"/>
      <w:pPr>
        <w:ind w:left="5414" w:hanging="360"/>
      </w:pPr>
      <w:rPr>
        <w:rFonts w:hint="default"/>
        <w:lang w:val="en-US" w:eastAsia="en-US" w:bidi="ar-SA"/>
      </w:rPr>
    </w:lvl>
    <w:lvl w:ilvl="6" w:tplc="A658EE08">
      <w:numFmt w:val="bullet"/>
      <w:lvlText w:val="•"/>
      <w:lvlJc w:val="left"/>
      <w:pPr>
        <w:ind w:left="6280" w:hanging="360"/>
      </w:pPr>
      <w:rPr>
        <w:rFonts w:hint="default"/>
        <w:lang w:val="en-US" w:eastAsia="en-US" w:bidi="ar-SA"/>
      </w:rPr>
    </w:lvl>
    <w:lvl w:ilvl="7" w:tplc="69E4C8FC">
      <w:numFmt w:val="bullet"/>
      <w:lvlText w:val="•"/>
      <w:lvlJc w:val="left"/>
      <w:pPr>
        <w:ind w:left="7147" w:hanging="360"/>
      </w:pPr>
      <w:rPr>
        <w:rFonts w:hint="default"/>
        <w:lang w:val="en-US" w:eastAsia="en-US" w:bidi="ar-SA"/>
      </w:rPr>
    </w:lvl>
    <w:lvl w:ilvl="8" w:tplc="F4F4B910">
      <w:numFmt w:val="bullet"/>
      <w:lvlText w:val="•"/>
      <w:lvlJc w:val="left"/>
      <w:pPr>
        <w:ind w:left="8014" w:hanging="360"/>
      </w:pPr>
      <w:rPr>
        <w:rFonts w:hint="default"/>
        <w:lang w:val="en-US" w:eastAsia="en-US" w:bidi="ar-SA"/>
      </w:rPr>
    </w:lvl>
  </w:abstractNum>
  <w:abstractNum w:abstractNumId="98" w15:restartNumberingAfterBreak="0">
    <w:nsid w:val="45853738"/>
    <w:multiLevelType w:val="hybridMultilevel"/>
    <w:tmpl w:val="1E2E559A"/>
    <w:lvl w:ilvl="0" w:tplc="81E81546">
      <w:start w:val="4"/>
      <w:numFmt w:val="upperLetter"/>
      <w:lvlText w:val="%1."/>
      <w:lvlJc w:val="left"/>
      <w:pPr>
        <w:tabs>
          <w:tab w:val="num" w:pos="720"/>
        </w:tabs>
        <w:ind w:left="720" w:hanging="360"/>
      </w:pPr>
    </w:lvl>
    <w:lvl w:ilvl="1" w:tplc="5C8E4776" w:tentative="1">
      <w:start w:val="1"/>
      <w:numFmt w:val="decimal"/>
      <w:lvlText w:val="%2."/>
      <w:lvlJc w:val="left"/>
      <w:pPr>
        <w:tabs>
          <w:tab w:val="num" w:pos="1440"/>
        </w:tabs>
        <w:ind w:left="1440" w:hanging="360"/>
      </w:pPr>
    </w:lvl>
    <w:lvl w:ilvl="2" w:tplc="08AAB44E" w:tentative="1">
      <w:start w:val="1"/>
      <w:numFmt w:val="decimal"/>
      <w:lvlText w:val="%3."/>
      <w:lvlJc w:val="left"/>
      <w:pPr>
        <w:tabs>
          <w:tab w:val="num" w:pos="2160"/>
        </w:tabs>
        <w:ind w:left="2160" w:hanging="360"/>
      </w:pPr>
    </w:lvl>
    <w:lvl w:ilvl="3" w:tplc="83D4BFFA" w:tentative="1">
      <w:start w:val="1"/>
      <w:numFmt w:val="decimal"/>
      <w:lvlText w:val="%4."/>
      <w:lvlJc w:val="left"/>
      <w:pPr>
        <w:tabs>
          <w:tab w:val="num" w:pos="2880"/>
        </w:tabs>
        <w:ind w:left="2880" w:hanging="360"/>
      </w:pPr>
    </w:lvl>
    <w:lvl w:ilvl="4" w:tplc="69A45852" w:tentative="1">
      <w:start w:val="1"/>
      <w:numFmt w:val="decimal"/>
      <w:lvlText w:val="%5."/>
      <w:lvlJc w:val="left"/>
      <w:pPr>
        <w:tabs>
          <w:tab w:val="num" w:pos="3600"/>
        </w:tabs>
        <w:ind w:left="3600" w:hanging="360"/>
      </w:pPr>
    </w:lvl>
    <w:lvl w:ilvl="5" w:tplc="970C3404" w:tentative="1">
      <w:start w:val="1"/>
      <w:numFmt w:val="decimal"/>
      <w:lvlText w:val="%6."/>
      <w:lvlJc w:val="left"/>
      <w:pPr>
        <w:tabs>
          <w:tab w:val="num" w:pos="4320"/>
        </w:tabs>
        <w:ind w:left="4320" w:hanging="360"/>
      </w:pPr>
    </w:lvl>
    <w:lvl w:ilvl="6" w:tplc="E5241E48" w:tentative="1">
      <w:start w:val="1"/>
      <w:numFmt w:val="decimal"/>
      <w:lvlText w:val="%7."/>
      <w:lvlJc w:val="left"/>
      <w:pPr>
        <w:tabs>
          <w:tab w:val="num" w:pos="5040"/>
        </w:tabs>
        <w:ind w:left="5040" w:hanging="360"/>
      </w:pPr>
    </w:lvl>
    <w:lvl w:ilvl="7" w:tplc="2948F81E" w:tentative="1">
      <w:start w:val="1"/>
      <w:numFmt w:val="decimal"/>
      <w:lvlText w:val="%8."/>
      <w:lvlJc w:val="left"/>
      <w:pPr>
        <w:tabs>
          <w:tab w:val="num" w:pos="5760"/>
        </w:tabs>
        <w:ind w:left="5760" w:hanging="360"/>
      </w:pPr>
    </w:lvl>
    <w:lvl w:ilvl="8" w:tplc="3676C150" w:tentative="1">
      <w:start w:val="1"/>
      <w:numFmt w:val="decimal"/>
      <w:lvlText w:val="%9."/>
      <w:lvlJc w:val="left"/>
      <w:pPr>
        <w:tabs>
          <w:tab w:val="num" w:pos="6480"/>
        </w:tabs>
        <w:ind w:left="6480" w:hanging="360"/>
      </w:pPr>
    </w:lvl>
  </w:abstractNum>
  <w:abstractNum w:abstractNumId="99" w15:restartNumberingAfterBreak="0">
    <w:nsid w:val="45F51579"/>
    <w:multiLevelType w:val="multilevel"/>
    <w:tmpl w:val="E34208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462F3F0B"/>
    <w:multiLevelType w:val="multilevel"/>
    <w:tmpl w:val="978E9730"/>
    <w:lvl w:ilvl="0">
      <w:start w:val="4"/>
      <w:numFmt w:val="decimal"/>
      <w:lvlText w:val="%1."/>
      <w:lvlJc w:val="left"/>
      <w:pPr>
        <w:ind w:left="1080" w:hanging="360"/>
        <w:jc w:val="right"/>
      </w:pPr>
      <w:rPr>
        <w:rFonts w:ascii="Arial" w:eastAsia="Arial" w:hAnsi="Arial" w:cs="Arial" w:hint="default"/>
        <w:b/>
        <w:bCs/>
        <w:i w:val="0"/>
        <w:iCs w:val="0"/>
        <w:color w:val="0000FF"/>
        <w:spacing w:val="0"/>
        <w:w w:val="100"/>
        <w:sz w:val="28"/>
        <w:szCs w:val="28"/>
        <w:shd w:val="clear" w:color="auto" w:fill="C5D9F0"/>
        <w:lang w:val="en-US" w:eastAsia="en-US" w:bidi="ar-SA"/>
      </w:rPr>
    </w:lvl>
    <w:lvl w:ilvl="1">
      <w:start w:val="1"/>
      <w:numFmt w:val="decimal"/>
      <w:lvlText w:val="%1.%2."/>
      <w:lvlJc w:val="left"/>
      <w:pPr>
        <w:ind w:left="1172" w:hanging="436"/>
        <w:jc w:val="right"/>
      </w:pPr>
      <w:rPr>
        <w:rFonts w:ascii="Arial" w:eastAsia="Arial" w:hAnsi="Arial" w:cs="Arial" w:hint="default"/>
        <w:b/>
        <w:bCs/>
        <w:i w:val="0"/>
        <w:iCs w:val="0"/>
        <w:spacing w:val="-2"/>
        <w:w w:val="100"/>
        <w:sz w:val="24"/>
        <w:szCs w:val="24"/>
        <w:lang w:val="en-US" w:eastAsia="en-US" w:bidi="ar-SA"/>
      </w:rPr>
    </w:lvl>
    <w:lvl w:ilvl="2">
      <w:start w:val="1"/>
      <w:numFmt w:val="decimal"/>
      <w:lvlText w:val="%1.%2.%3."/>
      <w:lvlJc w:val="left"/>
      <w:pPr>
        <w:ind w:left="1440" w:hanging="720"/>
        <w:jc w:val="right"/>
      </w:pPr>
      <w:rPr>
        <w:rFonts w:ascii="Arial" w:eastAsia="Arial" w:hAnsi="Arial" w:cs="Arial" w:hint="default"/>
        <w:b/>
        <w:bCs/>
        <w:i w:val="0"/>
        <w:iCs w:val="0"/>
        <w:spacing w:val="-2"/>
        <w:w w:val="100"/>
        <w:sz w:val="24"/>
        <w:szCs w:val="24"/>
        <w:lang w:val="en-US" w:eastAsia="en-US" w:bidi="ar-SA"/>
      </w:rPr>
    </w:lvl>
    <w:lvl w:ilvl="3">
      <w:start w:val="1"/>
      <w:numFmt w:val="decimal"/>
      <w:lvlText w:val="%1.%2.%3.%4."/>
      <w:lvlJc w:val="left"/>
      <w:pPr>
        <w:ind w:left="1260" w:hanging="916"/>
      </w:pPr>
      <w:rPr>
        <w:rFonts w:ascii="Arial" w:eastAsia="Arial" w:hAnsi="Arial" w:cs="Arial" w:hint="default"/>
        <w:b/>
        <w:bCs/>
        <w:i w:val="0"/>
        <w:iCs w:val="0"/>
        <w:spacing w:val="-2"/>
        <w:w w:val="100"/>
        <w:sz w:val="24"/>
        <w:szCs w:val="24"/>
        <w:lang w:val="en-US" w:eastAsia="en-US" w:bidi="ar-SA"/>
      </w:rPr>
    </w:lvl>
    <w:lvl w:ilvl="4">
      <w:numFmt w:val="bullet"/>
      <w:lvlText w:val="-"/>
      <w:lvlJc w:val="left"/>
      <w:pPr>
        <w:ind w:left="1080" w:hanging="360"/>
      </w:pPr>
      <w:rPr>
        <w:rFonts w:ascii="Calibri" w:eastAsia="Calibri" w:hAnsi="Calibri" w:cs="Calibri" w:hint="default"/>
        <w:b w:val="0"/>
        <w:bCs w:val="0"/>
        <w:i w:val="0"/>
        <w:iCs w:val="0"/>
        <w:spacing w:val="0"/>
        <w:w w:val="100"/>
        <w:sz w:val="24"/>
        <w:szCs w:val="24"/>
        <w:lang w:val="en-US" w:eastAsia="en-US" w:bidi="ar-SA"/>
      </w:rPr>
    </w:lvl>
    <w:lvl w:ilvl="5">
      <w:numFmt w:val="bullet"/>
      <w:lvlText w:val="•"/>
      <w:lvlJc w:val="left"/>
      <w:pPr>
        <w:ind w:left="1440" w:hanging="360"/>
      </w:pPr>
      <w:rPr>
        <w:rFonts w:hint="default"/>
        <w:lang w:val="en-US" w:eastAsia="en-US" w:bidi="ar-SA"/>
      </w:rPr>
    </w:lvl>
    <w:lvl w:ilvl="6">
      <w:numFmt w:val="bullet"/>
      <w:lvlText w:val="•"/>
      <w:lvlJc w:val="left"/>
      <w:pPr>
        <w:ind w:left="3101" w:hanging="360"/>
      </w:pPr>
      <w:rPr>
        <w:rFonts w:hint="default"/>
        <w:lang w:val="en-US" w:eastAsia="en-US" w:bidi="ar-SA"/>
      </w:rPr>
    </w:lvl>
    <w:lvl w:ilvl="7">
      <w:numFmt w:val="bullet"/>
      <w:lvlText w:val="•"/>
      <w:lvlJc w:val="left"/>
      <w:pPr>
        <w:ind w:left="4763" w:hanging="360"/>
      </w:pPr>
      <w:rPr>
        <w:rFonts w:hint="default"/>
        <w:lang w:val="en-US" w:eastAsia="en-US" w:bidi="ar-SA"/>
      </w:rPr>
    </w:lvl>
    <w:lvl w:ilvl="8">
      <w:numFmt w:val="bullet"/>
      <w:lvlText w:val="•"/>
      <w:lvlJc w:val="left"/>
      <w:pPr>
        <w:ind w:left="6424" w:hanging="360"/>
      </w:pPr>
      <w:rPr>
        <w:rFonts w:hint="default"/>
        <w:lang w:val="en-US" w:eastAsia="en-US" w:bidi="ar-SA"/>
      </w:rPr>
    </w:lvl>
  </w:abstractNum>
  <w:abstractNum w:abstractNumId="101" w15:restartNumberingAfterBreak="0">
    <w:nsid w:val="47485FD5"/>
    <w:multiLevelType w:val="hybridMultilevel"/>
    <w:tmpl w:val="D55CD282"/>
    <w:lvl w:ilvl="0" w:tplc="0D2CACC0">
      <w:start w:val="6"/>
      <w:numFmt w:val="decimal"/>
      <w:lvlText w:val="%1."/>
      <w:lvlJc w:val="left"/>
      <w:pPr>
        <w:ind w:left="388" w:hanging="360"/>
      </w:pPr>
      <w:rPr>
        <w:rFonts w:hint="default"/>
        <w:color w:val="0000FF"/>
      </w:rPr>
    </w:lvl>
    <w:lvl w:ilvl="1" w:tplc="38090019" w:tentative="1">
      <w:start w:val="1"/>
      <w:numFmt w:val="lowerLetter"/>
      <w:lvlText w:val="%2."/>
      <w:lvlJc w:val="left"/>
      <w:pPr>
        <w:ind w:left="1108" w:hanging="360"/>
      </w:pPr>
    </w:lvl>
    <w:lvl w:ilvl="2" w:tplc="3809001B" w:tentative="1">
      <w:start w:val="1"/>
      <w:numFmt w:val="lowerRoman"/>
      <w:lvlText w:val="%3."/>
      <w:lvlJc w:val="right"/>
      <w:pPr>
        <w:ind w:left="1828" w:hanging="180"/>
      </w:pPr>
    </w:lvl>
    <w:lvl w:ilvl="3" w:tplc="3809000F" w:tentative="1">
      <w:start w:val="1"/>
      <w:numFmt w:val="decimal"/>
      <w:lvlText w:val="%4."/>
      <w:lvlJc w:val="left"/>
      <w:pPr>
        <w:ind w:left="2548" w:hanging="360"/>
      </w:pPr>
    </w:lvl>
    <w:lvl w:ilvl="4" w:tplc="38090019" w:tentative="1">
      <w:start w:val="1"/>
      <w:numFmt w:val="lowerLetter"/>
      <w:lvlText w:val="%5."/>
      <w:lvlJc w:val="left"/>
      <w:pPr>
        <w:ind w:left="3268" w:hanging="360"/>
      </w:pPr>
    </w:lvl>
    <w:lvl w:ilvl="5" w:tplc="3809001B" w:tentative="1">
      <w:start w:val="1"/>
      <w:numFmt w:val="lowerRoman"/>
      <w:lvlText w:val="%6."/>
      <w:lvlJc w:val="right"/>
      <w:pPr>
        <w:ind w:left="3988" w:hanging="180"/>
      </w:pPr>
    </w:lvl>
    <w:lvl w:ilvl="6" w:tplc="3809000F" w:tentative="1">
      <w:start w:val="1"/>
      <w:numFmt w:val="decimal"/>
      <w:lvlText w:val="%7."/>
      <w:lvlJc w:val="left"/>
      <w:pPr>
        <w:ind w:left="4708" w:hanging="360"/>
      </w:pPr>
    </w:lvl>
    <w:lvl w:ilvl="7" w:tplc="38090019" w:tentative="1">
      <w:start w:val="1"/>
      <w:numFmt w:val="lowerLetter"/>
      <w:lvlText w:val="%8."/>
      <w:lvlJc w:val="left"/>
      <w:pPr>
        <w:ind w:left="5428" w:hanging="360"/>
      </w:pPr>
    </w:lvl>
    <w:lvl w:ilvl="8" w:tplc="3809001B" w:tentative="1">
      <w:start w:val="1"/>
      <w:numFmt w:val="lowerRoman"/>
      <w:lvlText w:val="%9."/>
      <w:lvlJc w:val="right"/>
      <w:pPr>
        <w:ind w:left="6148" w:hanging="180"/>
      </w:pPr>
    </w:lvl>
  </w:abstractNum>
  <w:abstractNum w:abstractNumId="102" w15:restartNumberingAfterBreak="0">
    <w:nsid w:val="47555A66"/>
    <w:multiLevelType w:val="multilevel"/>
    <w:tmpl w:val="955C92BE"/>
    <w:lvl w:ilvl="0">
      <w:start w:val="4"/>
      <w:numFmt w:val="decimal"/>
      <w:lvlText w:val="%1."/>
      <w:lvlJc w:val="left"/>
      <w:pPr>
        <w:ind w:left="660" w:hanging="660"/>
      </w:pPr>
      <w:rPr>
        <w:rFonts w:hint="default"/>
      </w:rPr>
    </w:lvl>
    <w:lvl w:ilvl="1">
      <w:start w:val="4"/>
      <w:numFmt w:val="decimal"/>
      <w:lvlText w:val="%1.%2."/>
      <w:lvlJc w:val="left"/>
      <w:pPr>
        <w:ind w:left="720" w:hanging="72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3" w15:restartNumberingAfterBreak="0">
    <w:nsid w:val="47846882"/>
    <w:multiLevelType w:val="hybridMultilevel"/>
    <w:tmpl w:val="390877D0"/>
    <w:lvl w:ilvl="0" w:tplc="EDEAED8E">
      <w:start w:val="1"/>
      <w:numFmt w:val="decimal"/>
      <w:lvlText w:val="%1."/>
      <w:lvlJc w:val="left"/>
      <w:pPr>
        <w:ind w:left="627" w:hanging="268"/>
      </w:pPr>
      <w:rPr>
        <w:rFonts w:ascii="Arial" w:eastAsia="Arial" w:hAnsi="Arial" w:cs="Arial" w:hint="default"/>
        <w:b/>
        <w:bCs/>
        <w:i w:val="0"/>
        <w:iCs w:val="0"/>
        <w:spacing w:val="-2"/>
        <w:w w:val="100"/>
        <w:sz w:val="24"/>
        <w:szCs w:val="24"/>
        <w:lang w:val="en-US" w:eastAsia="en-US" w:bidi="ar-SA"/>
      </w:rPr>
    </w:lvl>
    <w:lvl w:ilvl="1" w:tplc="0FDE3048">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2" w:tplc="7FD6C5D8">
      <w:numFmt w:val="bullet"/>
      <w:lvlText w:val="o"/>
      <w:lvlJc w:val="left"/>
      <w:pPr>
        <w:ind w:left="1801" w:hanging="360"/>
      </w:pPr>
      <w:rPr>
        <w:rFonts w:ascii="Courier New" w:eastAsia="Courier New" w:hAnsi="Courier New" w:cs="Courier New" w:hint="default"/>
        <w:b w:val="0"/>
        <w:bCs w:val="0"/>
        <w:i w:val="0"/>
        <w:iCs w:val="0"/>
        <w:spacing w:val="0"/>
        <w:w w:val="100"/>
        <w:sz w:val="20"/>
        <w:szCs w:val="20"/>
        <w:lang w:val="en-US" w:eastAsia="en-US" w:bidi="ar-SA"/>
      </w:rPr>
    </w:lvl>
    <w:lvl w:ilvl="3" w:tplc="7696C038">
      <w:numFmt w:val="bullet"/>
      <w:lvlText w:val="•"/>
      <w:lvlJc w:val="left"/>
      <w:pPr>
        <w:ind w:left="2793" w:hanging="360"/>
      </w:pPr>
      <w:rPr>
        <w:rFonts w:hint="default"/>
        <w:lang w:val="en-US" w:eastAsia="en-US" w:bidi="ar-SA"/>
      </w:rPr>
    </w:lvl>
    <w:lvl w:ilvl="4" w:tplc="97D2BFD8">
      <w:numFmt w:val="bullet"/>
      <w:lvlText w:val="•"/>
      <w:lvlJc w:val="left"/>
      <w:pPr>
        <w:ind w:left="3787" w:hanging="360"/>
      </w:pPr>
      <w:rPr>
        <w:rFonts w:hint="default"/>
        <w:lang w:val="en-US" w:eastAsia="en-US" w:bidi="ar-SA"/>
      </w:rPr>
    </w:lvl>
    <w:lvl w:ilvl="5" w:tplc="71D228BC">
      <w:numFmt w:val="bullet"/>
      <w:lvlText w:val="•"/>
      <w:lvlJc w:val="left"/>
      <w:pPr>
        <w:ind w:left="4780" w:hanging="360"/>
      </w:pPr>
      <w:rPr>
        <w:rFonts w:hint="default"/>
        <w:lang w:val="en-US" w:eastAsia="en-US" w:bidi="ar-SA"/>
      </w:rPr>
    </w:lvl>
    <w:lvl w:ilvl="6" w:tplc="42E01540">
      <w:numFmt w:val="bullet"/>
      <w:lvlText w:val="•"/>
      <w:lvlJc w:val="left"/>
      <w:pPr>
        <w:ind w:left="5774" w:hanging="360"/>
      </w:pPr>
      <w:rPr>
        <w:rFonts w:hint="default"/>
        <w:lang w:val="en-US" w:eastAsia="en-US" w:bidi="ar-SA"/>
      </w:rPr>
    </w:lvl>
    <w:lvl w:ilvl="7" w:tplc="B7B65FEA">
      <w:numFmt w:val="bullet"/>
      <w:lvlText w:val="•"/>
      <w:lvlJc w:val="left"/>
      <w:pPr>
        <w:ind w:left="6767" w:hanging="360"/>
      </w:pPr>
      <w:rPr>
        <w:rFonts w:hint="default"/>
        <w:lang w:val="en-US" w:eastAsia="en-US" w:bidi="ar-SA"/>
      </w:rPr>
    </w:lvl>
    <w:lvl w:ilvl="8" w:tplc="19A2CC4E">
      <w:numFmt w:val="bullet"/>
      <w:lvlText w:val="•"/>
      <w:lvlJc w:val="left"/>
      <w:pPr>
        <w:ind w:left="7761" w:hanging="360"/>
      </w:pPr>
      <w:rPr>
        <w:rFonts w:hint="default"/>
        <w:lang w:val="en-US" w:eastAsia="en-US" w:bidi="ar-SA"/>
      </w:rPr>
    </w:lvl>
  </w:abstractNum>
  <w:abstractNum w:abstractNumId="104" w15:restartNumberingAfterBreak="0">
    <w:nsid w:val="48813698"/>
    <w:multiLevelType w:val="hybridMultilevel"/>
    <w:tmpl w:val="2B70DB96"/>
    <w:lvl w:ilvl="0" w:tplc="8ECA6496">
      <w:numFmt w:val="bullet"/>
      <w:lvlText w:val="-"/>
      <w:lvlJc w:val="left"/>
      <w:pPr>
        <w:ind w:left="1080" w:hanging="360"/>
      </w:pPr>
      <w:rPr>
        <w:rFonts w:ascii="Arial MT" w:eastAsia="Arial MT" w:hAnsi="Arial MT" w:cs="Arial MT" w:hint="default"/>
        <w:b w:val="0"/>
        <w:bCs w:val="0"/>
        <w:i w:val="0"/>
        <w:iCs w:val="0"/>
        <w:spacing w:val="0"/>
        <w:w w:val="100"/>
        <w:sz w:val="24"/>
        <w:szCs w:val="24"/>
        <w:lang w:val="en-US" w:eastAsia="en-US" w:bidi="ar-SA"/>
      </w:rPr>
    </w:lvl>
    <w:lvl w:ilvl="1" w:tplc="6A8E6B9E">
      <w:numFmt w:val="bullet"/>
      <w:lvlText w:val="•"/>
      <w:lvlJc w:val="left"/>
      <w:pPr>
        <w:ind w:left="1946" w:hanging="360"/>
      </w:pPr>
      <w:rPr>
        <w:rFonts w:hint="default"/>
        <w:lang w:val="en-US" w:eastAsia="en-US" w:bidi="ar-SA"/>
      </w:rPr>
    </w:lvl>
    <w:lvl w:ilvl="2" w:tplc="29AE749E">
      <w:numFmt w:val="bullet"/>
      <w:lvlText w:val="•"/>
      <w:lvlJc w:val="left"/>
      <w:pPr>
        <w:ind w:left="2813" w:hanging="360"/>
      </w:pPr>
      <w:rPr>
        <w:rFonts w:hint="default"/>
        <w:lang w:val="en-US" w:eastAsia="en-US" w:bidi="ar-SA"/>
      </w:rPr>
    </w:lvl>
    <w:lvl w:ilvl="3" w:tplc="3C227646">
      <w:numFmt w:val="bullet"/>
      <w:lvlText w:val="•"/>
      <w:lvlJc w:val="left"/>
      <w:pPr>
        <w:ind w:left="3680" w:hanging="360"/>
      </w:pPr>
      <w:rPr>
        <w:rFonts w:hint="default"/>
        <w:lang w:val="en-US" w:eastAsia="en-US" w:bidi="ar-SA"/>
      </w:rPr>
    </w:lvl>
    <w:lvl w:ilvl="4" w:tplc="E91EE1BE">
      <w:numFmt w:val="bullet"/>
      <w:lvlText w:val="•"/>
      <w:lvlJc w:val="left"/>
      <w:pPr>
        <w:ind w:left="4547" w:hanging="360"/>
      </w:pPr>
      <w:rPr>
        <w:rFonts w:hint="default"/>
        <w:lang w:val="en-US" w:eastAsia="en-US" w:bidi="ar-SA"/>
      </w:rPr>
    </w:lvl>
    <w:lvl w:ilvl="5" w:tplc="F6420504">
      <w:numFmt w:val="bullet"/>
      <w:lvlText w:val="•"/>
      <w:lvlJc w:val="left"/>
      <w:pPr>
        <w:ind w:left="5414" w:hanging="360"/>
      </w:pPr>
      <w:rPr>
        <w:rFonts w:hint="default"/>
        <w:lang w:val="en-US" w:eastAsia="en-US" w:bidi="ar-SA"/>
      </w:rPr>
    </w:lvl>
    <w:lvl w:ilvl="6" w:tplc="A9B876EE">
      <w:numFmt w:val="bullet"/>
      <w:lvlText w:val="•"/>
      <w:lvlJc w:val="left"/>
      <w:pPr>
        <w:ind w:left="6280" w:hanging="360"/>
      </w:pPr>
      <w:rPr>
        <w:rFonts w:hint="default"/>
        <w:lang w:val="en-US" w:eastAsia="en-US" w:bidi="ar-SA"/>
      </w:rPr>
    </w:lvl>
    <w:lvl w:ilvl="7" w:tplc="2850F0E6">
      <w:numFmt w:val="bullet"/>
      <w:lvlText w:val="•"/>
      <w:lvlJc w:val="left"/>
      <w:pPr>
        <w:ind w:left="7147" w:hanging="360"/>
      </w:pPr>
      <w:rPr>
        <w:rFonts w:hint="default"/>
        <w:lang w:val="en-US" w:eastAsia="en-US" w:bidi="ar-SA"/>
      </w:rPr>
    </w:lvl>
    <w:lvl w:ilvl="8" w:tplc="6090E5A6">
      <w:numFmt w:val="bullet"/>
      <w:lvlText w:val="•"/>
      <w:lvlJc w:val="left"/>
      <w:pPr>
        <w:ind w:left="8014" w:hanging="360"/>
      </w:pPr>
      <w:rPr>
        <w:rFonts w:hint="default"/>
        <w:lang w:val="en-US" w:eastAsia="en-US" w:bidi="ar-SA"/>
      </w:rPr>
    </w:lvl>
  </w:abstractNum>
  <w:abstractNum w:abstractNumId="105" w15:restartNumberingAfterBreak="0">
    <w:nsid w:val="49337DC2"/>
    <w:multiLevelType w:val="hybridMultilevel"/>
    <w:tmpl w:val="79646DF2"/>
    <w:lvl w:ilvl="0" w:tplc="800E34EE">
      <w:start w:val="1"/>
      <w:numFmt w:val="decimal"/>
      <w:lvlText w:val="7.%1."/>
      <w:lvlJc w:val="left"/>
      <w:pPr>
        <w:ind w:left="720" w:hanging="360"/>
      </w:pPr>
      <w:rPr>
        <w:rFonts w:hint="default"/>
        <w:b/>
        <w:bCs/>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98955F2"/>
    <w:multiLevelType w:val="multilevel"/>
    <w:tmpl w:val="C34E3D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49D9422D"/>
    <w:multiLevelType w:val="hybridMultilevel"/>
    <w:tmpl w:val="04FEE11C"/>
    <w:lvl w:ilvl="0" w:tplc="884E9380">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1CC03A2A">
      <w:numFmt w:val="bullet"/>
      <w:lvlText w:val="•"/>
      <w:lvlJc w:val="left"/>
      <w:pPr>
        <w:ind w:left="1511" w:hanging="360"/>
      </w:pPr>
      <w:rPr>
        <w:rFonts w:hint="default"/>
        <w:lang w:val="en-US" w:eastAsia="en-US" w:bidi="ar-SA"/>
      </w:rPr>
    </w:lvl>
    <w:lvl w:ilvl="2" w:tplc="EC88E340">
      <w:numFmt w:val="bullet"/>
      <w:lvlText w:val="•"/>
      <w:lvlJc w:val="left"/>
      <w:pPr>
        <w:ind w:left="2203" w:hanging="360"/>
      </w:pPr>
      <w:rPr>
        <w:rFonts w:hint="default"/>
        <w:lang w:val="en-US" w:eastAsia="en-US" w:bidi="ar-SA"/>
      </w:rPr>
    </w:lvl>
    <w:lvl w:ilvl="3" w:tplc="B6F0A728">
      <w:numFmt w:val="bullet"/>
      <w:lvlText w:val="•"/>
      <w:lvlJc w:val="left"/>
      <w:pPr>
        <w:ind w:left="2894" w:hanging="360"/>
      </w:pPr>
      <w:rPr>
        <w:rFonts w:hint="default"/>
        <w:lang w:val="en-US" w:eastAsia="en-US" w:bidi="ar-SA"/>
      </w:rPr>
    </w:lvl>
    <w:lvl w:ilvl="4" w:tplc="5C28CD54">
      <w:numFmt w:val="bullet"/>
      <w:lvlText w:val="•"/>
      <w:lvlJc w:val="left"/>
      <w:pPr>
        <w:ind w:left="3586" w:hanging="360"/>
      </w:pPr>
      <w:rPr>
        <w:rFonts w:hint="default"/>
        <w:lang w:val="en-US" w:eastAsia="en-US" w:bidi="ar-SA"/>
      </w:rPr>
    </w:lvl>
    <w:lvl w:ilvl="5" w:tplc="ACA4AF3C">
      <w:numFmt w:val="bullet"/>
      <w:lvlText w:val="•"/>
      <w:lvlJc w:val="left"/>
      <w:pPr>
        <w:ind w:left="4278" w:hanging="360"/>
      </w:pPr>
      <w:rPr>
        <w:rFonts w:hint="default"/>
        <w:lang w:val="en-US" w:eastAsia="en-US" w:bidi="ar-SA"/>
      </w:rPr>
    </w:lvl>
    <w:lvl w:ilvl="6" w:tplc="467A3E84">
      <w:numFmt w:val="bullet"/>
      <w:lvlText w:val="•"/>
      <w:lvlJc w:val="left"/>
      <w:pPr>
        <w:ind w:left="4969" w:hanging="360"/>
      </w:pPr>
      <w:rPr>
        <w:rFonts w:hint="default"/>
        <w:lang w:val="en-US" w:eastAsia="en-US" w:bidi="ar-SA"/>
      </w:rPr>
    </w:lvl>
    <w:lvl w:ilvl="7" w:tplc="DB52533E">
      <w:numFmt w:val="bullet"/>
      <w:lvlText w:val="•"/>
      <w:lvlJc w:val="left"/>
      <w:pPr>
        <w:ind w:left="5661" w:hanging="360"/>
      </w:pPr>
      <w:rPr>
        <w:rFonts w:hint="default"/>
        <w:lang w:val="en-US" w:eastAsia="en-US" w:bidi="ar-SA"/>
      </w:rPr>
    </w:lvl>
    <w:lvl w:ilvl="8" w:tplc="C122BC7A">
      <w:numFmt w:val="bullet"/>
      <w:lvlText w:val="•"/>
      <w:lvlJc w:val="left"/>
      <w:pPr>
        <w:ind w:left="6352" w:hanging="360"/>
      </w:pPr>
      <w:rPr>
        <w:rFonts w:hint="default"/>
        <w:lang w:val="en-US" w:eastAsia="en-US" w:bidi="ar-SA"/>
      </w:rPr>
    </w:lvl>
  </w:abstractNum>
  <w:abstractNum w:abstractNumId="108" w15:restartNumberingAfterBreak="0">
    <w:nsid w:val="4B1F28B9"/>
    <w:multiLevelType w:val="hybridMultilevel"/>
    <w:tmpl w:val="FBB4D750"/>
    <w:lvl w:ilvl="0" w:tplc="AA7A9646">
      <w:start w:val="2"/>
      <w:numFmt w:val="bullet"/>
      <w:lvlText w:val="-"/>
      <w:lvlJc w:val="left"/>
      <w:pPr>
        <w:ind w:left="720" w:hanging="360"/>
      </w:pPr>
      <w:rPr>
        <w:rFonts w:ascii="Arial" w:eastAsia="Times New Roman" w:hAnsi="Arial" w:cs="Aria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09" w15:restartNumberingAfterBreak="0">
    <w:nsid w:val="4B3B4FBC"/>
    <w:multiLevelType w:val="hybridMultilevel"/>
    <w:tmpl w:val="5D00526E"/>
    <w:lvl w:ilvl="0" w:tplc="CAF47ED2">
      <w:start w:val="1"/>
      <w:numFmt w:val="decimal"/>
      <w:lvlText w:val="%1."/>
      <w:lvlJc w:val="left"/>
      <w:pPr>
        <w:ind w:left="54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4B4E3E09"/>
    <w:multiLevelType w:val="multilevel"/>
    <w:tmpl w:val="57163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4C4B274F"/>
    <w:multiLevelType w:val="hybridMultilevel"/>
    <w:tmpl w:val="78D86E3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2" w15:restartNumberingAfterBreak="0">
    <w:nsid w:val="4E030E33"/>
    <w:multiLevelType w:val="hybridMultilevel"/>
    <w:tmpl w:val="BD60A4A8"/>
    <w:lvl w:ilvl="0" w:tplc="6060B826">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1" w:tplc="1122B5F0">
      <w:numFmt w:val="bullet"/>
      <w:lvlText w:val="•"/>
      <w:lvlJc w:val="left"/>
      <w:pPr>
        <w:ind w:left="1946" w:hanging="360"/>
      </w:pPr>
      <w:rPr>
        <w:rFonts w:hint="default"/>
        <w:lang w:val="en-US" w:eastAsia="en-US" w:bidi="ar-SA"/>
      </w:rPr>
    </w:lvl>
    <w:lvl w:ilvl="2" w:tplc="6ADC0710">
      <w:numFmt w:val="bullet"/>
      <w:lvlText w:val="•"/>
      <w:lvlJc w:val="left"/>
      <w:pPr>
        <w:ind w:left="2813" w:hanging="360"/>
      </w:pPr>
      <w:rPr>
        <w:rFonts w:hint="default"/>
        <w:lang w:val="en-US" w:eastAsia="en-US" w:bidi="ar-SA"/>
      </w:rPr>
    </w:lvl>
    <w:lvl w:ilvl="3" w:tplc="6CB00068">
      <w:numFmt w:val="bullet"/>
      <w:lvlText w:val="•"/>
      <w:lvlJc w:val="left"/>
      <w:pPr>
        <w:ind w:left="3680" w:hanging="360"/>
      </w:pPr>
      <w:rPr>
        <w:rFonts w:hint="default"/>
        <w:lang w:val="en-US" w:eastAsia="en-US" w:bidi="ar-SA"/>
      </w:rPr>
    </w:lvl>
    <w:lvl w:ilvl="4" w:tplc="02049BCC">
      <w:numFmt w:val="bullet"/>
      <w:lvlText w:val="•"/>
      <w:lvlJc w:val="left"/>
      <w:pPr>
        <w:ind w:left="4547" w:hanging="360"/>
      </w:pPr>
      <w:rPr>
        <w:rFonts w:hint="default"/>
        <w:lang w:val="en-US" w:eastAsia="en-US" w:bidi="ar-SA"/>
      </w:rPr>
    </w:lvl>
    <w:lvl w:ilvl="5" w:tplc="8CA64EB4">
      <w:numFmt w:val="bullet"/>
      <w:lvlText w:val="•"/>
      <w:lvlJc w:val="left"/>
      <w:pPr>
        <w:ind w:left="5414" w:hanging="360"/>
      </w:pPr>
      <w:rPr>
        <w:rFonts w:hint="default"/>
        <w:lang w:val="en-US" w:eastAsia="en-US" w:bidi="ar-SA"/>
      </w:rPr>
    </w:lvl>
    <w:lvl w:ilvl="6" w:tplc="A2B46366">
      <w:numFmt w:val="bullet"/>
      <w:lvlText w:val="•"/>
      <w:lvlJc w:val="left"/>
      <w:pPr>
        <w:ind w:left="6280" w:hanging="360"/>
      </w:pPr>
      <w:rPr>
        <w:rFonts w:hint="default"/>
        <w:lang w:val="en-US" w:eastAsia="en-US" w:bidi="ar-SA"/>
      </w:rPr>
    </w:lvl>
    <w:lvl w:ilvl="7" w:tplc="DD3E3628">
      <w:numFmt w:val="bullet"/>
      <w:lvlText w:val="•"/>
      <w:lvlJc w:val="left"/>
      <w:pPr>
        <w:ind w:left="7147" w:hanging="360"/>
      </w:pPr>
      <w:rPr>
        <w:rFonts w:hint="default"/>
        <w:lang w:val="en-US" w:eastAsia="en-US" w:bidi="ar-SA"/>
      </w:rPr>
    </w:lvl>
    <w:lvl w:ilvl="8" w:tplc="0582ADD2">
      <w:numFmt w:val="bullet"/>
      <w:lvlText w:val="•"/>
      <w:lvlJc w:val="left"/>
      <w:pPr>
        <w:ind w:left="8014" w:hanging="360"/>
      </w:pPr>
      <w:rPr>
        <w:rFonts w:hint="default"/>
        <w:lang w:val="en-US" w:eastAsia="en-US" w:bidi="ar-SA"/>
      </w:rPr>
    </w:lvl>
  </w:abstractNum>
  <w:abstractNum w:abstractNumId="113" w15:restartNumberingAfterBreak="0">
    <w:nsid w:val="4E304CA5"/>
    <w:multiLevelType w:val="multilevel"/>
    <w:tmpl w:val="33106D8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4E8C2139"/>
    <w:multiLevelType w:val="multilevel"/>
    <w:tmpl w:val="A510F2E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4E9033E7"/>
    <w:multiLevelType w:val="multilevel"/>
    <w:tmpl w:val="B3FC6EA4"/>
    <w:lvl w:ilvl="0">
      <w:start w:val="4"/>
      <w:numFmt w:val="decimal"/>
      <w:lvlText w:val="%1."/>
      <w:lvlJc w:val="left"/>
      <w:pPr>
        <w:ind w:left="540" w:hanging="540"/>
      </w:pPr>
      <w:rPr>
        <w:rFonts w:hint="default"/>
        <w:b/>
      </w:rPr>
    </w:lvl>
    <w:lvl w:ilvl="1">
      <w:start w:val="5"/>
      <w:numFmt w:val="decimal"/>
      <w:lvlText w:val="%1.%2."/>
      <w:lvlJc w:val="left"/>
      <w:pPr>
        <w:ind w:left="540" w:hanging="54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6" w15:restartNumberingAfterBreak="0">
    <w:nsid w:val="4F30256C"/>
    <w:multiLevelType w:val="multilevel"/>
    <w:tmpl w:val="8D60FECC"/>
    <w:lvl w:ilvl="0">
      <w:start w:val="1"/>
      <w:numFmt w:val="decimal"/>
      <w:lvlText w:val="%1."/>
      <w:lvlJc w:val="left"/>
      <w:pPr>
        <w:ind w:left="107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117" w15:restartNumberingAfterBreak="0">
    <w:nsid w:val="4F4A1C3E"/>
    <w:multiLevelType w:val="hybridMultilevel"/>
    <w:tmpl w:val="5FCC838E"/>
    <w:lvl w:ilvl="0" w:tplc="AA7A9646">
      <w:start w:val="2"/>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4F4B23D8"/>
    <w:multiLevelType w:val="hybridMultilevel"/>
    <w:tmpl w:val="BA8C0B70"/>
    <w:lvl w:ilvl="0" w:tplc="1AE044FC">
      <w:start w:val="1"/>
      <w:numFmt w:val="decimal"/>
      <w:lvlText w:val="%1."/>
      <w:lvlJc w:val="left"/>
      <w:pPr>
        <w:ind w:left="1080" w:hanging="360"/>
      </w:pPr>
      <w:rPr>
        <w:rFonts w:ascii="Arial MT" w:eastAsia="Arial MT" w:hAnsi="Arial MT" w:cs="Arial MT" w:hint="default"/>
        <w:b w:val="0"/>
        <w:bCs w:val="0"/>
        <w:i w:val="0"/>
        <w:iCs w:val="0"/>
        <w:spacing w:val="-2"/>
        <w:w w:val="100"/>
        <w:sz w:val="24"/>
        <w:szCs w:val="24"/>
        <w:lang w:val="en-US" w:eastAsia="en-US" w:bidi="ar-SA"/>
      </w:rPr>
    </w:lvl>
    <w:lvl w:ilvl="1" w:tplc="C85E7094">
      <w:numFmt w:val="bullet"/>
      <w:lvlText w:val="•"/>
      <w:lvlJc w:val="left"/>
      <w:pPr>
        <w:ind w:left="2016" w:hanging="360"/>
      </w:pPr>
      <w:rPr>
        <w:rFonts w:hint="default"/>
        <w:lang w:val="en-US" w:eastAsia="en-US" w:bidi="ar-SA"/>
      </w:rPr>
    </w:lvl>
    <w:lvl w:ilvl="2" w:tplc="3D100D8A">
      <w:numFmt w:val="bullet"/>
      <w:lvlText w:val="•"/>
      <w:lvlJc w:val="left"/>
      <w:pPr>
        <w:ind w:left="2952" w:hanging="360"/>
      </w:pPr>
      <w:rPr>
        <w:rFonts w:hint="default"/>
        <w:lang w:val="en-US" w:eastAsia="en-US" w:bidi="ar-SA"/>
      </w:rPr>
    </w:lvl>
    <w:lvl w:ilvl="3" w:tplc="AB1A834C">
      <w:numFmt w:val="bullet"/>
      <w:lvlText w:val="•"/>
      <w:lvlJc w:val="left"/>
      <w:pPr>
        <w:ind w:left="3888" w:hanging="360"/>
      </w:pPr>
      <w:rPr>
        <w:rFonts w:hint="default"/>
        <w:lang w:val="en-US" w:eastAsia="en-US" w:bidi="ar-SA"/>
      </w:rPr>
    </w:lvl>
    <w:lvl w:ilvl="4" w:tplc="A0AEAC7C">
      <w:numFmt w:val="bullet"/>
      <w:lvlText w:val="•"/>
      <w:lvlJc w:val="left"/>
      <w:pPr>
        <w:ind w:left="4824" w:hanging="360"/>
      </w:pPr>
      <w:rPr>
        <w:rFonts w:hint="default"/>
        <w:lang w:val="en-US" w:eastAsia="en-US" w:bidi="ar-SA"/>
      </w:rPr>
    </w:lvl>
    <w:lvl w:ilvl="5" w:tplc="94C6E03E">
      <w:numFmt w:val="bullet"/>
      <w:lvlText w:val="•"/>
      <w:lvlJc w:val="left"/>
      <w:pPr>
        <w:ind w:left="5760" w:hanging="360"/>
      </w:pPr>
      <w:rPr>
        <w:rFonts w:hint="default"/>
        <w:lang w:val="en-US" w:eastAsia="en-US" w:bidi="ar-SA"/>
      </w:rPr>
    </w:lvl>
    <w:lvl w:ilvl="6" w:tplc="4F025B50">
      <w:numFmt w:val="bullet"/>
      <w:lvlText w:val="•"/>
      <w:lvlJc w:val="left"/>
      <w:pPr>
        <w:ind w:left="6696" w:hanging="360"/>
      </w:pPr>
      <w:rPr>
        <w:rFonts w:hint="default"/>
        <w:lang w:val="en-US" w:eastAsia="en-US" w:bidi="ar-SA"/>
      </w:rPr>
    </w:lvl>
    <w:lvl w:ilvl="7" w:tplc="6CE042E2">
      <w:numFmt w:val="bullet"/>
      <w:lvlText w:val="•"/>
      <w:lvlJc w:val="left"/>
      <w:pPr>
        <w:ind w:left="7632" w:hanging="360"/>
      </w:pPr>
      <w:rPr>
        <w:rFonts w:hint="default"/>
        <w:lang w:val="en-US" w:eastAsia="en-US" w:bidi="ar-SA"/>
      </w:rPr>
    </w:lvl>
    <w:lvl w:ilvl="8" w:tplc="24D8B608">
      <w:numFmt w:val="bullet"/>
      <w:lvlText w:val="•"/>
      <w:lvlJc w:val="left"/>
      <w:pPr>
        <w:ind w:left="8568" w:hanging="360"/>
      </w:pPr>
      <w:rPr>
        <w:rFonts w:hint="default"/>
        <w:lang w:val="en-US" w:eastAsia="en-US" w:bidi="ar-SA"/>
      </w:rPr>
    </w:lvl>
  </w:abstractNum>
  <w:abstractNum w:abstractNumId="119" w15:restartNumberingAfterBreak="0">
    <w:nsid w:val="4F5420C5"/>
    <w:multiLevelType w:val="hybridMultilevel"/>
    <w:tmpl w:val="32EE447C"/>
    <w:lvl w:ilvl="0" w:tplc="5C9AD894">
      <w:start w:val="8"/>
      <w:numFmt w:val="decimal"/>
      <w:lvlText w:val="%1."/>
      <w:lvlJc w:val="left"/>
      <w:pPr>
        <w:ind w:left="388" w:hanging="360"/>
      </w:pPr>
      <w:rPr>
        <w:rFonts w:hint="default"/>
        <w:color w:val="0000FF"/>
      </w:rPr>
    </w:lvl>
    <w:lvl w:ilvl="1" w:tplc="38090019" w:tentative="1">
      <w:start w:val="1"/>
      <w:numFmt w:val="lowerLetter"/>
      <w:lvlText w:val="%2."/>
      <w:lvlJc w:val="left"/>
      <w:pPr>
        <w:ind w:left="1108" w:hanging="360"/>
      </w:pPr>
    </w:lvl>
    <w:lvl w:ilvl="2" w:tplc="3809001B" w:tentative="1">
      <w:start w:val="1"/>
      <w:numFmt w:val="lowerRoman"/>
      <w:lvlText w:val="%3."/>
      <w:lvlJc w:val="right"/>
      <w:pPr>
        <w:ind w:left="1828" w:hanging="180"/>
      </w:pPr>
    </w:lvl>
    <w:lvl w:ilvl="3" w:tplc="3809000F" w:tentative="1">
      <w:start w:val="1"/>
      <w:numFmt w:val="decimal"/>
      <w:lvlText w:val="%4."/>
      <w:lvlJc w:val="left"/>
      <w:pPr>
        <w:ind w:left="2548" w:hanging="360"/>
      </w:pPr>
    </w:lvl>
    <w:lvl w:ilvl="4" w:tplc="38090019" w:tentative="1">
      <w:start w:val="1"/>
      <w:numFmt w:val="lowerLetter"/>
      <w:lvlText w:val="%5."/>
      <w:lvlJc w:val="left"/>
      <w:pPr>
        <w:ind w:left="3268" w:hanging="360"/>
      </w:pPr>
    </w:lvl>
    <w:lvl w:ilvl="5" w:tplc="3809001B" w:tentative="1">
      <w:start w:val="1"/>
      <w:numFmt w:val="lowerRoman"/>
      <w:lvlText w:val="%6."/>
      <w:lvlJc w:val="right"/>
      <w:pPr>
        <w:ind w:left="3988" w:hanging="180"/>
      </w:pPr>
    </w:lvl>
    <w:lvl w:ilvl="6" w:tplc="3809000F" w:tentative="1">
      <w:start w:val="1"/>
      <w:numFmt w:val="decimal"/>
      <w:lvlText w:val="%7."/>
      <w:lvlJc w:val="left"/>
      <w:pPr>
        <w:ind w:left="4708" w:hanging="360"/>
      </w:pPr>
    </w:lvl>
    <w:lvl w:ilvl="7" w:tplc="38090019" w:tentative="1">
      <w:start w:val="1"/>
      <w:numFmt w:val="lowerLetter"/>
      <w:lvlText w:val="%8."/>
      <w:lvlJc w:val="left"/>
      <w:pPr>
        <w:ind w:left="5428" w:hanging="360"/>
      </w:pPr>
    </w:lvl>
    <w:lvl w:ilvl="8" w:tplc="3809001B" w:tentative="1">
      <w:start w:val="1"/>
      <w:numFmt w:val="lowerRoman"/>
      <w:lvlText w:val="%9."/>
      <w:lvlJc w:val="right"/>
      <w:pPr>
        <w:ind w:left="6148" w:hanging="180"/>
      </w:pPr>
    </w:lvl>
  </w:abstractNum>
  <w:abstractNum w:abstractNumId="120" w15:restartNumberingAfterBreak="0">
    <w:nsid w:val="5035548F"/>
    <w:multiLevelType w:val="multilevel"/>
    <w:tmpl w:val="85A8DE7E"/>
    <w:lvl w:ilvl="0">
      <w:start w:val="4"/>
      <w:numFmt w:val="decimal"/>
      <w:lvlText w:val="%1."/>
      <w:lvlJc w:val="left"/>
      <w:pPr>
        <w:ind w:left="720" w:hanging="720"/>
      </w:pPr>
      <w:rPr>
        <w:rFonts w:hint="default"/>
      </w:rPr>
    </w:lvl>
    <w:lvl w:ilvl="1">
      <w:start w:val="4"/>
      <w:numFmt w:val="decimal"/>
      <w:lvlText w:val="%1.%2."/>
      <w:lvlJc w:val="left"/>
      <w:pPr>
        <w:ind w:left="1098" w:hanging="720"/>
      </w:pPr>
      <w:rPr>
        <w:rFonts w:hint="default"/>
      </w:rPr>
    </w:lvl>
    <w:lvl w:ilvl="2">
      <w:start w:val="1"/>
      <w:numFmt w:val="decimal"/>
      <w:lvlText w:val="%1.%2.%3."/>
      <w:lvlJc w:val="left"/>
      <w:pPr>
        <w:ind w:left="1476" w:hanging="720"/>
      </w:pPr>
      <w:rPr>
        <w:rFonts w:hint="default"/>
      </w:rPr>
    </w:lvl>
    <w:lvl w:ilvl="3">
      <w:start w:val="3"/>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121" w15:restartNumberingAfterBreak="0">
    <w:nsid w:val="50367D76"/>
    <w:multiLevelType w:val="multilevel"/>
    <w:tmpl w:val="D24AFDFA"/>
    <w:lvl w:ilvl="0">
      <w:start w:val="30"/>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2" w15:restartNumberingAfterBreak="0">
    <w:nsid w:val="507605FA"/>
    <w:multiLevelType w:val="hybridMultilevel"/>
    <w:tmpl w:val="59602350"/>
    <w:lvl w:ilvl="0" w:tplc="AB380B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0A21FC7"/>
    <w:multiLevelType w:val="hybridMultilevel"/>
    <w:tmpl w:val="FBF69EE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0FC1FC2"/>
    <w:multiLevelType w:val="multilevel"/>
    <w:tmpl w:val="FB023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51D11774"/>
    <w:multiLevelType w:val="hybridMultilevel"/>
    <w:tmpl w:val="00841898"/>
    <w:lvl w:ilvl="0" w:tplc="D0B0AF70">
      <w:start w:val="1"/>
      <w:numFmt w:val="decimal"/>
      <w:lvlText w:val="%1."/>
      <w:lvlJc w:val="left"/>
      <w:pPr>
        <w:ind w:left="627" w:hanging="268"/>
      </w:pPr>
      <w:rPr>
        <w:rFonts w:ascii="Arial" w:eastAsia="Arial" w:hAnsi="Arial" w:cs="Arial" w:hint="default"/>
        <w:b/>
        <w:bCs/>
        <w:i w:val="0"/>
        <w:iCs w:val="0"/>
        <w:spacing w:val="-2"/>
        <w:w w:val="100"/>
        <w:sz w:val="24"/>
        <w:szCs w:val="24"/>
        <w:lang w:val="en-US" w:eastAsia="en-US" w:bidi="ar-SA"/>
      </w:rPr>
    </w:lvl>
    <w:lvl w:ilvl="1" w:tplc="E1B0A972">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2" w:tplc="ED1C06E6">
      <w:numFmt w:val="bullet"/>
      <w:lvlText w:val="•"/>
      <w:lvlJc w:val="left"/>
      <w:pPr>
        <w:ind w:left="2043" w:hanging="360"/>
      </w:pPr>
      <w:rPr>
        <w:rFonts w:hint="default"/>
        <w:lang w:val="en-US" w:eastAsia="en-US" w:bidi="ar-SA"/>
      </w:rPr>
    </w:lvl>
    <w:lvl w:ilvl="3" w:tplc="F1AE61DC">
      <w:numFmt w:val="bullet"/>
      <w:lvlText w:val="•"/>
      <w:lvlJc w:val="left"/>
      <w:pPr>
        <w:ind w:left="3006" w:hanging="360"/>
      </w:pPr>
      <w:rPr>
        <w:rFonts w:hint="default"/>
        <w:lang w:val="en-US" w:eastAsia="en-US" w:bidi="ar-SA"/>
      </w:rPr>
    </w:lvl>
    <w:lvl w:ilvl="4" w:tplc="AF84DB68">
      <w:numFmt w:val="bullet"/>
      <w:lvlText w:val="•"/>
      <w:lvlJc w:val="left"/>
      <w:pPr>
        <w:ind w:left="3969" w:hanging="360"/>
      </w:pPr>
      <w:rPr>
        <w:rFonts w:hint="default"/>
        <w:lang w:val="en-US" w:eastAsia="en-US" w:bidi="ar-SA"/>
      </w:rPr>
    </w:lvl>
    <w:lvl w:ilvl="5" w:tplc="D8A27096">
      <w:numFmt w:val="bullet"/>
      <w:lvlText w:val="•"/>
      <w:lvlJc w:val="left"/>
      <w:pPr>
        <w:ind w:left="4932" w:hanging="360"/>
      </w:pPr>
      <w:rPr>
        <w:rFonts w:hint="default"/>
        <w:lang w:val="en-US" w:eastAsia="en-US" w:bidi="ar-SA"/>
      </w:rPr>
    </w:lvl>
    <w:lvl w:ilvl="6" w:tplc="83FCC5AA">
      <w:numFmt w:val="bullet"/>
      <w:lvlText w:val="•"/>
      <w:lvlJc w:val="left"/>
      <w:pPr>
        <w:ind w:left="5895" w:hanging="360"/>
      </w:pPr>
      <w:rPr>
        <w:rFonts w:hint="default"/>
        <w:lang w:val="en-US" w:eastAsia="en-US" w:bidi="ar-SA"/>
      </w:rPr>
    </w:lvl>
    <w:lvl w:ilvl="7" w:tplc="86C6F496">
      <w:numFmt w:val="bullet"/>
      <w:lvlText w:val="•"/>
      <w:lvlJc w:val="left"/>
      <w:pPr>
        <w:ind w:left="6858" w:hanging="360"/>
      </w:pPr>
      <w:rPr>
        <w:rFonts w:hint="default"/>
        <w:lang w:val="en-US" w:eastAsia="en-US" w:bidi="ar-SA"/>
      </w:rPr>
    </w:lvl>
    <w:lvl w:ilvl="8" w:tplc="C16CF5B4">
      <w:numFmt w:val="bullet"/>
      <w:lvlText w:val="•"/>
      <w:lvlJc w:val="left"/>
      <w:pPr>
        <w:ind w:left="7821" w:hanging="360"/>
      </w:pPr>
      <w:rPr>
        <w:rFonts w:hint="default"/>
        <w:lang w:val="en-US" w:eastAsia="en-US" w:bidi="ar-SA"/>
      </w:rPr>
    </w:lvl>
  </w:abstractNum>
  <w:abstractNum w:abstractNumId="126" w15:restartNumberingAfterBreak="0">
    <w:nsid w:val="522A4B4A"/>
    <w:multiLevelType w:val="multilevel"/>
    <w:tmpl w:val="14C65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52792415"/>
    <w:multiLevelType w:val="multilevel"/>
    <w:tmpl w:val="E6365B2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53890891"/>
    <w:multiLevelType w:val="hybridMultilevel"/>
    <w:tmpl w:val="C128B210"/>
    <w:lvl w:ilvl="0" w:tplc="9B5236F2">
      <w:start w:val="1"/>
      <w:numFmt w:val="decimal"/>
      <w:lvlText w:val="%1."/>
      <w:lvlJc w:val="left"/>
      <w:pPr>
        <w:ind w:left="1080" w:hanging="360"/>
      </w:pPr>
      <w:rPr>
        <w:rFonts w:ascii="Arial" w:eastAsia="Arial" w:hAnsi="Arial" w:cs="Arial" w:hint="default"/>
        <w:b/>
        <w:bCs/>
        <w:i w:val="0"/>
        <w:iCs w:val="0"/>
        <w:spacing w:val="-2"/>
        <w:w w:val="100"/>
        <w:sz w:val="24"/>
        <w:szCs w:val="24"/>
        <w:lang w:val="en-US" w:eastAsia="en-US" w:bidi="ar-SA"/>
      </w:rPr>
    </w:lvl>
    <w:lvl w:ilvl="1" w:tplc="39DE650A">
      <w:numFmt w:val="bullet"/>
      <w:lvlText w:val="•"/>
      <w:lvlJc w:val="left"/>
      <w:pPr>
        <w:ind w:left="1982" w:hanging="360"/>
      </w:pPr>
      <w:rPr>
        <w:rFonts w:hint="default"/>
        <w:lang w:val="en-US" w:eastAsia="en-US" w:bidi="ar-SA"/>
      </w:rPr>
    </w:lvl>
    <w:lvl w:ilvl="2" w:tplc="C0F8A224">
      <w:numFmt w:val="bullet"/>
      <w:lvlText w:val="•"/>
      <w:lvlJc w:val="left"/>
      <w:pPr>
        <w:ind w:left="2885" w:hanging="360"/>
      </w:pPr>
      <w:rPr>
        <w:rFonts w:hint="default"/>
        <w:lang w:val="en-US" w:eastAsia="en-US" w:bidi="ar-SA"/>
      </w:rPr>
    </w:lvl>
    <w:lvl w:ilvl="3" w:tplc="AA667F56">
      <w:numFmt w:val="bullet"/>
      <w:lvlText w:val="•"/>
      <w:lvlJc w:val="left"/>
      <w:pPr>
        <w:ind w:left="3788" w:hanging="360"/>
      </w:pPr>
      <w:rPr>
        <w:rFonts w:hint="default"/>
        <w:lang w:val="en-US" w:eastAsia="en-US" w:bidi="ar-SA"/>
      </w:rPr>
    </w:lvl>
    <w:lvl w:ilvl="4" w:tplc="74A675D2">
      <w:numFmt w:val="bullet"/>
      <w:lvlText w:val="•"/>
      <w:lvlJc w:val="left"/>
      <w:pPr>
        <w:ind w:left="4691" w:hanging="360"/>
      </w:pPr>
      <w:rPr>
        <w:rFonts w:hint="default"/>
        <w:lang w:val="en-US" w:eastAsia="en-US" w:bidi="ar-SA"/>
      </w:rPr>
    </w:lvl>
    <w:lvl w:ilvl="5" w:tplc="6B1436F2">
      <w:numFmt w:val="bullet"/>
      <w:lvlText w:val="•"/>
      <w:lvlJc w:val="left"/>
      <w:pPr>
        <w:ind w:left="5594" w:hanging="360"/>
      </w:pPr>
      <w:rPr>
        <w:rFonts w:hint="default"/>
        <w:lang w:val="en-US" w:eastAsia="en-US" w:bidi="ar-SA"/>
      </w:rPr>
    </w:lvl>
    <w:lvl w:ilvl="6" w:tplc="5012565A">
      <w:numFmt w:val="bullet"/>
      <w:lvlText w:val="•"/>
      <w:lvlJc w:val="left"/>
      <w:pPr>
        <w:ind w:left="6496" w:hanging="360"/>
      </w:pPr>
      <w:rPr>
        <w:rFonts w:hint="default"/>
        <w:lang w:val="en-US" w:eastAsia="en-US" w:bidi="ar-SA"/>
      </w:rPr>
    </w:lvl>
    <w:lvl w:ilvl="7" w:tplc="297028D2">
      <w:numFmt w:val="bullet"/>
      <w:lvlText w:val="•"/>
      <w:lvlJc w:val="left"/>
      <w:pPr>
        <w:ind w:left="7399" w:hanging="360"/>
      </w:pPr>
      <w:rPr>
        <w:rFonts w:hint="default"/>
        <w:lang w:val="en-US" w:eastAsia="en-US" w:bidi="ar-SA"/>
      </w:rPr>
    </w:lvl>
    <w:lvl w:ilvl="8" w:tplc="63F2D626">
      <w:numFmt w:val="bullet"/>
      <w:lvlText w:val="•"/>
      <w:lvlJc w:val="left"/>
      <w:pPr>
        <w:ind w:left="8302" w:hanging="360"/>
      </w:pPr>
      <w:rPr>
        <w:rFonts w:hint="default"/>
        <w:lang w:val="en-US" w:eastAsia="en-US" w:bidi="ar-SA"/>
      </w:rPr>
    </w:lvl>
  </w:abstractNum>
  <w:abstractNum w:abstractNumId="129" w15:restartNumberingAfterBreak="0">
    <w:nsid w:val="54EE794E"/>
    <w:multiLevelType w:val="multilevel"/>
    <w:tmpl w:val="EA08B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55795B55"/>
    <w:multiLevelType w:val="multilevel"/>
    <w:tmpl w:val="0D0018AE"/>
    <w:lvl w:ilvl="0">
      <w:start w:val="1"/>
      <w:numFmt w:val="bullet"/>
      <w:lvlText w:val="●"/>
      <w:lvlJc w:val="left"/>
      <w:pPr>
        <w:ind w:left="782" w:hanging="360"/>
      </w:pPr>
      <w:rPr>
        <w:rFonts w:ascii="Noto Sans Symbols" w:eastAsia="Noto Sans Symbols" w:hAnsi="Noto Sans Symbols" w:cs="Noto Sans Symbols"/>
        <w:color w:val="000000"/>
      </w:rPr>
    </w:lvl>
    <w:lvl w:ilvl="1">
      <w:start w:val="1"/>
      <w:numFmt w:val="bullet"/>
      <w:lvlText w:val="o"/>
      <w:lvlJc w:val="left"/>
      <w:pPr>
        <w:ind w:left="1502" w:hanging="360"/>
      </w:pPr>
      <w:rPr>
        <w:rFonts w:ascii="Courier New" w:eastAsia="Courier New" w:hAnsi="Courier New" w:cs="Courier New"/>
      </w:rPr>
    </w:lvl>
    <w:lvl w:ilvl="2">
      <w:start w:val="1"/>
      <w:numFmt w:val="bullet"/>
      <w:lvlText w:val="▪"/>
      <w:lvlJc w:val="left"/>
      <w:pPr>
        <w:ind w:left="2222" w:hanging="360"/>
      </w:pPr>
      <w:rPr>
        <w:rFonts w:ascii="Noto Sans Symbols" w:eastAsia="Noto Sans Symbols" w:hAnsi="Noto Sans Symbols" w:cs="Noto Sans Symbols"/>
      </w:rPr>
    </w:lvl>
    <w:lvl w:ilvl="3">
      <w:start w:val="1"/>
      <w:numFmt w:val="bullet"/>
      <w:lvlText w:val="●"/>
      <w:lvlJc w:val="left"/>
      <w:pPr>
        <w:ind w:left="2942" w:hanging="360"/>
      </w:pPr>
      <w:rPr>
        <w:rFonts w:ascii="Noto Sans Symbols" w:eastAsia="Noto Sans Symbols" w:hAnsi="Noto Sans Symbols" w:cs="Noto Sans Symbols"/>
      </w:rPr>
    </w:lvl>
    <w:lvl w:ilvl="4">
      <w:start w:val="1"/>
      <w:numFmt w:val="bullet"/>
      <w:lvlText w:val="o"/>
      <w:lvlJc w:val="left"/>
      <w:pPr>
        <w:ind w:left="3662" w:hanging="360"/>
      </w:pPr>
      <w:rPr>
        <w:rFonts w:ascii="Courier New" w:eastAsia="Courier New" w:hAnsi="Courier New" w:cs="Courier New"/>
      </w:rPr>
    </w:lvl>
    <w:lvl w:ilvl="5">
      <w:start w:val="1"/>
      <w:numFmt w:val="bullet"/>
      <w:lvlText w:val="▪"/>
      <w:lvlJc w:val="left"/>
      <w:pPr>
        <w:ind w:left="4382" w:hanging="360"/>
      </w:pPr>
      <w:rPr>
        <w:rFonts w:ascii="Noto Sans Symbols" w:eastAsia="Noto Sans Symbols" w:hAnsi="Noto Sans Symbols" w:cs="Noto Sans Symbols"/>
      </w:rPr>
    </w:lvl>
    <w:lvl w:ilvl="6">
      <w:start w:val="1"/>
      <w:numFmt w:val="bullet"/>
      <w:lvlText w:val="●"/>
      <w:lvlJc w:val="left"/>
      <w:pPr>
        <w:ind w:left="5102" w:hanging="360"/>
      </w:pPr>
      <w:rPr>
        <w:rFonts w:ascii="Noto Sans Symbols" w:eastAsia="Noto Sans Symbols" w:hAnsi="Noto Sans Symbols" w:cs="Noto Sans Symbols"/>
      </w:rPr>
    </w:lvl>
    <w:lvl w:ilvl="7">
      <w:start w:val="1"/>
      <w:numFmt w:val="bullet"/>
      <w:lvlText w:val="o"/>
      <w:lvlJc w:val="left"/>
      <w:pPr>
        <w:ind w:left="5822" w:hanging="360"/>
      </w:pPr>
      <w:rPr>
        <w:rFonts w:ascii="Courier New" w:eastAsia="Courier New" w:hAnsi="Courier New" w:cs="Courier New"/>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131" w15:restartNumberingAfterBreak="0">
    <w:nsid w:val="55EA4C49"/>
    <w:multiLevelType w:val="hybridMultilevel"/>
    <w:tmpl w:val="B8D8E18A"/>
    <w:lvl w:ilvl="0" w:tplc="F8AEB162">
      <w:start w:val="1"/>
      <w:numFmt w:val="upperLetter"/>
      <w:lvlText w:val="%1."/>
      <w:lvlJc w:val="left"/>
      <w:pPr>
        <w:ind w:left="360" w:hanging="300"/>
      </w:pPr>
      <w:rPr>
        <w:rFonts w:ascii="Arial MT" w:eastAsia="Arial MT" w:hAnsi="Arial MT" w:cs="Arial MT" w:hint="default"/>
        <w:b w:val="0"/>
        <w:bCs w:val="0"/>
        <w:i w:val="0"/>
        <w:iCs w:val="0"/>
        <w:spacing w:val="0"/>
        <w:w w:val="100"/>
        <w:sz w:val="24"/>
        <w:szCs w:val="24"/>
        <w:lang w:val="en-US" w:eastAsia="en-US" w:bidi="ar-SA"/>
      </w:rPr>
    </w:lvl>
    <w:lvl w:ilvl="1" w:tplc="9BEC3118">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2" w:tplc="F3D8256A">
      <w:numFmt w:val="bullet"/>
      <w:lvlText w:val="•"/>
      <w:lvlJc w:val="left"/>
      <w:pPr>
        <w:ind w:left="2043" w:hanging="360"/>
      </w:pPr>
      <w:rPr>
        <w:rFonts w:hint="default"/>
        <w:lang w:val="en-US" w:eastAsia="en-US" w:bidi="ar-SA"/>
      </w:rPr>
    </w:lvl>
    <w:lvl w:ilvl="3" w:tplc="CF9AE132">
      <w:numFmt w:val="bullet"/>
      <w:lvlText w:val="•"/>
      <w:lvlJc w:val="left"/>
      <w:pPr>
        <w:ind w:left="3006" w:hanging="360"/>
      </w:pPr>
      <w:rPr>
        <w:rFonts w:hint="default"/>
        <w:lang w:val="en-US" w:eastAsia="en-US" w:bidi="ar-SA"/>
      </w:rPr>
    </w:lvl>
    <w:lvl w:ilvl="4" w:tplc="F136406A">
      <w:numFmt w:val="bullet"/>
      <w:lvlText w:val="•"/>
      <w:lvlJc w:val="left"/>
      <w:pPr>
        <w:ind w:left="3969" w:hanging="360"/>
      </w:pPr>
      <w:rPr>
        <w:rFonts w:hint="default"/>
        <w:lang w:val="en-US" w:eastAsia="en-US" w:bidi="ar-SA"/>
      </w:rPr>
    </w:lvl>
    <w:lvl w:ilvl="5" w:tplc="A17E038A">
      <w:numFmt w:val="bullet"/>
      <w:lvlText w:val="•"/>
      <w:lvlJc w:val="left"/>
      <w:pPr>
        <w:ind w:left="4932" w:hanging="360"/>
      </w:pPr>
      <w:rPr>
        <w:rFonts w:hint="default"/>
        <w:lang w:val="en-US" w:eastAsia="en-US" w:bidi="ar-SA"/>
      </w:rPr>
    </w:lvl>
    <w:lvl w:ilvl="6" w:tplc="266EBCDA">
      <w:numFmt w:val="bullet"/>
      <w:lvlText w:val="•"/>
      <w:lvlJc w:val="left"/>
      <w:pPr>
        <w:ind w:left="5895" w:hanging="360"/>
      </w:pPr>
      <w:rPr>
        <w:rFonts w:hint="default"/>
        <w:lang w:val="en-US" w:eastAsia="en-US" w:bidi="ar-SA"/>
      </w:rPr>
    </w:lvl>
    <w:lvl w:ilvl="7" w:tplc="8AAC7F10">
      <w:numFmt w:val="bullet"/>
      <w:lvlText w:val="•"/>
      <w:lvlJc w:val="left"/>
      <w:pPr>
        <w:ind w:left="6858" w:hanging="360"/>
      </w:pPr>
      <w:rPr>
        <w:rFonts w:hint="default"/>
        <w:lang w:val="en-US" w:eastAsia="en-US" w:bidi="ar-SA"/>
      </w:rPr>
    </w:lvl>
    <w:lvl w:ilvl="8" w:tplc="F642EF1C">
      <w:numFmt w:val="bullet"/>
      <w:lvlText w:val="•"/>
      <w:lvlJc w:val="left"/>
      <w:pPr>
        <w:ind w:left="7821" w:hanging="360"/>
      </w:pPr>
      <w:rPr>
        <w:rFonts w:hint="default"/>
        <w:lang w:val="en-US" w:eastAsia="en-US" w:bidi="ar-SA"/>
      </w:rPr>
    </w:lvl>
  </w:abstractNum>
  <w:abstractNum w:abstractNumId="132" w15:restartNumberingAfterBreak="0">
    <w:nsid w:val="55FE352B"/>
    <w:multiLevelType w:val="hybridMultilevel"/>
    <w:tmpl w:val="C3F2B614"/>
    <w:lvl w:ilvl="0" w:tplc="A71C9034">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1" w:tplc="B9381C52">
      <w:numFmt w:val="bullet"/>
      <w:lvlText w:val="•"/>
      <w:lvlJc w:val="left"/>
      <w:pPr>
        <w:ind w:left="1946" w:hanging="360"/>
      </w:pPr>
      <w:rPr>
        <w:rFonts w:hint="default"/>
        <w:lang w:val="en-US" w:eastAsia="en-US" w:bidi="ar-SA"/>
      </w:rPr>
    </w:lvl>
    <w:lvl w:ilvl="2" w:tplc="DC36B4FC">
      <w:numFmt w:val="bullet"/>
      <w:lvlText w:val="•"/>
      <w:lvlJc w:val="left"/>
      <w:pPr>
        <w:ind w:left="2813" w:hanging="360"/>
      </w:pPr>
      <w:rPr>
        <w:rFonts w:hint="default"/>
        <w:lang w:val="en-US" w:eastAsia="en-US" w:bidi="ar-SA"/>
      </w:rPr>
    </w:lvl>
    <w:lvl w:ilvl="3" w:tplc="D53AD1D2">
      <w:numFmt w:val="bullet"/>
      <w:lvlText w:val="•"/>
      <w:lvlJc w:val="left"/>
      <w:pPr>
        <w:ind w:left="3680" w:hanging="360"/>
      </w:pPr>
      <w:rPr>
        <w:rFonts w:hint="default"/>
        <w:lang w:val="en-US" w:eastAsia="en-US" w:bidi="ar-SA"/>
      </w:rPr>
    </w:lvl>
    <w:lvl w:ilvl="4" w:tplc="E2E2B9AC">
      <w:numFmt w:val="bullet"/>
      <w:lvlText w:val="•"/>
      <w:lvlJc w:val="left"/>
      <w:pPr>
        <w:ind w:left="4547" w:hanging="360"/>
      </w:pPr>
      <w:rPr>
        <w:rFonts w:hint="default"/>
        <w:lang w:val="en-US" w:eastAsia="en-US" w:bidi="ar-SA"/>
      </w:rPr>
    </w:lvl>
    <w:lvl w:ilvl="5" w:tplc="89366322">
      <w:numFmt w:val="bullet"/>
      <w:lvlText w:val="•"/>
      <w:lvlJc w:val="left"/>
      <w:pPr>
        <w:ind w:left="5414" w:hanging="360"/>
      </w:pPr>
      <w:rPr>
        <w:rFonts w:hint="default"/>
        <w:lang w:val="en-US" w:eastAsia="en-US" w:bidi="ar-SA"/>
      </w:rPr>
    </w:lvl>
    <w:lvl w:ilvl="6" w:tplc="9544C312">
      <w:numFmt w:val="bullet"/>
      <w:lvlText w:val="•"/>
      <w:lvlJc w:val="left"/>
      <w:pPr>
        <w:ind w:left="6280" w:hanging="360"/>
      </w:pPr>
      <w:rPr>
        <w:rFonts w:hint="default"/>
        <w:lang w:val="en-US" w:eastAsia="en-US" w:bidi="ar-SA"/>
      </w:rPr>
    </w:lvl>
    <w:lvl w:ilvl="7" w:tplc="206AD816">
      <w:numFmt w:val="bullet"/>
      <w:lvlText w:val="•"/>
      <w:lvlJc w:val="left"/>
      <w:pPr>
        <w:ind w:left="7147" w:hanging="360"/>
      </w:pPr>
      <w:rPr>
        <w:rFonts w:hint="default"/>
        <w:lang w:val="en-US" w:eastAsia="en-US" w:bidi="ar-SA"/>
      </w:rPr>
    </w:lvl>
    <w:lvl w:ilvl="8" w:tplc="6D3888D2">
      <w:numFmt w:val="bullet"/>
      <w:lvlText w:val="•"/>
      <w:lvlJc w:val="left"/>
      <w:pPr>
        <w:ind w:left="8014" w:hanging="360"/>
      </w:pPr>
      <w:rPr>
        <w:rFonts w:hint="default"/>
        <w:lang w:val="en-US" w:eastAsia="en-US" w:bidi="ar-SA"/>
      </w:rPr>
    </w:lvl>
  </w:abstractNum>
  <w:abstractNum w:abstractNumId="133" w15:restartNumberingAfterBreak="0">
    <w:nsid w:val="567F1F9F"/>
    <w:multiLevelType w:val="multilevel"/>
    <w:tmpl w:val="8766D4F2"/>
    <w:lvl w:ilvl="0">
      <w:start w:val="6"/>
      <w:numFmt w:val="decimal"/>
      <w:lvlText w:val="%1."/>
      <w:lvlJc w:val="left"/>
      <w:pPr>
        <w:ind w:left="440" w:hanging="4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4" w15:restartNumberingAfterBreak="0">
    <w:nsid w:val="56A42135"/>
    <w:multiLevelType w:val="multilevel"/>
    <w:tmpl w:val="60646FB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576159B5"/>
    <w:multiLevelType w:val="hybridMultilevel"/>
    <w:tmpl w:val="60E0E01C"/>
    <w:lvl w:ilvl="0" w:tplc="3B44FEEA">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0AC4653C">
      <w:numFmt w:val="bullet"/>
      <w:lvlText w:val="•"/>
      <w:lvlJc w:val="left"/>
      <w:pPr>
        <w:ind w:left="1511" w:hanging="360"/>
      </w:pPr>
      <w:rPr>
        <w:rFonts w:hint="default"/>
        <w:lang w:val="en-US" w:eastAsia="en-US" w:bidi="ar-SA"/>
      </w:rPr>
    </w:lvl>
    <w:lvl w:ilvl="2" w:tplc="485C60FA">
      <w:numFmt w:val="bullet"/>
      <w:lvlText w:val="•"/>
      <w:lvlJc w:val="left"/>
      <w:pPr>
        <w:ind w:left="2203" w:hanging="360"/>
      </w:pPr>
      <w:rPr>
        <w:rFonts w:hint="default"/>
        <w:lang w:val="en-US" w:eastAsia="en-US" w:bidi="ar-SA"/>
      </w:rPr>
    </w:lvl>
    <w:lvl w:ilvl="3" w:tplc="CA3623E8">
      <w:numFmt w:val="bullet"/>
      <w:lvlText w:val="•"/>
      <w:lvlJc w:val="left"/>
      <w:pPr>
        <w:ind w:left="2894" w:hanging="360"/>
      </w:pPr>
      <w:rPr>
        <w:rFonts w:hint="default"/>
        <w:lang w:val="en-US" w:eastAsia="en-US" w:bidi="ar-SA"/>
      </w:rPr>
    </w:lvl>
    <w:lvl w:ilvl="4" w:tplc="D334E92C">
      <w:numFmt w:val="bullet"/>
      <w:lvlText w:val="•"/>
      <w:lvlJc w:val="left"/>
      <w:pPr>
        <w:ind w:left="3586" w:hanging="360"/>
      </w:pPr>
      <w:rPr>
        <w:rFonts w:hint="default"/>
        <w:lang w:val="en-US" w:eastAsia="en-US" w:bidi="ar-SA"/>
      </w:rPr>
    </w:lvl>
    <w:lvl w:ilvl="5" w:tplc="BB0892BA">
      <w:numFmt w:val="bullet"/>
      <w:lvlText w:val="•"/>
      <w:lvlJc w:val="left"/>
      <w:pPr>
        <w:ind w:left="4278" w:hanging="360"/>
      </w:pPr>
      <w:rPr>
        <w:rFonts w:hint="default"/>
        <w:lang w:val="en-US" w:eastAsia="en-US" w:bidi="ar-SA"/>
      </w:rPr>
    </w:lvl>
    <w:lvl w:ilvl="6" w:tplc="6A8CF3FC">
      <w:numFmt w:val="bullet"/>
      <w:lvlText w:val="•"/>
      <w:lvlJc w:val="left"/>
      <w:pPr>
        <w:ind w:left="4969" w:hanging="360"/>
      </w:pPr>
      <w:rPr>
        <w:rFonts w:hint="default"/>
        <w:lang w:val="en-US" w:eastAsia="en-US" w:bidi="ar-SA"/>
      </w:rPr>
    </w:lvl>
    <w:lvl w:ilvl="7" w:tplc="A7224DB6">
      <w:numFmt w:val="bullet"/>
      <w:lvlText w:val="•"/>
      <w:lvlJc w:val="left"/>
      <w:pPr>
        <w:ind w:left="5661" w:hanging="360"/>
      </w:pPr>
      <w:rPr>
        <w:rFonts w:hint="default"/>
        <w:lang w:val="en-US" w:eastAsia="en-US" w:bidi="ar-SA"/>
      </w:rPr>
    </w:lvl>
    <w:lvl w:ilvl="8" w:tplc="C0D8A548">
      <w:numFmt w:val="bullet"/>
      <w:lvlText w:val="•"/>
      <w:lvlJc w:val="left"/>
      <w:pPr>
        <w:ind w:left="6352" w:hanging="360"/>
      </w:pPr>
      <w:rPr>
        <w:rFonts w:hint="default"/>
        <w:lang w:val="en-US" w:eastAsia="en-US" w:bidi="ar-SA"/>
      </w:rPr>
    </w:lvl>
  </w:abstractNum>
  <w:abstractNum w:abstractNumId="136" w15:restartNumberingAfterBreak="0">
    <w:nsid w:val="57EF459F"/>
    <w:multiLevelType w:val="multilevel"/>
    <w:tmpl w:val="4030F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58ED3D30"/>
    <w:multiLevelType w:val="hybridMultilevel"/>
    <w:tmpl w:val="5C409ECA"/>
    <w:lvl w:ilvl="0" w:tplc="1B028B06">
      <w:start w:val="1"/>
      <w:numFmt w:val="decimal"/>
      <w:lvlText w:val="%1."/>
      <w:lvlJc w:val="left"/>
      <w:pPr>
        <w:ind w:left="388" w:hanging="360"/>
      </w:pPr>
      <w:rPr>
        <w:rFonts w:ascii="Arial" w:eastAsia="Arial" w:hAnsi="Arial" w:cs="Arial" w:hint="default"/>
        <w:b/>
        <w:bCs/>
        <w:i w:val="0"/>
        <w:iCs w:val="0"/>
        <w:color w:val="0000FF"/>
        <w:spacing w:val="-2"/>
        <w:w w:val="100"/>
        <w:sz w:val="24"/>
        <w:szCs w:val="24"/>
        <w:lang w:val="en-US" w:eastAsia="en-US" w:bidi="ar-SA"/>
      </w:rPr>
    </w:lvl>
    <w:lvl w:ilvl="1" w:tplc="F7283EFC">
      <w:numFmt w:val="bullet"/>
      <w:lvlText w:val="•"/>
      <w:lvlJc w:val="left"/>
      <w:pPr>
        <w:ind w:left="1250" w:hanging="360"/>
      </w:pPr>
      <w:rPr>
        <w:rFonts w:hint="default"/>
        <w:lang w:val="en-US" w:eastAsia="en-US" w:bidi="ar-SA"/>
      </w:rPr>
    </w:lvl>
    <w:lvl w:ilvl="2" w:tplc="92A8E048">
      <w:numFmt w:val="bullet"/>
      <w:lvlText w:val="•"/>
      <w:lvlJc w:val="left"/>
      <w:pPr>
        <w:ind w:left="2121" w:hanging="360"/>
      </w:pPr>
      <w:rPr>
        <w:rFonts w:hint="default"/>
        <w:lang w:val="en-US" w:eastAsia="en-US" w:bidi="ar-SA"/>
      </w:rPr>
    </w:lvl>
    <w:lvl w:ilvl="3" w:tplc="CDA495B4">
      <w:numFmt w:val="bullet"/>
      <w:lvlText w:val="•"/>
      <w:lvlJc w:val="left"/>
      <w:pPr>
        <w:ind w:left="2992" w:hanging="360"/>
      </w:pPr>
      <w:rPr>
        <w:rFonts w:hint="default"/>
        <w:lang w:val="en-US" w:eastAsia="en-US" w:bidi="ar-SA"/>
      </w:rPr>
    </w:lvl>
    <w:lvl w:ilvl="4" w:tplc="7D5E2492">
      <w:numFmt w:val="bullet"/>
      <w:lvlText w:val="•"/>
      <w:lvlJc w:val="left"/>
      <w:pPr>
        <w:ind w:left="3862" w:hanging="360"/>
      </w:pPr>
      <w:rPr>
        <w:rFonts w:hint="default"/>
        <w:lang w:val="en-US" w:eastAsia="en-US" w:bidi="ar-SA"/>
      </w:rPr>
    </w:lvl>
    <w:lvl w:ilvl="5" w:tplc="5A70DE2A">
      <w:numFmt w:val="bullet"/>
      <w:lvlText w:val="•"/>
      <w:lvlJc w:val="left"/>
      <w:pPr>
        <w:ind w:left="4733" w:hanging="360"/>
      </w:pPr>
      <w:rPr>
        <w:rFonts w:hint="default"/>
        <w:lang w:val="en-US" w:eastAsia="en-US" w:bidi="ar-SA"/>
      </w:rPr>
    </w:lvl>
    <w:lvl w:ilvl="6" w:tplc="B0C88D46">
      <w:numFmt w:val="bullet"/>
      <w:lvlText w:val="•"/>
      <w:lvlJc w:val="left"/>
      <w:pPr>
        <w:ind w:left="5604" w:hanging="360"/>
      </w:pPr>
      <w:rPr>
        <w:rFonts w:hint="default"/>
        <w:lang w:val="en-US" w:eastAsia="en-US" w:bidi="ar-SA"/>
      </w:rPr>
    </w:lvl>
    <w:lvl w:ilvl="7" w:tplc="38D6E9FC">
      <w:numFmt w:val="bullet"/>
      <w:lvlText w:val="•"/>
      <w:lvlJc w:val="left"/>
      <w:pPr>
        <w:ind w:left="6474" w:hanging="360"/>
      </w:pPr>
      <w:rPr>
        <w:rFonts w:hint="default"/>
        <w:lang w:val="en-US" w:eastAsia="en-US" w:bidi="ar-SA"/>
      </w:rPr>
    </w:lvl>
    <w:lvl w:ilvl="8" w:tplc="26B8C574">
      <w:numFmt w:val="bullet"/>
      <w:lvlText w:val="•"/>
      <w:lvlJc w:val="left"/>
      <w:pPr>
        <w:ind w:left="7345" w:hanging="360"/>
      </w:pPr>
      <w:rPr>
        <w:rFonts w:hint="default"/>
        <w:lang w:val="en-US" w:eastAsia="en-US" w:bidi="ar-SA"/>
      </w:rPr>
    </w:lvl>
  </w:abstractNum>
  <w:abstractNum w:abstractNumId="138" w15:restartNumberingAfterBreak="0">
    <w:nsid w:val="592763A1"/>
    <w:multiLevelType w:val="multilevel"/>
    <w:tmpl w:val="C158EA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9" w15:restartNumberingAfterBreak="0">
    <w:nsid w:val="59AC774E"/>
    <w:multiLevelType w:val="multilevel"/>
    <w:tmpl w:val="5A340AA6"/>
    <w:lvl w:ilvl="0">
      <w:start w:val="4"/>
      <w:numFmt w:val="decimal"/>
      <w:lvlText w:val="%1."/>
      <w:lvlJc w:val="left"/>
      <w:pPr>
        <w:ind w:left="720" w:hanging="720"/>
      </w:pPr>
      <w:rPr>
        <w:rFonts w:ascii="Times New Roman" w:hAnsi="Times New Roman" w:cs="Times New Roman" w:hint="default"/>
        <w:color w:val="auto"/>
        <w:sz w:val="24"/>
      </w:rPr>
    </w:lvl>
    <w:lvl w:ilvl="1">
      <w:start w:val="4"/>
      <w:numFmt w:val="decimal"/>
      <w:lvlText w:val="%1.%2."/>
      <w:lvlJc w:val="left"/>
      <w:pPr>
        <w:ind w:left="720" w:hanging="720"/>
      </w:pPr>
      <w:rPr>
        <w:rFonts w:ascii="Times New Roman" w:hAnsi="Times New Roman" w:cs="Times New Roman" w:hint="default"/>
        <w:color w:val="auto"/>
        <w:sz w:val="24"/>
      </w:rPr>
    </w:lvl>
    <w:lvl w:ilvl="2">
      <w:start w:val="1"/>
      <w:numFmt w:val="decimal"/>
      <w:lvlText w:val="%1.%2.%3."/>
      <w:lvlJc w:val="left"/>
      <w:pPr>
        <w:ind w:left="720" w:hanging="720"/>
      </w:pPr>
      <w:rPr>
        <w:rFonts w:ascii="Times New Roman" w:hAnsi="Times New Roman" w:cs="Times New Roman" w:hint="default"/>
        <w:color w:val="auto"/>
        <w:sz w:val="24"/>
      </w:rPr>
    </w:lvl>
    <w:lvl w:ilvl="3">
      <w:start w:val="6"/>
      <w:numFmt w:val="decimal"/>
      <w:lvlText w:val="%1.%2.%3.%4."/>
      <w:lvlJc w:val="left"/>
      <w:pPr>
        <w:ind w:left="1080" w:hanging="1080"/>
      </w:pPr>
      <w:rPr>
        <w:rFonts w:ascii="Times New Roman" w:hAnsi="Times New Roman" w:cs="Times New Roman" w:hint="default"/>
        <w:color w:val="auto"/>
        <w:sz w:val="24"/>
      </w:rPr>
    </w:lvl>
    <w:lvl w:ilvl="4">
      <w:start w:val="1"/>
      <w:numFmt w:val="decimal"/>
      <w:lvlText w:val="%1.%2.%3.%4.%5."/>
      <w:lvlJc w:val="left"/>
      <w:pPr>
        <w:ind w:left="1080" w:hanging="1080"/>
      </w:pPr>
      <w:rPr>
        <w:rFonts w:ascii="Times New Roman" w:hAnsi="Times New Roman" w:cs="Times New Roman" w:hint="default"/>
        <w:color w:val="auto"/>
        <w:sz w:val="24"/>
      </w:rPr>
    </w:lvl>
    <w:lvl w:ilvl="5">
      <w:start w:val="1"/>
      <w:numFmt w:val="decimal"/>
      <w:lvlText w:val="%1.%2.%3.%4.%5.%6."/>
      <w:lvlJc w:val="left"/>
      <w:pPr>
        <w:ind w:left="1440" w:hanging="1440"/>
      </w:pPr>
      <w:rPr>
        <w:rFonts w:ascii="Times New Roman" w:hAnsi="Times New Roman" w:cs="Times New Roman" w:hint="default"/>
        <w:color w:val="auto"/>
        <w:sz w:val="24"/>
      </w:rPr>
    </w:lvl>
    <w:lvl w:ilvl="6">
      <w:start w:val="1"/>
      <w:numFmt w:val="decimal"/>
      <w:lvlText w:val="%1.%2.%3.%4.%5.%6.%7."/>
      <w:lvlJc w:val="left"/>
      <w:pPr>
        <w:ind w:left="1800" w:hanging="1800"/>
      </w:pPr>
      <w:rPr>
        <w:rFonts w:ascii="Times New Roman" w:hAnsi="Times New Roman" w:cs="Times New Roman" w:hint="default"/>
        <w:color w:val="auto"/>
        <w:sz w:val="24"/>
      </w:rPr>
    </w:lvl>
    <w:lvl w:ilvl="7">
      <w:start w:val="1"/>
      <w:numFmt w:val="decimal"/>
      <w:lvlText w:val="%1.%2.%3.%4.%5.%6.%7.%8."/>
      <w:lvlJc w:val="left"/>
      <w:pPr>
        <w:ind w:left="1800" w:hanging="1800"/>
      </w:pPr>
      <w:rPr>
        <w:rFonts w:ascii="Times New Roman" w:hAnsi="Times New Roman" w:cs="Times New Roman" w:hint="default"/>
        <w:color w:val="auto"/>
        <w:sz w:val="24"/>
      </w:rPr>
    </w:lvl>
    <w:lvl w:ilvl="8">
      <w:start w:val="1"/>
      <w:numFmt w:val="decimal"/>
      <w:lvlText w:val="%1.%2.%3.%4.%5.%6.%7.%8.%9."/>
      <w:lvlJc w:val="left"/>
      <w:pPr>
        <w:ind w:left="2160" w:hanging="2160"/>
      </w:pPr>
      <w:rPr>
        <w:rFonts w:ascii="Times New Roman" w:hAnsi="Times New Roman" w:cs="Times New Roman" w:hint="default"/>
        <w:color w:val="auto"/>
        <w:sz w:val="24"/>
      </w:rPr>
    </w:lvl>
  </w:abstractNum>
  <w:abstractNum w:abstractNumId="140" w15:restartNumberingAfterBreak="0">
    <w:nsid w:val="5AED7B47"/>
    <w:multiLevelType w:val="multilevel"/>
    <w:tmpl w:val="35C2A4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5B43585C"/>
    <w:multiLevelType w:val="multilevel"/>
    <w:tmpl w:val="FEC45DE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2" w15:restartNumberingAfterBreak="0">
    <w:nsid w:val="5CC53859"/>
    <w:multiLevelType w:val="hybridMultilevel"/>
    <w:tmpl w:val="DD44F654"/>
    <w:lvl w:ilvl="0" w:tplc="7BEE00A8">
      <w:numFmt w:val="bullet"/>
      <w:lvlText w:val="-"/>
      <w:lvlJc w:val="left"/>
      <w:pPr>
        <w:ind w:left="1212" w:hanging="424"/>
      </w:pPr>
      <w:rPr>
        <w:rFonts w:ascii="Arial MT" w:eastAsia="Arial MT" w:hAnsi="Arial MT" w:cs="Arial MT" w:hint="default"/>
        <w:b w:val="0"/>
        <w:bCs w:val="0"/>
        <w:i w:val="0"/>
        <w:iCs w:val="0"/>
        <w:spacing w:val="0"/>
        <w:w w:val="100"/>
        <w:sz w:val="24"/>
        <w:szCs w:val="24"/>
        <w:lang w:val="en-US" w:eastAsia="en-US" w:bidi="ar-SA"/>
      </w:rPr>
    </w:lvl>
    <w:lvl w:ilvl="1" w:tplc="95BE2D6C">
      <w:numFmt w:val="bullet"/>
      <w:lvlText w:val="•"/>
      <w:lvlJc w:val="left"/>
      <w:pPr>
        <w:ind w:left="2106" w:hanging="424"/>
      </w:pPr>
      <w:rPr>
        <w:rFonts w:hint="default"/>
        <w:lang w:val="en-US" w:eastAsia="en-US" w:bidi="ar-SA"/>
      </w:rPr>
    </w:lvl>
    <w:lvl w:ilvl="2" w:tplc="DC5C4452">
      <w:numFmt w:val="bullet"/>
      <w:lvlText w:val="•"/>
      <w:lvlJc w:val="left"/>
      <w:pPr>
        <w:ind w:left="2992" w:hanging="424"/>
      </w:pPr>
      <w:rPr>
        <w:rFonts w:hint="default"/>
        <w:lang w:val="en-US" w:eastAsia="en-US" w:bidi="ar-SA"/>
      </w:rPr>
    </w:lvl>
    <w:lvl w:ilvl="3" w:tplc="930847B0">
      <w:numFmt w:val="bullet"/>
      <w:lvlText w:val="•"/>
      <w:lvlJc w:val="left"/>
      <w:pPr>
        <w:ind w:left="3878" w:hanging="424"/>
      </w:pPr>
      <w:rPr>
        <w:rFonts w:hint="default"/>
        <w:lang w:val="en-US" w:eastAsia="en-US" w:bidi="ar-SA"/>
      </w:rPr>
    </w:lvl>
    <w:lvl w:ilvl="4" w:tplc="ADB8011E">
      <w:numFmt w:val="bullet"/>
      <w:lvlText w:val="•"/>
      <w:lvlJc w:val="left"/>
      <w:pPr>
        <w:ind w:left="4764" w:hanging="424"/>
      </w:pPr>
      <w:rPr>
        <w:rFonts w:hint="default"/>
        <w:lang w:val="en-US" w:eastAsia="en-US" w:bidi="ar-SA"/>
      </w:rPr>
    </w:lvl>
    <w:lvl w:ilvl="5" w:tplc="518256A8">
      <w:numFmt w:val="bullet"/>
      <w:lvlText w:val="•"/>
      <w:lvlJc w:val="left"/>
      <w:pPr>
        <w:ind w:left="5650" w:hanging="424"/>
      </w:pPr>
      <w:rPr>
        <w:rFonts w:hint="default"/>
        <w:lang w:val="en-US" w:eastAsia="en-US" w:bidi="ar-SA"/>
      </w:rPr>
    </w:lvl>
    <w:lvl w:ilvl="6" w:tplc="C5F0FA02">
      <w:numFmt w:val="bullet"/>
      <w:lvlText w:val="•"/>
      <w:lvlJc w:val="left"/>
      <w:pPr>
        <w:ind w:left="6536" w:hanging="424"/>
      </w:pPr>
      <w:rPr>
        <w:rFonts w:hint="default"/>
        <w:lang w:val="en-US" w:eastAsia="en-US" w:bidi="ar-SA"/>
      </w:rPr>
    </w:lvl>
    <w:lvl w:ilvl="7" w:tplc="E7F649D0">
      <w:numFmt w:val="bullet"/>
      <w:lvlText w:val="•"/>
      <w:lvlJc w:val="left"/>
      <w:pPr>
        <w:ind w:left="7422" w:hanging="424"/>
      </w:pPr>
      <w:rPr>
        <w:rFonts w:hint="default"/>
        <w:lang w:val="en-US" w:eastAsia="en-US" w:bidi="ar-SA"/>
      </w:rPr>
    </w:lvl>
    <w:lvl w:ilvl="8" w:tplc="29B0CFEC">
      <w:numFmt w:val="bullet"/>
      <w:lvlText w:val="•"/>
      <w:lvlJc w:val="left"/>
      <w:pPr>
        <w:ind w:left="8308" w:hanging="424"/>
      </w:pPr>
      <w:rPr>
        <w:rFonts w:hint="default"/>
        <w:lang w:val="en-US" w:eastAsia="en-US" w:bidi="ar-SA"/>
      </w:rPr>
    </w:lvl>
  </w:abstractNum>
  <w:abstractNum w:abstractNumId="143" w15:restartNumberingAfterBreak="0">
    <w:nsid w:val="5CF97FF1"/>
    <w:multiLevelType w:val="multilevel"/>
    <w:tmpl w:val="2368B4D6"/>
    <w:lvl w:ilvl="0">
      <w:start w:val="5"/>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4" w15:restartNumberingAfterBreak="0">
    <w:nsid w:val="5D350073"/>
    <w:multiLevelType w:val="multilevel"/>
    <w:tmpl w:val="C95A34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5E8854C4"/>
    <w:multiLevelType w:val="multilevel"/>
    <w:tmpl w:val="390AB9F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6" w15:restartNumberingAfterBreak="0">
    <w:nsid w:val="5EBE56BA"/>
    <w:multiLevelType w:val="hybridMultilevel"/>
    <w:tmpl w:val="E5F2FC78"/>
    <w:lvl w:ilvl="0" w:tplc="42FC1162">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24F8C5CC">
      <w:numFmt w:val="bullet"/>
      <w:lvlText w:val="•"/>
      <w:lvlJc w:val="left"/>
      <w:pPr>
        <w:ind w:left="1511" w:hanging="360"/>
      </w:pPr>
      <w:rPr>
        <w:rFonts w:hint="default"/>
        <w:lang w:val="en-US" w:eastAsia="en-US" w:bidi="ar-SA"/>
      </w:rPr>
    </w:lvl>
    <w:lvl w:ilvl="2" w:tplc="A7D8B83A">
      <w:numFmt w:val="bullet"/>
      <w:lvlText w:val="•"/>
      <w:lvlJc w:val="left"/>
      <w:pPr>
        <w:ind w:left="2203" w:hanging="360"/>
      </w:pPr>
      <w:rPr>
        <w:rFonts w:hint="default"/>
        <w:lang w:val="en-US" w:eastAsia="en-US" w:bidi="ar-SA"/>
      </w:rPr>
    </w:lvl>
    <w:lvl w:ilvl="3" w:tplc="15EA2C60">
      <w:numFmt w:val="bullet"/>
      <w:lvlText w:val="•"/>
      <w:lvlJc w:val="left"/>
      <w:pPr>
        <w:ind w:left="2894" w:hanging="360"/>
      </w:pPr>
      <w:rPr>
        <w:rFonts w:hint="default"/>
        <w:lang w:val="en-US" w:eastAsia="en-US" w:bidi="ar-SA"/>
      </w:rPr>
    </w:lvl>
    <w:lvl w:ilvl="4" w:tplc="B980FCE0">
      <w:numFmt w:val="bullet"/>
      <w:lvlText w:val="•"/>
      <w:lvlJc w:val="left"/>
      <w:pPr>
        <w:ind w:left="3586" w:hanging="360"/>
      </w:pPr>
      <w:rPr>
        <w:rFonts w:hint="default"/>
        <w:lang w:val="en-US" w:eastAsia="en-US" w:bidi="ar-SA"/>
      </w:rPr>
    </w:lvl>
    <w:lvl w:ilvl="5" w:tplc="B1907922">
      <w:numFmt w:val="bullet"/>
      <w:lvlText w:val="•"/>
      <w:lvlJc w:val="left"/>
      <w:pPr>
        <w:ind w:left="4278" w:hanging="360"/>
      </w:pPr>
      <w:rPr>
        <w:rFonts w:hint="default"/>
        <w:lang w:val="en-US" w:eastAsia="en-US" w:bidi="ar-SA"/>
      </w:rPr>
    </w:lvl>
    <w:lvl w:ilvl="6" w:tplc="86DAD04A">
      <w:numFmt w:val="bullet"/>
      <w:lvlText w:val="•"/>
      <w:lvlJc w:val="left"/>
      <w:pPr>
        <w:ind w:left="4969" w:hanging="360"/>
      </w:pPr>
      <w:rPr>
        <w:rFonts w:hint="default"/>
        <w:lang w:val="en-US" w:eastAsia="en-US" w:bidi="ar-SA"/>
      </w:rPr>
    </w:lvl>
    <w:lvl w:ilvl="7" w:tplc="32762C80">
      <w:numFmt w:val="bullet"/>
      <w:lvlText w:val="•"/>
      <w:lvlJc w:val="left"/>
      <w:pPr>
        <w:ind w:left="5661" w:hanging="360"/>
      </w:pPr>
      <w:rPr>
        <w:rFonts w:hint="default"/>
        <w:lang w:val="en-US" w:eastAsia="en-US" w:bidi="ar-SA"/>
      </w:rPr>
    </w:lvl>
    <w:lvl w:ilvl="8" w:tplc="96F834B0">
      <w:numFmt w:val="bullet"/>
      <w:lvlText w:val="•"/>
      <w:lvlJc w:val="left"/>
      <w:pPr>
        <w:ind w:left="6352" w:hanging="360"/>
      </w:pPr>
      <w:rPr>
        <w:rFonts w:hint="default"/>
        <w:lang w:val="en-US" w:eastAsia="en-US" w:bidi="ar-SA"/>
      </w:rPr>
    </w:lvl>
  </w:abstractNum>
  <w:abstractNum w:abstractNumId="147" w15:restartNumberingAfterBreak="0">
    <w:nsid w:val="5F2D16B6"/>
    <w:multiLevelType w:val="hybridMultilevel"/>
    <w:tmpl w:val="5C8865AE"/>
    <w:lvl w:ilvl="0" w:tplc="4B205940">
      <w:start w:val="2"/>
      <w:numFmt w:val="bullet"/>
      <w:lvlText w:val="-"/>
      <w:lvlJc w:val="left"/>
      <w:pPr>
        <w:ind w:left="720" w:hanging="360"/>
      </w:pPr>
      <w:rPr>
        <w:rFonts w:ascii="Times New Roman" w:eastAsia="Calibri" w:hAnsi="Times New Roman" w:cs="Times New Roman"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48" w15:restartNumberingAfterBreak="0">
    <w:nsid w:val="5F5762AA"/>
    <w:multiLevelType w:val="multilevel"/>
    <w:tmpl w:val="D51E8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601846B8"/>
    <w:multiLevelType w:val="multilevel"/>
    <w:tmpl w:val="647451F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0" w15:restartNumberingAfterBreak="0">
    <w:nsid w:val="612A503C"/>
    <w:multiLevelType w:val="multilevel"/>
    <w:tmpl w:val="85A8DE7E"/>
    <w:lvl w:ilvl="0">
      <w:start w:val="4"/>
      <w:numFmt w:val="decimal"/>
      <w:lvlText w:val="%1."/>
      <w:lvlJc w:val="left"/>
      <w:pPr>
        <w:ind w:left="720" w:hanging="720"/>
      </w:pPr>
      <w:rPr>
        <w:rFonts w:hint="default"/>
      </w:rPr>
    </w:lvl>
    <w:lvl w:ilvl="1">
      <w:start w:val="4"/>
      <w:numFmt w:val="decimal"/>
      <w:lvlText w:val="%1.%2."/>
      <w:lvlJc w:val="left"/>
      <w:pPr>
        <w:ind w:left="1098" w:hanging="720"/>
      </w:pPr>
      <w:rPr>
        <w:rFonts w:hint="default"/>
      </w:rPr>
    </w:lvl>
    <w:lvl w:ilvl="2">
      <w:start w:val="1"/>
      <w:numFmt w:val="decimal"/>
      <w:lvlText w:val="%1.%2.%3."/>
      <w:lvlJc w:val="left"/>
      <w:pPr>
        <w:ind w:left="1476" w:hanging="720"/>
      </w:pPr>
      <w:rPr>
        <w:rFonts w:hint="default"/>
      </w:rPr>
    </w:lvl>
    <w:lvl w:ilvl="3">
      <w:start w:val="3"/>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151" w15:restartNumberingAfterBreak="0">
    <w:nsid w:val="631B4E0A"/>
    <w:multiLevelType w:val="hybridMultilevel"/>
    <w:tmpl w:val="14C40B94"/>
    <w:lvl w:ilvl="0" w:tplc="A8929CF2">
      <w:start w:val="1"/>
      <w:numFmt w:val="decimal"/>
      <w:lvlText w:val="(%1)"/>
      <w:lvlJc w:val="left"/>
      <w:pPr>
        <w:ind w:left="1080" w:hanging="360"/>
      </w:pPr>
      <w:rPr>
        <w:rFonts w:ascii="Arial" w:eastAsia="Arial" w:hAnsi="Arial" w:cs="Arial" w:hint="default"/>
        <w:b/>
        <w:bCs/>
        <w:i w:val="0"/>
        <w:iCs w:val="0"/>
        <w:spacing w:val="-2"/>
        <w:w w:val="100"/>
        <w:sz w:val="24"/>
        <w:szCs w:val="24"/>
        <w:lang w:val="en-US" w:eastAsia="en-US" w:bidi="ar-SA"/>
      </w:rPr>
    </w:lvl>
    <w:lvl w:ilvl="1" w:tplc="6F163FD6">
      <w:numFmt w:val="bullet"/>
      <w:lvlText w:val="-"/>
      <w:lvlJc w:val="left"/>
      <w:pPr>
        <w:ind w:left="1493" w:hanging="361"/>
      </w:pPr>
      <w:rPr>
        <w:rFonts w:ascii="Calibri" w:eastAsia="Calibri" w:hAnsi="Calibri" w:cs="Calibri" w:hint="default"/>
        <w:b w:val="0"/>
        <w:bCs w:val="0"/>
        <w:i w:val="0"/>
        <w:iCs w:val="0"/>
        <w:spacing w:val="0"/>
        <w:w w:val="100"/>
        <w:sz w:val="24"/>
        <w:szCs w:val="24"/>
        <w:lang w:val="en-US" w:eastAsia="en-US" w:bidi="ar-SA"/>
      </w:rPr>
    </w:lvl>
    <w:lvl w:ilvl="2" w:tplc="89004F28">
      <w:numFmt w:val="bullet"/>
      <w:lvlText w:val="•"/>
      <w:lvlJc w:val="left"/>
      <w:pPr>
        <w:ind w:left="2416" w:hanging="361"/>
      </w:pPr>
      <w:rPr>
        <w:rFonts w:hint="default"/>
        <w:lang w:val="en-US" w:eastAsia="en-US" w:bidi="ar-SA"/>
      </w:rPr>
    </w:lvl>
    <w:lvl w:ilvl="3" w:tplc="36605C04">
      <w:numFmt w:val="bullet"/>
      <w:lvlText w:val="•"/>
      <w:lvlJc w:val="left"/>
      <w:pPr>
        <w:ind w:left="3332" w:hanging="361"/>
      </w:pPr>
      <w:rPr>
        <w:rFonts w:hint="default"/>
        <w:lang w:val="en-US" w:eastAsia="en-US" w:bidi="ar-SA"/>
      </w:rPr>
    </w:lvl>
    <w:lvl w:ilvl="4" w:tplc="995CDC28">
      <w:numFmt w:val="bullet"/>
      <w:lvlText w:val="•"/>
      <w:lvlJc w:val="left"/>
      <w:pPr>
        <w:ind w:left="4249" w:hanging="361"/>
      </w:pPr>
      <w:rPr>
        <w:rFonts w:hint="default"/>
        <w:lang w:val="en-US" w:eastAsia="en-US" w:bidi="ar-SA"/>
      </w:rPr>
    </w:lvl>
    <w:lvl w:ilvl="5" w:tplc="91D41E4A">
      <w:numFmt w:val="bullet"/>
      <w:lvlText w:val="•"/>
      <w:lvlJc w:val="left"/>
      <w:pPr>
        <w:ind w:left="5165" w:hanging="361"/>
      </w:pPr>
      <w:rPr>
        <w:rFonts w:hint="default"/>
        <w:lang w:val="en-US" w:eastAsia="en-US" w:bidi="ar-SA"/>
      </w:rPr>
    </w:lvl>
    <w:lvl w:ilvl="6" w:tplc="46D49056">
      <w:numFmt w:val="bullet"/>
      <w:lvlText w:val="•"/>
      <w:lvlJc w:val="left"/>
      <w:pPr>
        <w:ind w:left="6082" w:hanging="361"/>
      </w:pPr>
      <w:rPr>
        <w:rFonts w:hint="default"/>
        <w:lang w:val="en-US" w:eastAsia="en-US" w:bidi="ar-SA"/>
      </w:rPr>
    </w:lvl>
    <w:lvl w:ilvl="7" w:tplc="BC00BC2A">
      <w:numFmt w:val="bullet"/>
      <w:lvlText w:val="•"/>
      <w:lvlJc w:val="left"/>
      <w:pPr>
        <w:ind w:left="6998" w:hanging="361"/>
      </w:pPr>
      <w:rPr>
        <w:rFonts w:hint="default"/>
        <w:lang w:val="en-US" w:eastAsia="en-US" w:bidi="ar-SA"/>
      </w:rPr>
    </w:lvl>
    <w:lvl w:ilvl="8" w:tplc="38DA7A50">
      <w:numFmt w:val="bullet"/>
      <w:lvlText w:val="•"/>
      <w:lvlJc w:val="left"/>
      <w:pPr>
        <w:ind w:left="7915" w:hanging="361"/>
      </w:pPr>
      <w:rPr>
        <w:rFonts w:hint="default"/>
        <w:lang w:val="en-US" w:eastAsia="en-US" w:bidi="ar-SA"/>
      </w:rPr>
    </w:lvl>
  </w:abstractNum>
  <w:abstractNum w:abstractNumId="152" w15:restartNumberingAfterBreak="0">
    <w:nsid w:val="6333709D"/>
    <w:multiLevelType w:val="multilevel"/>
    <w:tmpl w:val="0E82F5FE"/>
    <w:lvl w:ilvl="0">
      <w:start w:val="1"/>
      <w:numFmt w:val="decimal"/>
      <w:lvlText w:val="%1"/>
      <w:lvlJc w:val="left"/>
      <w:pPr>
        <w:ind w:left="827" w:hanging="468"/>
      </w:pPr>
      <w:rPr>
        <w:rFonts w:hint="default"/>
        <w:lang w:val="en-US" w:eastAsia="en-US" w:bidi="ar-SA"/>
      </w:rPr>
    </w:lvl>
    <w:lvl w:ilvl="1">
      <w:start w:val="1"/>
      <w:numFmt w:val="decimal"/>
      <w:lvlText w:val="%1.%2."/>
      <w:lvlJc w:val="left"/>
      <w:pPr>
        <w:ind w:left="827" w:hanging="468"/>
      </w:pPr>
      <w:rPr>
        <w:rFonts w:ascii="Arial MT" w:eastAsia="Arial MT" w:hAnsi="Arial MT" w:cs="Arial MT" w:hint="default"/>
        <w:b w:val="0"/>
        <w:bCs w:val="0"/>
        <w:i w:val="0"/>
        <w:iCs w:val="0"/>
        <w:spacing w:val="-2"/>
        <w:w w:val="100"/>
        <w:sz w:val="24"/>
        <w:szCs w:val="24"/>
        <w:lang w:val="en-US" w:eastAsia="en-US" w:bidi="ar-SA"/>
      </w:rPr>
    </w:lvl>
    <w:lvl w:ilvl="2">
      <w:numFmt w:val="bullet"/>
      <w:lvlText w:val="●"/>
      <w:lvlJc w:val="left"/>
      <w:pPr>
        <w:ind w:left="1080" w:hanging="360"/>
      </w:pPr>
      <w:rPr>
        <w:rFonts w:ascii="Trebuchet MS" w:eastAsia="Trebuchet MS" w:hAnsi="Trebuchet MS" w:cs="Trebuchet MS" w:hint="default"/>
        <w:b w:val="0"/>
        <w:bCs w:val="0"/>
        <w:i w:val="0"/>
        <w:iCs w:val="0"/>
        <w:spacing w:val="0"/>
        <w:w w:val="124"/>
        <w:sz w:val="24"/>
        <w:szCs w:val="24"/>
        <w:lang w:val="en-US" w:eastAsia="en-US" w:bidi="ar-SA"/>
      </w:rPr>
    </w:lvl>
    <w:lvl w:ilvl="3">
      <w:numFmt w:val="bullet"/>
      <w:lvlText w:val="•"/>
      <w:lvlJc w:val="left"/>
      <w:pPr>
        <w:ind w:left="3086" w:hanging="360"/>
      </w:pPr>
      <w:rPr>
        <w:rFonts w:hint="default"/>
        <w:lang w:val="en-US" w:eastAsia="en-US" w:bidi="ar-SA"/>
      </w:rPr>
    </w:lvl>
    <w:lvl w:ilvl="4">
      <w:numFmt w:val="bullet"/>
      <w:lvlText w:val="•"/>
      <w:lvlJc w:val="left"/>
      <w:pPr>
        <w:ind w:left="4089" w:hanging="360"/>
      </w:pPr>
      <w:rPr>
        <w:rFonts w:hint="default"/>
        <w:lang w:val="en-US" w:eastAsia="en-US" w:bidi="ar-SA"/>
      </w:rPr>
    </w:lvl>
    <w:lvl w:ilvl="5">
      <w:numFmt w:val="bullet"/>
      <w:lvlText w:val="•"/>
      <w:lvlJc w:val="left"/>
      <w:pPr>
        <w:ind w:left="5092" w:hanging="360"/>
      </w:pPr>
      <w:rPr>
        <w:rFonts w:hint="default"/>
        <w:lang w:val="en-US" w:eastAsia="en-US" w:bidi="ar-SA"/>
      </w:rPr>
    </w:lvl>
    <w:lvl w:ilvl="6">
      <w:numFmt w:val="bullet"/>
      <w:lvlText w:val="•"/>
      <w:lvlJc w:val="left"/>
      <w:pPr>
        <w:ind w:left="6095" w:hanging="360"/>
      </w:pPr>
      <w:rPr>
        <w:rFonts w:hint="default"/>
        <w:lang w:val="en-US" w:eastAsia="en-US" w:bidi="ar-SA"/>
      </w:rPr>
    </w:lvl>
    <w:lvl w:ilvl="7">
      <w:numFmt w:val="bullet"/>
      <w:lvlText w:val="•"/>
      <w:lvlJc w:val="left"/>
      <w:pPr>
        <w:ind w:left="7098" w:hanging="360"/>
      </w:pPr>
      <w:rPr>
        <w:rFonts w:hint="default"/>
        <w:lang w:val="en-US" w:eastAsia="en-US" w:bidi="ar-SA"/>
      </w:rPr>
    </w:lvl>
    <w:lvl w:ilvl="8">
      <w:numFmt w:val="bullet"/>
      <w:lvlText w:val="•"/>
      <w:lvlJc w:val="left"/>
      <w:pPr>
        <w:ind w:left="8101" w:hanging="360"/>
      </w:pPr>
      <w:rPr>
        <w:rFonts w:hint="default"/>
        <w:lang w:val="en-US" w:eastAsia="en-US" w:bidi="ar-SA"/>
      </w:rPr>
    </w:lvl>
  </w:abstractNum>
  <w:abstractNum w:abstractNumId="153" w15:restartNumberingAfterBreak="0">
    <w:nsid w:val="63753EF3"/>
    <w:multiLevelType w:val="hybridMultilevel"/>
    <w:tmpl w:val="7DD26960"/>
    <w:lvl w:ilvl="0" w:tplc="0AB8B142">
      <w:numFmt w:val="bullet"/>
      <w:lvlText w:val=""/>
      <w:lvlJc w:val="left"/>
      <w:pPr>
        <w:ind w:left="1441" w:hanging="361"/>
      </w:pPr>
      <w:rPr>
        <w:rFonts w:ascii="Symbol" w:eastAsia="Symbol" w:hAnsi="Symbol" w:cs="Symbol" w:hint="default"/>
        <w:b w:val="0"/>
        <w:bCs w:val="0"/>
        <w:i w:val="0"/>
        <w:iCs w:val="0"/>
        <w:spacing w:val="0"/>
        <w:w w:val="100"/>
        <w:sz w:val="24"/>
        <w:szCs w:val="24"/>
        <w:lang w:val="en-US" w:eastAsia="en-US" w:bidi="ar-SA"/>
      </w:rPr>
    </w:lvl>
    <w:lvl w:ilvl="1" w:tplc="CD086738">
      <w:numFmt w:val="bullet"/>
      <w:lvlText w:val="•"/>
      <w:lvlJc w:val="left"/>
      <w:pPr>
        <w:ind w:left="2306" w:hanging="361"/>
      </w:pPr>
      <w:rPr>
        <w:rFonts w:hint="default"/>
        <w:lang w:val="en-US" w:eastAsia="en-US" w:bidi="ar-SA"/>
      </w:rPr>
    </w:lvl>
    <w:lvl w:ilvl="2" w:tplc="48BE3926">
      <w:numFmt w:val="bullet"/>
      <w:lvlText w:val="•"/>
      <w:lvlJc w:val="left"/>
      <w:pPr>
        <w:ind w:left="3173" w:hanging="361"/>
      </w:pPr>
      <w:rPr>
        <w:rFonts w:hint="default"/>
        <w:lang w:val="en-US" w:eastAsia="en-US" w:bidi="ar-SA"/>
      </w:rPr>
    </w:lvl>
    <w:lvl w:ilvl="3" w:tplc="E48EDCC0">
      <w:numFmt w:val="bullet"/>
      <w:lvlText w:val="•"/>
      <w:lvlJc w:val="left"/>
      <w:pPr>
        <w:ind w:left="4040" w:hanging="361"/>
      </w:pPr>
      <w:rPr>
        <w:rFonts w:hint="default"/>
        <w:lang w:val="en-US" w:eastAsia="en-US" w:bidi="ar-SA"/>
      </w:rPr>
    </w:lvl>
    <w:lvl w:ilvl="4" w:tplc="51D4BF66">
      <w:numFmt w:val="bullet"/>
      <w:lvlText w:val="•"/>
      <w:lvlJc w:val="left"/>
      <w:pPr>
        <w:ind w:left="4907" w:hanging="361"/>
      </w:pPr>
      <w:rPr>
        <w:rFonts w:hint="default"/>
        <w:lang w:val="en-US" w:eastAsia="en-US" w:bidi="ar-SA"/>
      </w:rPr>
    </w:lvl>
    <w:lvl w:ilvl="5" w:tplc="30A6D538">
      <w:numFmt w:val="bullet"/>
      <w:lvlText w:val="•"/>
      <w:lvlJc w:val="left"/>
      <w:pPr>
        <w:ind w:left="5774" w:hanging="361"/>
      </w:pPr>
      <w:rPr>
        <w:rFonts w:hint="default"/>
        <w:lang w:val="en-US" w:eastAsia="en-US" w:bidi="ar-SA"/>
      </w:rPr>
    </w:lvl>
    <w:lvl w:ilvl="6" w:tplc="66124CD4">
      <w:numFmt w:val="bullet"/>
      <w:lvlText w:val="•"/>
      <w:lvlJc w:val="left"/>
      <w:pPr>
        <w:ind w:left="6640" w:hanging="361"/>
      </w:pPr>
      <w:rPr>
        <w:rFonts w:hint="default"/>
        <w:lang w:val="en-US" w:eastAsia="en-US" w:bidi="ar-SA"/>
      </w:rPr>
    </w:lvl>
    <w:lvl w:ilvl="7" w:tplc="CA1E9FF2">
      <w:numFmt w:val="bullet"/>
      <w:lvlText w:val="•"/>
      <w:lvlJc w:val="left"/>
      <w:pPr>
        <w:ind w:left="7507" w:hanging="361"/>
      </w:pPr>
      <w:rPr>
        <w:rFonts w:hint="default"/>
        <w:lang w:val="en-US" w:eastAsia="en-US" w:bidi="ar-SA"/>
      </w:rPr>
    </w:lvl>
    <w:lvl w:ilvl="8" w:tplc="A552E760">
      <w:numFmt w:val="bullet"/>
      <w:lvlText w:val="•"/>
      <w:lvlJc w:val="left"/>
      <w:pPr>
        <w:ind w:left="8374" w:hanging="361"/>
      </w:pPr>
      <w:rPr>
        <w:rFonts w:hint="default"/>
        <w:lang w:val="en-US" w:eastAsia="en-US" w:bidi="ar-SA"/>
      </w:rPr>
    </w:lvl>
  </w:abstractNum>
  <w:abstractNum w:abstractNumId="154" w15:restartNumberingAfterBreak="0">
    <w:nsid w:val="63A32FC4"/>
    <w:multiLevelType w:val="hybridMultilevel"/>
    <w:tmpl w:val="C6D21A6E"/>
    <w:lvl w:ilvl="0" w:tplc="61FEBDB8">
      <w:start w:val="1"/>
      <w:numFmt w:val="decimal"/>
      <w:lvlText w:val="6.%1."/>
      <w:lvlJc w:val="left"/>
      <w:pPr>
        <w:ind w:left="108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5" w15:restartNumberingAfterBreak="0">
    <w:nsid w:val="63FA2BD7"/>
    <w:multiLevelType w:val="multilevel"/>
    <w:tmpl w:val="3B164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64D767FF"/>
    <w:multiLevelType w:val="hybridMultilevel"/>
    <w:tmpl w:val="C7302AAE"/>
    <w:lvl w:ilvl="0" w:tplc="E15E81C4">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BA4A1B98">
      <w:numFmt w:val="bullet"/>
      <w:lvlText w:val="•"/>
      <w:lvlJc w:val="left"/>
      <w:pPr>
        <w:ind w:left="1511" w:hanging="360"/>
      </w:pPr>
      <w:rPr>
        <w:rFonts w:hint="default"/>
        <w:lang w:val="en-US" w:eastAsia="en-US" w:bidi="ar-SA"/>
      </w:rPr>
    </w:lvl>
    <w:lvl w:ilvl="2" w:tplc="ED300502">
      <w:numFmt w:val="bullet"/>
      <w:lvlText w:val="•"/>
      <w:lvlJc w:val="left"/>
      <w:pPr>
        <w:ind w:left="2203" w:hanging="360"/>
      </w:pPr>
      <w:rPr>
        <w:rFonts w:hint="default"/>
        <w:lang w:val="en-US" w:eastAsia="en-US" w:bidi="ar-SA"/>
      </w:rPr>
    </w:lvl>
    <w:lvl w:ilvl="3" w:tplc="836EB78E">
      <w:numFmt w:val="bullet"/>
      <w:lvlText w:val="•"/>
      <w:lvlJc w:val="left"/>
      <w:pPr>
        <w:ind w:left="2894" w:hanging="360"/>
      </w:pPr>
      <w:rPr>
        <w:rFonts w:hint="default"/>
        <w:lang w:val="en-US" w:eastAsia="en-US" w:bidi="ar-SA"/>
      </w:rPr>
    </w:lvl>
    <w:lvl w:ilvl="4" w:tplc="7654E41E">
      <w:numFmt w:val="bullet"/>
      <w:lvlText w:val="•"/>
      <w:lvlJc w:val="left"/>
      <w:pPr>
        <w:ind w:left="3586" w:hanging="360"/>
      </w:pPr>
      <w:rPr>
        <w:rFonts w:hint="default"/>
        <w:lang w:val="en-US" w:eastAsia="en-US" w:bidi="ar-SA"/>
      </w:rPr>
    </w:lvl>
    <w:lvl w:ilvl="5" w:tplc="E7F096FE">
      <w:numFmt w:val="bullet"/>
      <w:lvlText w:val="•"/>
      <w:lvlJc w:val="left"/>
      <w:pPr>
        <w:ind w:left="4278" w:hanging="360"/>
      </w:pPr>
      <w:rPr>
        <w:rFonts w:hint="default"/>
        <w:lang w:val="en-US" w:eastAsia="en-US" w:bidi="ar-SA"/>
      </w:rPr>
    </w:lvl>
    <w:lvl w:ilvl="6" w:tplc="F1DE72F8">
      <w:numFmt w:val="bullet"/>
      <w:lvlText w:val="•"/>
      <w:lvlJc w:val="left"/>
      <w:pPr>
        <w:ind w:left="4969" w:hanging="360"/>
      </w:pPr>
      <w:rPr>
        <w:rFonts w:hint="default"/>
        <w:lang w:val="en-US" w:eastAsia="en-US" w:bidi="ar-SA"/>
      </w:rPr>
    </w:lvl>
    <w:lvl w:ilvl="7" w:tplc="2890A368">
      <w:numFmt w:val="bullet"/>
      <w:lvlText w:val="•"/>
      <w:lvlJc w:val="left"/>
      <w:pPr>
        <w:ind w:left="5661" w:hanging="360"/>
      </w:pPr>
      <w:rPr>
        <w:rFonts w:hint="default"/>
        <w:lang w:val="en-US" w:eastAsia="en-US" w:bidi="ar-SA"/>
      </w:rPr>
    </w:lvl>
    <w:lvl w:ilvl="8" w:tplc="75722DBC">
      <w:numFmt w:val="bullet"/>
      <w:lvlText w:val="•"/>
      <w:lvlJc w:val="left"/>
      <w:pPr>
        <w:ind w:left="6352" w:hanging="360"/>
      </w:pPr>
      <w:rPr>
        <w:rFonts w:hint="default"/>
        <w:lang w:val="en-US" w:eastAsia="en-US" w:bidi="ar-SA"/>
      </w:rPr>
    </w:lvl>
  </w:abstractNum>
  <w:abstractNum w:abstractNumId="157" w15:restartNumberingAfterBreak="0">
    <w:nsid w:val="6580278A"/>
    <w:multiLevelType w:val="multilevel"/>
    <w:tmpl w:val="1EDA0870"/>
    <w:lvl w:ilvl="0">
      <w:start w:val="2"/>
      <w:numFmt w:val="decimal"/>
      <w:lvlText w:val="%1"/>
      <w:lvlJc w:val="left"/>
      <w:pPr>
        <w:ind w:left="812" w:hanging="436"/>
      </w:pPr>
      <w:rPr>
        <w:rFonts w:hint="default"/>
        <w:lang w:val="en-US" w:eastAsia="en-US" w:bidi="ar-SA"/>
      </w:rPr>
    </w:lvl>
    <w:lvl w:ilvl="1">
      <w:start w:val="1"/>
      <w:numFmt w:val="decimal"/>
      <w:lvlText w:val="%1.%2."/>
      <w:lvlJc w:val="left"/>
      <w:pPr>
        <w:ind w:left="812" w:hanging="436"/>
      </w:pPr>
      <w:rPr>
        <w:rFonts w:ascii="Arial" w:eastAsia="Arial" w:hAnsi="Arial" w:cs="Arial" w:hint="default"/>
        <w:b/>
        <w:bCs/>
        <w:i w:val="0"/>
        <w:iCs w:val="0"/>
        <w:spacing w:val="-2"/>
        <w:w w:val="100"/>
        <w:sz w:val="24"/>
        <w:szCs w:val="24"/>
        <w:lang w:val="en-US" w:eastAsia="en-US" w:bidi="ar-SA"/>
      </w:rPr>
    </w:lvl>
    <w:lvl w:ilvl="2">
      <w:start w:val="1"/>
      <w:numFmt w:val="decimal"/>
      <w:lvlText w:val="%1.%2.%3."/>
      <w:lvlJc w:val="left"/>
      <w:pPr>
        <w:ind w:left="1080" w:hanging="720"/>
      </w:pPr>
      <w:rPr>
        <w:rFonts w:ascii="Arial" w:eastAsia="Arial" w:hAnsi="Arial" w:cs="Arial" w:hint="default"/>
        <w:b/>
        <w:bCs/>
        <w:i w:val="0"/>
        <w:iCs w:val="0"/>
        <w:spacing w:val="-2"/>
        <w:w w:val="100"/>
        <w:sz w:val="24"/>
        <w:szCs w:val="24"/>
        <w:lang w:val="en-US" w:eastAsia="en-US" w:bidi="ar-SA"/>
      </w:rPr>
    </w:lvl>
    <w:lvl w:ilvl="3">
      <w:numFmt w:val="bullet"/>
      <w:lvlText w:val="●"/>
      <w:lvlJc w:val="left"/>
      <w:pPr>
        <w:ind w:left="1080" w:hanging="360"/>
      </w:pPr>
      <w:rPr>
        <w:rFonts w:ascii="Arial MT" w:eastAsia="Arial MT" w:hAnsi="Arial MT" w:cs="Arial MT" w:hint="default"/>
        <w:b w:val="0"/>
        <w:bCs w:val="0"/>
        <w:i w:val="0"/>
        <w:iCs w:val="0"/>
        <w:spacing w:val="0"/>
        <w:w w:val="60"/>
        <w:sz w:val="24"/>
        <w:szCs w:val="24"/>
        <w:lang w:val="en-US" w:eastAsia="en-US" w:bidi="ar-SA"/>
      </w:rPr>
    </w:lvl>
    <w:lvl w:ilvl="4">
      <w:numFmt w:val="bullet"/>
      <w:lvlText w:val="•"/>
      <w:lvlJc w:val="left"/>
      <w:pPr>
        <w:ind w:left="4089" w:hanging="360"/>
      </w:pPr>
      <w:rPr>
        <w:rFonts w:hint="default"/>
        <w:lang w:val="en-US" w:eastAsia="en-US" w:bidi="ar-SA"/>
      </w:rPr>
    </w:lvl>
    <w:lvl w:ilvl="5">
      <w:numFmt w:val="bullet"/>
      <w:lvlText w:val="•"/>
      <w:lvlJc w:val="left"/>
      <w:pPr>
        <w:ind w:left="5092" w:hanging="360"/>
      </w:pPr>
      <w:rPr>
        <w:rFonts w:hint="default"/>
        <w:lang w:val="en-US" w:eastAsia="en-US" w:bidi="ar-SA"/>
      </w:rPr>
    </w:lvl>
    <w:lvl w:ilvl="6">
      <w:numFmt w:val="bullet"/>
      <w:lvlText w:val="•"/>
      <w:lvlJc w:val="left"/>
      <w:pPr>
        <w:ind w:left="6095" w:hanging="360"/>
      </w:pPr>
      <w:rPr>
        <w:rFonts w:hint="default"/>
        <w:lang w:val="en-US" w:eastAsia="en-US" w:bidi="ar-SA"/>
      </w:rPr>
    </w:lvl>
    <w:lvl w:ilvl="7">
      <w:numFmt w:val="bullet"/>
      <w:lvlText w:val="•"/>
      <w:lvlJc w:val="left"/>
      <w:pPr>
        <w:ind w:left="7098" w:hanging="360"/>
      </w:pPr>
      <w:rPr>
        <w:rFonts w:hint="default"/>
        <w:lang w:val="en-US" w:eastAsia="en-US" w:bidi="ar-SA"/>
      </w:rPr>
    </w:lvl>
    <w:lvl w:ilvl="8">
      <w:numFmt w:val="bullet"/>
      <w:lvlText w:val="•"/>
      <w:lvlJc w:val="left"/>
      <w:pPr>
        <w:ind w:left="8101" w:hanging="360"/>
      </w:pPr>
      <w:rPr>
        <w:rFonts w:hint="default"/>
        <w:lang w:val="en-US" w:eastAsia="en-US" w:bidi="ar-SA"/>
      </w:rPr>
    </w:lvl>
  </w:abstractNum>
  <w:abstractNum w:abstractNumId="158" w15:restartNumberingAfterBreak="0">
    <w:nsid w:val="65F412FF"/>
    <w:multiLevelType w:val="hybridMultilevel"/>
    <w:tmpl w:val="DF8807A4"/>
    <w:lvl w:ilvl="0" w:tplc="87D6B552">
      <w:numFmt w:val="bullet"/>
      <w:lvlText w:val="-"/>
      <w:lvlJc w:val="left"/>
      <w:pPr>
        <w:ind w:left="1080" w:hanging="360"/>
      </w:pPr>
      <w:rPr>
        <w:rFonts w:ascii="Calibri" w:eastAsia="Calibri" w:hAnsi="Calibri" w:cs="Calibri" w:hint="default"/>
        <w:b w:val="0"/>
        <w:bCs w:val="0"/>
        <w:i w:val="0"/>
        <w:iCs w:val="0"/>
        <w:spacing w:val="0"/>
        <w:w w:val="100"/>
        <w:sz w:val="24"/>
        <w:szCs w:val="24"/>
        <w:lang w:val="en-US" w:eastAsia="en-US" w:bidi="ar-SA"/>
      </w:rPr>
    </w:lvl>
    <w:lvl w:ilvl="1" w:tplc="A6EEA346">
      <w:numFmt w:val="bullet"/>
      <w:lvlText w:val="•"/>
      <w:lvlJc w:val="left"/>
      <w:pPr>
        <w:ind w:left="1982" w:hanging="360"/>
      </w:pPr>
      <w:rPr>
        <w:rFonts w:hint="default"/>
        <w:lang w:val="en-US" w:eastAsia="en-US" w:bidi="ar-SA"/>
      </w:rPr>
    </w:lvl>
    <w:lvl w:ilvl="2" w:tplc="4B626AE6">
      <w:numFmt w:val="bullet"/>
      <w:lvlText w:val="•"/>
      <w:lvlJc w:val="left"/>
      <w:pPr>
        <w:ind w:left="2885" w:hanging="360"/>
      </w:pPr>
      <w:rPr>
        <w:rFonts w:hint="default"/>
        <w:lang w:val="en-US" w:eastAsia="en-US" w:bidi="ar-SA"/>
      </w:rPr>
    </w:lvl>
    <w:lvl w:ilvl="3" w:tplc="858E40CE">
      <w:numFmt w:val="bullet"/>
      <w:lvlText w:val="•"/>
      <w:lvlJc w:val="left"/>
      <w:pPr>
        <w:ind w:left="3788" w:hanging="360"/>
      </w:pPr>
      <w:rPr>
        <w:rFonts w:hint="default"/>
        <w:lang w:val="en-US" w:eastAsia="en-US" w:bidi="ar-SA"/>
      </w:rPr>
    </w:lvl>
    <w:lvl w:ilvl="4" w:tplc="8CB80E00">
      <w:numFmt w:val="bullet"/>
      <w:lvlText w:val="•"/>
      <w:lvlJc w:val="left"/>
      <w:pPr>
        <w:ind w:left="4691" w:hanging="360"/>
      </w:pPr>
      <w:rPr>
        <w:rFonts w:hint="default"/>
        <w:lang w:val="en-US" w:eastAsia="en-US" w:bidi="ar-SA"/>
      </w:rPr>
    </w:lvl>
    <w:lvl w:ilvl="5" w:tplc="6A40909A">
      <w:numFmt w:val="bullet"/>
      <w:lvlText w:val="•"/>
      <w:lvlJc w:val="left"/>
      <w:pPr>
        <w:ind w:left="5594" w:hanging="360"/>
      </w:pPr>
      <w:rPr>
        <w:rFonts w:hint="default"/>
        <w:lang w:val="en-US" w:eastAsia="en-US" w:bidi="ar-SA"/>
      </w:rPr>
    </w:lvl>
    <w:lvl w:ilvl="6" w:tplc="E8FCB0D2">
      <w:numFmt w:val="bullet"/>
      <w:lvlText w:val="•"/>
      <w:lvlJc w:val="left"/>
      <w:pPr>
        <w:ind w:left="6496" w:hanging="360"/>
      </w:pPr>
      <w:rPr>
        <w:rFonts w:hint="default"/>
        <w:lang w:val="en-US" w:eastAsia="en-US" w:bidi="ar-SA"/>
      </w:rPr>
    </w:lvl>
    <w:lvl w:ilvl="7" w:tplc="E3D60C80">
      <w:numFmt w:val="bullet"/>
      <w:lvlText w:val="•"/>
      <w:lvlJc w:val="left"/>
      <w:pPr>
        <w:ind w:left="7399" w:hanging="360"/>
      </w:pPr>
      <w:rPr>
        <w:rFonts w:hint="default"/>
        <w:lang w:val="en-US" w:eastAsia="en-US" w:bidi="ar-SA"/>
      </w:rPr>
    </w:lvl>
    <w:lvl w:ilvl="8" w:tplc="E676BF2A">
      <w:numFmt w:val="bullet"/>
      <w:lvlText w:val="•"/>
      <w:lvlJc w:val="left"/>
      <w:pPr>
        <w:ind w:left="8302" w:hanging="360"/>
      </w:pPr>
      <w:rPr>
        <w:rFonts w:hint="default"/>
        <w:lang w:val="en-US" w:eastAsia="en-US" w:bidi="ar-SA"/>
      </w:rPr>
    </w:lvl>
  </w:abstractNum>
  <w:abstractNum w:abstractNumId="159" w15:restartNumberingAfterBreak="0">
    <w:nsid w:val="661D2A5D"/>
    <w:multiLevelType w:val="multilevel"/>
    <w:tmpl w:val="EAE63F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66E6566E"/>
    <w:multiLevelType w:val="multilevel"/>
    <w:tmpl w:val="FE8C0E3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681C35F6"/>
    <w:multiLevelType w:val="hybridMultilevel"/>
    <w:tmpl w:val="B5309FB6"/>
    <w:lvl w:ilvl="0" w:tplc="734A55E0">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E1C28E1C">
      <w:numFmt w:val="bullet"/>
      <w:lvlText w:val="•"/>
      <w:lvlJc w:val="left"/>
      <w:pPr>
        <w:ind w:left="1511" w:hanging="360"/>
      </w:pPr>
      <w:rPr>
        <w:rFonts w:hint="default"/>
        <w:lang w:val="en-US" w:eastAsia="en-US" w:bidi="ar-SA"/>
      </w:rPr>
    </w:lvl>
    <w:lvl w:ilvl="2" w:tplc="31968E10">
      <w:numFmt w:val="bullet"/>
      <w:lvlText w:val="•"/>
      <w:lvlJc w:val="left"/>
      <w:pPr>
        <w:ind w:left="2203" w:hanging="360"/>
      </w:pPr>
      <w:rPr>
        <w:rFonts w:hint="default"/>
        <w:lang w:val="en-US" w:eastAsia="en-US" w:bidi="ar-SA"/>
      </w:rPr>
    </w:lvl>
    <w:lvl w:ilvl="3" w:tplc="642C454E">
      <w:numFmt w:val="bullet"/>
      <w:lvlText w:val="•"/>
      <w:lvlJc w:val="left"/>
      <w:pPr>
        <w:ind w:left="2894" w:hanging="360"/>
      </w:pPr>
      <w:rPr>
        <w:rFonts w:hint="default"/>
        <w:lang w:val="en-US" w:eastAsia="en-US" w:bidi="ar-SA"/>
      </w:rPr>
    </w:lvl>
    <w:lvl w:ilvl="4" w:tplc="43966690">
      <w:numFmt w:val="bullet"/>
      <w:lvlText w:val="•"/>
      <w:lvlJc w:val="left"/>
      <w:pPr>
        <w:ind w:left="3586" w:hanging="360"/>
      </w:pPr>
      <w:rPr>
        <w:rFonts w:hint="default"/>
        <w:lang w:val="en-US" w:eastAsia="en-US" w:bidi="ar-SA"/>
      </w:rPr>
    </w:lvl>
    <w:lvl w:ilvl="5" w:tplc="FAF0734A">
      <w:numFmt w:val="bullet"/>
      <w:lvlText w:val="•"/>
      <w:lvlJc w:val="left"/>
      <w:pPr>
        <w:ind w:left="4278" w:hanging="360"/>
      </w:pPr>
      <w:rPr>
        <w:rFonts w:hint="default"/>
        <w:lang w:val="en-US" w:eastAsia="en-US" w:bidi="ar-SA"/>
      </w:rPr>
    </w:lvl>
    <w:lvl w:ilvl="6" w:tplc="53A8E84E">
      <w:numFmt w:val="bullet"/>
      <w:lvlText w:val="•"/>
      <w:lvlJc w:val="left"/>
      <w:pPr>
        <w:ind w:left="4969" w:hanging="360"/>
      </w:pPr>
      <w:rPr>
        <w:rFonts w:hint="default"/>
        <w:lang w:val="en-US" w:eastAsia="en-US" w:bidi="ar-SA"/>
      </w:rPr>
    </w:lvl>
    <w:lvl w:ilvl="7" w:tplc="855201AA">
      <w:numFmt w:val="bullet"/>
      <w:lvlText w:val="•"/>
      <w:lvlJc w:val="left"/>
      <w:pPr>
        <w:ind w:left="5661" w:hanging="360"/>
      </w:pPr>
      <w:rPr>
        <w:rFonts w:hint="default"/>
        <w:lang w:val="en-US" w:eastAsia="en-US" w:bidi="ar-SA"/>
      </w:rPr>
    </w:lvl>
    <w:lvl w:ilvl="8" w:tplc="576C63D0">
      <w:numFmt w:val="bullet"/>
      <w:lvlText w:val="•"/>
      <w:lvlJc w:val="left"/>
      <w:pPr>
        <w:ind w:left="6352" w:hanging="360"/>
      </w:pPr>
      <w:rPr>
        <w:rFonts w:hint="default"/>
        <w:lang w:val="en-US" w:eastAsia="en-US" w:bidi="ar-SA"/>
      </w:rPr>
    </w:lvl>
  </w:abstractNum>
  <w:abstractNum w:abstractNumId="162" w15:restartNumberingAfterBreak="0">
    <w:nsid w:val="688F00CF"/>
    <w:multiLevelType w:val="hybridMultilevel"/>
    <w:tmpl w:val="56C06F34"/>
    <w:lvl w:ilvl="0" w:tplc="BA140684">
      <w:start w:val="1"/>
      <w:numFmt w:val="decimal"/>
      <w:lvlText w:val="2.1.%1."/>
      <w:lvlJc w:val="left"/>
      <w:pPr>
        <w:ind w:left="720" w:hanging="360"/>
      </w:pPr>
      <w:rPr>
        <w:rFonts w:hint="default"/>
      </w:rPr>
    </w:lvl>
    <w:lvl w:ilvl="1" w:tplc="54F8086E" w:tentative="1">
      <w:start w:val="1"/>
      <w:numFmt w:val="lowerLetter"/>
      <w:lvlText w:val="%2."/>
      <w:lvlJc w:val="left"/>
      <w:pPr>
        <w:ind w:left="1440" w:hanging="360"/>
      </w:pPr>
    </w:lvl>
    <w:lvl w:ilvl="2" w:tplc="B79C8E2E" w:tentative="1">
      <w:start w:val="1"/>
      <w:numFmt w:val="lowerRoman"/>
      <w:lvlText w:val="%3."/>
      <w:lvlJc w:val="right"/>
      <w:pPr>
        <w:ind w:left="2160" w:hanging="180"/>
      </w:pPr>
    </w:lvl>
    <w:lvl w:ilvl="3" w:tplc="0532B28A" w:tentative="1">
      <w:start w:val="1"/>
      <w:numFmt w:val="decimal"/>
      <w:lvlText w:val="%4."/>
      <w:lvlJc w:val="left"/>
      <w:pPr>
        <w:ind w:left="2880" w:hanging="360"/>
      </w:pPr>
    </w:lvl>
    <w:lvl w:ilvl="4" w:tplc="D0E45826" w:tentative="1">
      <w:start w:val="1"/>
      <w:numFmt w:val="lowerLetter"/>
      <w:lvlText w:val="%5."/>
      <w:lvlJc w:val="left"/>
      <w:pPr>
        <w:ind w:left="3600" w:hanging="360"/>
      </w:pPr>
    </w:lvl>
    <w:lvl w:ilvl="5" w:tplc="14BE0BFE" w:tentative="1">
      <w:start w:val="1"/>
      <w:numFmt w:val="lowerRoman"/>
      <w:lvlText w:val="%6."/>
      <w:lvlJc w:val="right"/>
      <w:pPr>
        <w:ind w:left="4320" w:hanging="180"/>
      </w:pPr>
    </w:lvl>
    <w:lvl w:ilvl="6" w:tplc="6D6C6758" w:tentative="1">
      <w:start w:val="1"/>
      <w:numFmt w:val="decimal"/>
      <w:lvlText w:val="%7."/>
      <w:lvlJc w:val="left"/>
      <w:pPr>
        <w:ind w:left="5040" w:hanging="360"/>
      </w:pPr>
    </w:lvl>
    <w:lvl w:ilvl="7" w:tplc="17EE4848" w:tentative="1">
      <w:start w:val="1"/>
      <w:numFmt w:val="lowerLetter"/>
      <w:lvlText w:val="%8."/>
      <w:lvlJc w:val="left"/>
      <w:pPr>
        <w:ind w:left="5760" w:hanging="360"/>
      </w:pPr>
    </w:lvl>
    <w:lvl w:ilvl="8" w:tplc="48CC39E4" w:tentative="1">
      <w:start w:val="1"/>
      <w:numFmt w:val="lowerRoman"/>
      <w:lvlText w:val="%9."/>
      <w:lvlJc w:val="right"/>
      <w:pPr>
        <w:ind w:left="6480" w:hanging="180"/>
      </w:pPr>
    </w:lvl>
  </w:abstractNum>
  <w:abstractNum w:abstractNumId="163" w15:restartNumberingAfterBreak="0">
    <w:nsid w:val="6A3837B8"/>
    <w:multiLevelType w:val="hybridMultilevel"/>
    <w:tmpl w:val="BD2EFEFE"/>
    <w:lvl w:ilvl="0" w:tplc="4FEEE598">
      <w:start w:val="1"/>
      <w:numFmt w:val="decimal"/>
      <w:lvlText w:val="3.%1."/>
      <w:lvlJc w:val="left"/>
      <w:pPr>
        <w:ind w:left="75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6A72719C"/>
    <w:multiLevelType w:val="hybridMultilevel"/>
    <w:tmpl w:val="5D64305E"/>
    <w:lvl w:ilvl="0" w:tplc="14402784">
      <w:start w:val="1"/>
      <w:numFmt w:val="decimal"/>
      <w:lvlText w:val="%1."/>
      <w:lvlJc w:val="left"/>
      <w:pPr>
        <w:ind w:left="1440" w:hanging="360"/>
      </w:pPr>
      <w:rPr>
        <w:rFonts w:ascii="Arial MT" w:eastAsia="Arial MT" w:hAnsi="Arial MT" w:cs="Arial MT" w:hint="default"/>
        <w:b w:val="0"/>
        <w:bCs w:val="0"/>
        <w:i w:val="0"/>
        <w:iCs w:val="0"/>
        <w:spacing w:val="0"/>
        <w:w w:val="100"/>
        <w:sz w:val="20"/>
        <w:szCs w:val="20"/>
        <w:lang w:val="en-US" w:eastAsia="en-US" w:bidi="ar-SA"/>
      </w:rPr>
    </w:lvl>
    <w:lvl w:ilvl="1" w:tplc="7F960E7A">
      <w:numFmt w:val="bullet"/>
      <w:lvlText w:val="•"/>
      <w:lvlJc w:val="left"/>
      <w:pPr>
        <w:ind w:left="2376" w:hanging="360"/>
      </w:pPr>
      <w:rPr>
        <w:rFonts w:hint="default"/>
        <w:lang w:val="en-US" w:eastAsia="en-US" w:bidi="ar-SA"/>
      </w:rPr>
    </w:lvl>
    <w:lvl w:ilvl="2" w:tplc="BDC6F30A">
      <w:numFmt w:val="bullet"/>
      <w:lvlText w:val="•"/>
      <w:lvlJc w:val="left"/>
      <w:pPr>
        <w:ind w:left="3312" w:hanging="360"/>
      </w:pPr>
      <w:rPr>
        <w:rFonts w:hint="default"/>
        <w:lang w:val="en-US" w:eastAsia="en-US" w:bidi="ar-SA"/>
      </w:rPr>
    </w:lvl>
    <w:lvl w:ilvl="3" w:tplc="7F86A6EE">
      <w:numFmt w:val="bullet"/>
      <w:lvlText w:val="•"/>
      <w:lvlJc w:val="left"/>
      <w:pPr>
        <w:ind w:left="4248" w:hanging="360"/>
      </w:pPr>
      <w:rPr>
        <w:rFonts w:hint="default"/>
        <w:lang w:val="en-US" w:eastAsia="en-US" w:bidi="ar-SA"/>
      </w:rPr>
    </w:lvl>
    <w:lvl w:ilvl="4" w:tplc="936AB46A">
      <w:numFmt w:val="bullet"/>
      <w:lvlText w:val="•"/>
      <w:lvlJc w:val="left"/>
      <w:pPr>
        <w:ind w:left="5184" w:hanging="360"/>
      </w:pPr>
      <w:rPr>
        <w:rFonts w:hint="default"/>
        <w:lang w:val="en-US" w:eastAsia="en-US" w:bidi="ar-SA"/>
      </w:rPr>
    </w:lvl>
    <w:lvl w:ilvl="5" w:tplc="D6DA055C">
      <w:numFmt w:val="bullet"/>
      <w:lvlText w:val="•"/>
      <w:lvlJc w:val="left"/>
      <w:pPr>
        <w:ind w:left="6120" w:hanging="360"/>
      </w:pPr>
      <w:rPr>
        <w:rFonts w:hint="default"/>
        <w:lang w:val="en-US" w:eastAsia="en-US" w:bidi="ar-SA"/>
      </w:rPr>
    </w:lvl>
    <w:lvl w:ilvl="6" w:tplc="07C2F776">
      <w:numFmt w:val="bullet"/>
      <w:lvlText w:val="•"/>
      <w:lvlJc w:val="left"/>
      <w:pPr>
        <w:ind w:left="7056" w:hanging="360"/>
      </w:pPr>
      <w:rPr>
        <w:rFonts w:hint="default"/>
        <w:lang w:val="en-US" w:eastAsia="en-US" w:bidi="ar-SA"/>
      </w:rPr>
    </w:lvl>
    <w:lvl w:ilvl="7" w:tplc="EE1E7D54">
      <w:numFmt w:val="bullet"/>
      <w:lvlText w:val="•"/>
      <w:lvlJc w:val="left"/>
      <w:pPr>
        <w:ind w:left="7992" w:hanging="360"/>
      </w:pPr>
      <w:rPr>
        <w:rFonts w:hint="default"/>
        <w:lang w:val="en-US" w:eastAsia="en-US" w:bidi="ar-SA"/>
      </w:rPr>
    </w:lvl>
    <w:lvl w:ilvl="8" w:tplc="6728D61A">
      <w:numFmt w:val="bullet"/>
      <w:lvlText w:val="•"/>
      <w:lvlJc w:val="left"/>
      <w:pPr>
        <w:ind w:left="8928" w:hanging="360"/>
      </w:pPr>
      <w:rPr>
        <w:rFonts w:hint="default"/>
        <w:lang w:val="en-US" w:eastAsia="en-US" w:bidi="ar-SA"/>
      </w:rPr>
    </w:lvl>
  </w:abstractNum>
  <w:abstractNum w:abstractNumId="165" w15:restartNumberingAfterBreak="0">
    <w:nsid w:val="6C3576A8"/>
    <w:multiLevelType w:val="hybridMultilevel"/>
    <w:tmpl w:val="9CFAB6D8"/>
    <w:lvl w:ilvl="0" w:tplc="037C123E">
      <w:start w:val="3"/>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45E24F98">
      <w:numFmt w:val="bullet"/>
      <w:lvlText w:val="•"/>
      <w:lvlJc w:val="left"/>
      <w:pPr>
        <w:ind w:left="1511" w:hanging="360"/>
      </w:pPr>
      <w:rPr>
        <w:rFonts w:hint="default"/>
        <w:lang w:val="en-US" w:eastAsia="en-US" w:bidi="ar-SA"/>
      </w:rPr>
    </w:lvl>
    <w:lvl w:ilvl="2" w:tplc="0C58000A">
      <w:numFmt w:val="bullet"/>
      <w:lvlText w:val="•"/>
      <w:lvlJc w:val="left"/>
      <w:pPr>
        <w:ind w:left="2203" w:hanging="360"/>
      </w:pPr>
      <w:rPr>
        <w:rFonts w:hint="default"/>
        <w:lang w:val="en-US" w:eastAsia="en-US" w:bidi="ar-SA"/>
      </w:rPr>
    </w:lvl>
    <w:lvl w:ilvl="3" w:tplc="E82A4B78">
      <w:numFmt w:val="bullet"/>
      <w:lvlText w:val="•"/>
      <w:lvlJc w:val="left"/>
      <w:pPr>
        <w:ind w:left="2894" w:hanging="360"/>
      </w:pPr>
      <w:rPr>
        <w:rFonts w:hint="default"/>
        <w:lang w:val="en-US" w:eastAsia="en-US" w:bidi="ar-SA"/>
      </w:rPr>
    </w:lvl>
    <w:lvl w:ilvl="4" w:tplc="9CB42940">
      <w:numFmt w:val="bullet"/>
      <w:lvlText w:val="•"/>
      <w:lvlJc w:val="left"/>
      <w:pPr>
        <w:ind w:left="3586" w:hanging="360"/>
      </w:pPr>
      <w:rPr>
        <w:rFonts w:hint="default"/>
        <w:lang w:val="en-US" w:eastAsia="en-US" w:bidi="ar-SA"/>
      </w:rPr>
    </w:lvl>
    <w:lvl w:ilvl="5" w:tplc="055CE6B4">
      <w:numFmt w:val="bullet"/>
      <w:lvlText w:val="•"/>
      <w:lvlJc w:val="left"/>
      <w:pPr>
        <w:ind w:left="4278" w:hanging="360"/>
      </w:pPr>
      <w:rPr>
        <w:rFonts w:hint="default"/>
        <w:lang w:val="en-US" w:eastAsia="en-US" w:bidi="ar-SA"/>
      </w:rPr>
    </w:lvl>
    <w:lvl w:ilvl="6" w:tplc="0396CC38">
      <w:numFmt w:val="bullet"/>
      <w:lvlText w:val="•"/>
      <w:lvlJc w:val="left"/>
      <w:pPr>
        <w:ind w:left="4969" w:hanging="360"/>
      </w:pPr>
      <w:rPr>
        <w:rFonts w:hint="default"/>
        <w:lang w:val="en-US" w:eastAsia="en-US" w:bidi="ar-SA"/>
      </w:rPr>
    </w:lvl>
    <w:lvl w:ilvl="7" w:tplc="13F02534">
      <w:numFmt w:val="bullet"/>
      <w:lvlText w:val="•"/>
      <w:lvlJc w:val="left"/>
      <w:pPr>
        <w:ind w:left="5661" w:hanging="360"/>
      </w:pPr>
      <w:rPr>
        <w:rFonts w:hint="default"/>
        <w:lang w:val="en-US" w:eastAsia="en-US" w:bidi="ar-SA"/>
      </w:rPr>
    </w:lvl>
    <w:lvl w:ilvl="8" w:tplc="9560FFF0">
      <w:numFmt w:val="bullet"/>
      <w:lvlText w:val="•"/>
      <w:lvlJc w:val="left"/>
      <w:pPr>
        <w:ind w:left="6352" w:hanging="360"/>
      </w:pPr>
      <w:rPr>
        <w:rFonts w:hint="default"/>
        <w:lang w:val="en-US" w:eastAsia="en-US" w:bidi="ar-SA"/>
      </w:rPr>
    </w:lvl>
  </w:abstractNum>
  <w:abstractNum w:abstractNumId="166" w15:restartNumberingAfterBreak="0">
    <w:nsid w:val="6C7D3352"/>
    <w:multiLevelType w:val="multilevel"/>
    <w:tmpl w:val="E92A6EF2"/>
    <w:lvl w:ilvl="0">
      <w:start w:val="1"/>
      <w:numFmt w:val="decimal"/>
      <w:lvlText w:val="%1."/>
      <w:lvlJc w:val="left"/>
      <w:pPr>
        <w:ind w:left="660" w:hanging="660"/>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7" w15:restartNumberingAfterBreak="0">
    <w:nsid w:val="6D4077C4"/>
    <w:multiLevelType w:val="multilevel"/>
    <w:tmpl w:val="EB0A7BB6"/>
    <w:lvl w:ilvl="0">
      <w:start w:val="5"/>
      <w:numFmt w:val="decimal"/>
      <w:lvlText w:val="%1"/>
      <w:lvlJc w:val="left"/>
      <w:pPr>
        <w:ind w:left="812" w:hanging="436"/>
      </w:pPr>
      <w:rPr>
        <w:rFonts w:hint="default"/>
        <w:lang w:val="en-US" w:eastAsia="en-US" w:bidi="ar-SA"/>
      </w:rPr>
    </w:lvl>
    <w:lvl w:ilvl="1">
      <w:start w:val="4"/>
      <w:numFmt w:val="decimal"/>
      <w:lvlText w:val="%1.%2."/>
      <w:lvlJc w:val="left"/>
      <w:pPr>
        <w:ind w:left="812" w:hanging="436"/>
      </w:pPr>
      <w:rPr>
        <w:rFonts w:ascii="Arial" w:eastAsia="Arial" w:hAnsi="Arial" w:cs="Arial" w:hint="default"/>
        <w:b/>
        <w:bCs/>
        <w:i w:val="0"/>
        <w:iCs w:val="0"/>
        <w:spacing w:val="-2"/>
        <w:w w:val="100"/>
        <w:sz w:val="24"/>
        <w:szCs w:val="24"/>
        <w:lang w:val="en-US" w:eastAsia="en-US" w:bidi="ar-SA"/>
      </w:rPr>
    </w:lvl>
    <w:lvl w:ilvl="2">
      <w:start w:val="1"/>
      <w:numFmt w:val="decimal"/>
      <w:lvlText w:val="%1.%2.%3."/>
      <w:lvlJc w:val="left"/>
      <w:pPr>
        <w:ind w:left="1080" w:hanging="720"/>
      </w:pPr>
      <w:rPr>
        <w:rFonts w:hint="default"/>
        <w:spacing w:val="-2"/>
        <w:w w:val="88"/>
        <w:lang w:val="en-US" w:eastAsia="en-US" w:bidi="ar-SA"/>
      </w:rPr>
    </w:lvl>
    <w:lvl w:ilvl="3">
      <w:start w:val="1"/>
      <w:numFmt w:val="decimal"/>
      <w:lvlText w:val="%1.%2.%3.%4."/>
      <w:lvlJc w:val="left"/>
      <w:pPr>
        <w:ind w:left="1441" w:hanging="1097"/>
      </w:pPr>
      <w:rPr>
        <w:rFonts w:ascii="Arial" w:eastAsia="Arial" w:hAnsi="Arial" w:cs="Arial" w:hint="default"/>
        <w:b/>
        <w:bCs/>
        <w:i w:val="0"/>
        <w:iCs w:val="0"/>
        <w:spacing w:val="-2"/>
        <w:w w:val="100"/>
        <w:sz w:val="24"/>
        <w:szCs w:val="24"/>
        <w:lang w:val="en-US" w:eastAsia="en-US" w:bidi="ar-SA"/>
      </w:rPr>
    </w:lvl>
    <w:lvl w:ilvl="4">
      <w:numFmt w:val="bullet"/>
      <w:lvlText w:val="•"/>
      <w:lvlJc w:val="left"/>
      <w:pPr>
        <w:ind w:left="3517" w:hanging="1097"/>
      </w:pPr>
      <w:rPr>
        <w:rFonts w:hint="default"/>
        <w:lang w:val="en-US" w:eastAsia="en-US" w:bidi="ar-SA"/>
      </w:rPr>
    </w:lvl>
    <w:lvl w:ilvl="5">
      <w:numFmt w:val="bullet"/>
      <w:lvlText w:val="•"/>
      <w:lvlJc w:val="left"/>
      <w:pPr>
        <w:ind w:left="4555" w:hanging="1097"/>
      </w:pPr>
      <w:rPr>
        <w:rFonts w:hint="default"/>
        <w:lang w:val="en-US" w:eastAsia="en-US" w:bidi="ar-SA"/>
      </w:rPr>
    </w:lvl>
    <w:lvl w:ilvl="6">
      <w:numFmt w:val="bullet"/>
      <w:lvlText w:val="•"/>
      <w:lvlJc w:val="left"/>
      <w:pPr>
        <w:ind w:left="5594" w:hanging="1097"/>
      </w:pPr>
      <w:rPr>
        <w:rFonts w:hint="default"/>
        <w:lang w:val="en-US" w:eastAsia="en-US" w:bidi="ar-SA"/>
      </w:rPr>
    </w:lvl>
    <w:lvl w:ilvl="7">
      <w:numFmt w:val="bullet"/>
      <w:lvlText w:val="•"/>
      <w:lvlJc w:val="left"/>
      <w:pPr>
        <w:ind w:left="6632" w:hanging="1097"/>
      </w:pPr>
      <w:rPr>
        <w:rFonts w:hint="default"/>
        <w:lang w:val="en-US" w:eastAsia="en-US" w:bidi="ar-SA"/>
      </w:rPr>
    </w:lvl>
    <w:lvl w:ilvl="8">
      <w:numFmt w:val="bullet"/>
      <w:lvlText w:val="•"/>
      <w:lvlJc w:val="left"/>
      <w:pPr>
        <w:ind w:left="7671" w:hanging="1097"/>
      </w:pPr>
      <w:rPr>
        <w:rFonts w:hint="default"/>
        <w:lang w:val="en-US" w:eastAsia="en-US" w:bidi="ar-SA"/>
      </w:rPr>
    </w:lvl>
  </w:abstractNum>
  <w:abstractNum w:abstractNumId="168" w15:restartNumberingAfterBreak="0">
    <w:nsid w:val="6D8B3884"/>
    <w:multiLevelType w:val="hybridMultilevel"/>
    <w:tmpl w:val="BCC0852A"/>
    <w:lvl w:ilvl="0" w:tplc="38090001">
      <w:start w:val="1"/>
      <w:numFmt w:val="bullet"/>
      <w:lvlText w:val=""/>
      <w:lvlJc w:val="left"/>
      <w:pPr>
        <w:ind w:left="720" w:hanging="360"/>
      </w:pPr>
      <w:rPr>
        <w:rFonts w:ascii="Symbol" w:hAnsi="Symbol" w:hint="default"/>
      </w:rPr>
    </w:lvl>
    <w:lvl w:ilvl="1" w:tplc="38090003" w:tentative="1">
      <w:start w:val="1"/>
      <w:numFmt w:val="bullet"/>
      <w:lvlText w:val="o"/>
      <w:lvlJc w:val="left"/>
      <w:pPr>
        <w:ind w:left="1440" w:hanging="360"/>
      </w:pPr>
      <w:rPr>
        <w:rFonts w:ascii="Courier New" w:hAnsi="Courier New" w:cs="Courier New" w:hint="default"/>
      </w:rPr>
    </w:lvl>
    <w:lvl w:ilvl="2" w:tplc="38090005" w:tentative="1">
      <w:start w:val="1"/>
      <w:numFmt w:val="bullet"/>
      <w:lvlText w:val=""/>
      <w:lvlJc w:val="left"/>
      <w:pPr>
        <w:ind w:left="2160" w:hanging="360"/>
      </w:pPr>
      <w:rPr>
        <w:rFonts w:ascii="Wingdings" w:hAnsi="Wingdings" w:hint="default"/>
      </w:rPr>
    </w:lvl>
    <w:lvl w:ilvl="3" w:tplc="38090001" w:tentative="1">
      <w:start w:val="1"/>
      <w:numFmt w:val="bullet"/>
      <w:lvlText w:val=""/>
      <w:lvlJc w:val="left"/>
      <w:pPr>
        <w:ind w:left="2880" w:hanging="360"/>
      </w:pPr>
      <w:rPr>
        <w:rFonts w:ascii="Symbol" w:hAnsi="Symbol" w:hint="default"/>
      </w:rPr>
    </w:lvl>
    <w:lvl w:ilvl="4" w:tplc="38090003" w:tentative="1">
      <w:start w:val="1"/>
      <w:numFmt w:val="bullet"/>
      <w:lvlText w:val="o"/>
      <w:lvlJc w:val="left"/>
      <w:pPr>
        <w:ind w:left="3600" w:hanging="360"/>
      </w:pPr>
      <w:rPr>
        <w:rFonts w:ascii="Courier New" w:hAnsi="Courier New" w:cs="Courier New" w:hint="default"/>
      </w:rPr>
    </w:lvl>
    <w:lvl w:ilvl="5" w:tplc="38090005" w:tentative="1">
      <w:start w:val="1"/>
      <w:numFmt w:val="bullet"/>
      <w:lvlText w:val=""/>
      <w:lvlJc w:val="left"/>
      <w:pPr>
        <w:ind w:left="4320" w:hanging="360"/>
      </w:pPr>
      <w:rPr>
        <w:rFonts w:ascii="Wingdings" w:hAnsi="Wingdings" w:hint="default"/>
      </w:rPr>
    </w:lvl>
    <w:lvl w:ilvl="6" w:tplc="38090001" w:tentative="1">
      <w:start w:val="1"/>
      <w:numFmt w:val="bullet"/>
      <w:lvlText w:val=""/>
      <w:lvlJc w:val="left"/>
      <w:pPr>
        <w:ind w:left="5040" w:hanging="360"/>
      </w:pPr>
      <w:rPr>
        <w:rFonts w:ascii="Symbol" w:hAnsi="Symbol" w:hint="default"/>
      </w:rPr>
    </w:lvl>
    <w:lvl w:ilvl="7" w:tplc="38090003" w:tentative="1">
      <w:start w:val="1"/>
      <w:numFmt w:val="bullet"/>
      <w:lvlText w:val="o"/>
      <w:lvlJc w:val="left"/>
      <w:pPr>
        <w:ind w:left="5760" w:hanging="360"/>
      </w:pPr>
      <w:rPr>
        <w:rFonts w:ascii="Courier New" w:hAnsi="Courier New" w:cs="Courier New" w:hint="default"/>
      </w:rPr>
    </w:lvl>
    <w:lvl w:ilvl="8" w:tplc="38090005" w:tentative="1">
      <w:start w:val="1"/>
      <w:numFmt w:val="bullet"/>
      <w:lvlText w:val=""/>
      <w:lvlJc w:val="left"/>
      <w:pPr>
        <w:ind w:left="6480" w:hanging="360"/>
      </w:pPr>
      <w:rPr>
        <w:rFonts w:ascii="Wingdings" w:hAnsi="Wingdings" w:hint="default"/>
      </w:rPr>
    </w:lvl>
  </w:abstractNum>
  <w:abstractNum w:abstractNumId="169" w15:restartNumberingAfterBreak="0">
    <w:nsid w:val="6D8F6483"/>
    <w:multiLevelType w:val="hybridMultilevel"/>
    <w:tmpl w:val="60EE064E"/>
    <w:lvl w:ilvl="0" w:tplc="1CE28076">
      <w:start w:val="1"/>
      <w:numFmt w:val="decimal"/>
      <w:lvlText w:val="%1."/>
      <w:lvlJc w:val="left"/>
      <w:pPr>
        <w:ind w:left="1440" w:hanging="360"/>
      </w:pPr>
      <w:rPr>
        <w:rFonts w:ascii="Arial MT" w:eastAsia="Arial MT" w:hAnsi="Arial MT" w:cs="Arial MT" w:hint="default"/>
        <w:b w:val="0"/>
        <w:bCs w:val="0"/>
        <w:i w:val="0"/>
        <w:iCs w:val="0"/>
        <w:spacing w:val="0"/>
        <w:w w:val="100"/>
        <w:sz w:val="20"/>
        <w:szCs w:val="20"/>
        <w:lang w:val="en-US" w:eastAsia="en-US" w:bidi="ar-SA"/>
      </w:rPr>
    </w:lvl>
    <w:lvl w:ilvl="1" w:tplc="A76EAB66">
      <w:numFmt w:val="bullet"/>
      <w:lvlText w:val="•"/>
      <w:lvlJc w:val="left"/>
      <w:pPr>
        <w:ind w:left="2376" w:hanging="360"/>
      </w:pPr>
      <w:rPr>
        <w:rFonts w:hint="default"/>
        <w:lang w:val="en-US" w:eastAsia="en-US" w:bidi="ar-SA"/>
      </w:rPr>
    </w:lvl>
    <w:lvl w:ilvl="2" w:tplc="D2963DFA">
      <w:numFmt w:val="bullet"/>
      <w:lvlText w:val="•"/>
      <w:lvlJc w:val="left"/>
      <w:pPr>
        <w:ind w:left="3312" w:hanging="360"/>
      </w:pPr>
      <w:rPr>
        <w:rFonts w:hint="default"/>
        <w:lang w:val="en-US" w:eastAsia="en-US" w:bidi="ar-SA"/>
      </w:rPr>
    </w:lvl>
    <w:lvl w:ilvl="3" w:tplc="017428F2">
      <w:numFmt w:val="bullet"/>
      <w:lvlText w:val="•"/>
      <w:lvlJc w:val="left"/>
      <w:pPr>
        <w:ind w:left="4248" w:hanging="360"/>
      </w:pPr>
      <w:rPr>
        <w:rFonts w:hint="default"/>
        <w:lang w:val="en-US" w:eastAsia="en-US" w:bidi="ar-SA"/>
      </w:rPr>
    </w:lvl>
    <w:lvl w:ilvl="4" w:tplc="2E6C3FEC">
      <w:numFmt w:val="bullet"/>
      <w:lvlText w:val="•"/>
      <w:lvlJc w:val="left"/>
      <w:pPr>
        <w:ind w:left="5184" w:hanging="360"/>
      </w:pPr>
      <w:rPr>
        <w:rFonts w:hint="default"/>
        <w:lang w:val="en-US" w:eastAsia="en-US" w:bidi="ar-SA"/>
      </w:rPr>
    </w:lvl>
    <w:lvl w:ilvl="5" w:tplc="95B481F6">
      <w:numFmt w:val="bullet"/>
      <w:lvlText w:val="•"/>
      <w:lvlJc w:val="left"/>
      <w:pPr>
        <w:ind w:left="6120" w:hanging="360"/>
      </w:pPr>
      <w:rPr>
        <w:rFonts w:hint="default"/>
        <w:lang w:val="en-US" w:eastAsia="en-US" w:bidi="ar-SA"/>
      </w:rPr>
    </w:lvl>
    <w:lvl w:ilvl="6" w:tplc="3F7CDFAC">
      <w:numFmt w:val="bullet"/>
      <w:lvlText w:val="•"/>
      <w:lvlJc w:val="left"/>
      <w:pPr>
        <w:ind w:left="7056" w:hanging="360"/>
      </w:pPr>
      <w:rPr>
        <w:rFonts w:hint="default"/>
        <w:lang w:val="en-US" w:eastAsia="en-US" w:bidi="ar-SA"/>
      </w:rPr>
    </w:lvl>
    <w:lvl w:ilvl="7" w:tplc="6B88B7BA">
      <w:numFmt w:val="bullet"/>
      <w:lvlText w:val="•"/>
      <w:lvlJc w:val="left"/>
      <w:pPr>
        <w:ind w:left="7992" w:hanging="360"/>
      </w:pPr>
      <w:rPr>
        <w:rFonts w:hint="default"/>
        <w:lang w:val="en-US" w:eastAsia="en-US" w:bidi="ar-SA"/>
      </w:rPr>
    </w:lvl>
    <w:lvl w:ilvl="8" w:tplc="FF666FE0">
      <w:numFmt w:val="bullet"/>
      <w:lvlText w:val="•"/>
      <w:lvlJc w:val="left"/>
      <w:pPr>
        <w:ind w:left="8928" w:hanging="360"/>
      </w:pPr>
      <w:rPr>
        <w:rFonts w:hint="default"/>
        <w:lang w:val="en-US" w:eastAsia="en-US" w:bidi="ar-SA"/>
      </w:rPr>
    </w:lvl>
  </w:abstractNum>
  <w:abstractNum w:abstractNumId="170" w15:restartNumberingAfterBreak="0">
    <w:nsid w:val="6E6035A2"/>
    <w:multiLevelType w:val="hybridMultilevel"/>
    <w:tmpl w:val="8966874E"/>
    <w:lvl w:ilvl="0" w:tplc="4148D7B4">
      <w:start w:val="1"/>
      <w:numFmt w:val="decimal"/>
      <w:lvlText w:val="(%1)"/>
      <w:lvlJc w:val="left"/>
      <w:pPr>
        <w:ind w:left="1080" w:hanging="360"/>
      </w:pPr>
      <w:rPr>
        <w:rFonts w:ascii="Arial" w:eastAsia="Arial" w:hAnsi="Arial" w:cs="Arial" w:hint="default"/>
        <w:b/>
        <w:bCs/>
        <w:i w:val="0"/>
        <w:iCs w:val="0"/>
        <w:spacing w:val="-2"/>
        <w:w w:val="100"/>
        <w:sz w:val="24"/>
        <w:szCs w:val="24"/>
        <w:lang w:val="en-US" w:eastAsia="en-US" w:bidi="ar-SA"/>
      </w:rPr>
    </w:lvl>
    <w:lvl w:ilvl="1" w:tplc="C7384630">
      <w:numFmt w:val="bullet"/>
      <w:lvlText w:val="-"/>
      <w:lvlJc w:val="left"/>
      <w:pPr>
        <w:ind w:left="1509" w:hanging="361"/>
      </w:pPr>
      <w:rPr>
        <w:rFonts w:ascii="Calibri" w:eastAsia="Calibri" w:hAnsi="Calibri" w:cs="Calibri" w:hint="default"/>
        <w:b w:val="0"/>
        <w:bCs w:val="0"/>
        <w:i w:val="0"/>
        <w:iCs w:val="0"/>
        <w:spacing w:val="0"/>
        <w:w w:val="100"/>
        <w:sz w:val="24"/>
        <w:szCs w:val="24"/>
        <w:lang w:val="en-US" w:eastAsia="en-US" w:bidi="ar-SA"/>
      </w:rPr>
    </w:lvl>
    <w:lvl w:ilvl="2" w:tplc="091016E8">
      <w:numFmt w:val="bullet"/>
      <w:lvlText w:val="•"/>
      <w:lvlJc w:val="left"/>
      <w:pPr>
        <w:ind w:left="2416" w:hanging="361"/>
      </w:pPr>
      <w:rPr>
        <w:rFonts w:hint="default"/>
        <w:lang w:val="en-US" w:eastAsia="en-US" w:bidi="ar-SA"/>
      </w:rPr>
    </w:lvl>
    <w:lvl w:ilvl="3" w:tplc="12048DEA">
      <w:numFmt w:val="bullet"/>
      <w:lvlText w:val="•"/>
      <w:lvlJc w:val="left"/>
      <w:pPr>
        <w:ind w:left="3332" w:hanging="361"/>
      </w:pPr>
      <w:rPr>
        <w:rFonts w:hint="default"/>
        <w:lang w:val="en-US" w:eastAsia="en-US" w:bidi="ar-SA"/>
      </w:rPr>
    </w:lvl>
    <w:lvl w:ilvl="4" w:tplc="D22429FC">
      <w:numFmt w:val="bullet"/>
      <w:lvlText w:val="•"/>
      <w:lvlJc w:val="left"/>
      <w:pPr>
        <w:ind w:left="4249" w:hanging="361"/>
      </w:pPr>
      <w:rPr>
        <w:rFonts w:hint="default"/>
        <w:lang w:val="en-US" w:eastAsia="en-US" w:bidi="ar-SA"/>
      </w:rPr>
    </w:lvl>
    <w:lvl w:ilvl="5" w:tplc="042EAFA0">
      <w:numFmt w:val="bullet"/>
      <w:lvlText w:val="•"/>
      <w:lvlJc w:val="left"/>
      <w:pPr>
        <w:ind w:left="5165" w:hanging="361"/>
      </w:pPr>
      <w:rPr>
        <w:rFonts w:hint="default"/>
        <w:lang w:val="en-US" w:eastAsia="en-US" w:bidi="ar-SA"/>
      </w:rPr>
    </w:lvl>
    <w:lvl w:ilvl="6" w:tplc="285A5A12">
      <w:numFmt w:val="bullet"/>
      <w:lvlText w:val="•"/>
      <w:lvlJc w:val="left"/>
      <w:pPr>
        <w:ind w:left="6082" w:hanging="361"/>
      </w:pPr>
      <w:rPr>
        <w:rFonts w:hint="default"/>
        <w:lang w:val="en-US" w:eastAsia="en-US" w:bidi="ar-SA"/>
      </w:rPr>
    </w:lvl>
    <w:lvl w:ilvl="7" w:tplc="C7F6AFB6">
      <w:numFmt w:val="bullet"/>
      <w:lvlText w:val="•"/>
      <w:lvlJc w:val="left"/>
      <w:pPr>
        <w:ind w:left="6998" w:hanging="361"/>
      </w:pPr>
      <w:rPr>
        <w:rFonts w:hint="default"/>
        <w:lang w:val="en-US" w:eastAsia="en-US" w:bidi="ar-SA"/>
      </w:rPr>
    </w:lvl>
    <w:lvl w:ilvl="8" w:tplc="5EBA67B4">
      <w:numFmt w:val="bullet"/>
      <w:lvlText w:val="•"/>
      <w:lvlJc w:val="left"/>
      <w:pPr>
        <w:ind w:left="7915" w:hanging="361"/>
      </w:pPr>
      <w:rPr>
        <w:rFonts w:hint="default"/>
        <w:lang w:val="en-US" w:eastAsia="en-US" w:bidi="ar-SA"/>
      </w:rPr>
    </w:lvl>
  </w:abstractNum>
  <w:abstractNum w:abstractNumId="171" w15:restartNumberingAfterBreak="0">
    <w:nsid w:val="6EBC62AC"/>
    <w:multiLevelType w:val="multilevel"/>
    <w:tmpl w:val="48CA04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6F682858"/>
    <w:multiLevelType w:val="multilevel"/>
    <w:tmpl w:val="F874F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6F782ABD"/>
    <w:multiLevelType w:val="hybridMultilevel"/>
    <w:tmpl w:val="862A72F0"/>
    <w:lvl w:ilvl="0" w:tplc="DAF0A0FE">
      <w:numFmt w:val="bullet"/>
      <w:lvlText w:val=""/>
      <w:lvlJc w:val="left"/>
      <w:pPr>
        <w:ind w:left="1441" w:hanging="361"/>
      </w:pPr>
      <w:rPr>
        <w:rFonts w:ascii="Symbol" w:eastAsia="Symbol" w:hAnsi="Symbol" w:cs="Symbol" w:hint="default"/>
        <w:b w:val="0"/>
        <w:bCs w:val="0"/>
        <w:i w:val="0"/>
        <w:iCs w:val="0"/>
        <w:spacing w:val="0"/>
        <w:w w:val="100"/>
        <w:sz w:val="24"/>
        <w:szCs w:val="24"/>
        <w:lang w:val="en-US" w:eastAsia="en-US" w:bidi="ar-SA"/>
      </w:rPr>
    </w:lvl>
    <w:lvl w:ilvl="1" w:tplc="D8C6E3A2">
      <w:numFmt w:val="bullet"/>
      <w:lvlText w:val="•"/>
      <w:lvlJc w:val="left"/>
      <w:pPr>
        <w:ind w:left="2270" w:hanging="361"/>
      </w:pPr>
      <w:rPr>
        <w:rFonts w:hint="default"/>
        <w:lang w:val="en-US" w:eastAsia="en-US" w:bidi="ar-SA"/>
      </w:rPr>
    </w:lvl>
    <w:lvl w:ilvl="2" w:tplc="553AF5CA">
      <w:numFmt w:val="bullet"/>
      <w:lvlText w:val="•"/>
      <w:lvlJc w:val="left"/>
      <w:pPr>
        <w:ind w:left="3101" w:hanging="361"/>
      </w:pPr>
      <w:rPr>
        <w:rFonts w:hint="default"/>
        <w:lang w:val="en-US" w:eastAsia="en-US" w:bidi="ar-SA"/>
      </w:rPr>
    </w:lvl>
    <w:lvl w:ilvl="3" w:tplc="DA04484C">
      <w:numFmt w:val="bullet"/>
      <w:lvlText w:val="•"/>
      <w:lvlJc w:val="left"/>
      <w:pPr>
        <w:ind w:left="3932" w:hanging="361"/>
      </w:pPr>
      <w:rPr>
        <w:rFonts w:hint="default"/>
        <w:lang w:val="en-US" w:eastAsia="en-US" w:bidi="ar-SA"/>
      </w:rPr>
    </w:lvl>
    <w:lvl w:ilvl="4" w:tplc="EA72D84C">
      <w:numFmt w:val="bullet"/>
      <w:lvlText w:val="•"/>
      <w:lvlJc w:val="left"/>
      <w:pPr>
        <w:ind w:left="4763" w:hanging="361"/>
      </w:pPr>
      <w:rPr>
        <w:rFonts w:hint="default"/>
        <w:lang w:val="en-US" w:eastAsia="en-US" w:bidi="ar-SA"/>
      </w:rPr>
    </w:lvl>
    <w:lvl w:ilvl="5" w:tplc="90629A0C">
      <w:numFmt w:val="bullet"/>
      <w:lvlText w:val="•"/>
      <w:lvlJc w:val="left"/>
      <w:pPr>
        <w:ind w:left="5594" w:hanging="361"/>
      </w:pPr>
      <w:rPr>
        <w:rFonts w:hint="default"/>
        <w:lang w:val="en-US" w:eastAsia="en-US" w:bidi="ar-SA"/>
      </w:rPr>
    </w:lvl>
    <w:lvl w:ilvl="6" w:tplc="466033F4">
      <w:numFmt w:val="bullet"/>
      <w:lvlText w:val="•"/>
      <w:lvlJc w:val="left"/>
      <w:pPr>
        <w:ind w:left="6424" w:hanging="361"/>
      </w:pPr>
      <w:rPr>
        <w:rFonts w:hint="default"/>
        <w:lang w:val="en-US" w:eastAsia="en-US" w:bidi="ar-SA"/>
      </w:rPr>
    </w:lvl>
    <w:lvl w:ilvl="7" w:tplc="80C46E4A">
      <w:numFmt w:val="bullet"/>
      <w:lvlText w:val="•"/>
      <w:lvlJc w:val="left"/>
      <w:pPr>
        <w:ind w:left="7255" w:hanging="361"/>
      </w:pPr>
      <w:rPr>
        <w:rFonts w:hint="default"/>
        <w:lang w:val="en-US" w:eastAsia="en-US" w:bidi="ar-SA"/>
      </w:rPr>
    </w:lvl>
    <w:lvl w:ilvl="8" w:tplc="90848A0C">
      <w:numFmt w:val="bullet"/>
      <w:lvlText w:val="•"/>
      <w:lvlJc w:val="left"/>
      <w:pPr>
        <w:ind w:left="8086" w:hanging="361"/>
      </w:pPr>
      <w:rPr>
        <w:rFonts w:hint="default"/>
        <w:lang w:val="en-US" w:eastAsia="en-US" w:bidi="ar-SA"/>
      </w:rPr>
    </w:lvl>
  </w:abstractNum>
  <w:abstractNum w:abstractNumId="174" w15:restartNumberingAfterBreak="0">
    <w:nsid w:val="700B32E6"/>
    <w:multiLevelType w:val="multilevel"/>
    <w:tmpl w:val="B0FC4BCC"/>
    <w:lvl w:ilvl="0">
      <w:start w:val="4"/>
      <w:numFmt w:val="decimal"/>
      <w:lvlText w:val="%1."/>
      <w:lvlJc w:val="left"/>
      <w:pPr>
        <w:ind w:left="900" w:hanging="900"/>
      </w:pPr>
      <w:rPr>
        <w:rFonts w:ascii="Times New Roman" w:hAnsi="Times New Roman" w:cs="Times New Roman" w:hint="default"/>
        <w:b w:val="0"/>
        <w:color w:val="auto"/>
        <w:sz w:val="24"/>
      </w:rPr>
    </w:lvl>
    <w:lvl w:ilvl="1">
      <w:start w:val="4"/>
      <w:numFmt w:val="decimal"/>
      <w:lvlText w:val="%1.%2."/>
      <w:lvlJc w:val="left"/>
      <w:pPr>
        <w:ind w:left="1331" w:hanging="900"/>
      </w:pPr>
      <w:rPr>
        <w:rFonts w:ascii="Times New Roman" w:hAnsi="Times New Roman" w:cs="Times New Roman" w:hint="default"/>
        <w:b w:val="0"/>
        <w:color w:val="auto"/>
        <w:sz w:val="24"/>
      </w:rPr>
    </w:lvl>
    <w:lvl w:ilvl="2">
      <w:start w:val="4"/>
      <w:numFmt w:val="decimal"/>
      <w:lvlText w:val="%1.%2.%3."/>
      <w:lvlJc w:val="left"/>
      <w:pPr>
        <w:ind w:left="1762" w:hanging="900"/>
      </w:pPr>
      <w:rPr>
        <w:rFonts w:ascii="Times New Roman" w:hAnsi="Times New Roman" w:cs="Times New Roman" w:hint="default"/>
        <w:b w:val="0"/>
        <w:color w:val="auto"/>
        <w:sz w:val="24"/>
      </w:rPr>
    </w:lvl>
    <w:lvl w:ilvl="3">
      <w:start w:val="1"/>
      <w:numFmt w:val="decimal"/>
      <w:lvlText w:val="%1.%2.%3.%4."/>
      <w:lvlJc w:val="left"/>
      <w:pPr>
        <w:ind w:left="2373" w:hanging="1080"/>
      </w:pPr>
      <w:rPr>
        <w:rFonts w:ascii="Times New Roman" w:hAnsi="Times New Roman" w:cs="Times New Roman" w:hint="default"/>
        <w:b w:val="0"/>
        <w:color w:val="auto"/>
        <w:sz w:val="24"/>
      </w:rPr>
    </w:lvl>
    <w:lvl w:ilvl="4">
      <w:start w:val="1"/>
      <w:numFmt w:val="decimal"/>
      <w:lvlText w:val="%1.%2.%3.%4.%5."/>
      <w:lvlJc w:val="left"/>
      <w:pPr>
        <w:ind w:left="2804" w:hanging="1080"/>
      </w:pPr>
      <w:rPr>
        <w:rFonts w:ascii="Times New Roman" w:hAnsi="Times New Roman" w:cs="Times New Roman" w:hint="default"/>
        <w:b w:val="0"/>
        <w:color w:val="auto"/>
        <w:sz w:val="24"/>
      </w:rPr>
    </w:lvl>
    <w:lvl w:ilvl="5">
      <w:start w:val="1"/>
      <w:numFmt w:val="decimal"/>
      <w:lvlText w:val="%1.%2.%3.%4.%5.%6."/>
      <w:lvlJc w:val="left"/>
      <w:pPr>
        <w:ind w:left="3595" w:hanging="1440"/>
      </w:pPr>
      <w:rPr>
        <w:rFonts w:ascii="Times New Roman" w:hAnsi="Times New Roman" w:cs="Times New Roman" w:hint="default"/>
        <w:b w:val="0"/>
        <w:color w:val="auto"/>
        <w:sz w:val="24"/>
      </w:rPr>
    </w:lvl>
    <w:lvl w:ilvl="6">
      <w:start w:val="1"/>
      <w:numFmt w:val="decimal"/>
      <w:lvlText w:val="%1.%2.%3.%4.%5.%6.%7."/>
      <w:lvlJc w:val="left"/>
      <w:pPr>
        <w:ind w:left="4386" w:hanging="1800"/>
      </w:pPr>
      <w:rPr>
        <w:rFonts w:ascii="Times New Roman" w:hAnsi="Times New Roman" w:cs="Times New Roman" w:hint="default"/>
        <w:b w:val="0"/>
        <w:color w:val="auto"/>
        <w:sz w:val="24"/>
      </w:rPr>
    </w:lvl>
    <w:lvl w:ilvl="7">
      <w:start w:val="1"/>
      <w:numFmt w:val="decimal"/>
      <w:lvlText w:val="%1.%2.%3.%4.%5.%6.%7.%8."/>
      <w:lvlJc w:val="left"/>
      <w:pPr>
        <w:ind w:left="4817" w:hanging="1800"/>
      </w:pPr>
      <w:rPr>
        <w:rFonts w:ascii="Times New Roman" w:hAnsi="Times New Roman" w:cs="Times New Roman" w:hint="default"/>
        <w:b w:val="0"/>
        <w:color w:val="auto"/>
        <w:sz w:val="24"/>
      </w:rPr>
    </w:lvl>
    <w:lvl w:ilvl="8">
      <w:start w:val="1"/>
      <w:numFmt w:val="decimal"/>
      <w:lvlText w:val="%1.%2.%3.%4.%5.%6.%7.%8.%9."/>
      <w:lvlJc w:val="left"/>
      <w:pPr>
        <w:ind w:left="5608" w:hanging="2160"/>
      </w:pPr>
      <w:rPr>
        <w:rFonts w:ascii="Times New Roman" w:hAnsi="Times New Roman" w:cs="Times New Roman" w:hint="default"/>
        <w:b w:val="0"/>
        <w:color w:val="auto"/>
        <w:sz w:val="24"/>
      </w:rPr>
    </w:lvl>
  </w:abstractNum>
  <w:abstractNum w:abstractNumId="175" w15:restartNumberingAfterBreak="0">
    <w:nsid w:val="703F5F6B"/>
    <w:multiLevelType w:val="hybridMultilevel"/>
    <w:tmpl w:val="F3D6124E"/>
    <w:lvl w:ilvl="0" w:tplc="02667340">
      <w:start w:val="7"/>
      <w:numFmt w:val="decimal"/>
      <w:lvlText w:val="%1."/>
      <w:lvlJc w:val="left"/>
      <w:pPr>
        <w:ind w:left="388" w:hanging="360"/>
      </w:pPr>
      <w:rPr>
        <w:rFonts w:hint="default"/>
        <w:color w:val="0000FF"/>
      </w:rPr>
    </w:lvl>
    <w:lvl w:ilvl="1" w:tplc="38090019" w:tentative="1">
      <w:start w:val="1"/>
      <w:numFmt w:val="lowerLetter"/>
      <w:lvlText w:val="%2."/>
      <w:lvlJc w:val="left"/>
      <w:pPr>
        <w:ind w:left="1108" w:hanging="360"/>
      </w:pPr>
    </w:lvl>
    <w:lvl w:ilvl="2" w:tplc="3809001B" w:tentative="1">
      <w:start w:val="1"/>
      <w:numFmt w:val="lowerRoman"/>
      <w:lvlText w:val="%3."/>
      <w:lvlJc w:val="right"/>
      <w:pPr>
        <w:ind w:left="1828" w:hanging="180"/>
      </w:pPr>
    </w:lvl>
    <w:lvl w:ilvl="3" w:tplc="3809000F" w:tentative="1">
      <w:start w:val="1"/>
      <w:numFmt w:val="decimal"/>
      <w:lvlText w:val="%4."/>
      <w:lvlJc w:val="left"/>
      <w:pPr>
        <w:ind w:left="2548" w:hanging="360"/>
      </w:pPr>
    </w:lvl>
    <w:lvl w:ilvl="4" w:tplc="38090019" w:tentative="1">
      <w:start w:val="1"/>
      <w:numFmt w:val="lowerLetter"/>
      <w:lvlText w:val="%5."/>
      <w:lvlJc w:val="left"/>
      <w:pPr>
        <w:ind w:left="3268" w:hanging="360"/>
      </w:pPr>
    </w:lvl>
    <w:lvl w:ilvl="5" w:tplc="3809001B" w:tentative="1">
      <w:start w:val="1"/>
      <w:numFmt w:val="lowerRoman"/>
      <w:lvlText w:val="%6."/>
      <w:lvlJc w:val="right"/>
      <w:pPr>
        <w:ind w:left="3988" w:hanging="180"/>
      </w:pPr>
    </w:lvl>
    <w:lvl w:ilvl="6" w:tplc="3809000F" w:tentative="1">
      <w:start w:val="1"/>
      <w:numFmt w:val="decimal"/>
      <w:lvlText w:val="%7."/>
      <w:lvlJc w:val="left"/>
      <w:pPr>
        <w:ind w:left="4708" w:hanging="360"/>
      </w:pPr>
    </w:lvl>
    <w:lvl w:ilvl="7" w:tplc="38090019" w:tentative="1">
      <w:start w:val="1"/>
      <w:numFmt w:val="lowerLetter"/>
      <w:lvlText w:val="%8."/>
      <w:lvlJc w:val="left"/>
      <w:pPr>
        <w:ind w:left="5428" w:hanging="360"/>
      </w:pPr>
    </w:lvl>
    <w:lvl w:ilvl="8" w:tplc="3809001B" w:tentative="1">
      <w:start w:val="1"/>
      <w:numFmt w:val="lowerRoman"/>
      <w:lvlText w:val="%9."/>
      <w:lvlJc w:val="right"/>
      <w:pPr>
        <w:ind w:left="6148" w:hanging="180"/>
      </w:pPr>
    </w:lvl>
  </w:abstractNum>
  <w:abstractNum w:abstractNumId="176" w15:restartNumberingAfterBreak="0">
    <w:nsid w:val="713427EB"/>
    <w:multiLevelType w:val="hybridMultilevel"/>
    <w:tmpl w:val="5F20C0D4"/>
    <w:lvl w:ilvl="0" w:tplc="FF002FB2">
      <w:numFmt w:val="bullet"/>
      <w:lvlText w:val="-"/>
      <w:lvlJc w:val="left"/>
      <w:pPr>
        <w:ind w:left="826" w:hanging="360"/>
      </w:pPr>
      <w:rPr>
        <w:rFonts w:ascii="Arial MT" w:eastAsia="Arial MT" w:hAnsi="Arial MT" w:cs="Arial MT" w:hint="default"/>
        <w:b w:val="0"/>
        <w:bCs w:val="0"/>
        <w:i w:val="0"/>
        <w:iCs w:val="0"/>
        <w:spacing w:val="0"/>
        <w:w w:val="100"/>
        <w:sz w:val="24"/>
        <w:szCs w:val="24"/>
        <w:lang w:val="en-US" w:eastAsia="en-US" w:bidi="ar-SA"/>
      </w:rPr>
    </w:lvl>
    <w:lvl w:ilvl="1" w:tplc="2EA82E4E">
      <w:numFmt w:val="bullet"/>
      <w:lvlText w:val="•"/>
      <w:lvlJc w:val="left"/>
      <w:pPr>
        <w:ind w:left="1119" w:hanging="360"/>
      </w:pPr>
      <w:rPr>
        <w:rFonts w:hint="default"/>
        <w:lang w:val="en-US" w:eastAsia="en-US" w:bidi="ar-SA"/>
      </w:rPr>
    </w:lvl>
    <w:lvl w:ilvl="2" w:tplc="BE16D760">
      <w:numFmt w:val="bullet"/>
      <w:lvlText w:val="•"/>
      <w:lvlJc w:val="left"/>
      <w:pPr>
        <w:ind w:left="1418" w:hanging="360"/>
      </w:pPr>
      <w:rPr>
        <w:rFonts w:hint="default"/>
        <w:lang w:val="en-US" w:eastAsia="en-US" w:bidi="ar-SA"/>
      </w:rPr>
    </w:lvl>
    <w:lvl w:ilvl="3" w:tplc="37BC8D38">
      <w:numFmt w:val="bullet"/>
      <w:lvlText w:val="•"/>
      <w:lvlJc w:val="left"/>
      <w:pPr>
        <w:ind w:left="1717" w:hanging="360"/>
      </w:pPr>
      <w:rPr>
        <w:rFonts w:hint="default"/>
        <w:lang w:val="en-US" w:eastAsia="en-US" w:bidi="ar-SA"/>
      </w:rPr>
    </w:lvl>
    <w:lvl w:ilvl="4" w:tplc="29DA07A4">
      <w:numFmt w:val="bullet"/>
      <w:lvlText w:val="•"/>
      <w:lvlJc w:val="left"/>
      <w:pPr>
        <w:ind w:left="2016" w:hanging="360"/>
      </w:pPr>
      <w:rPr>
        <w:rFonts w:hint="default"/>
        <w:lang w:val="en-US" w:eastAsia="en-US" w:bidi="ar-SA"/>
      </w:rPr>
    </w:lvl>
    <w:lvl w:ilvl="5" w:tplc="689A46F8">
      <w:numFmt w:val="bullet"/>
      <w:lvlText w:val="•"/>
      <w:lvlJc w:val="left"/>
      <w:pPr>
        <w:ind w:left="2316" w:hanging="360"/>
      </w:pPr>
      <w:rPr>
        <w:rFonts w:hint="default"/>
        <w:lang w:val="en-US" w:eastAsia="en-US" w:bidi="ar-SA"/>
      </w:rPr>
    </w:lvl>
    <w:lvl w:ilvl="6" w:tplc="F5428202">
      <w:numFmt w:val="bullet"/>
      <w:lvlText w:val="•"/>
      <w:lvlJc w:val="left"/>
      <w:pPr>
        <w:ind w:left="2615" w:hanging="360"/>
      </w:pPr>
      <w:rPr>
        <w:rFonts w:hint="default"/>
        <w:lang w:val="en-US" w:eastAsia="en-US" w:bidi="ar-SA"/>
      </w:rPr>
    </w:lvl>
    <w:lvl w:ilvl="7" w:tplc="2BBE6B42">
      <w:numFmt w:val="bullet"/>
      <w:lvlText w:val="•"/>
      <w:lvlJc w:val="left"/>
      <w:pPr>
        <w:ind w:left="2914" w:hanging="360"/>
      </w:pPr>
      <w:rPr>
        <w:rFonts w:hint="default"/>
        <w:lang w:val="en-US" w:eastAsia="en-US" w:bidi="ar-SA"/>
      </w:rPr>
    </w:lvl>
    <w:lvl w:ilvl="8" w:tplc="32C4E218">
      <w:numFmt w:val="bullet"/>
      <w:lvlText w:val="•"/>
      <w:lvlJc w:val="left"/>
      <w:pPr>
        <w:ind w:left="3213" w:hanging="360"/>
      </w:pPr>
      <w:rPr>
        <w:rFonts w:hint="default"/>
        <w:lang w:val="en-US" w:eastAsia="en-US" w:bidi="ar-SA"/>
      </w:rPr>
    </w:lvl>
  </w:abstractNum>
  <w:abstractNum w:abstractNumId="177" w15:restartNumberingAfterBreak="0">
    <w:nsid w:val="720D3592"/>
    <w:multiLevelType w:val="hybridMultilevel"/>
    <w:tmpl w:val="BB5E9388"/>
    <w:lvl w:ilvl="0" w:tplc="320ECC20">
      <w:start w:val="1"/>
      <w:numFmt w:val="decimal"/>
      <w:lvlText w:val="%1."/>
      <w:lvlJc w:val="left"/>
      <w:pPr>
        <w:ind w:left="826" w:hanging="360"/>
      </w:pPr>
      <w:rPr>
        <w:rFonts w:ascii="Arial MT" w:eastAsia="Arial MT" w:hAnsi="Arial MT" w:cs="Arial MT" w:hint="default"/>
        <w:b w:val="0"/>
        <w:bCs w:val="0"/>
        <w:i w:val="0"/>
        <w:iCs w:val="0"/>
        <w:spacing w:val="0"/>
        <w:w w:val="100"/>
        <w:sz w:val="22"/>
        <w:szCs w:val="22"/>
        <w:lang w:val="en-US" w:eastAsia="en-US" w:bidi="ar-SA"/>
      </w:rPr>
    </w:lvl>
    <w:lvl w:ilvl="1" w:tplc="746A6C48">
      <w:numFmt w:val="bullet"/>
      <w:lvlText w:val="•"/>
      <w:lvlJc w:val="left"/>
      <w:pPr>
        <w:ind w:left="1511" w:hanging="360"/>
      </w:pPr>
      <w:rPr>
        <w:rFonts w:hint="default"/>
        <w:lang w:val="en-US" w:eastAsia="en-US" w:bidi="ar-SA"/>
      </w:rPr>
    </w:lvl>
    <w:lvl w:ilvl="2" w:tplc="9432EA46">
      <w:numFmt w:val="bullet"/>
      <w:lvlText w:val="•"/>
      <w:lvlJc w:val="left"/>
      <w:pPr>
        <w:ind w:left="2203" w:hanging="360"/>
      </w:pPr>
      <w:rPr>
        <w:rFonts w:hint="default"/>
        <w:lang w:val="en-US" w:eastAsia="en-US" w:bidi="ar-SA"/>
      </w:rPr>
    </w:lvl>
    <w:lvl w:ilvl="3" w:tplc="15083B18">
      <w:numFmt w:val="bullet"/>
      <w:lvlText w:val="•"/>
      <w:lvlJc w:val="left"/>
      <w:pPr>
        <w:ind w:left="2894" w:hanging="360"/>
      </w:pPr>
      <w:rPr>
        <w:rFonts w:hint="default"/>
        <w:lang w:val="en-US" w:eastAsia="en-US" w:bidi="ar-SA"/>
      </w:rPr>
    </w:lvl>
    <w:lvl w:ilvl="4" w:tplc="72EA103A">
      <w:numFmt w:val="bullet"/>
      <w:lvlText w:val="•"/>
      <w:lvlJc w:val="left"/>
      <w:pPr>
        <w:ind w:left="3586" w:hanging="360"/>
      </w:pPr>
      <w:rPr>
        <w:rFonts w:hint="default"/>
        <w:lang w:val="en-US" w:eastAsia="en-US" w:bidi="ar-SA"/>
      </w:rPr>
    </w:lvl>
    <w:lvl w:ilvl="5" w:tplc="DC4AC1E8">
      <w:numFmt w:val="bullet"/>
      <w:lvlText w:val="•"/>
      <w:lvlJc w:val="left"/>
      <w:pPr>
        <w:ind w:left="4278" w:hanging="360"/>
      </w:pPr>
      <w:rPr>
        <w:rFonts w:hint="default"/>
        <w:lang w:val="en-US" w:eastAsia="en-US" w:bidi="ar-SA"/>
      </w:rPr>
    </w:lvl>
    <w:lvl w:ilvl="6" w:tplc="6090F136">
      <w:numFmt w:val="bullet"/>
      <w:lvlText w:val="•"/>
      <w:lvlJc w:val="left"/>
      <w:pPr>
        <w:ind w:left="4969" w:hanging="360"/>
      </w:pPr>
      <w:rPr>
        <w:rFonts w:hint="default"/>
        <w:lang w:val="en-US" w:eastAsia="en-US" w:bidi="ar-SA"/>
      </w:rPr>
    </w:lvl>
    <w:lvl w:ilvl="7" w:tplc="6A54B166">
      <w:numFmt w:val="bullet"/>
      <w:lvlText w:val="•"/>
      <w:lvlJc w:val="left"/>
      <w:pPr>
        <w:ind w:left="5661" w:hanging="360"/>
      </w:pPr>
      <w:rPr>
        <w:rFonts w:hint="default"/>
        <w:lang w:val="en-US" w:eastAsia="en-US" w:bidi="ar-SA"/>
      </w:rPr>
    </w:lvl>
    <w:lvl w:ilvl="8" w:tplc="24007C1E">
      <w:numFmt w:val="bullet"/>
      <w:lvlText w:val="•"/>
      <w:lvlJc w:val="left"/>
      <w:pPr>
        <w:ind w:left="6352" w:hanging="360"/>
      </w:pPr>
      <w:rPr>
        <w:rFonts w:hint="default"/>
        <w:lang w:val="en-US" w:eastAsia="en-US" w:bidi="ar-SA"/>
      </w:rPr>
    </w:lvl>
  </w:abstractNum>
  <w:abstractNum w:abstractNumId="178" w15:restartNumberingAfterBreak="0">
    <w:nsid w:val="72D82032"/>
    <w:multiLevelType w:val="multilevel"/>
    <w:tmpl w:val="A63E0CF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9" w15:restartNumberingAfterBreak="0">
    <w:nsid w:val="73380B4E"/>
    <w:multiLevelType w:val="multilevel"/>
    <w:tmpl w:val="E2A45CBE"/>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0" w15:restartNumberingAfterBreak="0">
    <w:nsid w:val="737C3782"/>
    <w:multiLevelType w:val="multilevel"/>
    <w:tmpl w:val="473073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1" w15:restartNumberingAfterBreak="0">
    <w:nsid w:val="73A72860"/>
    <w:multiLevelType w:val="multilevel"/>
    <w:tmpl w:val="A2B45D6C"/>
    <w:styleLink w:val="CurrentList2"/>
    <w:lvl w:ilvl="0">
      <w:start w:val="5"/>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2" w15:restartNumberingAfterBreak="0">
    <w:nsid w:val="746E6A16"/>
    <w:multiLevelType w:val="multilevel"/>
    <w:tmpl w:val="290882C2"/>
    <w:lvl w:ilvl="0">
      <w:start w:val="1"/>
      <w:numFmt w:val="decimal"/>
      <w:lvlText w:val="%1."/>
      <w:lvlJc w:val="left"/>
      <w:pPr>
        <w:ind w:left="1172" w:hanging="452"/>
      </w:pPr>
      <w:rPr>
        <w:rFonts w:ascii="Arial MT" w:eastAsia="Arial MT" w:hAnsi="Arial MT" w:cs="Arial MT" w:hint="default"/>
        <w:b w:val="0"/>
        <w:bCs w:val="0"/>
        <w:i w:val="0"/>
        <w:iCs w:val="0"/>
        <w:spacing w:val="-2"/>
        <w:w w:val="100"/>
        <w:sz w:val="24"/>
        <w:szCs w:val="24"/>
        <w:lang w:val="en-US" w:eastAsia="en-US" w:bidi="ar-SA"/>
      </w:rPr>
    </w:lvl>
    <w:lvl w:ilvl="1">
      <w:start w:val="1"/>
      <w:numFmt w:val="decimal"/>
      <w:lvlText w:val="%1.%2."/>
      <w:lvlJc w:val="left"/>
      <w:pPr>
        <w:ind w:left="2073" w:hanging="873"/>
      </w:pPr>
      <w:rPr>
        <w:rFonts w:ascii="Arial MT" w:eastAsia="Arial MT" w:hAnsi="Arial MT" w:cs="Arial MT" w:hint="default"/>
        <w:b w:val="0"/>
        <w:bCs w:val="0"/>
        <w:i w:val="0"/>
        <w:iCs w:val="0"/>
        <w:spacing w:val="-2"/>
        <w:w w:val="100"/>
        <w:sz w:val="24"/>
        <w:szCs w:val="24"/>
        <w:lang w:val="en-US" w:eastAsia="en-US" w:bidi="ar-SA"/>
      </w:rPr>
    </w:lvl>
    <w:lvl w:ilvl="2">
      <w:start w:val="1"/>
      <w:numFmt w:val="decimal"/>
      <w:lvlText w:val="%1.%2.%3."/>
      <w:lvlJc w:val="left"/>
      <w:pPr>
        <w:ind w:left="2073" w:hanging="873"/>
      </w:pPr>
      <w:rPr>
        <w:rFonts w:ascii="Arial MT" w:eastAsia="Arial MT" w:hAnsi="Arial MT" w:cs="Arial MT" w:hint="default"/>
        <w:b w:val="0"/>
        <w:bCs w:val="0"/>
        <w:i w:val="0"/>
        <w:iCs w:val="0"/>
        <w:spacing w:val="-2"/>
        <w:w w:val="100"/>
        <w:sz w:val="24"/>
        <w:szCs w:val="24"/>
        <w:lang w:val="en-US" w:eastAsia="en-US" w:bidi="ar-SA"/>
      </w:rPr>
    </w:lvl>
    <w:lvl w:ilvl="3">
      <w:start w:val="1"/>
      <w:numFmt w:val="decimal"/>
      <w:lvlText w:val="%1.%2.%3.%4."/>
      <w:lvlJc w:val="left"/>
      <w:pPr>
        <w:ind w:left="2073" w:hanging="873"/>
      </w:pPr>
      <w:rPr>
        <w:rFonts w:ascii="Arial MT" w:eastAsia="Arial MT" w:hAnsi="Arial MT" w:cs="Arial MT" w:hint="default"/>
        <w:b w:val="0"/>
        <w:bCs w:val="0"/>
        <w:i w:val="0"/>
        <w:iCs w:val="0"/>
        <w:spacing w:val="-2"/>
        <w:w w:val="100"/>
        <w:sz w:val="24"/>
        <w:szCs w:val="24"/>
        <w:lang w:val="en-US" w:eastAsia="en-US" w:bidi="ar-SA"/>
      </w:rPr>
    </w:lvl>
    <w:lvl w:ilvl="4">
      <w:numFmt w:val="bullet"/>
      <w:lvlText w:val="•"/>
      <w:lvlJc w:val="left"/>
      <w:pPr>
        <w:ind w:left="4986" w:hanging="873"/>
      </w:pPr>
      <w:rPr>
        <w:rFonts w:hint="default"/>
        <w:lang w:val="en-US" w:eastAsia="en-US" w:bidi="ar-SA"/>
      </w:rPr>
    </w:lvl>
    <w:lvl w:ilvl="5">
      <w:numFmt w:val="bullet"/>
      <w:lvlText w:val="•"/>
      <w:lvlJc w:val="left"/>
      <w:pPr>
        <w:ind w:left="5955" w:hanging="873"/>
      </w:pPr>
      <w:rPr>
        <w:rFonts w:hint="default"/>
        <w:lang w:val="en-US" w:eastAsia="en-US" w:bidi="ar-SA"/>
      </w:rPr>
    </w:lvl>
    <w:lvl w:ilvl="6">
      <w:numFmt w:val="bullet"/>
      <w:lvlText w:val="•"/>
      <w:lvlJc w:val="left"/>
      <w:pPr>
        <w:ind w:left="6924" w:hanging="873"/>
      </w:pPr>
      <w:rPr>
        <w:rFonts w:hint="default"/>
        <w:lang w:val="en-US" w:eastAsia="en-US" w:bidi="ar-SA"/>
      </w:rPr>
    </w:lvl>
    <w:lvl w:ilvl="7">
      <w:numFmt w:val="bullet"/>
      <w:lvlText w:val="•"/>
      <w:lvlJc w:val="left"/>
      <w:pPr>
        <w:ind w:left="7893" w:hanging="873"/>
      </w:pPr>
      <w:rPr>
        <w:rFonts w:hint="default"/>
        <w:lang w:val="en-US" w:eastAsia="en-US" w:bidi="ar-SA"/>
      </w:rPr>
    </w:lvl>
    <w:lvl w:ilvl="8">
      <w:numFmt w:val="bullet"/>
      <w:lvlText w:val="•"/>
      <w:lvlJc w:val="left"/>
      <w:pPr>
        <w:ind w:left="8862" w:hanging="873"/>
      </w:pPr>
      <w:rPr>
        <w:rFonts w:hint="default"/>
        <w:lang w:val="en-US" w:eastAsia="en-US" w:bidi="ar-SA"/>
      </w:rPr>
    </w:lvl>
  </w:abstractNum>
  <w:abstractNum w:abstractNumId="183" w15:restartNumberingAfterBreak="0">
    <w:nsid w:val="768B08B5"/>
    <w:multiLevelType w:val="multilevel"/>
    <w:tmpl w:val="4C141F8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4" w15:restartNumberingAfterBreak="0">
    <w:nsid w:val="78117492"/>
    <w:multiLevelType w:val="multilevel"/>
    <w:tmpl w:val="B5A066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78176F2B"/>
    <w:multiLevelType w:val="hybridMultilevel"/>
    <w:tmpl w:val="39F01CA0"/>
    <w:lvl w:ilvl="0" w:tplc="A7947B16">
      <w:start w:val="1"/>
      <w:numFmt w:val="decimal"/>
      <w:lvlText w:val="%1."/>
      <w:lvlJc w:val="left"/>
      <w:pPr>
        <w:ind w:left="1080" w:hanging="360"/>
      </w:pPr>
      <w:rPr>
        <w:rFonts w:ascii="Arial MT" w:eastAsia="Arial MT" w:hAnsi="Arial MT" w:cs="Arial MT" w:hint="default"/>
        <w:b w:val="0"/>
        <w:bCs w:val="0"/>
        <w:i w:val="0"/>
        <w:iCs w:val="0"/>
        <w:spacing w:val="-2"/>
        <w:w w:val="100"/>
        <w:sz w:val="24"/>
        <w:szCs w:val="24"/>
        <w:lang w:val="en-US" w:eastAsia="en-US" w:bidi="ar-SA"/>
      </w:rPr>
    </w:lvl>
    <w:lvl w:ilvl="1" w:tplc="83D4064E">
      <w:numFmt w:val="bullet"/>
      <w:lvlText w:val="•"/>
      <w:lvlJc w:val="left"/>
      <w:pPr>
        <w:ind w:left="1980" w:hanging="360"/>
      </w:pPr>
      <w:rPr>
        <w:rFonts w:hint="default"/>
        <w:lang w:val="en-US" w:eastAsia="en-US" w:bidi="ar-SA"/>
      </w:rPr>
    </w:lvl>
    <w:lvl w:ilvl="2" w:tplc="413865B6">
      <w:numFmt w:val="bullet"/>
      <w:lvlText w:val="•"/>
      <w:lvlJc w:val="left"/>
      <w:pPr>
        <w:ind w:left="2880" w:hanging="360"/>
      </w:pPr>
      <w:rPr>
        <w:rFonts w:hint="default"/>
        <w:lang w:val="en-US" w:eastAsia="en-US" w:bidi="ar-SA"/>
      </w:rPr>
    </w:lvl>
    <w:lvl w:ilvl="3" w:tplc="69F8BE1A">
      <w:numFmt w:val="bullet"/>
      <w:lvlText w:val="•"/>
      <w:lvlJc w:val="left"/>
      <w:pPr>
        <w:ind w:left="3780" w:hanging="360"/>
      </w:pPr>
      <w:rPr>
        <w:rFonts w:hint="default"/>
        <w:lang w:val="en-US" w:eastAsia="en-US" w:bidi="ar-SA"/>
      </w:rPr>
    </w:lvl>
    <w:lvl w:ilvl="4" w:tplc="6DBA1818">
      <w:numFmt w:val="bullet"/>
      <w:lvlText w:val="•"/>
      <w:lvlJc w:val="left"/>
      <w:pPr>
        <w:ind w:left="4680" w:hanging="360"/>
      </w:pPr>
      <w:rPr>
        <w:rFonts w:hint="default"/>
        <w:lang w:val="en-US" w:eastAsia="en-US" w:bidi="ar-SA"/>
      </w:rPr>
    </w:lvl>
    <w:lvl w:ilvl="5" w:tplc="C508474C">
      <w:numFmt w:val="bullet"/>
      <w:lvlText w:val="•"/>
      <w:lvlJc w:val="left"/>
      <w:pPr>
        <w:ind w:left="5580" w:hanging="360"/>
      </w:pPr>
      <w:rPr>
        <w:rFonts w:hint="default"/>
        <w:lang w:val="en-US" w:eastAsia="en-US" w:bidi="ar-SA"/>
      </w:rPr>
    </w:lvl>
    <w:lvl w:ilvl="6" w:tplc="C666CE7A">
      <w:numFmt w:val="bullet"/>
      <w:lvlText w:val="•"/>
      <w:lvlJc w:val="left"/>
      <w:pPr>
        <w:ind w:left="6480" w:hanging="360"/>
      </w:pPr>
      <w:rPr>
        <w:rFonts w:hint="default"/>
        <w:lang w:val="en-US" w:eastAsia="en-US" w:bidi="ar-SA"/>
      </w:rPr>
    </w:lvl>
    <w:lvl w:ilvl="7" w:tplc="93F24770">
      <w:numFmt w:val="bullet"/>
      <w:lvlText w:val="•"/>
      <w:lvlJc w:val="left"/>
      <w:pPr>
        <w:ind w:left="7380" w:hanging="360"/>
      </w:pPr>
      <w:rPr>
        <w:rFonts w:hint="default"/>
        <w:lang w:val="en-US" w:eastAsia="en-US" w:bidi="ar-SA"/>
      </w:rPr>
    </w:lvl>
    <w:lvl w:ilvl="8" w:tplc="28FC987E">
      <w:numFmt w:val="bullet"/>
      <w:lvlText w:val="•"/>
      <w:lvlJc w:val="left"/>
      <w:pPr>
        <w:ind w:left="8280" w:hanging="360"/>
      </w:pPr>
      <w:rPr>
        <w:rFonts w:hint="default"/>
        <w:lang w:val="en-US" w:eastAsia="en-US" w:bidi="ar-SA"/>
      </w:rPr>
    </w:lvl>
  </w:abstractNum>
  <w:abstractNum w:abstractNumId="186" w15:restartNumberingAfterBreak="0">
    <w:nsid w:val="783A244B"/>
    <w:multiLevelType w:val="hybridMultilevel"/>
    <w:tmpl w:val="27205878"/>
    <w:lvl w:ilvl="0" w:tplc="4A368898">
      <w:start w:val="1"/>
      <w:numFmt w:val="decimal"/>
      <w:lvlText w:val="%1."/>
      <w:lvlJc w:val="left"/>
      <w:pPr>
        <w:ind w:left="1080" w:hanging="360"/>
      </w:pPr>
      <w:rPr>
        <w:rFonts w:ascii="Arial MT" w:eastAsia="Arial MT" w:hAnsi="Arial MT" w:cs="Arial MT" w:hint="default"/>
        <w:b w:val="0"/>
        <w:bCs w:val="0"/>
        <w:i w:val="0"/>
        <w:iCs w:val="0"/>
        <w:spacing w:val="-2"/>
        <w:w w:val="100"/>
        <w:sz w:val="24"/>
        <w:szCs w:val="24"/>
        <w:lang w:val="en-US" w:eastAsia="en-US" w:bidi="ar-SA"/>
      </w:rPr>
    </w:lvl>
    <w:lvl w:ilvl="1" w:tplc="C6D205A0">
      <w:numFmt w:val="bullet"/>
      <w:lvlText w:val=""/>
      <w:lvlJc w:val="left"/>
      <w:pPr>
        <w:ind w:left="1080" w:hanging="360"/>
      </w:pPr>
      <w:rPr>
        <w:rFonts w:ascii="Symbol" w:eastAsia="Symbol" w:hAnsi="Symbol" w:cs="Symbol" w:hint="default"/>
        <w:spacing w:val="0"/>
        <w:w w:val="100"/>
        <w:lang w:val="en-US" w:eastAsia="en-US" w:bidi="ar-SA"/>
      </w:rPr>
    </w:lvl>
    <w:lvl w:ilvl="2" w:tplc="40707156">
      <w:numFmt w:val="bullet"/>
      <w:lvlText w:val="o"/>
      <w:lvlJc w:val="left"/>
      <w:pPr>
        <w:ind w:left="1801" w:hanging="360"/>
      </w:pPr>
      <w:rPr>
        <w:rFonts w:ascii="Courier New" w:eastAsia="Courier New" w:hAnsi="Courier New" w:cs="Courier New" w:hint="default"/>
        <w:b w:val="0"/>
        <w:bCs w:val="0"/>
        <w:i w:val="0"/>
        <w:iCs w:val="0"/>
        <w:spacing w:val="0"/>
        <w:w w:val="100"/>
        <w:sz w:val="20"/>
        <w:szCs w:val="20"/>
        <w:lang w:val="en-US" w:eastAsia="en-US" w:bidi="ar-SA"/>
      </w:rPr>
    </w:lvl>
    <w:lvl w:ilvl="3" w:tplc="82381372">
      <w:numFmt w:val="bullet"/>
      <w:lvlText w:val="•"/>
      <w:lvlJc w:val="left"/>
      <w:pPr>
        <w:ind w:left="3646" w:hanging="360"/>
      </w:pPr>
      <w:rPr>
        <w:rFonts w:hint="default"/>
        <w:lang w:val="en-US" w:eastAsia="en-US" w:bidi="ar-SA"/>
      </w:rPr>
    </w:lvl>
    <w:lvl w:ilvl="4" w:tplc="61BE558C">
      <w:numFmt w:val="bullet"/>
      <w:lvlText w:val="•"/>
      <w:lvlJc w:val="left"/>
      <w:pPr>
        <w:ind w:left="4569" w:hanging="360"/>
      </w:pPr>
      <w:rPr>
        <w:rFonts w:hint="default"/>
        <w:lang w:val="en-US" w:eastAsia="en-US" w:bidi="ar-SA"/>
      </w:rPr>
    </w:lvl>
    <w:lvl w:ilvl="5" w:tplc="3660474E">
      <w:numFmt w:val="bullet"/>
      <w:lvlText w:val="•"/>
      <w:lvlJc w:val="left"/>
      <w:pPr>
        <w:ind w:left="5492" w:hanging="360"/>
      </w:pPr>
      <w:rPr>
        <w:rFonts w:hint="default"/>
        <w:lang w:val="en-US" w:eastAsia="en-US" w:bidi="ar-SA"/>
      </w:rPr>
    </w:lvl>
    <w:lvl w:ilvl="6" w:tplc="FEA22662">
      <w:numFmt w:val="bullet"/>
      <w:lvlText w:val="•"/>
      <w:lvlJc w:val="left"/>
      <w:pPr>
        <w:ind w:left="6415" w:hanging="360"/>
      </w:pPr>
      <w:rPr>
        <w:rFonts w:hint="default"/>
        <w:lang w:val="en-US" w:eastAsia="en-US" w:bidi="ar-SA"/>
      </w:rPr>
    </w:lvl>
    <w:lvl w:ilvl="7" w:tplc="C262AF84">
      <w:numFmt w:val="bullet"/>
      <w:lvlText w:val="•"/>
      <w:lvlJc w:val="left"/>
      <w:pPr>
        <w:ind w:left="7338" w:hanging="360"/>
      </w:pPr>
      <w:rPr>
        <w:rFonts w:hint="default"/>
        <w:lang w:val="en-US" w:eastAsia="en-US" w:bidi="ar-SA"/>
      </w:rPr>
    </w:lvl>
    <w:lvl w:ilvl="8" w:tplc="11567324">
      <w:numFmt w:val="bullet"/>
      <w:lvlText w:val="•"/>
      <w:lvlJc w:val="left"/>
      <w:pPr>
        <w:ind w:left="8261" w:hanging="360"/>
      </w:pPr>
      <w:rPr>
        <w:rFonts w:hint="default"/>
        <w:lang w:val="en-US" w:eastAsia="en-US" w:bidi="ar-SA"/>
      </w:rPr>
    </w:lvl>
  </w:abstractNum>
  <w:abstractNum w:abstractNumId="187" w15:restartNumberingAfterBreak="0">
    <w:nsid w:val="79E7564C"/>
    <w:multiLevelType w:val="hybridMultilevel"/>
    <w:tmpl w:val="CDB8A4D2"/>
    <w:lvl w:ilvl="0" w:tplc="DEA28D5C">
      <w:start w:val="1"/>
      <w:numFmt w:val="bullet"/>
      <w:lvlText w:val=""/>
      <w:lvlJc w:val="left"/>
      <w:pPr>
        <w:ind w:left="720" w:hanging="360"/>
      </w:pPr>
      <w:rPr>
        <w:rFonts w:ascii="Symbol" w:hAnsi="Symbol" w:hint="default"/>
      </w:rPr>
    </w:lvl>
    <w:lvl w:ilvl="1" w:tplc="644E8CAC" w:tentative="1">
      <w:start w:val="1"/>
      <w:numFmt w:val="bullet"/>
      <w:lvlText w:val="o"/>
      <w:lvlJc w:val="left"/>
      <w:pPr>
        <w:ind w:left="1440" w:hanging="360"/>
      </w:pPr>
      <w:rPr>
        <w:rFonts w:ascii="Courier New" w:hAnsi="Courier New" w:cs="Courier New" w:hint="default"/>
      </w:rPr>
    </w:lvl>
    <w:lvl w:ilvl="2" w:tplc="3B2C98A2" w:tentative="1">
      <w:start w:val="1"/>
      <w:numFmt w:val="bullet"/>
      <w:lvlText w:val=""/>
      <w:lvlJc w:val="left"/>
      <w:pPr>
        <w:ind w:left="2160" w:hanging="360"/>
      </w:pPr>
      <w:rPr>
        <w:rFonts w:ascii="Wingdings" w:hAnsi="Wingdings" w:hint="default"/>
      </w:rPr>
    </w:lvl>
    <w:lvl w:ilvl="3" w:tplc="FF40C4FE" w:tentative="1">
      <w:start w:val="1"/>
      <w:numFmt w:val="bullet"/>
      <w:lvlText w:val=""/>
      <w:lvlJc w:val="left"/>
      <w:pPr>
        <w:ind w:left="2880" w:hanging="360"/>
      </w:pPr>
      <w:rPr>
        <w:rFonts w:ascii="Symbol" w:hAnsi="Symbol" w:hint="default"/>
      </w:rPr>
    </w:lvl>
    <w:lvl w:ilvl="4" w:tplc="C6927F32" w:tentative="1">
      <w:start w:val="1"/>
      <w:numFmt w:val="bullet"/>
      <w:lvlText w:val="o"/>
      <w:lvlJc w:val="left"/>
      <w:pPr>
        <w:ind w:left="3600" w:hanging="360"/>
      </w:pPr>
      <w:rPr>
        <w:rFonts w:ascii="Courier New" w:hAnsi="Courier New" w:cs="Courier New" w:hint="default"/>
      </w:rPr>
    </w:lvl>
    <w:lvl w:ilvl="5" w:tplc="35FECB0A" w:tentative="1">
      <w:start w:val="1"/>
      <w:numFmt w:val="bullet"/>
      <w:lvlText w:val=""/>
      <w:lvlJc w:val="left"/>
      <w:pPr>
        <w:ind w:left="4320" w:hanging="360"/>
      </w:pPr>
      <w:rPr>
        <w:rFonts w:ascii="Wingdings" w:hAnsi="Wingdings" w:hint="default"/>
      </w:rPr>
    </w:lvl>
    <w:lvl w:ilvl="6" w:tplc="CCC2BDBC" w:tentative="1">
      <w:start w:val="1"/>
      <w:numFmt w:val="bullet"/>
      <w:lvlText w:val=""/>
      <w:lvlJc w:val="left"/>
      <w:pPr>
        <w:ind w:left="5040" w:hanging="360"/>
      </w:pPr>
      <w:rPr>
        <w:rFonts w:ascii="Symbol" w:hAnsi="Symbol" w:hint="default"/>
      </w:rPr>
    </w:lvl>
    <w:lvl w:ilvl="7" w:tplc="70808060" w:tentative="1">
      <w:start w:val="1"/>
      <w:numFmt w:val="bullet"/>
      <w:lvlText w:val="o"/>
      <w:lvlJc w:val="left"/>
      <w:pPr>
        <w:ind w:left="5760" w:hanging="360"/>
      </w:pPr>
      <w:rPr>
        <w:rFonts w:ascii="Courier New" w:hAnsi="Courier New" w:cs="Courier New" w:hint="default"/>
      </w:rPr>
    </w:lvl>
    <w:lvl w:ilvl="8" w:tplc="7F3CA9E8" w:tentative="1">
      <w:start w:val="1"/>
      <w:numFmt w:val="bullet"/>
      <w:lvlText w:val=""/>
      <w:lvlJc w:val="left"/>
      <w:pPr>
        <w:ind w:left="6480" w:hanging="360"/>
      </w:pPr>
      <w:rPr>
        <w:rFonts w:ascii="Wingdings" w:hAnsi="Wingdings" w:hint="default"/>
      </w:rPr>
    </w:lvl>
  </w:abstractNum>
  <w:abstractNum w:abstractNumId="188" w15:restartNumberingAfterBreak="0">
    <w:nsid w:val="7A126A0A"/>
    <w:multiLevelType w:val="multilevel"/>
    <w:tmpl w:val="867E09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7AC93E13"/>
    <w:multiLevelType w:val="multilevel"/>
    <w:tmpl w:val="FE92BD42"/>
    <w:lvl w:ilvl="0">
      <w:start w:val="1"/>
      <w:numFmt w:val="decimal"/>
      <w:lvlText w:val="%1."/>
      <w:lvlJc w:val="left"/>
      <w:pPr>
        <w:ind w:left="644" w:hanging="360"/>
      </w:pPr>
      <w:rPr>
        <w:rFonts w:hint="default"/>
        <w:color w:val="0070C0"/>
      </w:rPr>
    </w:lvl>
    <w:lvl w:ilvl="1">
      <w:start w:val="1"/>
      <w:numFmt w:val="decimal"/>
      <w:isLgl/>
      <w:lvlText w:val="%1.%2."/>
      <w:lvlJc w:val="left"/>
      <w:pPr>
        <w:ind w:left="1364" w:hanging="720"/>
      </w:pPr>
      <w:rPr>
        <w:rFonts w:hint="default"/>
      </w:rPr>
    </w:lvl>
    <w:lvl w:ilvl="2">
      <w:start w:val="1"/>
      <w:numFmt w:val="decimal"/>
      <w:isLgl/>
      <w:lvlText w:val="%1.%2.%3."/>
      <w:lvlJc w:val="left"/>
      <w:pPr>
        <w:ind w:left="1724" w:hanging="720"/>
      </w:pPr>
      <w:rPr>
        <w:rFonts w:hint="default"/>
      </w:rPr>
    </w:lvl>
    <w:lvl w:ilvl="3">
      <w:start w:val="1"/>
      <w:numFmt w:val="decimal"/>
      <w:isLgl/>
      <w:lvlText w:val="%1.%2.%3.%4."/>
      <w:lvlJc w:val="left"/>
      <w:pPr>
        <w:ind w:left="2444" w:hanging="108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524" w:hanging="1440"/>
      </w:pPr>
      <w:rPr>
        <w:rFonts w:hint="default"/>
      </w:rPr>
    </w:lvl>
    <w:lvl w:ilvl="6">
      <w:start w:val="1"/>
      <w:numFmt w:val="decimal"/>
      <w:isLgl/>
      <w:lvlText w:val="%1.%2.%3.%4.%5.%6.%7."/>
      <w:lvlJc w:val="left"/>
      <w:pPr>
        <w:ind w:left="4244" w:hanging="1800"/>
      </w:pPr>
      <w:rPr>
        <w:rFonts w:hint="default"/>
      </w:rPr>
    </w:lvl>
    <w:lvl w:ilvl="7">
      <w:start w:val="1"/>
      <w:numFmt w:val="decimal"/>
      <w:isLgl/>
      <w:lvlText w:val="%1.%2.%3.%4.%5.%6.%7.%8."/>
      <w:lvlJc w:val="left"/>
      <w:pPr>
        <w:ind w:left="4604" w:hanging="1800"/>
      </w:pPr>
      <w:rPr>
        <w:rFonts w:hint="default"/>
      </w:rPr>
    </w:lvl>
    <w:lvl w:ilvl="8">
      <w:start w:val="1"/>
      <w:numFmt w:val="decimal"/>
      <w:isLgl/>
      <w:lvlText w:val="%1.%2.%3.%4.%5.%6.%7.%8.%9."/>
      <w:lvlJc w:val="left"/>
      <w:pPr>
        <w:ind w:left="5324" w:hanging="2160"/>
      </w:pPr>
      <w:rPr>
        <w:rFonts w:hint="default"/>
      </w:rPr>
    </w:lvl>
  </w:abstractNum>
  <w:abstractNum w:abstractNumId="190" w15:restartNumberingAfterBreak="0">
    <w:nsid w:val="7B8169FD"/>
    <w:multiLevelType w:val="hybridMultilevel"/>
    <w:tmpl w:val="B72A50E4"/>
    <w:lvl w:ilvl="0" w:tplc="B56A20CC">
      <w:start w:val="1"/>
      <w:numFmt w:val="decimal"/>
      <w:lvlText w:val="%1."/>
      <w:lvlJc w:val="left"/>
      <w:pPr>
        <w:ind w:left="928" w:hanging="361"/>
      </w:pPr>
      <w:rPr>
        <w:rFonts w:ascii="Arial MT" w:eastAsia="Arial MT" w:hAnsi="Arial MT" w:cs="Arial MT" w:hint="default"/>
        <w:b w:val="0"/>
        <w:bCs w:val="0"/>
        <w:i w:val="0"/>
        <w:iCs w:val="0"/>
        <w:spacing w:val="-2"/>
        <w:w w:val="100"/>
        <w:sz w:val="24"/>
        <w:szCs w:val="24"/>
        <w:lang w:val="en-US" w:eastAsia="en-US" w:bidi="ar-SA"/>
      </w:rPr>
    </w:lvl>
    <w:lvl w:ilvl="1" w:tplc="768420D8">
      <w:numFmt w:val="bullet"/>
      <w:lvlText w:val="•"/>
      <w:lvlJc w:val="left"/>
      <w:pPr>
        <w:ind w:left="1802" w:hanging="361"/>
      </w:pPr>
      <w:rPr>
        <w:rFonts w:hint="default"/>
        <w:lang w:val="en-US" w:eastAsia="en-US" w:bidi="ar-SA"/>
      </w:rPr>
    </w:lvl>
    <w:lvl w:ilvl="2" w:tplc="6F7C4654">
      <w:numFmt w:val="bullet"/>
      <w:lvlText w:val="•"/>
      <w:lvlJc w:val="left"/>
      <w:pPr>
        <w:ind w:left="2685" w:hanging="361"/>
      </w:pPr>
      <w:rPr>
        <w:rFonts w:hint="default"/>
        <w:lang w:val="en-US" w:eastAsia="en-US" w:bidi="ar-SA"/>
      </w:rPr>
    </w:lvl>
    <w:lvl w:ilvl="3" w:tplc="727C7D0A">
      <w:numFmt w:val="bullet"/>
      <w:lvlText w:val="•"/>
      <w:lvlJc w:val="left"/>
      <w:pPr>
        <w:ind w:left="3568" w:hanging="361"/>
      </w:pPr>
      <w:rPr>
        <w:rFonts w:hint="default"/>
        <w:lang w:val="en-US" w:eastAsia="en-US" w:bidi="ar-SA"/>
      </w:rPr>
    </w:lvl>
    <w:lvl w:ilvl="4" w:tplc="64044F50">
      <w:numFmt w:val="bullet"/>
      <w:lvlText w:val="•"/>
      <w:lvlJc w:val="left"/>
      <w:pPr>
        <w:ind w:left="4451" w:hanging="361"/>
      </w:pPr>
      <w:rPr>
        <w:rFonts w:hint="default"/>
        <w:lang w:val="en-US" w:eastAsia="en-US" w:bidi="ar-SA"/>
      </w:rPr>
    </w:lvl>
    <w:lvl w:ilvl="5" w:tplc="1FDA6898">
      <w:numFmt w:val="bullet"/>
      <w:lvlText w:val="•"/>
      <w:lvlJc w:val="left"/>
      <w:pPr>
        <w:ind w:left="5334" w:hanging="361"/>
      </w:pPr>
      <w:rPr>
        <w:rFonts w:hint="default"/>
        <w:lang w:val="en-US" w:eastAsia="en-US" w:bidi="ar-SA"/>
      </w:rPr>
    </w:lvl>
    <w:lvl w:ilvl="6" w:tplc="2B20B77A">
      <w:numFmt w:val="bullet"/>
      <w:lvlText w:val="•"/>
      <w:lvlJc w:val="left"/>
      <w:pPr>
        <w:ind w:left="6216" w:hanging="361"/>
      </w:pPr>
      <w:rPr>
        <w:rFonts w:hint="default"/>
        <w:lang w:val="en-US" w:eastAsia="en-US" w:bidi="ar-SA"/>
      </w:rPr>
    </w:lvl>
    <w:lvl w:ilvl="7" w:tplc="654A2180">
      <w:numFmt w:val="bullet"/>
      <w:lvlText w:val="•"/>
      <w:lvlJc w:val="left"/>
      <w:pPr>
        <w:ind w:left="7099" w:hanging="361"/>
      </w:pPr>
      <w:rPr>
        <w:rFonts w:hint="default"/>
        <w:lang w:val="en-US" w:eastAsia="en-US" w:bidi="ar-SA"/>
      </w:rPr>
    </w:lvl>
    <w:lvl w:ilvl="8" w:tplc="87B01498">
      <w:numFmt w:val="bullet"/>
      <w:lvlText w:val="•"/>
      <w:lvlJc w:val="left"/>
      <w:pPr>
        <w:ind w:left="7982" w:hanging="361"/>
      </w:pPr>
      <w:rPr>
        <w:rFonts w:hint="default"/>
        <w:lang w:val="en-US" w:eastAsia="en-US" w:bidi="ar-SA"/>
      </w:rPr>
    </w:lvl>
  </w:abstractNum>
  <w:abstractNum w:abstractNumId="191" w15:restartNumberingAfterBreak="0">
    <w:nsid w:val="7BC17248"/>
    <w:multiLevelType w:val="hybridMultilevel"/>
    <w:tmpl w:val="F67CAABC"/>
    <w:lvl w:ilvl="0" w:tplc="9B84B48E">
      <w:start w:val="1"/>
      <w:numFmt w:val="decimal"/>
      <w:lvlText w:val="%1."/>
      <w:lvlJc w:val="left"/>
      <w:pPr>
        <w:ind w:left="1440" w:hanging="360"/>
      </w:pPr>
      <w:rPr>
        <w:rFonts w:ascii="Arial MT" w:eastAsia="Arial MT" w:hAnsi="Arial MT" w:cs="Arial MT" w:hint="default"/>
        <w:b w:val="0"/>
        <w:bCs w:val="0"/>
        <w:i w:val="0"/>
        <w:iCs w:val="0"/>
        <w:spacing w:val="0"/>
        <w:w w:val="100"/>
        <w:sz w:val="20"/>
        <w:szCs w:val="20"/>
        <w:lang w:val="en-US" w:eastAsia="en-US" w:bidi="ar-SA"/>
      </w:rPr>
    </w:lvl>
    <w:lvl w:ilvl="1" w:tplc="310273B2">
      <w:numFmt w:val="bullet"/>
      <w:lvlText w:val="•"/>
      <w:lvlJc w:val="left"/>
      <w:pPr>
        <w:ind w:left="2376" w:hanging="360"/>
      </w:pPr>
      <w:rPr>
        <w:rFonts w:hint="default"/>
        <w:lang w:val="en-US" w:eastAsia="en-US" w:bidi="ar-SA"/>
      </w:rPr>
    </w:lvl>
    <w:lvl w:ilvl="2" w:tplc="D214CEE0">
      <w:numFmt w:val="bullet"/>
      <w:lvlText w:val="•"/>
      <w:lvlJc w:val="left"/>
      <w:pPr>
        <w:ind w:left="3312" w:hanging="360"/>
      </w:pPr>
      <w:rPr>
        <w:rFonts w:hint="default"/>
        <w:lang w:val="en-US" w:eastAsia="en-US" w:bidi="ar-SA"/>
      </w:rPr>
    </w:lvl>
    <w:lvl w:ilvl="3" w:tplc="F8A4403E">
      <w:numFmt w:val="bullet"/>
      <w:lvlText w:val="•"/>
      <w:lvlJc w:val="left"/>
      <w:pPr>
        <w:ind w:left="4248" w:hanging="360"/>
      </w:pPr>
      <w:rPr>
        <w:rFonts w:hint="default"/>
        <w:lang w:val="en-US" w:eastAsia="en-US" w:bidi="ar-SA"/>
      </w:rPr>
    </w:lvl>
    <w:lvl w:ilvl="4" w:tplc="14BA6512">
      <w:numFmt w:val="bullet"/>
      <w:lvlText w:val="•"/>
      <w:lvlJc w:val="left"/>
      <w:pPr>
        <w:ind w:left="5184" w:hanging="360"/>
      </w:pPr>
      <w:rPr>
        <w:rFonts w:hint="default"/>
        <w:lang w:val="en-US" w:eastAsia="en-US" w:bidi="ar-SA"/>
      </w:rPr>
    </w:lvl>
    <w:lvl w:ilvl="5" w:tplc="E7A41508">
      <w:numFmt w:val="bullet"/>
      <w:lvlText w:val="•"/>
      <w:lvlJc w:val="left"/>
      <w:pPr>
        <w:ind w:left="6120" w:hanging="360"/>
      </w:pPr>
      <w:rPr>
        <w:rFonts w:hint="default"/>
        <w:lang w:val="en-US" w:eastAsia="en-US" w:bidi="ar-SA"/>
      </w:rPr>
    </w:lvl>
    <w:lvl w:ilvl="6" w:tplc="4BD6C4BA">
      <w:numFmt w:val="bullet"/>
      <w:lvlText w:val="•"/>
      <w:lvlJc w:val="left"/>
      <w:pPr>
        <w:ind w:left="7056" w:hanging="360"/>
      </w:pPr>
      <w:rPr>
        <w:rFonts w:hint="default"/>
        <w:lang w:val="en-US" w:eastAsia="en-US" w:bidi="ar-SA"/>
      </w:rPr>
    </w:lvl>
    <w:lvl w:ilvl="7" w:tplc="BB86B20C">
      <w:numFmt w:val="bullet"/>
      <w:lvlText w:val="•"/>
      <w:lvlJc w:val="left"/>
      <w:pPr>
        <w:ind w:left="7992" w:hanging="360"/>
      </w:pPr>
      <w:rPr>
        <w:rFonts w:hint="default"/>
        <w:lang w:val="en-US" w:eastAsia="en-US" w:bidi="ar-SA"/>
      </w:rPr>
    </w:lvl>
    <w:lvl w:ilvl="8" w:tplc="0AA48A28">
      <w:numFmt w:val="bullet"/>
      <w:lvlText w:val="•"/>
      <w:lvlJc w:val="left"/>
      <w:pPr>
        <w:ind w:left="8928" w:hanging="360"/>
      </w:pPr>
      <w:rPr>
        <w:rFonts w:hint="default"/>
        <w:lang w:val="en-US" w:eastAsia="en-US" w:bidi="ar-SA"/>
      </w:rPr>
    </w:lvl>
  </w:abstractNum>
  <w:abstractNum w:abstractNumId="192" w15:restartNumberingAfterBreak="0">
    <w:nsid w:val="7CC72761"/>
    <w:multiLevelType w:val="multilevel"/>
    <w:tmpl w:val="DF0EB6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7D0A2A5D"/>
    <w:multiLevelType w:val="hybridMultilevel"/>
    <w:tmpl w:val="E45A03A8"/>
    <w:lvl w:ilvl="0" w:tplc="7B447DD0">
      <w:start w:val="3"/>
      <w:numFmt w:val="decimal"/>
      <w:lvlText w:val="%1."/>
      <w:lvlJc w:val="left"/>
      <w:pPr>
        <w:ind w:left="388" w:hanging="360"/>
      </w:pPr>
      <w:rPr>
        <w:rFonts w:ascii="Arial" w:eastAsia="Arial" w:hAnsi="Arial" w:cs="Arial" w:hint="default"/>
        <w:b/>
        <w:bCs/>
        <w:i w:val="0"/>
        <w:iCs w:val="0"/>
        <w:color w:val="0000FF"/>
        <w:spacing w:val="0"/>
        <w:w w:val="100"/>
        <w:sz w:val="28"/>
        <w:szCs w:val="28"/>
        <w:lang w:val="en-US" w:eastAsia="en-US" w:bidi="ar-SA"/>
      </w:rPr>
    </w:lvl>
    <w:lvl w:ilvl="1" w:tplc="F14EFC32">
      <w:numFmt w:val="bullet"/>
      <w:lvlText w:val="•"/>
      <w:lvlJc w:val="left"/>
      <w:pPr>
        <w:ind w:left="1250" w:hanging="360"/>
      </w:pPr>
      <w:rPr>
        <w:rFonts w:hint="default"/>
        <w:lang w:val="en-US" w:eastAsia="en-US" w:bidi="ar-SA"/>
      </w:rPr>
    </w:lvl>
    <w:lvl w:ilvl="2" w:tplc="BDF61B68">
      <w:numFmt w:val="bullet"/>
      <w:lvlText w:val="•"/>
      <w:lvlJc w:val="left"/>
      <w:pPr>
        <w:ind w:left="2121" w:hanging="360"/>
      </w:pPr>
      <w:rPr>
        <w:rFonts w:hint="default"/>
        <w:lang w:val="en-US" w:eastAsia="en-US" w:bidi="ar-SA"/>
      </w:rPr>
    </w:lvl>
    <w:lvl w:ilvl="3" w:tplc="BC8AA7F4">
      <w:numFmt w:val="bullet"/>
      <w:lvlText w:val="•"/>
      <w:lvlJc w:val="left"/>
      <w:pPr>
        <w:ind w:left="2992" w:hanging="360"/>
      </w:pPr>
      <w:rPr>
        <w:rFonts w:hint="default"/>
        <w:lang w:val="en-US" w:eastAsia="en-US" w:bidi="ar-SA"/>
      </w:rPr>
    </w:lvl>
    <w:lvl w:ilvl="4" w:tplc="BB2401D0">
      <w:numFmt w:val="bullet"/>
      <w:lvlText w:val="•"/>
      <w:lvlJc w:val="left"/>
      <w:pPr>
        <w:ind w:left="3862" w:hanging="360"/>
      </w:pPr>
      <w:rPr>
        <w:rFonts w:hint="default"/>
        <w:lang w:val="en-US" w:eastAsia="en-US" w:bidi="ar-SA"/>
      </w:rPr>
    </w:lvl>
    <w:lvl w:ilvl="5" w:tplc="EA704A94">
      <w:numFmt w:val="bullet"/>
      <w:lvlText w:val="•"/>
      <w:lvlJc w:val="left"/>
      <w:pPr>
        <w:ind w:left="4733" w:hanging="360"/>
      </w:pPr>
      <w:rPr>
        <w:rFonts w:hint="default"/>
        <w:lang w:val="en-US" w:eastAsia="en-US" w:bidi="ar-SA"/>
      </w:rPr>
    </w:lvl>
    <w:lvl w:ilvl="6" w:tplc="5EE29F70">
      <w:numFmt w:val="bullet"/>
      <w:lvlText w:val="•"/>
      <w:lvlJc w:val="left"/>
      <w:pPr>
        <w:ind w:left="5604" w:hanging="360"/>
      </w:pPr>
      <w:rPr>
        <w:rFonts w:hint="default"/>
        <w:lang w:val="en-US" w:eastAsia="en-US" w:bidi="ar-SA"/>
      </w:rPr>
    </w:lvl>
    <w:lvl w:ilvl="7" w:tplc="1DBCFC70">
      <w:numFmt w:val="bullet"/>
      <w:lvlText w:val="•"/>
      <w:lvlJc w:val="left"/>
      <w:pPr>
        <w:ind w:left="6474" w:hanging="360"/>
      </w:pPr>
      <w:rPr>
        <w:rFonts w:hint="default"/>
        <w:lang w:val="en-US" w:eastAsia="en-US" w:bidi="ar-SA"/>
      </w:rPr>
    </w:lvl>
    <w:lvl w:ilvl="8" w:tplc="E9F6016E">
      <w:numFmt w:val="bullet"/>
      <w:lvlText w:val="•"/>
      <w:lvlJc w:val="left"/>
      <w:pPr>
        <w:ind w:left="7345" w:hanging="360"/>
      </w:pPr>
      <w:rPr>
        <w:rFonts w:hint="default"/>
        <w:lang w:val="en-US" w:eastAsia="en-US" w:bidi="ar-SA"/>
      </w:rPr>
    </w:lvl>
  </w:abstractNum>
  <w:abstractNum w:abstractNumId="194" w15:restartNumberingAfterBreak="0">
    <w:nsid w:val="7D6F4C98"/>
    <w:multiLevelType w:val="multilevel"/>
    <w:tmpl w:val="3C3E7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7E91614F"/>
    <w:multiLevelType w:val="hybridMultilevel"/>
    <w:tmpl w:val="BD609C3A"/>
    <w:lvl w:ilvl="0" w:tplc="ECC612F8">
      <w:start w:val="1"/>
      <w:numFmt w:val="decimal"/>
      <w:lvlText w:val="%1."/>
      <w:lvlJc w:val="left"/>
      <w:pPr>
        <w:ind w:left="627" w:hanging="268"/>
      </w:pPr>
      <w:rPr>
        <w:rFonts w:ascii="Arial" w:eastAsia="Arial" w:hAnsi="Arial" w:cs="Arial" w:hint="default"/>
        <w:b/>
        <w:bCs/>
        <w:i w:val="0"/>
        <w:iCs w:val="0"/>
        <w:spacing w:val="-2"/>
        <w:w w:val="100"/>
        <w:sz w:val="24"/>
        <w:szCs w:val="24"/>
        <w:lang w:val="en-US" w:eastAsia="en-US" w:bidi="ar-SA"/>
      </w:rPr>
    </w:lvl>
    <w:lvl w:ilvl="1" w:tplc="009839A0">
      <w:numFmt w:val="bullet"/>
      <w:lvlText w:val=""/>
      <w:lvlJc w:val="left"/>
      <w:pPr>
        <w:ind w:left="1080" w:hanging="360"/>
      </w:pPr>
      <w:rPr>
        <w:rFonts w:ascii="Symbol" w:eastAsia="Symbol" w:hAnsi="Symbol" w:cs="Symbol" w:hint="default"/>
        <w:b w:val="0"/>
        <w:bCs w:val="0"/>
        <w:i w:val="0"/>
        <w:iCs w:val="0"/>
        <w:spacing w:val="0"/>
        <w:w w:val="100"/>
        <w:sz w:val="20"/>
        <w:szCs w:val="20"/>
        <w:lang w:val="en-US" w:eastAsia="en-US" w:bidi="ar-SA"/>
      </w:rPr>
    </w:lvl>
    <w:lvl w:ilvl="2" w:tplc="FE5CA2B2">
      <w:numFmt w:val="bullet"/>
      <w:lvlText w:val="o"/>
      <w:lvlJc w:val="left"/>
      <w:pPr>
        <w:ind w:left="1801" w:hanging="360"/>
      </w:pPr>
      <w:rPr>
        <w:rFonts w:ascii="Courier New" w:eastAsia="Courier New" w:hAnsi="Courier New" w:cs="Courier New" w:hint="default"/>
        <w:b w:val="0"/>
        <w:bCs w:val="0"/>
        <w:i w:val="0"/>
        <w:iCs w:val="0"/>
        <w:spacing w:val="0"/>
        <w:w w:val="100"/>
        <w:sz w:val="20"/>
        <w:szCs w:val="20"/>
        <w:lang w:val="en-US" w:eastAsia="en-US" w:bidi="ar-SA"/>
      </w:rPr>
    </w:lvl>
    <w:lvl w:ilvl="3" w:tplc="2032A35A">
      <w:numFmt w:val="bullet"/>
      <w:lvlText w:val="•"/>
      <w:lvlJc w:val="left"/>
      <w:pPr>
        <w:ind w:left="2838" w:hanging="360"/>
      </w:pPr>
      <w:rPr>
        <w:rFonts w:hint="default"/>
        <w:lang w:val="en-US" w:eastAsia="en-US" w:bidi="ar-SA"/>
      </w:rPr>
    </w:lvl>
    <w:lvl w:ilvl="4" w:tplc="3D847BBE">
      <w:numFmt w:val="bullet"/>
      <w:lvlText w:val="•"/>
      <w:lvlJc w:val="left"/>
      <w:pPr>
        <w:ind w:left="3877" w:hanging="360"/>
      </w:pPr>
      <w:rPr>
        <w:rFonts w:hint="default"/>
        <w:lang w:val="en-US" w:eastAsia="en-US" w:bidi="ar-SA"/>
      </w:rPr>
    </w:lvl>
    <w:lvl w:ilvl="5" w:tplc="9334B50E">
      <w:numFmt w:val="bullet"/>
      <w:lvlText w:val="•"/>
      <w:lvlJc w:val="left"/>
      <w:pPr>
        <w:ind w:left="4915" w:hanging="360"/>
      </w:pPr>
      <w:rPr>
        <w:rFonts w:hint="default"/>
        <w:lang w:val="en-US" w:eastAsia="en-US" w:bidi="ar-SA"/>
      </w:rPr>
    </w:lvl>
    <w:lvl w:ilvl="6" w:tplc="5A608C44">
      <w:numFmt w:val="bullet"/>
      <w:lvlText w:val="•"/>
      <w:lvlJc w:val="left"/>
      <w:pPr>
        <w:ind w:left="5954" w:hanging="360"/>
      </w:pPr>
      <w:rPr>
        <w:rFonts w:hint="default"/>
        <w:lang w:val="en-US" w:eastAsia="en-US" w:bidi="ar-SA"/>
      </w:rPr>
    </w:lvl>
    <w:lvl w:ilvl="7" w:tplc="A9CC7C14">
      <w:numFmt w:val="bullet"/>
      <w:lvlText w:val="•"/>
      <w:lvlJc w:val="left"/>
      <w:pPr>
        <w:ind w:left="6992" w:hanging="360"/>
      </w:pPr>
      <w:rPr>
        <w:rFonts w:hint="default"/>
        <w:lang w:val="en-US" w:eastAsia="en-US" w:bidi="ar-SA"/>
      </w:rPr>
    </w:lvl>
    <w:lvl w:ilvl="8" w:tplc="9154EDF0">
      <w:numFmt w:val="bullet"/>
      <w:lvlText w:val="•"/>
      <w:lvlJc w:val="left"/>
      <w:pPr>
        <w:ind w:left="8031" w:hanging="360"/>
      </w:pPr>
      <w:rPr>
        <w:rFonts w:hint="default"/>
        <w:lang w:val="en-US" w:eastAsia="en-US" w:bidi="ar-SA"/>
      </w:rPr>
    </w:lvl>
  </w:abstractNum>
  <w:abstractNum w:abstractNumId="196" w15:restartNumberingAfterBreak="0">
    <w:nsid w:val="7F4A7BF0"/>
    <w:multiLevelType w:val="multilevel"/>
    <w:tmpl w:val="D3004F4A"/>
    <w:lvl w:ilvl="0">
      <w:start w:val="5"/>
      <w:numFmt w:val="decimal"/>
      <w:lvlText w:val="%1."/>
      <w:lvlJc w:val="left"/>
      <w:pPr>
        <w:ind w:left="720" w:hanging="7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437869916">
    <w:abstractNumId w:val="121"/>
  </w:num>
  <w:num w:numId="2" w16cid:durableId="1533690641">
    <w:abstractNumId w:val="116"/>
  </w:num>
  <w:num w:numId="3" w16cid:durableId="2108842321">
    <w:abstractNumId w:val="130"/>
  </w:num>
  <w:num w:numId="4" w16cid:durableId="832141940">
    <w:abstractNumId w:val="22"/>
  </w:num>
  <w:num w:numId="5" w16cid:durableId="109203132">
    <w:abstractNumId w:val="149"/>
  </w:num>
  <w:num w:numId="6" w16cid:durableId="333185281">
    <w:abstractNumId w:val="13"/>
  </w:num>
  <w:num w:numId="7" w16cid:durableId="1939672417">
    <w:abstractNumId w:val="141"/>
  </w:num>
  <w:num w:numId="8" w16cid:durableId="1413623381">
    <w:abstractNumId w:val="145"/>
  </w:num>
  <w:num w:numId="9" w16cid:durableId="129637699">
    <w:abstractNumId w:val="58"/>
  </w:num>
  <w:num w:numId="10" w16cid:durableId="416286846">
    <w:abstractNumId w:val="138"/>
  </w:num>
  <w:num w:numId="11" w16cid:durableId="1362366407">
    <w:abstractNumId w:val="59"/>
  </w:num>
  <w:num w:numId="12" w16cid:durableId="528375705">
    <w:abstractNumId w:val="3"/>
  </w:num>
  <w:num w:numId="13" w16cid:durableId="461731598">
    <w:abstractNumId w:val="118"/>
  </w:num>
  <w:num w:numId="14" w16cid:durableId="1989825046">
    <w:abstractNumId w:val="185"/>
  </w:num>
  <w:num w:numId="15" w16cid:durableId="619723086">
    <w:abstractNumId w:val="70"/>
  </w:num>
  <w:num w:numId="16" w16cid:durableId="1266307902">
    <w:abstractNumId w:val="132"/>
  </w:num>
  <w:num w:numId="17" w16cid:durableId="1018043512">
    <w:abstractNumId w:val="40"/>
  </w:num>
  <w:num w:numId="18" w16cid:durableId="1883664223">
    <w:abstractNumId w:val="95"/>
  </w:num>
  <w:num w:numId="19" w16cid:durableId="648368485">
    <w:abstractNumId w:val="6"/>
  </w:num>
  <w:num w:numId="20" w16cid:durableId="359280434">
    <w:abstractNumId w:val="90"/>
  </w:num>
  <w:num w:numId="21" w16cid:durableId="591745648">
    <w:abstractNumId w:val="176"/>
  </w:num>
  <w:num w:numId="22" w16cid:durableId="2087458129">
    <w:abstractNumId w:val="142"/>
  </w:num>
  <w:num w:numId="23" w16cid:durableId="1782919884">
    <w:abstractNumId w:val="17"/>
  </w:num>
  <w:num w:numId="24" w16cid:durableId="1105689741">
    <w:abstractNumId w:val="50"/>
  </w:num>
  <w:num w:numId="25" w16cid:durableId="1741321217">
    <w:abstractNumId w:val="46"/>
  </w:num>
  <w:num w:numId="26" w16cid:durableId="622688905">
    <w:abstractNumId w:val="104"/>
  </w:num>
  <w:num w:numId="27" w16cid:durableId="1714691228">
    <w:abstractNumId w:val="25"/>
  </w:num>
  <w:num w:numId="28" w16cid:durableId="410125210">
    <w:abstractNumId w:val="97"/>
  </w:num>
  <w:num w:numId="29" w16cid:durableId="811824764">
    <w:abstractNumId w:val="76"/>
  </w:num>
  <w:num w:numId="30" w16cid:durableId="506015833">
    <w:abstractNumId w:val="80"/>
  </w:num>
  <w:num w:numId="31" w16cid:durableId="1154833886">
    <w:abstractNumId w:val="15"/>
  </w:num>
  <w:num w:numId="32" w16cid:durableId="611865812">
    <w:abstractNumId w:val="151"/>
  </w:num>
  <w:num w:numId="33" w16cid:durableId="1530025235">
    <w:abstractNumId w:val="170"/>
  </w:num>
  <w:num w:numId="34" w16cid:durableId="1622422304">
    <w:abstractNumId w:val="167"/>
  </w:num>
  <w:num w:numId="35" w16cid:durableId="649948271">
    <w:abstractNumId w:val="131"/>
  </w:num>
  <w:num w:numId="36" w16cid:durableId="1578981142">
    <w:abstractNumId w:val="74"/>
  </w:num>
  <w:num w:numId="37" w16cid:durableId="147525700">
    <w:abstractNumId w:val="92"/>
  </w:num>
  <w:num w:numId="38" w16cid:durableId="1993093953">
    <w:abstractNumId w:val="107"/>
  </w:num>
  <w:num w:numId="39" w16cid:durableId="1204096176">
    <w:abstractNumId w:val="64"/>
  </w:num>
  <w:num w:numId="40" w16cid:durableId="253512321">
    <w:abstractNumId w:val="69"/>
  </w:num>
  <w:num w:numId="41" w16cid:durableId="879170411">
    <w:abstractNumId w:val="156"/>
  </w:num>
  <w:num w:numId="42" w16cid:durableId="481309699">
    <w:abstractNumId w:val="84"/>
  </w:num>
  <w:num w:numId="43" w16cid:durableId="1856261102">
    <w:abstractNumId w:val="165"/>
  </w:num>
  <w:num w:numId="44" w16cid:durableId="554850143">
    <w:abstractNumId w:val="27"/>
  </w:num>
  <w:num w:numId="45" w16cid:durableId="848450848">
    <w:abstractNumId w:val="135"/>
  </w:num>
  <w:num w:numId="46" w16cid:durableId="1219975359">
    <w:abstractNumId w:val="146"/>
  </w:num>
  <w:num w:numId="47" w16cid:durableId="895896907">
    <w:abstractNumId w:val="177"/>
  </w:num>
  <w:num w:numId="48" w16cid:durableId="179398820">
    <w:abstractNumId w:val="161"/>
  </w:num>
  <w:num w:numId="49" w16cid:durableId="651756970">
    <w:abstractNumId w:val="83"/>
  </w:num>
  <w:num w:numId="50" w16cid:durableId="277681658">
    <w:abstractNumId w:val="190"/>
  </w:num>
  <w:num w:numId="51" w16cid:durableId="105470421">
    <w:abstractNumId w:val="34"/>
  </w:num>
  <w:num w:numId="52" w16cid:durableId="1231963842">
    <w:abstractNumId w:val="28"/>
  </w:num>
  <w:num w:numId="53" w16cid:durableId="765349791">
    <w:abstractNumId w:val="125"/>
  </w:num>
  <w:num w:numId="54" w16cid:durableId="1334339671">
    <w:abstractNumId w:val="86"/>
  </w:num>
  <w:num w:numId="55" w16cid:durableId="1544100257">
    <w:abstractNumId w:val="43"/>
  </w:num>
  <w:num w:numId="56" w16cid:durableId="238835837">
    <w:abstractNumId w:val="96"/>
  </w:num>
  <w:num w:numId="57" w16cid:durableId="2008751136">
    <w:abstractNumId w:val="48"/>
  </w:num>
  <w:num w:numId="58" w16cid:durableId="1844121617">
    <w:abstractNumId w:val="45"/>
  </w:num>
  <w:num w:numId="59" w16cid:durableId="1283998642">
    <w:abstractNumId w:val="173"/>
  </w:num>
  <w:num w:numId="60" w16cid:durableId="2021926042">
    <w:abstractNumId w:val="26"/>
  </w:num>
  <w:num w:numId="61" w16cid:durableId="1493523143">
    <w:abstractNumId w:val="103"/>
  </w:num>
  <w:num w:numId="62" w16cid:durableId="1018196138">
    <w:abstractNumId w:val="7"/>
  </w:num>
  <w:num w:numId="63" w16cid:durableId="358745890">
    <w:abstractNumId w:val="112"/>
  </w:num>
  <w:num w:numId="64" w16cid:durableId="821697230">
    <w:abstractNumId w:val="49"/>
  </w:num>
  <w:num w:numId="65" w16cid:durableId="445151645">
    <w:abstractNumId w:val="158"/>
  </w:num>
  <w:num w:numId="66" w16cid:durableId="2077362212">
    <w:abstractNumId w:val="186"/>
  </w:num>
  <w:num w:numId="67" w16cid:durableId="1032344723">
    <w:abstractNumId w:val="195"/>
  </w:num>
  <w:num w:numId="68" w16cid:durableId="293026577">
    <w:abstractNumId w:val="62"/>
  </w:num>
  <w:num w:numId="69" w16cid:durableId="883252652">
    <w:abstractNumId w:val="153"/>
  </w:num>
  <w:num w:numId="70" w16cid:durableId="95908238">
    <w:abstractNumId w:val="20"/>
  </w:num>
  <w:num w:numId="71" w16cid:durableId="1221408065">
    <w:abstractNumId w:val="82"/>
  </w:num>
  <w:num w:numId="72" w16cid:durableId="813641561">
    <w:abstractNumId w:val="51"/>
  </w:num>
  <w:num w:numId="73" w16cid:durableId="1119028864">
    <w:abstractNumId w:val="100"/>
  </w:num>
  <w:num w:numId="74" w16cid:durableId="505175301">
    <w:abstractNumId w:val="11"/>
  </w:num>
  <w:num w:numId="75" w16cid:durableId="1668825753">
    <w:abstractNumId w:val="91"/>
  </w:num>
  <w:num w:numId="76" w16cid:durableId="1709259298">
    <w:abstractNumId w:val="66"/>
  </w:num>
  <w:num w:numId="77" w16cid:durableId="1023288687">
    <w:abstractNumId w:val="193"/>
  </w:num>
  <w:num w:numId="78" w16cid:durableId="818423114">
    <w:abstractNumId w:val="128"/>
  </w:num>
  <w:num w:numId="79" w16cid:durableId="741609652">
    <w:abstractNumId w:val="157"/>
  </w:num>
  <w:num w:numId="80" w16cid:durableId="884486200">
    <w:abstractNumId w:val="38"/>
  </w:num>
  <w:num w:numId="81" w16cid:durableId="265159806">
    <w:abstractNumId w:val="152"/>
  </w:num>
  <w:num w:numId="82" w16cid:durableId="198319081">
    <w:abstractNumId w:val="137"/>
  </w:num>
  <w:num w:numId="83" w16cid:durableId="1149832871">
    <w:abstractNumId w:val="182"/>
  </w:num>
  <w:num w:numId="84" w16cid:durableId="1953977679">
    <w:abstractNumId w:val="164"/>
  </w:num>
  <w:num w:numId="85" w16cid:durableId="358894885">
    <w:abstractNumId w:val="169"/>
  </w:num>
  <w:num w:numId="86" w16cid:durableId="1449618695">
    <w:abstractNumId w:val="191"/>
  </w:num>
  <w:num w:numId="87" w16cid:durableId="1496722581">
    <w:abstractNumId w:val="31"/>
  </w:num>
  <w:num w:numId="88" w16cid:durableId="1528178601">
    <w:abstractNumId w:val="87"/>
  </w:num>
  <w:num w:numId="89" w16cid:durableId="1537423208">
    <w:abstractNumId w:val="36"/>
  </w:num>
  <w:num w:numId="90" w16cid:durableId="1564559981">
    <w:abstractNumId w:val="175"/>
  </w:num>
  <w:num w:numId="91" w16cid:durableId="450394691">
    <w:abstractNumId w:val="71"/>
  </w:num>
  <w:num w:numId="92" w16cid:durableId="95760667">
    <w:abstractNumId w:val="101"/>
  </w:num>
  <w:num w:numId="93" w16cid:durableId="364722451">
    <w:abstractNumId w:val="47"/>
  </w:num>
  <w:num w:numId="94" w16cid:durableId="529300279">
    <w:abstractNumId w:val="119"/>
  </w:num>
  <w:num w:numId="95" w16cid:durableId="2145540715">
    <w:abstractNumId w:val="65"/>
  </w:num>
  <w:num w:numId="96" w16cid:durableId="558825694">
    <w:abstractNumId w:val="174"/>
  </w:num>
  <w:num w:numId="97" w16cid:durableId="1906329198">
    <w:abstractNumId w:val="68"/>
  </w:num>
  <w:num w:numId="98" w16cid:durableId="1495563968">
    <w:abstractNumId w:val="5"/>
  </w:num>
  <w:num w:numId="99" w16cid:durableId="801507582">
    <w:abstractNumId w:val="189"/>
  </w:num>
  <w:num w:numId="100" w16cid:durableId="616179365">
    <w:abstractNumId w:val="120"/>
  </w:num>
  <w:num w:numId="101" w16cid:durableId="1399211430">
    <w:abstractNumId w:val="150"/>
  </w:num>
  <w:num w:numId="102" w16cid:durableId="288703870">
    <w:abstractNumId w:val="102"/>
  </w:num>
  <w:num w:numId="103" w16cid:durableId="2047215822">
    <w:abstractNumId w:val="115"/>
  </w:num>
  <w:num w:numId="104" w16cid:durableId="990018423">
    <w:abstractNumId w:val="117"/>
  </w:num>
  <w:num w:numId="105" w16cid:durableId="893858456">
    <w:abstractNumId w:val="61"/>
  </w:num>
  <w:num w:numId="106" w16cid:durableId="132725061">
    <w:abstractNumId w:val="108"/>
  </w:num>
  <w:num w:numId="107" w16cid:durableId="1464157597">
    <w:abstractNumId w:val="8"/>
  </w:num>
  <w:num w:numId="108" w16cid:durableId="2143383799">
    <w:abstractNumId w:val="139"/>
  </w:num>
  <w:num w:numId="109" w16cid:durableId="398478498">
    <w:abstractNumId w:val="21"/>
  </w:num>
  <w:num w:numId="110" w16cid:durableId="760417951">
    <w:abstractNumId w:val="44"/>
  </w:num>
  <w:num w:numId="111" w16cid:durableId="345525725">
    <w:abstractNumId w:val="56"/>
  </w:num>
  <w:num w:numId="112" w16cid:durableId="280848023">
    <w:abstractNumId w:val="63"/>
  </w:num>
  <w:num w:numId="113" w16cid:durableId="1598447147">
    <w:abstractNumId w:val="162"/>
  </w:num>
  <w:num w:numId="114" w16cid:durableId="237134155">
    <w:abstractNumId w:val="60"/>
  </w:num>
  <w:num w:numId="115" w16cid:durableId="149292625">
    <w:abstractNumId w:val="143"/>
  </w:num>
  <w:num w:numId="116" w16cid:durableId="296374765">
    <w:abstractNumId w:val="196"/>
  </w:num>
  <w:num w:numId="117" w16cid:durableId="1589457659">
    <w:abstractNumId w:val="10"/>
  </w:num>
  <w:num w:numId="118" w16cid:durableId="228809042">
    <w:abstractNumId w:val="187"/>
  </w:num>
  <w:num w:numId="119" w16cid:durableId="829755873">
    <w:abstractNumId w:val="1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16cid:durableId="1114406065">
    <w:abstractNumId w:val="12"/>
  </w:num>
  <w:num w:numId="121" w16cid:durableId="97218214">
    <w:abstractNumId w:val="9"/>
  </w:num>
  <w:num w:numId="122" w16cid:durableId="762409440">
    <w:abstractNumId w:val="54"/>
  </w:num>
  <w:num w:numId="123" w16cid:durableId="1683124644">
    <w:abstractNumId w:val="133"/>
  </w:num>
  <w:num w:numId="124" w16cid:durableId="591545837">
    <w:abstractNumId w:val="109"/>
  </w:num>
  <w:num w:numId="125" w16cid:durableId="535891185">
    <w:abstractNumId w:val="32"/>
  </w:num>
  <w:num w:numId="126" w16cid:durableId="958414300">
    <w:abstractNumId w:val="19"/>
  </w:num>
  <w:num w:numId="127" w16cid:durableId="309286218">
    <w:abstractNumId w:val="39"/>
  </w:num>
  <w:num w:numId="128" w16cid:durableId="1568875471">
    <w:abstractNumId w:val="81"/>
  </w:num>
  <w:num w:numId="129" w16cid:durableId="868908474">
    <w:abstractNumId w:val="122"/>
  </w:num>
  <w:num w:numId="130" w16cid:durableId="1252661605">
    <w:abstractNumId w:val="123"/>
  </w:num>
  <w:num w:numId="131" w16cid:durableId="2079553346">
    <w:abstractNumId w:val="159"/>
  </w:num>
  <w:num w:numId="132" w16cid:durableId="1412040459">
    <w:abstractNumId w:val="166"/>
  </w:num>
  <w:num w:numId="133" w16cid:durableId="1705130969">
    <w:abstractNumId w:val="140"/>
  </w:num>
  <w:num w:numId="134" w16cid:durableId="1813717476">
    <w:abstractNumId w:val="194"/>
  </w:num>
  <w:num w:numId="135" w16cid:durableId="1144398017">
    <w:abstractNumId w:val="111"/>
  </w:num>
  <w:num w:numId="136" w16cid:durableId="481165813">
    <w:abstractNumId w:val="179"/>
  </w:num>
  <w:num w:numId="137" w16cid:durableId="1898202276">
    <w:abstractNumId w:val="178"/>
  </w:num>
  <w:num w:numId="138" w16cid:durableId="1611545751">
    <w:abstractNumId w:val="78"/>
  </w:num>
  <w:num w:numId="139" w16cid:durableId="1741323512">
    <w:abstractNumId w:val="23"/>
  </w:num>
  <w:num w:numId="140" w16cid:durableId="2024671565">
    <w:abstractNumId w:val="57"/>
  </w:num>
  <w:num w:numId="141" w16cid:durableId="2037266126">
    <w:abstractNumId w:val="183"/>
  </w:num>
  <w:num w:numId="142" w16cid:durableId="296643710">
    <w:abstractNumId w:val="168"/>
  </w:num>
  <w:num w:numId="143" w16cid:durableId="996959236">
    <w:abstractNumId w:val="73"/>
  </w:num>
  <w:num w:numId="144" w16cid:durableId="1600066577">
    <w:abstractNumId w:val="42"/>
  </w:num>
  <w:num w:numId="145" w16cid:durableId="485785220">
    <w:abstractNumId w:val="75"/>
  </w:num>
  <w:num w:numId="146" w16cid:durableId="579678064">
    <w:abstractNumId w:val="33"/>
  </w:num>
  <w:num w:numId="147" w16cid:durableId="668480359">
    <w:abstractNumId w:val="1"/>
  </w:num>
  <w:num w:numId="148" w16cid:durableId="909343663">
    <w:abstractNumId w:val="52"/>
  </w:num>
  <w:num w:numId="149" w16cid:durableId="34164386">
    <w:abstractNumId w:val="14"/>
  </w:num>
  <w:num w:numId="150" w16cid:durableId="75707706">
    <w:abstractNumId w:val="147"/>
  </w:num>
  <w:num w:numId="151" w16cid:durableId="884414749">
    <w:abstractNumId w:val="181"/>
  </w:num>
  <w:num w:numId="152" w16cid:durableId="1921479007">
    <w:abstractNumId w:val="67"/>
  </w:num>
  <w:num w:numId="153" w16cid:durableId="1814983253">
    <w:abstractNumId w:val="0"/>
  </w:num>
  <w:num w:numId="154" w16cid:durableId="613944248">
    <w:abstractNumId w:val="72"/>
  </w:num>
  <w:num w:numId="155" w16cid:durableId="23285955">
    <w:abstractNumId w:val="172"/>
  </w:num>
  <w:num w:numId="156" w16cid:durableId="640187959">
    <w:abstractNumId w:val="37"/>
  </w:num>
  <w:num w:numId="157" w16cid:durableId="2074814470">
    <w:abstractNumId w:val="136"/>
  </w:num>
  <w:num w:numId="158" w16cid:durableId="1745762858">
    <w:abstractNumId w:val="55"/>
  </w:num>
  <w:num w:numId="159" w16cid:durableId="1873103870">
    <w:abstractNumId w:val="24"/>
  </w:num>
  <w:num w:numId="160" w16cid:durableId="189533649">
    <w:abstractNumId w:val="41"/>
  </w:num>
  <w:num w:numId="161" w16cid:durableId="1691949426">
    <w:abstractNumId w:val="85"/>
  </w:num>
  <w:num w:numId="162" w16cid:durableId="1687094790">
    <w:abstractNumId w:val="129"/>
  </w:num>
  <w:num w:numId="163" w16cid:durableId="1594777561">
    <w:abstractNumId w:val="89"/>
  </w:num>
  <w:num w:numId="164" w16cid:durableId="1570143224">
    <w:abstractNumId w:val="99"/>
  </w:num>
  <w:num w:numId="165" w16cid:durableId="554897271">
    <w:abstractNumId w:val="77"/>
  </w:num>
  <w:num w:numId="166" w16cid:durableId="2046367989">
    <w:abstractNumId w:val="171"/>
  </w:num>
  <w:num w:numId="167" w16cid:durableId="1531796187">
    <w:abstractNumId w:val="53"/>
  </w:num>
  <w:num w:numId="168" w16cid:durableId="719549520">
    <w:abstractNumId w:val="88"/>
  </w:num>
  <w:num w:numId="169" w16cid:durableId="1598249285">
    <w:abstractNumId w:val="148"/>
  </w:num>
  <w:num w:numId="170" w16cid:durableId="967857155">
    <w:abstractNumId w:val="188"/>
  </w:num>
  <w:num w:numId="171" w16cid:durableId="736974213">
    <w:abstractNumId w:val="124"/>
  </w:num>
  <w:num w:numId="172" w16cid:durableId="675621762">
    <w:abstractNumId w:val="16"/>
  </w:num>
  <w:num w:numId="173" w16cid:durableId="1725904545">
    <w:abstractNumId w:val="126"/>
  </w:num>
  <w:num w:numId="174" w16cid:durableId="1460490438">
    <w:abstractNumId w:val="30"/>
  </w:num>
  <w:num w:numId="175" w16cid:durableId="1767268523">
    <w:abstractNumId w:val="29"/>
    <w:lvlOverride w:ilvl="0">
      <w:lvl w:ilvl="0">
        <w:numFmt w:val="decimal"/>
        <w:lvlText w:val="%1."/>
        <w:lvlJc w:val="left"/>
      </w:lvl>
    </w:lvlOverride>
  </w:num>
  <w:num w:numId="176" w16cid:durableId="2142840347">
    <w:abstractNumId w:val="35"/>
    <w:lvlOverride w:ilvl="0">
      <w:lvl w:ilvl="0">
        <w:numFmt w:val="decimal"/>
        <w:lvlText w:val="%1."/>
        <w:lvlJc w:val="left"/>
      </w:lvl>
    </w:lvlOverride>
  </w:num>
  <w:num w:numId="177" w16cid:durableId="1544832002">
    <w:abstractNumId w:val="18"/>
  </w:num>
  <w:num w:numId="178" w16cid:durableId="1497646155">
    <w:abstractNumId w:val="127"/>
    <w:lvlOverride w:ilvl="0">
      <w:lvl w:ilvl="0">
        <w:numFmt w:val="decimal"/>
        <w:lvlText w:val="%1."/>
        <w:lvlJc w:val="left"/>
      </w:lvl>
    </w:lvlOverride>
  </w:num>
  <w:num w:numId="179" w16cid:durableId="1656492122">
    <w:abstractNumId w:val="184"/>
    <w:lvlOverride w:ilvl="0">
      <w:lvl w:ilvl="0">
        <w:numFmt w:val="decimal"/>
        <w:lvlText w:val="%1."/>
        <w:lvlJc w:val="left"/>
      </w:lvl>
    </w:lvlOverride>
  </w:num>
  <w:num w:numId="180" w16cid:durableId="326400073">
    <w:abstractNumId w:val="106"/>
  </w:num>
  <w:num w:numId="181" w16cid:durableId="1916862904">
    <w:abstractNumId w:val="144"/>
    <w:lvlOverride w:ilvl="0">
      <w:lvl w:ilvl="0">
        <w:numFmt w:val="decimal"/>
        <w:lvlText w:val="%1."/>
        <w:lvlJc w:val="left"/>
      </w:lvl>
    </w:lvlOverride>
  </w:num>
  <w:num w:numId="182" w16cid:durableId="1455324714">
    <w:abstractNumId w:val="93"/>
    <w:lvlOverride w:ilvl="0">
      <w:lvl w:ilvl="0">
        <w:numFmt w:val="decimal"/>
        <w:lvlText w:val="%1."/>
        <w:lvlJc w:val="left"/>
      </w:lvl>
    </w:lvlOverride>
  </w:num>
  <w:num w:numId="183" w16cid:durableId="1167818091">
    <w:abstractNumId w:val="110"/>
  </w:num>
  <w:num w:numId="184" w16cid:durableId="1964270113">
    <w:abstractNumId w:val="134"/>
    <w:lvlOverride w:ilvl="0">
      <w:lvl w:ilvl="0">
        <w:numFmt w:val="decimal"/>
        <w:lvlText w:val="%1."/>
        <w:lvlJc w:val="left"/>
      </w:lvl>
    </w:lvlOverride>
  </w:num>
  <w:num w:numId="185" w16cid:durableId="1430809786">
    <w:abstractNumId w:val="113"/>
    <w:lvlOverride w:ilvl="0">
      <w:lvl w:ilvl="0">
        <w:numFmt w:val="decimal"/>
        <w:lvlText w:val="%1."/>
        <w:lvlJc w:val="left"/>
      </w:lvl>
    </w:lvlOverride>
  </w:num>
  <w:num w:numId="186" w16cid:durableId="1797524805">
    <w:abstractNumId w:val="2"/>
  </w:num>
  <w:num w:numId="187" w16cid:durableId="1058628707">
    <w:abstractNumId w:val="94"/>
  </w:num>
  <w:num w:numId="188" w16cid:durableId="1476793986">
    <w:abstractNumId w:val="98"/>
  </w:num>
  <w:num w:numId="189" w16cid:durableId="1904873744">
    <w:abstractNumId w:val="155"/>
  </w:num>
  <w:num w:numId="190" w16cid:durableId="1180242040">
    <w:abstractNumId w:val="192"/>
    <w:lvlOverride w:ilvl="0">
      <w:lvl w:ilvl="0">
        <w:numFmt w:val="decimal"/>
        <w:lvlText w:val="%1."/>
        <w:lvlJc w:val="left"/>
      </w:lvl>
    </w:lvlOverride>
  </w:num>
  <w:num w:numId="191" w16cid:durableId="802625811">
    <w:abstractNumId w:val="114"/>
    <w:lvlOverride w:ilvl="0">
      <w:lvl w:ilvl="0">
        <w:numFmt w:val="decimal"/>
        <w:lvlText w:val="%1."/>
        <w:lvlJc w:val="left"/>
      </w:lvl>
    </w:lvlOverride>
  </w:num>
  <w:num w:numId="192" w16cid:durableId="472917415">
    <w:abstractNumId w:val="4"/>
    <w:lvlOverride w:ilvl="0">
      <w:lvl w:ilvl="0">
        <w:numFmt w:val="decimal"/>
        <w:lvlText w:val="%1."/>
        <w:lvlJc w:val="left"/>
      </w:lvl>
    </w:lvlOverride>
  </w:num>
  <w:num w:numId="193" w16cid:durableId="75171494">
    <w:abstractNumId w:val="160"/>
    <w:lvlOverride w:ilvl="0">
      <w:lvl w:ilvl="0">
        <w:numFmt w:val="decimal"/>
        <w:lvlText w:val="%1."/>
        <w:lvlJc w:val="left"/>
      </w:lvl>
    </w:lvlOverride>
  </w:num>
  <w:num w:numId="194" w16cid:durableId="1786191731">
    <w:abstractNumId w:val="79"/>
  </w:num>
  <w:num w:numId="195" w16cid:durableId="1839536174">
    <w:abstractNumId w:val="154"/>
  </w:num>
  <w:num w:numId="196" w16cid:durableId="1471365612">
    <w:abstractNumId w:val="105"/>
  </w:num>
  <w:num w:numId="197" w16cid:durableId="1405377818">
    <w:abstractNumId w:val="16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7"/>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6F8C"/>
    <w:rsid w:val="000118A3"/>
    <w:rsid w:val="00014119"/>
    <w:rsid w:val="00023EC4"/>
    <w:rsid w:val="00026F8C"/>
    <w:rsid w:val="00027CDB"/>
    <w:rsid w:val="000373FE"/>
    <w:rsid w:val="0003780D"/>
    <w:rsid w:val="00040AE4"/>
    <w:rsid w:val="000509AA"/>
    <w:rsid w:val="000641C0"/>
    <w:rsid w:val="000B4226"/>
    <w:rsid w:val="000B706D"/>
    <w:rsid w:val="000D3895"/>
    <w:rsid w:val="000E02BA"/>
    <w:rsid w:val="000E7449"/>
    <w:rsid w:val="00120703"/>
    <w:rsid w:val="00142EA4"/>
    <w:rsid w:val="001464A3"/>
    <w:rsid w:val="00183CEB"/>
    <w:rsid w:val="001963F1"/>
    <w:rsid w:val="001C2A80"/>
    <w:rsid w:val="001F7FF9"/>
    <w:rsid w:val="00223F84"/>
    <w:rsid w:val="002248A5"/>
    <w:rsid w:val="002648C5"/>
    <w:rsid w:val="00287AA6"/>
    <w:rsid w:val="00295B8A"/>
    <w:rsid w:val="002C707D"/>
    <w:rsid w:val="002F19E6"/>
    <w:rsid w:val="003076CD"/>
    <w:rsid w:val="003246DC"/>
    <w:rsid w:val="0034440A"/>
    <w:rsid w:val="003519B5"/>
    <w:rsid w:val="0037412A"/>
    <w:rsid w:val="00377420"/>
    <w:rsid w:val="003B0264"/>
    <w:rsid w:val="003B2B5F"/>
    <w:rsid w:val="003B5048"/>
    <w:rsid w:val="003D18B8"/>
    <w:rsid w:val="003D68B1"/>
    <w:rsid w:val="003E2C66"/>
    <w:rsid w:val="003E5758"/>
    <w:rsid w:val="003F19BD"/>
    <w:rsid w:val="003F65B8"/>
    <w:rsid w:val="00427697"/>
    <w:rsid w:val="004477DB"/>
    <w:rsid w:val="00450D25"/>
    <w:rsid w:val="00454663"/>
    <w:rsid w:val="004567DB"/>
    <w:rsid w:val="00470F63"/>
    <w:rsid w:val="00474BE2"/>
    <w:rsid w:val="00482FFD"/>
    <w:rsid w:val="004846F4"/>
    <w:rsid w:val="004A1400"/>
    <w:rsid w:val="004B2B73"/>
    <w:rsid w:val="004C5E67"/>
    <w:rsid w:val="004D0095"/>
    <w:rsid w:val="004D34F1"/>
    <w:rsid w:val="004D4503"/>
    <w:rsid w:val="004D5737"/>
    <w:rsid w:val="005123A3"/>
    <w:rsid w:val="005357AC"/>
    <w:rsid w:val="00542015"/>
    <w:rsid w:val="00543661"/>
    <w:rsid w:val="00557FB9"/>
    <w:rsid w:val="005700E2"/>
    <w:rsid w:val="0058534A"/>
    <w:rsid w:val="00596F31"/>
    <w:rsid w:val="005B2E9F"/>
    <w:rsid w:val="005B4CD7"/>
    <w:rsid w:val="005C0646"/>
    <w:rsid w:val="005D262E"/>
    <w:rsid w:val="005D2B89"/>
    <w:rsid w:val="005D336D"/>
    <w:rsid w:val="005E794A"/>
    <w:rsid w:val="00600CEE"/>
    <w:rsid w:val="00606432"/>
    <w:rsid w:val="006118E1"/>
    <w:rsid w:val="00612A70"/>
    <w:rsid w:val="00623214"/>
    <w:rsid w:val="006266AC"/>
    <w:rsid w:val="006437D0"/>
    <w:rsid w:val="00643DA1"/>
    <w:rsid w:val="00652E1F"/>
    <w:rsid w:val="0066400D"/>
    <w:rsid w:val="00665B4E"/>
    <w:rsid w:val="0067377F"/>
    <w:rsid w:val="00681220"/>
    <w:rsid w:val="006961B6"/>
    <w:rsid w:val="006A1A0B"/>
    <w:rsid w:val="006D65D0"/>
    <w:rsid w:val="006E7AD3"/>
    <w:rsid w:val="006F2AE9"/>
    <w:rsid w:val="006F41E2"/>
    <w:rsid w:val="006F44B9"/>
    <w:rsid w:val="0070138E"/>
    <w:rsid w:val="007118CF"/>
    <w:rsid w:val="00711F36"/>
    <w:rsid w:val="00723EA0"/>
    <w:rsid w:val="0073599F"/>
    <w:rsid w:val="007404EC"/>
    <w:rsid w:val="00787A8D"/>
    <w:rsid w:val="007910F7"/>
    <w:rsid w:val="00792ED3"/>
    <w:rsid w:val="00796862"/>
    <w:rsid w:val="00797D92"/>
    <w:rsid w:val="007A69A3"/>
    <w:rsid w:val="007B1305"/>
    <w:rsid w:val="007B22FB"/>
    <w:rsid w:val="007B78A7"/>
    <w:rsid w:val="007D1858"/>
    <w:rsid w:val="007F0585"/>
    <w:rsid w:val="007F0F81"/>
    <w:rsid w:val="00847E88"/>
    <w:rsid w:val="008557A2"/>
    <w:rsid w:val="0086089B"/>
    <w:rsid w:val="0086210C"/>
    <w:rsid w:val="0086540F"/>
    <w:rsid w:val="008709D8"/>
    <w:rsid w:val="00881257"/>
    <w:rsid w:val="00882782"/>
    <w:rsid w:val="008910FB"/>
    <w:rsid w:val="008A3DDA"/>
    <w:rsid w:val="008A7A10"/>
    <w:rsid w:val="008B0110"/>
    <w:rsid w:val="008C0E61"/>
    <w:rsid w:val="008C735C"/>
    <w:rsid w:val="008D070F"/>
    <w:rsid w:val="008D3A14"/>
    <w:rsid w:val="008E3D29"/>
    <w:rsid w:val="008F71D3"/>
    <w:rsid w:val="00900691"/>
    <w:rsid w:val="009161B8"/>
    <w:rsid w:val="0092522E"/>
    <w:rsid w:val="00935136"/>
    <w:rsid w:val="00972833"/>
    <w:rsid w:val="00976B9B"/>
    <w:rsid w:val="009858B7"/>
    <w:rsid w:val="00995DB8"/>
    <w:rsid w:val="00997FCE"/>
    <w:rsid w:val="009C52A2"/>
    <w:rsid w:val="009D26DC"/>
    <w:rsid w:val="009D2BF6"/>
    <w:rsid w:val="009F2C8F"/>
    <w:rsid w:val="00A21B9E"/>
    <w:rsid w:val="00A315BC"/>
    <w:rsid w:val="00A32930"/>
    <w:rsid w:val="00A335A8"/>
    <w:rsid w:val="00A45696"/>
    <w:rsid w:val="00A62B0F"/>
    <w:rsid w:val="00A70310"/>
    <w:rsid w:val="00A82035"/>
    <w:rsid w:val="00A90B31"/>
    <w:rsid w:val="00AA7187"/>
    <w:rsid w:val="00AC76A4"/>
    <w:rsid w:val="00AD708C"/>
    <w:rsid w:val="00AE7A71"/>
    <w:rsid w:val="00B06A8A"/>
    <w:rsid w:val="00B16E45"/>
    <w:rsid w:val="00B2374F"/>
    <w:rsid w:val="00B47FA2"/>
    <w:rsid w:val="00B71A8E"/>
    <w:rsid w:val="00B95630"/>
    <w:rsid w:val="00BB5B57"/>
    <w:rsid w:val="00C014EA"/>
    <w:rsid w:val="00C050DB"/>
    <w:rsid w:val="00C22BFB"/>
    <w:rsid w:val="00C23CF4"/>
    <w:rsid w:val="00C248E7"/>
    <w:rsid w:val="00C3057A"/>
    <w:rsid w:val="00C30785"/>
    <w:rsid w:val="00C47295"/>
    <w:rsid w:val="00C641E1"/>
    <w:rsid w:val="00C6549B"/>
    <w:rsid w:val="00C81CFF"/>
    <w:rsid w:val="00C82500"/>
    <w:rsid w:val="00C82BF9"/>
    <w:rsid w:val="00C92C19"/>
    <w:rsid w:val="00CA1BC3"/>
    <w:rsid w:val="00CA3F18"/>
    <w:rsid w:val="00CB0EA6"/>
    <w:rsid w:val="00CB4999"/>
    <w:rsid w:val="00CD0DB1"/>
    <w:rsid w:val="00CD4731"/>
    <w:rsid w:val="00D02C7C"/>
    <w:rsid w:val="00D10FED"/>
    <w:rsid w:val="00D33AEE"/>
    <w:rsid w:val="00D33CD5"/>
    <w:rsid w:val="00D400A4"/>
    <w:rsid w:val="00D55762"/>
    <w:rsid w:val="00D56F0F"/>
    <w:rsid w:val="00D84F7F"/>
    <w:rsid w:val="00DD6E5D"/>
    <w:rsid w:val="00DE2122"/>
    <w:rsid w:val="00DE2FBF"/>
    <w:rsid w:val="00E0141C"/>
    <w:rsid w:val="00E30AFB"/>
    <w:rsid w:val="00E378C4"/>
    <w:rsid w:val="00E531FD"/>
    <w:rsid w:val="00E678F4"/>
    <w:rsid w:val="00E77133"/>
    <w:rsid w:val="00E90287"/>
    <w:rsid w:val="00E906E4"/>
    <w:rsid w:val="00EA1498"/>
    <w:rsid w:val="00EA5590"/>
    <w:rsid w:val="00EA5E50"/>
    <w:rsid w:val="00EB4F77"/>
    <w:rsid w:val="00EE79F8"/>
    <w:rsid w:val="00EF730B"/>
    <w:rsid w:val="00F04385"/>
    <w:rsid w:val="00F05CEC"/>
    <w:rsid w:val="00F33716"/>
    <w:rsid w:val="00F73BE1"/>
    <w:rsid w:val="00F814EE"/>
    <w:rsid w:val="00FA23F8"/>
    <w:rsid w:val="00FD2540"/>
    <w:rsid w:val="00FD6872"/>
    <w:rsid w:val="00FD6FE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7CB7A"/>
  <w15:docId w15:val="{BE30D817-1580-4D99-A29D-C8B2462AA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 w:eastAsia="en-ID"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80" w:after="120"/>
      <w:outlineLvl w:val="0"/>
    </w:pPr>
    <w:rPr>
      <w:b/>
      <w:color w:val="000000"/>
    </w:rPr>
  </w:style>
  <w:style w:type="paragraph" w:styleId="Heading2">
    <w:name w:val="heading 2"/>
    <w:basedOn w:val="Normal"/>
    <w:next w:val="Normal"/>
    <w:link w:val="Heading2Char"/>
    <w:uiPriority w:val="9"/>
    <w:unhideWhenUsed/>
    <w:qFormat/>
    <w:rsid w:val="00AE7A71"/>
    <w:pPr>
      <w:keepNext/>
      <w:keepLines/>
      <w:spacing w:before="80" w:after="80"/>
      <w:outlineLvl w:val="1"/>
    </w:pPr>
    <w:rPr>
      <w:b/>
      <w:color w:val="0070C0"/>
    </w:rPr>
  </w:style>
  <w:style w:type="paragraph" w:styleId="Heading3">
    <w:name w:val="heading 3"/>
    <w:basedOn w:val="Normal"/>
    <w:next w:val="Normal"/>
    <w:link w:val="Heading3Char"/>
    <w:uiPriority w:val="9"/>
    <w:unhideWhenUsed/>
    <w:qFormat/>
    <w:pPr>
      <w:keepNext/>
      <w:keepLines/>
      <w:spacing w:before="280" w:after="80"/>
      <w:outlineLvl w:val="2"/>
    </w:pPr>
    <w:rPr>
      <w:b/>
      <w:sz w:val="28"/>
      <w:szCs w:val="28"/>
    </w:rPr>
  </w:style>
  <w:style w:type="paragraph" w:styleId="Heading4">
    <w:name w:val="heading 4"/>
    <w:basedOn w:val="Normal"/>
    <w:next w:val="Normal"/>
    <w:link w:val="Heading4Char"/>
    <w:uiPriority w:val="9"/>
    <w:semiHidden/>
    <w:unhideWhenUsed/>
    <w:qFormat/>
    <w:pPr>
      <w:keepNext/>
      <w:keepLines/>
      <w:spacing w:before="240" w:after="40"/>
      <w:outlineLvl w:val="3"/>
    </w:pPr>
    <w:rPr>
      <w:b/>
    </w:rPr>
  </w:style>
  <w:style w:type="paragraph" w:styleId="Heading5">
    <w:name w:val="heading 5"/>
    <w:basedOn w:val="Normal"/>
    <w:next w:val="Normal"/>
    <w:link w:val="Heading5Char"/>
    <w:uiPriority w:val="9"/>
    <w:semiHidden/>
    <w:unhideWhenUsed/>
    <w:qFormat/>
    <w:pPr>
      <w:keepNext/>
      <w:keepLines/>
      <w:spacing w:before="220" w:after="40"/>
      <w:outlineLvl w:val="4"/>
    </w:pPr>
    <w:rPr>
      <w:b/>
      <w:sz w:val="22"/>
      <w:szCs w:val="22"/>
    </w:rPr>
  </w:style>
  <w:style w:type="paragraph" w:styleId="Heading6">
    <w:name w:val="heading 6"/>
    <w:basedOn w:val="Normal"/>
    <w:next w:val="Normal"/>
    <w:link w:val="Heading6Char"/>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keepNext/>
      <w:keepLines/>
      <w:spacing w:before="480" w:after="120"/>
    </w:pPr>
    <w:rPr>
      <w:b/>
      <w:sz w:val="72"/>
      <w:szCs w:val="72"/>
    </w:rPr>
  </w:style>
  <w:style w:type="paragraph" w:styleId="Header">
    <w:name w:val="header"/>
    <w:basedOn w:val="Normal"/>
    <w:link w:val="HeaderChar"/>
    <w:uiPriority w:val="99"/>
    <w:unhideWhenUsed/>
    <w:rsid w:val="004E681A"/>
    <w:pPr>
      <w:tabs>
        <w:tab w:val="center" w:pos="4680"/>
        <w:tab w:val="right" w:pos="9360"/>
      </w:tabs>
    </w:pPr>
  </w:style>
  <w:style w:type="character" w:customStyle="1" w:styleId="HeaderChar">
    <w:name w:val="Header Char"/>
    <w:basedOn w:val="DefaultParagraphFont"/>
    <w:link w:val="Header"/>
    <w:uiPriority w:val="99"/>
    <w:rsid w:val="004E681A"/>
  </w:style>
  <w:style w:type="paragraph" w:styleId="Footer">
    <w:name w:val="footer"/>
    <w:basedOn w:val="Normal"/>
    <w:link w:val="FooterChar"/>
    <w:uiPriority w:val="99"/>
    <w:unhideWhenUsed/>
    <w:rsid w:val="004E681A"/>
    <w:pPr>
      <w:tabs>
        <w:tab w:val="center" w:pos="4680"/>
        <w:tab w:val="right" w:pos="9360"/>
      </w:tabs>
    </w:pPr>
  </w:style>
  <w:style w:type="character" w:customStyle="1" w:styleId="FooterChar">
    <w:name w:val="Footer Char"/>
    <w:basedOn w:val="DefaultParagraphFont"/>
    <w:link w:val="Footer"/>
    <w:uiPriority w:val="99"/>
    <w:rsid w:val="004E681A"/>
  </w:style>
  <w:style w:type="character" w:styleId="PageNumber">
    <w:name w:val="page number"/>
    <w:basedOn w:val="DefaultParagraphFont"/>
    <w:uiPriority w:val="99"/>
    <w:semiHidden/>
    <w:unhideWhenUsed/>
    <w:rsid w:val="004E681A"/>
  </w:style>
  <w:style w:type="table" w:styleId="TableGrid">
    <w:name w:val="Table Grid"/>
    <w:basedOn w:val="TableNormal"/>
    <w:uiPriority w:val="39"/>
    <w:qFormat/>
    <w:rsid w:val="004E68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4E681A"/>
    <w:pPr>
      <w:ind w:left="720"/>
      <w:contextualSpacing/>
    </w:pPr>
  </w:style>
  <w:style w:type="character" w:customStyle="1" w:styleId="ListParagraphChar">
    <w:name w:val="List Paragraph Char"/>
    <w:link w:val="ListParagraph"/>
    <w:uiPriority w:val="34"/>
    <w:qFormat/>
    <w:rsid w:val="00E14959"/>
  </w:style>
  <w:style w:type="character" w:styleId="Hyperlink">
    <w:name w:val="Hyperlink"/>
    <w:basedOn w:val="DefaultParagraphFont"/>
    <w:uiPriority w:val="99"/>
    <w:unhideWhenUsed/>
    <w:rsid w:val="00E14959"/>
    <w:rPr>
      <w:color w:val="0563C1" w:themeColor="hyperlink"/>
      <w:u w:val="single"/>
    </w:rPr>
  </w:style>
  <w:style w:type="paragraph" w:styleId="BalloonText">
    <w:name w:val="Balloon Text"/>
    <w:basedOn w:val="Normal"/>
    <w:link w:val="BalloonTextChar"/>
    <w:uiPriority w:val="99"/>
    <w:semiHidden/>
    <w:unhideWhenUsed/>
    <w:rsid w:val="004C0198"/>
    <w:rPr>
      <w:rFonts w:ascii="Times New Roman" w:hAnsi="Times New Roman" w:cs="Angsana New"/>
      <w:sz w:val="18"/>
      <w:szCs w:val="22"/>
    </w:rPr>
  </w:style>
  <w:style w:type="character" w:customStyle="1" w:styleId="BalloonTextChar">
    <w:name w:val="Balloon Text Char"/>
    <w:basedOn w:val="DefaultParagraphFont"/>
    <w:link w:val="BalloonText"/>
    <w:uiPriority w:val="99"/>
    <w:semiHidden/>
    <w:rsid w:val="004C0198"/>
    <w:rPr>
      <w:rFonts w:ascii="Times New Roman" w:hAnsi="Times New Roman" w:cs="Angsana New"/>
      <w:sz w:val="18"/>
      <w:szCs w:val="22"/>
    </w:rPr>
  </w:style>
  <w:style w:type="paragraph" w:styleId="FootnoteText">
    <w:name w:val="footnote text"/>
    <w:basedOn w:val="Normal"/>
    <w:link w:val="FootnoteTextChar"/>
    <w:uiPriority w:val="99"/>
    <w:semiHidden/>
    <w:rsid w:val="005620B2"/>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5620B2"/>
    <w:rPr>
      <w:rFonts w:ascii="Times New Roman" w:eastAsia="Times New Roman" w:hAnsi="Times New Roman" w:cs="Times New Roman"/>
      <w:sz w:val="20"/>
      <w:szCs w:val="20"/>
      <w:lang w:bidi="ar-SA"/>
    </w:rPr>
  </w:style>
  <w:style w:type="character" w:styleId="FootnoteReference">
    <w:name w:val="footnote reference"/>
    <w:semiHidden/>
    <w:rsid w:val="005620B2"/>
    <w:rPr>
      <w:vertAlign w:val="superscript"/>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paragraph" w:styleId="BodyText">
    <w:name w:val="Body Text"/>
    <w:basedOn w:val="Normal"/>
    <w:link w:val="BodyTextChar"/>
    <w:uiPriority w:val="1"/>
    <w:unhideWhenUsed/>
    <w:qFormat/>
    <w:rsid w:val="00CE34DC"/>
    <w:pPr>
      <w:spacing w:after="120" w:line="276" w:lineRule="auto"/>
    </w:pPr>
    <w:rPr>
      <w:rFonts w:asciiTheme="minorHAnsi" w:eastAsiaTheme="minorEastAsia" w:hAnsiTheme="minorHAnsi" w:cstheme="minorBidi"/>
      <w:sz w:val="22"/>
      <w:szCs w:val="22"/>
    </w:rPr>
  </w:style>
  <w:style w:type="character" w:customStyle="1" w:styleId="BodyTextChar">
    <w:name w:val="Body Text Char"/>
    <w:basedOn w:val="DefaultParagraphFont"/>
    <w:link w:val="BodyText"/>
    <w:uiPriority w:val="1"/>
    <w:rsid w:val="00CE34DC"/>
    <w:rPr>
      <w:rFonts w:asciiTheme="minorHAnsi" w:eastAsiaTheme="minorEastAsia" w:hAnsiTheme="minorHAnsi" w:cstheme="minorBidi"/>
      <w:sz w:val="22"/>
      <w:szCs w:val="22"/>
    </w:rPr>
  </w:style>
  <w:style w:type="character" w:styleId="UnresolvedMention">
    <w:name w:val="Unresolved Mention"/>
    <w:basedOn w:val="DefaultParagraphFont"/>
    <w:uiPriority w:val="99"/>
    <w:semiHidden/>
    <w:unhideWhenUsed/>
    <w:rsid w:val="00666C0E"/>
    <w:rPr>
      <w:color w:val="605E5C"/>
      <w:shd w:val="clear" w:color="auto" w:fill="E1DFDD"/>
    </w:rPr>
  </w:style>
  <w:style w:type="character" w:styleId="FollowedHyperlink">
    <w:name w:val="FollowedHyperlink"/>
    <w:basedOn w:val="DefaultParagraphFont"/>
    <w:uiPriority w:val="99"/>
    <w:semiHidden/>
    <w:unhideWhenUsed/>
    <w:rsid w:val="00666C0E"/>
    <w:rPr>
      <w:color w:val="954F72" w:themeColor="followedHyperlink"/>
      <w:u w:val="single"/>
    </w:rPr>
  </w:style>
  <w:style w:type="paragraph" w:customStyle="1" w:styleId="p1">
    <w:name w:val="p1"/>
    <w:basedOn w:val="Normal"/>
    <w:rsid w:val="00D2237B"/>
    <w:rPr>
      <w:rFonts w:ascii="Arial" w:eastAsia="Times New Roman" w:hAnsi="Arial" w:cs="Arial"/>
      <w:color w:val="000000"/>
      <w:sz w:val="17"/>
      <w:szCs w:val="17"/>
      <w:lang w:val="en-GB" w:eastAsia="en-GB"/>
    </w:rPr>
  </w:style>
  <w:style w:type="paragraph" w:styleId="TOCHeading">
    <w:name w:val="TOC Heading"/>
    <w:basedOn w:val="Heading1"/>
    <w:next w:val="Normal"/>
    <w:uiPriority w:val="39"/>
    <w:unhideWhenUsed/>
    <w:qFormat/>
    <w:rsid w:val="00F02A85"/>
    <w:pPr>
      <w:spacing w:after="0" w:line="276" w:lineRule="auto"/>
      <w:outlineLvl w:val="9"/>
    </w:pPr>
    <w:rPr>
      <w:rFonts w:asciiTheme="majorHAnsi" w:eastAsiaTheme="majorEastAsia" w:hAnsiTheme="majorHAnsi" w:cstheme="majorBidi"/>
      <w:bCs/>
      <w:color w:val="2F5496" w:themeColor="accent1" w:themeShade="BF"/>
      <w:sz w:val="28"/>
      <w:szCs w:val="28"/>
    </w:rPr>
  </w:style>
  <w:style w:type="paragraph" w:styleId="TOC1">
    <w:name w:val="toc 1"/>
    <w:basedOn w:val="Normal"/>
    <w:next w:val="Normal"/>
    <w:autoRedefine/>
    <w:uiPriority w:val="39"/>
    <w:unhideWhenUsed/>
    <w:qFormat/>
    <w:rsid w:val="00AE7A71"/>
    <w:pPr>
      <w:tabs>
        <w:tab w:val="left" w:pos="480"/>
        <w:tab w:val="right" w:leader="dot" w:pos="9737"/>
      </w:tabs>
      <w:spacing w:before="120"/>
    </w:pPr>
    <w:rPr>
      <w:rFonts w:ascii="Times New Roman" w:hAnsi="Times New Roman" w:cs="Times New Roman"/>
      <w:b/>
      <w:bCs/>
      <w:i/>
      <w:iCs/>
      <w:noProof/>
      <w:color w:val="0070C0"/>
    </w:rPr>
  </w:style>
  <w:style w:type="paragraph" w:styleId="TOC2">
    <w:name w:val="toc 2"/>
    <w:basedOn w:val="Normal"/>
    <w:next w:val="Normal"/>
    <w:autoRedefine/>
    <w:uiPriority w:val="39"/>
    <w:unhideWhenUsed/>
    <w:qFormat/>
    <w:rsid w:val="00F02A85"/>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F02A85"/>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F02A85"/>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F02A85"/>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F02A85"/>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F02A85"/>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F02A85"/>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F02A85"/>
    <w:pPr>
      <w:ind w:left="1920"/>
    </w:pPr>
    <w:rPr>
      <w:rFonts w:asciiTheme="minorHAnsi" w:hAnsiTheme="minorHAnsi" w:cstheme="minorHAnsi"/>
      <w:sz w:val="20"/>
      <w:szCs w:val="20"/>
    </w:rPr>
  </w:style>
  <w:style w:type="table" w:customStyle="1" w:styleId="Style30">
    <w:name w:val="_Style 30"/>
    <w:basedOn w:val="TableNormal"/>
    <w:rsid w:val="004D07CC"/>
    <w:rPr>
      <w:sz w:val="20"/>
      <w:szCs w:val="20"/>
      <w:lang w:val="en-GB" w:eastAsia="en-GB"/>
    </w:rPr>
    <w:tblPr/>
  </w:style>
  <w:style w:type="table" w:customStyle="1" w:styleId="Style31">
    <w:name w:val="_Style 31"/>
    <w:basedOn w:val="TableNormal"/>
    <w:rsid w:val="004D07CC"/>
    <w:rPr>
      <w:sz w:val="20"/>
      <w:szCs w:val="20"/>
      <w:lang w:val="en-GB" w:eastAsia="en-GB"/>
    </w:rPr>
    <w:tblPr/>
  </w:style>
  <w:style w:type="table" w:customStyle="1" w:styleId="Style32">
    <w:name w:val="_Style 32"/>
    <w:basedOn w:val="TableNormal"/>
    <w:rsid w:val="004D07CC"/>
    <w:rPr>
      <w:sz w:val="20"/>
      <w:szCs w:val="20"/>
      <w:lang w:val="en-GB" w:eastAsia="en-GB"/>
    </w:rPr>
    <w:tblPr/>
  </w:style>
  <w:style w:type="table" w:customStyle="1" w:styleId="Style35">
    <w:name w:val="_Style 35"/>
    <w:basedOn w:val="TableNormal"/>
    <w:rsid w:val="004D07CC"/>
    <w:rPr>
      <w:sz w:val="20"/>
      <w:szCs w:val="20"/>
      <w:lang w:val="en-GB" w:eastAsia="en-GB"/>
    </w:rPr>
    <w:tblPr/>
  </w:style>
  <w:style w:type="table" w:customStyle="1" w:styleId="Style36">
    <w:name w:val="_Style 36"/>
    <w:basedOn w:val="TableNormal"/>
    <w:rsid w:val="004D07CC"/>
    <w:rPr>
      <w:sz w:val="20"/>
      <w:szCs w:val="20"/>
      <w:lang w:val="en-GB" w:eastAsia="en-GB"/>
    </w:rPr>
    <w:tblPr/>
  </w:style>
  <w:style w:type="table" w:customStyle="1" w:styleId="Style37">
    <w:name w:val="_Style 37"/>
    <w:basedOn w:val="TableNormal"/>
    <w:rsid w:val="004D07CC"/>
    <w:rPr>
      <w:sz w:val="20"/>
      <w:szCs w:val="20"/>
      <w:lang w:val="en-GB" w:eastAsia="en-GB"/>
    </w:rPr>
    <w:tblPr/>
  </w:style>
  <w:style w:type="table" w:customStyle="1" w:styleId="Style38">
    <w:name w:val="_Style 38"/>
    <w:basedOn w:val="TableNormal"/>
    <w:rsid w:val="004D07CC"/>
    <w:rPr>
      <w:sz w:val="20"/>
      <w:szCs w:val="20"/>
      <w:lang w:val="en-GB" w:eastAsia="en-GB"/>
    </w:rPr>
    <w:tblPr/>
  </w:style>
  <w:style w:type="table" w:customStyle="1" w:styleId="Style39">
    <w:name w:val="_Style 39"/>
    <w:basedOn w:val="TableNormal"/>
    <w:rsid w:val="004D07CC"/>
    <w:rPr>
      <w:sz w:val="20"/>
      <w:szCs w:val="20"/>
      <w:lang w:val="en-GB" w:eastAsia="en-GB"/>
    </w:rPr>
    <w:tblPr/>
  </w:style>
  <w:style w:type="table" w:customStyle="1" w:styleId="Style40">
    <w:name w:val="_Style 40"/>
    <w:basedOn w:val="TableNormal"/>
    <w:rsid w:val="004D07CC"/>
    <w:rPr>
      <w:sz w:val="20"/>
      <w:szCs w:val="20"/>
      <w:lang w:val="en-GB" w:eastAsia="en-GB"/>
    </w:rPr>
    <w:tblPr/>
  </w:style>
  <w:style w:type="table" w:customStyle="1" w:styleId="Style41">
    <w:name w:val="_Style 41"/>
    <w:basedOn w:val="TableNormal"/>
    <w:rsid w:val="004D07CC"/>
    <w:rPr>
      <w:sz w:val="20"/>
      <w:szCs w:val="20"/>
      <w:lang w:val="en-GB" w:eastAsia="en-GB"/>
    </w:rPr>
    <w:tblPr>
      <w:tblCellMar>
        <w:left w:w="115" w:type="dxa"/>
        <w:right w:w="115" w:type="dxa"/>
      </w:tblCellMar>
    </w:tblPr>
  </w:style>
  <w:style w:type="table" w:customStyle="1" w:styleId="Style42">
    <w:name w:val="_Style 42"/>
    <w:basedOn w:val="TableNormal"/>
    <w:rsid w:val="004D07CC"/>
    <w:rPr>
      <w:sz w:val="20"/>
      <w:szCs w:val="20"/>
      <w:lang w:val="en-GB" w:eastAsia="en-GB"/>
    </w:rPr>
    <w:tblPr>
      <w:tblCellMar>
        <w:left w:w="115" w:type="dxa"/>
        <w:right w:w="115" w:type="dxa"/>
      </w:tblCellMar>
    </w:tblPr>
  </w:style>
  <w:style w:type="paragraph" w:styleId="NormalWeb">
    <w:name w:val="Normal (Web)"/>
    <w:basedOn w:val="Normal"/>
    <w:uiPriority w:val="99"/>
    <w:unhideWhenUsed/>
    <w:rsid w:val="006C6F48"/>
    <w:pPr>
      <w:spacing w:before="100" w:beforeAutospacing="1" w:after="100" w:afterAutospacing="1"/>
    </w:pPr>
    <w:rPr>
      <w:rFonts w:ascii="Times New Roman" w:eastAsia="Times New Roman" w:hAnsi="Times New Roman" w:cs="Times New Roman"/>
      <w:lang w:val="en-GB" w:eastAsia="en-GB"/>
    </w:rPr>
  </w:style>
  <w:style w:type="character" w:customStyle="1" w:styleId="apple-tab-span">
    <w:name w:val="apple-tab-span"/>
    <w:basedOn w:val="DefaultParagraphFont"/>
    <w:rsid w:val="006C6F48"/>
  </w:style>
  <w:style w:type="numbering" w:customStyle="1" w:styleId="CurrentList1">
    <w:name w:val="Current List1"/>
    <w:uiPriority w:val="99"/>
    <w:rsid w:val="00127320"/>
  </w:style>
  <w:style w:type="paragraph" w:customStyle="1" w:styleId="Default">
    <w:name w:val="Default"/>
    <w:rsid w:val="00B5181F"/>
    <w:pPr>
      <w:autoSpaceDE w:val="0"/>
      <w:autoSpaceDN w:val="0"/>
      <w:adjustRightInd w:val="0"/>
    </w:pPr>
    <w:rPr>
      <w:rFonts w:ascii="Arial" w:hAnsi="Arial" w:cs="Arial"/>
      <w:color w:val="000000"/>
      <w:lang w:val="en-ID"/>
    </w:rPr>
  </w:style>
  <w:style w:type="table" w:customStyle="1" w:styleId="10">
    <w:name w:val="10"/>
    <w:basedOn w:val="TableNormal"/>
    <w:rsid w:val="001A34E8"/>
    <w:tblPr>
      <w:tblStyleRowBandSize w:val="1"/>
      <w:tblStyleColBandSize w:val="1"/>
    </w:tblPr>
  </w:style>
  <w:style w:type="character" w:styleId="Strong">
    <w:name w:val="Strong"/>
    <w:basedOn w:val="DefaultParagraphFont"/>
    <w:uiPriority w:val="22"/>
    <w:qFormat/>
    <w:rsid w:val="001A34E8"/>
    <w:rPr>
      <w:b/>
      <w:bCs/>
    </w:rPr>
  </w:style>
  <w:style w:type="character" w:customStyle="1" w:styleId="Heading1Char">
    <w:name w:val="Heading 1 Char"/>
    <w:basedOn w:val="DefaultParagraphFont"/>
    <w:link w:val="Heading1"/>
    <w:uiPriority w:val="9"/>
    <w:rsid w:val="009D0D6B"/>
    <w:rPr>
      <w:b/>
      <w:color w:val="000000" w:themeColor="text1"/>
      <w:szCs w:val="48"/>
    </w:rPr>
  </w:style>
  <w:style w:type="table" w:customStyle="1" w:styleId="18">
    <w:name w:val="18"/>
    <w:basedOn w:val="TableNormal"/>
    <w:rsid w:val="00307871"/>
    <w:tblPr>
      <w:tblStyleRowBandSize w:val="1"/>
      <w:tblStyleColBandSize w:val="1"/>
    </w:tblPr>
  </w:style>
  <w:style w:type="table" w:customStyle="1" w:styleId="17">
    <w:name w:val="17"/>
    <w:basedOn w:val="TableNormal"/>
    <w:rsid w:val="00307871"/>
    <w:tblPr>
      <w:tblStyleRowBandSize w:val="1"/>
      <w:tblStyleColBandSize w:val="1"/>
    </w:tblPr>
  </w:style>
  <w:style w:type="table" w:customStyle="1" w:styleId="16">
    <w:name w:val="16"/>
    <w:basedOn w:val="TableNormal"/>
    <w:rsid w:val="00307871"/>
    <w:tblPr>
      <w:tblStyleRowBandSize w:val="1"/>
      <w:tblStyleColBandSize w:val="1"/>
    </w:tblPr>
  </w:style>
  <w:style w:type="table" w:customStyle="1" w:styleId="15">
    <w:name w:val="15"/>
    <w:basedOn w:val="TableNormal"/>
    <w:rsid w:val="00307871"/>
    <w:tblPr>
      <w:tblStyleRowBandSize w:val="1"/>
      <w:tblStyleColBandSize w:val="1"/>
    </w:tblPr>
  </w:style>
  <w:style w:type="table" w:customStyle="1" w:styleId="14">
    <w:name w:val="14"/>
    <w:basedOn w:val="TableNormal"/>
    <w:rsid w:val="00307871"/>
    <w:tblPr>
      <w:tblStyleRowBandSize w:val="1"/>
      <w:tblStyleColBandSize w:val="1"/>
      <w:tblCellMar>
        <w:left w:w="115" w:type="dxa"/>
        <w:right w:w="115" w:type="dxa"/>
      </w:tblCellMar>
    </w:tblPr>
  </w:style>
  <w:style w:type="table" w:customStyle="1" w:styleId="13">
    <w:name w:val="13"/>
    <w:basedOn w:val="TableNormal"/>
    <w:rsid w:val="00307871"/>
    <w:tblPr>
      <w:tblStyleRowBandSize w:val="1"/>
      <w:tblStyleColBandSize w:val="1"/>
    </w:tblPr>
  </w:style>
  <w:style w:type="table" w:customStyle="1" w:styleId="12">
    <w:name w:val="12"/>
    <w:basedOn w:val="TableNormal"/>
    <w:rsid w:val="00307871"/>
    <w:tblPr>
      <w:tblStyleRowBandSize w:val="1"/>
      <w:tblStyleColBandSize w:val="1"/>
    </w:tblPr>
  </w:style>
  <w:style w:type="table" w:customStyle="1" w:styleId="11">
    <w:name w:val="11"/>
    <w:basedOn w:val="TableNormal"/>
    <w:rsid w:val="00307871"/>
    <w:tblPr>
      <w:tblStyleRowBandSize w:val="1"/>
      <w:tblStyleColBandSize w:val="1"/>
    </w:tblPr>
  </w:style>
  <w:style w:type="table" w:customStyle="1" w:styleId="9">
    <w:name w:val="9"/>
    <w:basedOn w:val="TableNormal"/>
    <w:rsid w:val="00307871"/>
    <w:tblPr>
      <w:tblStyleRowBandSize w:val="1"/>
      <w:tblStyleColBandSize w:val="1"/>
    </w:tblPr>
  </w:style>
  <w:style w:type="table" w:customStyle="1" w:styleId="8">
    <w:name w:val="8"/>
    <w:basedOn w:val="TableNormal"/>
    <w:rsid w:val="00307871"/>
    <w:tblPr>
      <w:tblStyleRowBandSize w:val="1"/>
      <w:tblStyleColBandSize w:val="1"/>
    </w:tblPr>
  </w:style>
  <w:style w:type="table" w:customStyle="1" w:styleId="7">
    <w:name w:val="7"/>
    <w:basedOn w:val="TableNormal"/>
    <w:rsid w:val="00307871"/>
    <w:tblPr>
      <w:tblStyleRowBandSize w:val="1"/>
      <w:tblStyleColBandSize w:val="1"/>
    </w:tblPr>
  </w:style>
  <w:style w:type="table" w:customStyle="1" w:styleId="6">
    <w:name w:val="6"/>
    <w:basedOn w:val="TableNormal"/>
    <w:rsid w:val="00307871"/>
    <w:tblPr>
      <w:tblStyleRowBandSize w:val="1"/>
      <w:tblStyleColBandSize w:val="1"/>
    </w:tblPr>
  </w:style>
  <w:style w:type="table" w:customStyle="1" w:styleId="5">
    <w:name w:val="5"/>
    <w:basedOn w:val="TableNormal"/>
    <w:rsid w:val="00307871"/>
    <w:tblPr>
      <w:tblStyleRowBandSize w:val="1"/>
      <w:tblStyleColBandSize w:val="1"/>
    </w:tblPr>
  </w:style>
  <w:style w:type="table" w:customStyle="1" w:styleId="4">
    <w:name w:val="4"/>
    <w:basedOn w:val="TableNormal"/>
    <w:rsid w:val="00307871"/>
    <w:tblPr>
      <w:tblStyleRowBandSize w:val="1"/>
      <w:tblStyleColBandSize w:val="1"/>
    </w:tblPr>
  </w:style>
  <w:style w:type="table" w:customStyle="1" w:styleId="3">
    <w:name w:val="3"/>
    <w:basedOn w:val="TableNormal"/>
    <w:rsid w:val="00307871"/>
    <w:tblPr>
      <w:tblStyleRowBandSize w:val="1"/>
      <w:tblStyleColBandSize w:val="1"/>
    </w:tblPr>
  </w:style>
  <w:style w:type="table" w:customStyle="1" w:styleId="2">
    <w:name w:val="2"/>
    <w:basedOn w:val="TableNormal"/>
    <w:rsid w:val="00307871"/>
    <w:tblPr>
      <w:tblStyleRowBandSize w:val="1"/>
      <w:tblStyleColBandSize w:val="1"/>
      <w:tblCellMar>
        <w:left w:w="115" w:type="dxa"/>
        <w:right w:w="115" w:type="dxa"/>
      </w:tblCellMar>
    </w:tblPr>
  </w:style>
  <w:style w:type="table" w:customStyle="1" w:styleId="1">
    <w:name w:val="1"/>
    <w:basedOn w:val="TableNormal"/>
    <w:rsid w:val="00307871"/>
    <w:tblPr>
      <w:tblStyleRowBandSize w:val="1"/>
      <w:tblStyleColBandSize w:val="1"/>
      <w:tblCellMar>
        <w:left w:w="115" w:type="dxa"/>
        <w:right w:w="115" w:type="dxa"/>
      </w:tblCellMar>
    </w:tblPr>
  </w:style>
  <w:style w:type="paragraph" w:customStyle="1" w:styleId="TableParagraph">
    <w:name w:val="Table Paragraph"/>
    <w:basedOn w:val="Normal"/>
    <w:uiPriority w:val="1"/>
    <w:qFormat/>
    <w:rsid w:val="00307871"/>
    <w:pPr>
      <w:widowControl w:val="0"/>
      <w:autoSpaceDE w:val="0"/>
      <w:autoSpaceDN w:val="0"/>
    </w:pPr>
    <w:rPr>
      <w:rFonts w:ascii="Arial MT" w:eastAsia="Arial MT" w:hAnsi="Arial MT" w:cs="Arial MT"/>
      <w:sz w:val="22"/>
      <w:szCs w:val="22"/>
    </w:rPr>
  </w:style>
  <w:style w:type="character" w:styleId="Emphasis">
    <w:name w:val="Emphasis"/>
    <w:basedOn w:val="DefaultParagraphFont"/>
    <w:uiPriority w:val="20"/>
    <w:qFormat/>
    <w:rsid w:val="00307871"/>
    <w:rPr>
      <w:i/>
      <w:iCs/>
    </w:rPr>
  </w:style>
  <w:style w:type="character" w:customStyle="1" w:styleId="Heading2Char">
    <w:name w:val="Heading 2 Char"/>
    <w:basedOn w:val="DefaultParagraphFont"/>
    <w:link w:val="Heading2"/>
    <w:uiPriority w:val="9"/>
    <w:rsid w:val="00AE7A71"/>
    <w:rPr>
      <w:b/>
      <w:color w:val="0070C0"/>
    </w:rPr>
  </w:style>
  <w:style w:type="character" w:customStyle="1" w:styleId="Heading3Char">
    <w:name w:val="Heading 3 Char"/>
    <w:basedOn w:val="DefaultParagraphFont"/>
    <w:link w:val="Heading3"/>
    <w:uiPriority w:val="9"/>
    <w:rsid w:val="00307871"/>
    <w:rPr>
      <w:b/>
      <w:sz w:val="28"/>
      <w:szCs w:val="28"/>
    </w:rPr>
  </w:style>
  <w:style w:type="character" w:customStyle="1" w:styleId="Heading4Char">
    <w:name w:val="Heading 4 Char"/>
    <w:basedOn w:val="DefaultParagraphFont"/>
    <w:link w:val="Heading4"/>
    <w:uiPriority w:val="9"/>
    <w:semiHidden/>
    <w:rsid w:val="00307871"/>
    <w:rPr>
      <w:b/>
    </w:rPr>
  </w:style>
  <w:style w:type="character" w:customStyle="1" w:styleId="Heading5Char">
    <w:name w:val="Heading 5 Char"/>
    <w:basedOn w:val="DefaultParagraphFont"/>
    <w:link w:val="Heading5"/>
    <w:uiPriority w:val="9"/>
    <w:semiHidden/>
    <w:rsid w:val="00307871"/>
    <w:rPr>
      <w:b/>
      <w:sz w:val="22"/>
      <w:szCs w:val="22"/>
    </w:rPr>
  </w:style>
  <w:style w:type="character" w:customStyle="1" w:styleId="Heading6Char">
    <w:name w:val="Heading 6 Char"/>
    <w:basedOn w:val="DefaultParagraphFont"/>
    <w:link w:val="Heading6"/>
    <w:uiPriority w:val="9"/>
    <w:semiHidden/>
    <w:rsid w:val="00307871"/>
    <w:rPr>
      <w:b/>
      <w:sz w:val="20"/>
      <w:szCs w:val="20"/>
    </w:rPr>
  </w:style>
  <w:style w:type="character" w:customStyle="1" w:styleId="TitleChar">
    <w:name w:val="Title Char"/>
    <w:basedOn w:val="DefaultParagraphFont"/>
    <w:link w:val="Title"/>
    <w:uiPriority w:val="10"/>
    <w:rsid w:val="00307871"/>
    <w:rPr>
      <w:b/>
      <w:sz w:val="72"/>
      <w:szCs w:val="72"/>
    </w:rPr>
  </w:style>
  <w:style w:type="character" w:customStyle="1" w:styleId="SubtitleChar">
    <w:name w:val="Subtitle Char"/>
    <w:basedOn w:val="DefaultParagraphFont"/>
    <w:link w:val="Subtitle"/>
    <w:uiPriority w:val="11"/>
    <w:rsid w:val="00307871"/>
    <w:rPr>
      <w:rFonts w:ascii="Georgia" w:eastAsia="Georgia" w:hAnsi="Georgia" w:cs="Georgia"/>
      <w:i/>
      <w:color w:val="666666"/>
      <w:sz w:val="48"/>
      <w:szCs w:val="48"/>
    </w:rPr>
  </w:style>
  <w:style w:type="paragraph" w:styleId="Revision">
    <w:name w:val="Revision"/>
    <w:hidden/>
    <w:uiPriority w:val="99"/>
    <w:semiHidden/>
    <w:rsid w:val="009D0D6B"/>
    <w:rPr>
      <w:lang w:bidi="km-KH"/>
    </w:rPr>
  </w:style>
  <w:style w:type="character" w:styleId="CommentReference">
    <w:name w:val="annotation reference"/>
    <w:basedOn w:val="DefaultParagraphFont"/>
    <w:uiPriority w:val="99"/>
    <w:semiHidden/>
    <w:unhideWhenUsed/>
    <w:rsid w:val="009D0D6B"/>
    <w:rPr>
      <w:sz w:val="16"/>
      <w:szCs w:val="16"/>
    </w:rPr>
  </w:style>
  <w:style w:type="paragraph" w:styleId="CommentText">
    <w:name w:val="annotation text"/>
    <w:basedOn w:val="Normal"/>
    <w:link w:val="CommentTextChar"/>
    <w:uiPriority w:val="99"/>
    <w:unhideWhenUsed/>
    <w:rsid w:val="009D0D6B"/>
    <w:rPr>
      <w:sz w:val="20"/>
      <w:szCs w:val="20"/>
      <w:lang w:bidi="km-KH"/>
    </w:rPr>
  </w:style>
  <w:style w:type="character" w:customStyle="1" w:styleId="CommentTextChar">
    <w:name w:val="Comment Text Char"/>
    <w:basedOn w:val="DefaultParagraphFont"/>
    <w:link w:val="CommentText"/>
    <w:uiPriority w:val="99"/>
    <w:rsid w:val="009D0D6B"/>
    <w:rPr>
      <w:sz w:val="20"/>
      <w:szCs w:val="20"/>
      <w:lang w:bidi="km-KH"/>
    </w:rPr>
  </w:style>
  <w:style w:type="paragraph" w:styleId="CommentSubject">
    <w:name w:val="annotation subject"/>
    <w:basedOn w:val="CommentText"/>
    <w:next w:val="CommentText"/>
    <w:link w:val="CommentSubjectChar"/>
    <w:uiPriority w:val="99"/>
    <w:semiHidden/>
    <w:unhideWhenUsed/>
    <w:rsid w:val="009D0D6B"/>
    <w:rPr>
      <w:b/>
      <w:bCs/>
    </w:rPr>
  </w:style>
  <w:style w:type="character" w:customStyle="1" w:styleId="CommentSubjectChar">
    <w:name w:val="Comment Subject Char"/>
    <w:basedOn w:val="CommentTextChar"/>
    <w:link w:val="CommentSubject"/>
    <w:uiPriority w:val="99"/>
    <w:semiHidden/>
    <w:rsid w:val="009D0D6B"/>
    <w:rPr>
      <w:b/>
      <w:bCs/>
      <w:sz w:val="20"/>
      <w:szCs w:val="20"/>
      <w:lang w:bidi="km-KH"/>
    </w:rPr>
  </w:style>
  <w:style w:type="character" w:customStyle="1" w:styleId="UnresolvedMention1">
    <w:name w:val="Unresolved Mention1"/>
    <w:basedOn w:val="DefaultParagraphFont"/>
    <w:uiPriority w:val="99"/>
    <w:semiHidden/>
    <w:unhideWhenUsed/>
    <w:rsid w:val="009D0D6B"/>
    <w:rPr>
      <w:color w:val="605E5C"/>
      <w:shd w:val="clear" w:color="auto" w:fill="E1DFDD"/>
    </w:rPr>
  </w:style>
  <w:style w:type="paragraph" w:styleId="Subtitle">
    <w:name w:val="Subtitle"/>
    <w:basedOn w:val="Normal"/>
    <w:next w:val="Normal"/>
    <w:link w:val="SubtitleChar"/>
    <w:uiPriority w:val="11"/>
    <w:qFormat/>
    <w:pPr>
      <w:keepNext/>
      <w:keepLines/>
      <w:spacing w:before="360" w:after="80"/>
    </w:pPr>
    <w:rPr>
      <w:rFonts w:ascii="Georgia" w:eastAsia="Georgia" w:hAnsi="Georgia" w:cs="Georgia"/>
      <w:i/>
      <w:color w:val="666666"/>
      <w:sz w:val="48"/>
      <w:szCs w:val="48"/>
    </w:r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CellMar>
        <w:left w:w="115" w:type="dxa"/>
        <w:right w:w="115" w:type="dxa"/>
      </w:tblCellMar>
    </w:tblPr>
  </w:style>
  <w:style w:type="table" w:customStyle="1" w:styleId="afa">
    <w:basedOn w:val="TableNormal"/>
    <w:tblPr>
      <w:tblStyleRowBandSize w:val="1"/>
      <w:tblStyleColBandSize w:val="1"/>
      <w:tblCellMar>
        <w:top w:w="15" w:type="dxa"/>
        <w:left w:w="15" w:type="dxa"/>
        <w:bottom w:w="15" w:type="dxa"/>
        <w:right w:w="15" w:type="dxa"/>
      </w:tblCellMar>
    </w:tblPr>
  </w:style>
  <w:style w:type="table" w:customStyle="1" w:styleId="afb">
    <w:basedOn w:val="TableNormal"/>
    <w:tblPr>
      <w:tblStyleRowBandSize w:val="1"/>
      <w:tblStyleColBandSize w:val="1"/>
      <w:tblCellMar>
        <w:left w:w="115" w:type="dxa"/>
        <w:right w:w="115" w:type="dxa"/>
      </w:tblCellMar>
    </w:tblPr>
  </w:style>
  <w:style w:type="table" w:customStyle="1" w:styleId="afc">
    <w:basedOn w:val="TableNormal"/>
    <w:tblPr>
      <w:tblStyleRowBandSize w:val="1"/>
      <w:tblStyleColBandSize w:val="1"/>
      <w:tblCellMar>
        <w:left w:w="115" w:type="dxa"/>
        <w:right w:w="115" w:type="dxa"/>
      </w:tblCellMar>
    </w:tblPr>
  </w:style>
  <w:style w:type="table" w:customStyle="1" w:styleId="afd">
    <w:basedOn w:val="TableNormal"/>
    <w:tblPr>
      <w:tblStyleRowBandSize w:val="1"/>
      <w:tblStyleColBandSize w:val="1"/>
      <w:tblCellMar>
        <w:left w:w="115" w:type="dxa"/>
        <w:right w:w="115" w:type="dxa"/>
      </w:tblCellMar>
    </w:tblPr>
  </w:style>
  <w:style w:type="table" w:customStyle="1" w:styleId="afe">
    <w:basedOn w:val="TableNormal"/>
    <w:tblPr>
      <w:tblStyleRowBandSize w:val="1"/>
      <w:tblStyleColBandSize w:val="1"/>
      <w:tblCellMar>
        <w:left w:w="115" w:type="dxa"/>
        <w:right w:w="115" w:type="dxa"/>
      </w:tblCellMar>
    </w:tblPr>
  </w:style>
  <w:style w:type="table" w:customStyle="1" w:styleId="aff">
    <w:basedOn w:val="TableNormal"/>
    <w:tblPr>
      <w:tblStyleRowBandSize w:val="1"/>
      <w:tblStyleColBandSize w:val="1"/>
      <w:tblCellMar>
        <w:left w:w="115" w:type="dxa"/>
        <w:right w:w="115" w:type="dxa"/>
      </w:tblCellMar>
    </w:tblPr>
  </w:style>
  <w:style w:type="table" w:customStyle="1" w:styleId="aff0">
    <w:basedOn w:val="TableNormal"/>
    <w:tblPr>
      <w:tblStyleRowBandSize w:val="1"/>
      <w:tblStyleColBandSize w:val="1"/>
      <w:tblCellMar>
        <w:top w:w="15" w:type="dxa"/>
        <w:left w:w="15" w:type="dxa"/>
        <w:bottom w:w="15" w:type="dxa"/>
        <w:right w:w="15" w:type="dxa"/>
      </w:tblCellMar>
    </w:tblPr>
  </w:style>
  <w:style w:type="table" w:customStyle="1" w:styleId="aff1">
    <w:basedOn w:val="TableNormal"/>
    <w:tblPr>
      <w:tblStyleRowBandSize w:val="1"/>
      <w:tblStyleColBandSize w:val="1"/>
      <w:tblCellMar>
        <w:left w:w="115" w:type="dxa"/>
        <w:right w:w="115" w:type="dxa"/>
      </w:tblCellMar>
    </w:tblPr>
  </w:style>
  <w:style w:type="table" w:customStyle="1" w:styleId="aff2">
    <w:basedOn w:val="TableNormal"/>
    <w:tblPr>
      <w:tblStyleRowBandSize w:val="1"/>
      <w:tblStyleColBandSize w:val="1"/>
      <w:tblCellMar>
        <w:left w:w="115" w:type="dxa"/>
        <w:right w:w="115" w:type="dxa"/>
      </w:tblCellMar>
    </w:tblPr>
  </w:style>
  <w:style w:type="table" w:customStyle="1" w:styleId="aff3">
    <w:basedOn w:val="TableNormal"/>
    <w:tblPr>
      <w:tblStyleRowBandSize w:val="1"/>
      <w:tblStyleColBandSize w:val="1"/>
      <w:tblCellMar>
        <w:left w:w="115" w:type="dxa"/>
        <w:right w:w="115" w:type="dxa"/>
      </w:tblCellMar>
    </w:tblPr>
  </w:style>
  <w:style w:type="table" w:customStyle="1" w:styleId="aff4">
    <w:basedOn w:val="TableNormal"/>
    <w:tblPr>
      <w:tblStyleRowBandSize w:val="1"/>
      <w:tblStyleColBandSize w:val="1"/>
      <w:tblCellMar>
        <w:top w:w="115" w:type="dxa"/>
        <w:left w:w="115" w:type="dxa"/>
        <w:bottom w:w="115" w:type="dxa"/>
        <w:right w:w="115" w:type="dxa"/>
      </w:tblCellMar>
    </w:tblPr>
  </w:style>
  <w:style w:type="table" w:customStyle="1" w:styleId="aff5">
    <w:basedOn w:val="TableNormal"/>
    <w:tblPr>
      <w:tblStyleRowBandSize w:val="1"/>
      <w:tblStyleColBandSize w:val="1"/>
      <w:tblCellMar>
        <w:top w:w="115" w:type="dxa"/>
        <w:left w:w="115" w:type="dxa"/>
        <w:bottom w:w="115" w:type="dxa"/>
        <w:right w:w="115" w:type="dxa"/>
      </w:tblCellMar>
    </w:tblPr>
  </w:style>
  <w:style w:type="table" w:customStyle="1" w:styleId="aff6">
    <w:basedOn w:val="TableNormal"/>
    <w:tblPr>
      <w:tblStyleRowBandSize w:val="1"/>
      <w:tblStyleColBandSize w:val="1"/>
      <w:tblCellMar>
        <w:top w:w="115" w:type="dxa"/>
        <w:left w:w="115" w:type="dxa"/>
        <w:bottom w:w="115" w:type="dxa"/>
        <w:right w:w="115" w:type="dxa"/>
      </w:tblCellMar>
    </w:tblPr>
  </w:style>
  <w:style w:type="paragraph" w:styleId="Caption">
    <w:name w:val="caption"/>
    <w:aliases w:val="char,Char,Table Caption Char,Table Caption,Table Caption + First line:  0 cm,Caption_ARGOSS,Titles,Char1 Char Char Char,Heading,Char Char Char + Tahoma,...,Captionzatri,Judul_tabel,Char Char2, Char Char Char,Table Caption ,Tabel dan Gambar,Tebel"/>
    <w:basedOn w:val="Normal"/>
    <w:next w:val="Normal"/>
    <w:link w:val="CaptionChar"/>
    <w:uiPriority w:val="35"/>
    <w:unhideWhenUsed/>
    <w:qFormat/>
    <w:rsid w:val="009858B7"/>
    <w:pPr>
      <w:spacing w:after="200"/>
    </w:pPr>
    <w:rPr>
      <w:rFonts w:asciiTheme="minorHAnsi" w:eastAsiaTheme="minorHAnsi" w:hAnsiTheme="minorHAnsi" w:cstheme="minorBidi"/>
      <w:i/>
      <w:iCs/>
      <w:color w:val="44546A" w:themeColor="text2"/>
      <w:kern w:val="2"/>
      <w:sz w:val="18"/>
      <w:szCs w:val="18"/>
      <w:lang w:val="en-US" w:eastAsia="en-US"/>
      <w14:ligatures w14:val="standardContextual"/>
    </w:rPr>
  </w:style>
  <w:style w:type="character" w:customStyle="1" w:styleId="ms-1">
    <w:name w:val="ms-1"/>
    <w:basedOn w:val="DefaultParagraphFont"/>
    <w:rsid w:val="0058534A"/>
  </w:style>
  <w:style w:type="character" w:customStyle="1" w:styleId="CaptionChar">
    <w:name w:val="Caption Char"/>
    <w:aliases w:val="char Char,Char Char,Table Caption Char Char,Table Caption Char1,Table Caption + First line:  0 cm Char,Caption_ARGOSS Char,Titles Char,Char1 Char Char Char Char,Heading Char,Char Char Char + Tahoma Char,... Char,Captionzatri Char,Tebel Char"/>
    <w:basedOn w:val="DefaultParagraphFont"/>
    <w:link w:val="Caption"/>
    <w:uiPriority w:val="35"/>
    <w:qFormat/>
    <w:locked/>
    <w:rsid w:val="0058534A"/>
    <w:rPr>
      <w:rFonts w:asciiTheme="minorHAnsi" w:eastAsiaTheme="minorHAnsi" w:hAnsiTheme="minorHAnsi" w:cstheme="minorBidi"/>
      <w:i/>
      <w:iCs/>
      <w:color w:val="44546A" w:themeColor="text2"/>
      <w:kern w:val="2"/>
      <w:sz w:val="18"/>
      <w:szCs w:val="18"/>
      <w:lang w:val="en-US" w:eastAsia="en-US"/>
      <w14:ligatures w14:val="standardContextual"/>
    </w:rPr>
  </w:style>
  <w:style w:type="table" w:styleId="GridTable1Light">
    <w:name w:val="Grid Table 1 Light"/>
    <w:basedOn w:val="TableNormal"/>
    <w:uiPriority w:val="46"/>
    <w:rsid w:val="007B1305"/>
    <w:rPr>
      <w:rFonts w:asciiTheme="minorHAnsi" w:eastAsiaTheme="minorHAnsi" w:hAnsiTheme="minorHAnsi" w:cstheme="minorBidi"/>
      <w:kern w:val="2"/>
      <w:lang w:val="en-US" w:eastAsia="en-US"/>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s-markdown-paragraph">
    <w:name w:val="ds-markdown-paragraph"/>
    <w:basedOn w:val="Normal"/>
    <w:rsid w:val="007B1305"/>
    <w:pPr>
      <w:spacing w:before="100" w:beforeAutospacing="1" w:after="100" w:afterAutospacing="1"/>
    </w:pPr>
    <w:rPr>
      <w:rFonts w:ascii="Times New Roman" w:eastAsia="Times New Roman" w:hAnsi="Times New Roman" w:cs="Times New Roman"/>
      <w:lang w:val="en-US" w:eastAsia="en-US"/>
    </w:rPr>
  </w:style>
  <w:style w:type="paragraph" w:styleId="TableofFigures">
    <w:name w:val="table of figures"/>
    <w:basedOn w:val="Normal"/>
    <w:next w:val="Normal"/>
    <w:uiPriority w:val="99"/>
    <w:unhideWhenUsed/>
    <w:rsid w:val="004846F4"/>
  </w:style>
  <w:style w:type="numbering" w:customStyle="1" w:styleId="CurrentList2">
    <w:name w:val="Current List2"/>
    <w:uiPriority w:val="99"/>
    <w:rsid w:val="00FD6872"/>
    <w:pPr>
      <w:numPr>
        <w:numId w:val="151"/>
      </w:numPr>
    </w:pPr>
  </w:style>
  <w:style w:type="paragraph" w:styleId="NoSpacing">
    <w:name w:val="No Spacing"/>
    <w:uiPriority w:val="1"/>
    <w:qFormat/>
    <w:rsid w:val="00FD6872"/>
  </w:style>
  <w:style w:type="character" w:customStyle="1" w:styleId="SubtitleChar1">
    <w:name w:val="Subtitle Char1"/>
    <w:basedOn w:val="DefaultParagraphFont"/>
    <w:uiPriority w:val="11"/>
    <w:rsid w:val="00BB5B57"/>
    <w:rPr>
      <w:rFonts w:asciiTheme="minorHAnsi" w:eastAsiaTheme="minorEastAsia" w:hAnsiTheme="minorHAnsi" w:cstheme="minorBidi"/>
      <w:color w:val="5A5A5A" w:themeColor="text1" w:themeTint="A5"/>
      <w:spacing w:val="15"/>
      <w:sz w:val="22"/>
      <w:szCs w:val="22"/>
    </w:rPr>
  </w:style>
  <w:style w:type="paragraph" w:customStyle="1" w:styleId="msonormal0">
    <w:name w:val="msonormal"/>
    <w:basedOn w:val="Normal"/>
    <w:rsid w:val="00BB5B57"/>
    <w:pPr>
      <w:spacing w:before="100" w:beforeAutospacing="1" w:after="100" w:afterAutospacing="1"/>
    </w:pPr>
    <w:rPr>
      <w:rFonts w:ascii="Times New Roman" w:eastAsia="Times New Roman" w:hAnsi="Times New Roman" w:cs="Times New Roman"/>
      <w:lang w:val="en-ID"/>
    </w:rPr>
  </w:style>
  <w:style w:type="paragraph" w:customStyle="1" w:styleId="xl65">
    <w:name w:val="xl65"/>
    <w:basedOn w:val="Normal"/>
    <w:rsid w:val="00BB5B57"/>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quot;Times New Roman&quot;" w:eastAsia="Times New Roman" w:hAnsi="&quot;Times New Roman&quot;" w:cs="Times New Roman"/>
      <w:lang w:val="en-ID"/>
    </w:rPr>
  </w:style>
  <w:style w:type="paragraph" w:customStyle="1" w:styleId="xl66">
    <w:name w:val="xl66"/>
    <w:basedOn w:val="Normal"/>
    <w:rsid w:val="00BB5B57"/>
    <w:pPr>
      <w:spacing w:before="100" w:beforeAutospacing="1" w:after="100" w:afterAutospacing="1"/>
      <w:jc w:val="center"/>
    </w:pPr>
    <w:rPr>
      <w:rFonts w:ascii="&quot;Times New Roman&quot;" w:eastAsia="Times New Roman" w:hAnsi="&quot;Times New Roman&quot;" w:cs="Times New Roman"/>
      <w:lang w:val="en-ID"/>
    </w:rPr>
  </w:style>
  <w:style w:type="paragraph" w:customStyle="1" w:styleId="xl67">
    <w:name w:val="xl67"/>
    <w:basedOn w:val="Normal"/>
    <w:rsid w:val="00BB5B57"/>
    <w:pPr>
      <w:spacing w:before="100" w:beforeAutospacing="1" w:after="100" w:afterAutospacing="1"/>
      <w:jc w:val="center"/>
    </w:pPr>
    <w:rPr>
      <w:rFonts w:ascii="Arial" w:eastAsia="Times New Roman" w:hAnsi="Arial" w:cs="Arial"/>
      <w:color w:val="000000"/>
      <w:lang w:val="en-ID"/>
    </w:rPr>
  </w:style>
  <w:style w:type="paragraph" w:customStyle="1" w:styleId="xl68">
    <w:name w:val="xl68"/>
    <w:basedOn w:val="Normal"/>
    <w:rsid w:val="00BB5B57"/>
    <w:pPr>
      <w:pBdr>
        <w:top w:val="single" w:sz="4" w:space="0" w:color="000000"/>
        <w:left w:val="single" w:sz="4" w:space="0" w:color="000000"/>
        <w:bottom w:val="single" w:sz="4" w:space="0" w:color="000000"/>
        <w:right w:val="single" w:sz="4" w:space="0" w:color="000000"/>
      </w:pBdr>
      <w:shd w:val="clear" w:color="000000" w:fill="D9E7FD"/>
      <w:spacing w:before="100" w:beforeAutospacing="1" w:after="100" w:afterAutospacing="1"/>
    </w:pPr>
    <w:rPr>
      <w:rFonts w:ascii="&quot;Times New Roman&quot;" w:eastAsia="Times New Roman" w:hAnsi="&quot;Times New Roman&quot;" w:cs="Times New Roman"/>
      <w:lang w:val="en-ID"/>
    </w:rPr>
  </w:style>
  <w:style w:type="paragraph" w:customStyle="1" w:styleId="xl69">
    <w:name w:val="xl69"/>
    <w:basedOn w:val="Normal"/>
    <w:rsid w:val="00BB5B57"/>
    <w:pPr>
      <w:pBdr>
        <w:top w:val="single" w:sz="4" w:space="0" w:color="000000"/>
        <w:left w:val="single" w:sz="4" w:space="0" w:color="000000"/>
        <w:bottom w:val="single" w:sz="4" w:space="0" w:color="000000"/>
        <w:right w:val="single" w:sz="4" w:space="0" w:color="000000"/>
      </w:pBdr>
      <w:shd w:val="clear" w:color="000000" w:fill="FBDAD7"/>
      <w:spacing w:before="100" w:beforeAutospacing="1" w:after="100" w:afterAutospacing="1"/>
    </w:pPr>
    <w:rPr>
      <w:rFonts w:ascii="&quot;Times New Roman&quot;" w:eastAsia="Times New Roman" w:hAnsi="&quot;Times New Roman&quot;" w:cs="Times New Roman"/>
      <w:lang w:val="en-ID"/>
    </w:rPr>
  </w:style>
  <w:style w:type="paragraph" w:customStyle="1" w:styleId="xl70">
    <w:name w:val="xl70"/>
    <w:basedOn w:val="Normal"/>
    <w:rsid w:val="00BB5B57"/>
    <w:pPr>
      <w:pBdr>
        <w:top w:val="single" w:sz="4" w:space="0" w:color="000000"/>
        <w:left w:val="single" w:sz="4" w:space="0" w:color="000000"/>
        <w:bottom w:val="single" w:sz="4" w:space="0" w:color="000000"/>
        <w:right w:val="single" w:sz="4" w:space="0" w:color="000000"/>
      </w:pBdr>
      <w:shd w:val="clear" w:color="000000" w:fill="FEF2CD"/>
      <w:spacing w:before="100" w:beforeAutospacing="1" w:after="100" w:afterAutospacing="1"/>
    </w:pPr>
    <w:rPr>
      <w:rFonts w:ascii="&quot;Times New Roman&quot;" w:eastAsia="Times New Roman" w:hAnsi="&quot;Times New Roman&quot;" w:cs="Times New Roman"/>
      <w:lang w:val="en-ID"/>
    </w:rPr>
  </w:style>
  <w:style w:type="paragraph" w:customStyle="1" w:styleId="xl71">
    <w:name w:val="xl71"/>
    <w:basedOn w:val="Normal"/>
    <w:rsid w:val="00BB5B57"/>
    <w:pPr>
      <w:pBdr>
        <w:top w:val="single" w:sz="4" w:space="0" w:color="000000"/>
        <w:left w:val="single" w:sz="4" w:space="0" w:color="000000"/>
        <w:bottom w:val="single" w:sz="4" w:space="0" w:color="000000"/>
        <w:right w:val="single" w:sz="4" w:space="0" w:color="000000"/>
      </w:pBdr>
      <w:shd w:val="clear" w:color="000000" w:fill="D1F1DA"/>
      <w:spacing w:before="100" w:beforeAutospacing="1" w:after="100" w:afterAutospacing="1"/>
    </w:pPr>
    <w:rPr>
      <w:rFonts w:ascii="&quot;Times New Roman&quot;" w:eastAsia="Times New Roman" w:hAnsi="&quot;Times New Roman&quot;" w:cs="Times New Roman"/>
      <w:lang w:val="en-ID"/>
    </w:rPr>
  </w:style>
  <w:style w:type="paragraph" w:customStyle="1" w:styleId="xl72">
    <w:name w:val="xl72"/>
    <w:basedOn w:val="Normal"/>
    <w:rsid w:val="00BB5B57"/>
    <w:pPr>
      <w:pBdr>
        <w:top w:val="single" w:sz="4" w:space="0" w:color="000000"/>
        <w:left w:val="single" w:sz="4" w:space="0" w:color="000000"/>
        <w:bottom w:val="single" w:sz="4" w:space="0" w:color="000000"/>
        <w:right w:val="single" w:sz="4" w:space="0" w:color="000000"/>
      </w:pBdr>
      <w:shd w:val="clear" w:color="000000" w:fill="FFE1CC"/>
      <w:spacing w:before="100" w:beforeAutospacing="1" w:after="100" w:afterAutospacing="1"/>
    </w:pPr>
    <w:rPr>
      <w:rFonts w:ascii="&quot;Times New Roman&quot;" w:eastAsia="Times New Roman" w:hAnsi="&quot;Times New Roman&quot;" w:cs="Times New Roman"/>
      <w:lang w:val="en-ID"/>
    </w:rPr>
  </w:style>
  <w:style w:type="paragraph" w:customStyle="1" w:styleId="xl73">
    <w:name w:val="xl73"/>
    <w:basedOn w:val="Normal"/>
    <w:rsid w:val="00BB5B57"/>
    <w:pPr>
      <w:pBdr>
        <w:top w:val="single" w:sz="4" w:space="0" w:color="000000"/>
        <w:left w:val="single" w:sz="4" w:space="0" w:color="000000"/>
        <w:bottom w:val="single" w:sz="4" w:space="0" w:color="000000"/>
        <w:right w:val="single" w:sz="4" w:space="0" w:color="000000"/>
      </w:pBdr>
      <w:shd w:val="clear" w:color="000000" w:fill="DAF1F3"/>
      <w:spacing w:before="100" w:beforeAutospacing="1" w:after="100" w:afterAutospacing="1"/>
    </w:pPr>
    <w:rPr>
      <w:rFonts w:ascii="&quot;Times New Roman&quot;" w:eastAsia="Times New Roman" w:hAnsi="&quot;Times New Roman&quot;" w:cs="Times New Roman"/>
      <w:lang w:val="en-ID"/>
    </w:rPr>
  </w:style>
  <w:style w:type="paragraph" w:customStyle="1" w:styleId="xl74">
    <w:name w:val="xl74"/>
    <w:basedOn w:val="Normal"/>
    <w:rsid w:val="00BB5B57"/>
    <w:pPr>
      <w:pBdr>
        <w:top w:val="single" w:sz="4" w:space="0" w:color="000000"/>
        <w:left w:val="single" w:sz="4" w:space="0" w:color="000000"/>
        <w:bottom w:val="single" w:sz="4" w:space="0" w:color="000000"/>
        <w:right w:val="single" w:sz="4" w:space="0" w:color="000000"/>
      </w:pBdr>
      <w:shd w:val="clear" w:color="000000" w:fill="FDE49B"/>
      <w:spacing w:before="100" w:beforeAutospacing="1" w:after="100" w:afterAutospacing="1"/>
    </w:pPr>
    <w:rPr>
      <w:rFonts w:ascii="&quot;Times New Roman&quot;" w:eastAsia="Times New Roman" w:hAnsi="&quot;Times New Roman&quot;" w:cs="Times New Roman"/>
      <w:lang w:val="en-ID"/>
    </w:rPr>
  </w:style>
  <w:style w:type="paragraph" w:customStyle="1" w:styleId="xl75">
    <w:name w:val="xl75"/>
    <w:basedOn w:val="Normal"/>
    <w:rsid w:val="00BB5B57"/>
    <w:pPr>
      <w:pBdr>
        <w:top w:val="single" w:sz="4" w:space="0" w:color="000000"/>
        <w:left w:val="single" w:sz="4" w:space="0" w:color="000000"/>
        <w:bottom w:val="single" w:sz="4" w:space="0" w:color="000000"/>
        <w:right w:val="single" w:sz="4" w:space="0" w:color="000000"/>
      </w:pBdr>
      <w:shd w:val="clear" w:color="000000" w:fill="34A853"/>
      <w:spacing w:before="100" w:beforeAutospacing="1" w:after="100" w:afterAutospacing="1"/>
      <w:jc w:val="center"/>
    </w:pPr>
    <w:rPr>
      <w:rFonts w:ascii="Arial" w:eastAsia="Times New Roman" w:hAnsi="Arial" w:cs="Arial"/>
      <w:b/>
      <w:bCs/>
      <w:color w:val="FFFFFF"/>
      <w:sz w:val="28"/>
      <w:szCs w:val="28"/>
      <w:lang w:val="en-ID"/>
    </w:rPr>
  </w:style>
  <w:style w:type="paragraph" w:customStyle="1" w:styleId="xl76">
    <w:name w:val="xl76"/>
    <w:basedOn w:val="Normal"/>
    <w:rsid w:val="00BB5B57"/>
    <w:pPr>
      <w:shd w:val="clear" w:color="000000" w:fill="FEF2CD"/>
      <w:spacing w:before="100" w:beforeAutospacing="1" w:after="100" w:afterAutospacing="1"/>
    </w:pPr>
    <w:rPr>
      <w:rFonts w:ascii="&quot;Times New Roman&quot;" w:eastAsia="Times New Roman" w:hAnsi="&quot;Times New Roman&quot;" w:cs="Times New Roman"/>
      <w:lang w:val="en-ID"/>
    </w:rPr>
  </w:style>
  <w:style w:type="paragraph" w:customStyle="1" w:styleId="xl77">
    <w:name w:val="xl77"/>
    <w:basedOn w:val="Normal"/>
    <w:rsid w:val="00BB5B57"/>
    <w:pPr>
      <w:shd w:val="clear" w:color="000000" w:fill="D9E7FD"/>
      <w:spacing w:before="100" w:beforeAutospacing="1" w:after="100" w:afterAutospacing="1"/>
    </w:pPr>
    <w:rPr>
      <w:rFonts w:ascii="&quot;Times New Roman&quot;" w:eastAsia="Times New Roman" w:hAnsi="&quot;Times New Roman&quot;" w:cs="Times New Roman"/>
      <w:lang w:val="en-ID"/>
    </w:rPr>
  </w:style>
  <w:style w:type="paragraph" w:customStyle="1" w:styleId="xl78">
    <w:name w:val="xl78"/>
    <w:basedOn w:val="Normal"/>
    <w:rsid w:val="00BB5B57"/>
    <w:pPr>
      <w:shd w:val="clear" w:color="000000" w:fill="FBDAD7"/>
      <w:spacing w:before="100" w:beforeAutospacing="1" w:after="100" w:afterAutospacing="1"/>
    </w:pPr>
    <w:rPr>
      <w:rFonts w:ascii="&quot;Times New Roman&quot;" w:eastAsia="Times New Roman" w:hAnsi="&quot;Times New Roman&quot;" w:cs="Times New Roman"/>
      <w:lang w:val="en-ID"/>
    </w:rPr>
  </w:style>
  <w:style w:type="paragraph" w:customStyle="1" w:styleId="xl79">
    <w:name w:val="xl79"/>
    <w:basedOn w:val="Normal"/>
    <w:rsid w:val="00BB5B57"/>
    <w:pPr>
      <w:shd w:val="clear" w:color="000000" w:fill="B5E3E8"/>
      <w:spacing w:before="100" w:beforeAutospacing="1" w:after="100" w:afterAutospacing="1"/>
    </w:pPr>
    <w:rPr>
      <w:rFonts w:ascii="&quot;Times New Roman&quot;" w:eastAsia="Times New Roman" w:hAnsi="&quot;Times New Roman&quot;" w:cs="Times New Roman"/>
      <w:lang w:val="en-ID"/>
    </w:rPr>
  </w:style>
  <w:style w:type="paragraph" w:customStyle="1" w:styleId="xl80">
    <w:name w:val="xl80"/>
    <w:basedOn w:val="Normal"/>
    <w:rsid w:val="00BB5B57"/>
    <w:pPr>
      <w:shd w:val="clear" w:color="000000" w:fill="46BDC6"/>
      <w:spacing w:before="100" w:beforeAutospacing="1" w:after="100" w:afterAutospacing="1"/>
    </w:pPr>
    <w:rPr>
      <w:rFonts w:ascii="&quot;Times New Roman&quot;" w:eastAsia="Times New Roman" w:hAnsi="&quot;Times New Roman&quot;" w:cs="Times New Roman"/>
      <w:lang w:val="en-ID"/>
    </w:rPr>
  </w:style>
  <w:style w:type="paragraph" w:customStyle="1" w:styleId="xl81">
    <w:name w:val="xl81"/>
    <w:basedOn w:val="Normal"/>
    <w:rsid w:val="00BB5B57"/>
    <w:pPr>
      <w:shd w:val="clear" w:color="000000" w:fill="FDD868"/>
      <w:spacing w:before="100" w:beforeAutospacing="1" w:after="100" w:afterAutospacing="1"/>
    </w:pPr>
    <w:rPr>
      <w:rFonts w:ascii="&quot;Times New Roman&quot;" w:eastAsia="Times New Roman" w:hAnsi="&quot;Times New Roman&quot;" w:cs="Times New Roman"/>
      <w:lang w:val="en-ID"/>
    </w:rPr>
  </w:style>
  <w:style w:type="paragraph" w:customStyle="1" w:styleId="xl82">
    <w:name w:val="xl82"/>
    <w:basedOn w:val="Normal"/>
    <w:rsid w:val="00BB5B57"/>
    <w:pPr>
      <w:shd w:val="clear" w:color="000000" w:fill="7AD694"/>
      <w:spacing w:before="100" w:beforeAutospacing="1" w:after="100" w:afterAutospacing="1"/>
    </w:pPr>
    <w:rPr>
      <w:rFonts w:ascii="&quot;Times New Roman&quot;" w:eastAsia="Times New Roman" w:hAnsi="&quot;Times New Roman&quot;" w:cs="Times New Roman"/>
      <w:lang w:val="en-ID"/>
    </w:rPr>
  </w:style>
  <w:style w:type="paragraph" w:customStyle="1" w:styleId="xl83">
    <w:name w:val="xl83"/>
    <w:basedOn w:val="Normal"/>
    <w:rsid w:val="00BB5B57"/>
    <w:pPr>
      <w:shd w:val="clear" w:color="000000" w:fill="B3CEFB"/>
      <w:spacing w:before="100" w:beforeAutospacing="1" w:after="100" w:afterAutospacing="1"/>
    </w:pPr>
    <w:rPr>
      <w:rFonts w:ascii="&quot;Times New Roman&quot;" w:eastAsia="Times New Roman" w:hAnsi="&quot;Times New Roman&quot;" w:cs="Times New Roman"/>
      <w:lang w:val="en-ID"/>
    </w:rPr>
  </w:style>
  <w:style w:type="paragraph" w:customStyle="1" w:styleId="xl84">
    <w:name w:val="xl84"/>
    <w:basedOn w:val="Normal"/>
    <w:rsid w:val="00BB5B57"/>
    <w:pPr>
      <w:shd w:val="clear" w:color="000000" w:fill="FDE49B"/>
      <w:spacing w:before="100" w:beforeAutospacing="1" w:after="100" w:afterAutospacing="1"/>
    </w:pPr>
    <w:rPr>
      <w:rFonts w:ascii="&quot;Times New Roman&quot;" w:eastAsia="Times New Roman" w:hAnsi="&quot;Times New Roman&quot;" w:cs="Times New Roman"/>
      <w:lang w:val="en-ID"/>
    </w:rPr>
  </w:style>
  <w:style w:type="paragraph" w:customStyle="1" w:styleId="xl85">
    <w:name w:val="xl85"/>
    <w:basedOn w:val="Normal"/>
    <w:rsid w:val="00BB5B57"/>
    <w:pPr>
      <w:shd w:val="clear" w:color="000000" w:fill="F7B4AE"/>
      <w:spacing w:before="100" w:beforeAutospacing="1" w:after="100" w:afterAutospacing="1"/>
    </w:pPr>
    <w:rPr>
      <w:rFonts w:ascii="&quot;Times New Roman&quot;" w:eastAsia="Times New Roman" w:hAnsi="&quot;Times New Roman&quot;" w:cs="Times New Roman"/>
      <w:lang w:val="en-ID"/>
    </w:rPr>
  </w:style>
  <w:style w:type="paragraph" w:customStyle="1" w:styleId="xl63">
    <w:name w:val="xl63"/>
    <w:basedOn w:val="Normal"/>
    <w:rsid w:val="00E30AFB"/>
    <w:pPr>
      <w:pBdr>
        <w:top w:val="single" w:sz="4" w:space="0" w:color="auto"/>
        <w:left w:val="single" w:sz="4" w:space="0" w:color="auto"/>
        <w:bottom w:val="single" w:sz="4" w:space="0" w:color="auto"/>
        <w:right w:val="single" w:sz="4" w:space="0" w:color="auto"/>
      </w:pBdr>
      <w:shd w:val="clear" w:color="000000" w:fill="34A853"/>
      <w:spacing w:before="100" w:beforeAutospacing="1" w:after="100" w:afterAutospacing="1"/>
      <w:jc w:val="center"/>
    </w:pPr>
    <w:rPr>
      <w:rFonts w:ascii="Arial" w:eastAsia="Times New Roman" w:hAnsi="Arial" w:cs="Arial"/>
      <w:b/>
      <w:bCs/>
      <w:color w:val="FFFFFF"/>
      <w:sz w:val="28"/>
      <w:szCs w:val="28"/>
      <w:lang w:val="en-US" w:eastAsia="en-US"/>
    </w:rPr>
  </w:style>
  <w:style w:type="paragraph" w:customStyle="1" w:styleId="xl64">
    <w:name w:val="xl64"/>
    <w:basedOn w:val="Normal"/>
    <w:rsid w:val="00E30AFB"/>
    <w:pPr>
      <w:pBdr>
        <w:top w:val="single" w:sz="4" w:space="0" w:color="auto"/>
        <w:left w:val="single" w:sz="4" w:space="0" w:color="auto"/>
        <w:bottom w:val="single" w:sz="4" w:space="0" w:color="auto"/>
        <w:right w:val="single" w:sz="4" w:space="0" w:color="auto"/>
      </w:pBdr>
      <w:shd w:val="clear" w:color="000000" w:fill="D9E7FD"/>
      <w:spacing w:before="100" w:beforeAutospacing="1" w:after="100" w:afterAutospacing="1"/>
    </w:pPr>
    <w:rPr>
      <w:rFonts w:ascii="&quot;Times New Roman&quot;" w:eastAsia="Times New Roman" w:hAnsi="&quot;Times New Roman&quot;"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hyperlink" Target="https://pelita.kemendagri.go.id/kemendagri/dataset/1490/tabel-data%20acessed%2008-13-2025" TargetMode="External"/><Relationship Id="rId21" Type="http://schemas.openxmlformats.org/officeDocument/2006/relationships/image" Target="media/image12.png"/><Relationship Id="rId42" Type="http://schemas.openxmlformats.org/officeDocument/2006/relationships/hyperlink" Target="https://doi.org/10.1016/j.oneear.2019.08.003" TargetMode="External"/><Relationship Id="rId63" Type="http://schemas.openxmlformats.org/officeDocument/2006/relationships/chart" Target="charts/chart4.xml"/><Relationship Id="rId84" Type="http://schemas.openxmlformats.org/officeDocument/2006/relationships/hyperlink" Target="https://doi.org/10.1038/s41598-021-84434-z" TargetMode="External"/><Relationship Id="rId138" Type="http://schemas.openxmlformats.org/officeDocument/2006/relationships/header" Target="header2.xml"/><Relationship Id="rId107" Type="http://schemas.openxmlformats.org/officeDocument/2006/relationships/hyperlink" Target="https://doi.org/10.3389/fmars.2020.00309" TargetMode="External"/><Relationship Id="rId11" Type="http://schemas.openxmlformats.org/officeDocument/2006/relationships/image" Target="media/image3.png"/><Relationship Id="rId32" Type="http://schemas.openxmlformats.org/officeDocument/2006/relationships/image" Target="media/image23.png"/><Relationship Id="rId37" Type="http://schemas.openxmlformats.org/officeDocument/2006/relationships/image" Target="media/image27.png"/><Relationship Id="rId53" Type="http://schemas.openxmlformats.org/officeDocument/2006/relationships/image" Target="media/image30.emf"/><Relationship Id="rId58" Type="http://schemas.openxmlformats.org/officeDocument/2006/relationships/hyperlink" Target="https://doi.org/10.14710/jmr.v12i3.36274" TargetMode="External"/><Relationship Id="rId74" Type="http://schemas.openxmlformats.org/officeDocument/2006/relationships/image" Target="media/image41.png"/><Relationship Id="rId79" Type="http://schemas.openxmlformats.org/officeDocument/2006/relationships/hyperlink" Target="https://10.3390/su6117945" TargetMode="External"/><Relationship Id="rId102" Type="http://schemas.openxmlformats.org/officeDocument/2006/relationships/hyperlink" Target="https://doi.org/10.2989/18142320409504063" TargetMode="External"/><Relationship Id="rId123" Type="http://schemas.openxmlformats.org/officeDocument/2006/relationships/image" Target="media/image53.jpeg"/><Relationship Id="rId128" Type="http://schemas.openxmlformats.org/officeDocument/2006/relationships/footer" Target="footer1.xml"/><Relationship Id="rId5" Type="http://schemas.openxmlformats.org/officeDocument/2006/relationships/settings" Target="settings.xml"/><Relationship Id="rId90" Type="http://schemas.openxmlformats.org/officeDocument/2006/relationships/chart" Target="charts/chart12.xml"/><Relationship Id="rId95" Type="http://schemas.openxmlformats.org/officeDocument/2006/relationships/chart" Target="charts/chart17.xm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hyperlink" Target="https://doi.org/10.5751/ES-08748-210341" TargetMode="External"/><Relationship Id="rId48" Type="http://schemas.openxmlformats.org/officeDocument/2006/relationships/hyperlink" Target="https://doi.org/10.3390/su12125086" TargetMode="External"/><Relationship Id="rId64" Type="http://schemas.openxmlformats.org/officeDocument/2006/relationships/chart" Target="charts/chart5.xml"/><Relationship Id="rId69" Type="http://schemas.openxmlformats.org/officeDocument/2006/relationships/image" Target="media/image36.emf"/><Relationship Id="rId113" Type="http://schemas.openxmlformats.org/officeDocument/2006/relationships/chart" Target="charts/chart19.xml"/><Relationship Id="rId118" Type="http://schemas.openxmlformats.org/officeDocument/2006/relationships/image" Target="media/image48.jpeg"/><Relationship Id="rId134" Type="http://schemas.openxmlformats.org/officeDocument/2006/relationships/image" Target="media/image61.png"/><Relationship Id="rId139" Type="http://schemas.openxmlformats.org/officeDocument/2006/relationships/footer" Target="footer3.xml"/><Relationship Id="rId80" Type="http://schemas.openxmlformats.org/officeDocument/2006/relationships/hyperlink" Target="https://doi.org/10.54755/defendonesia.v7i1.128" TargetMode="External"/><Relationship Id="rId85" Type="http://schemas.openxmlformats.org/officeDocument/2006/relationships/hyperlink" Target="https://arxiv.org/abs/2112.11252" TargetMode="External"/><Relationship Id="rId12" Type="http://schemas.openxmlformats.org/officeDocument/2006/relationships/image" Target="media/image4.png"/><Relationship Id="rId17" Type="http://schemas.openxmlformats.org/officeDocument/2006/relationships/image" Target="media/image8.jpeg"/><Relationship Id="rId33" Type="http://schemas.openxmlformats.org/officeDocument/2006/relationships/chart" Target="charts/chart1.xml"/><Relationship Id="rId38" Type="http://schemas.openxmlformats.org/officeDocument/2006/relationships/image" Target="media/image28.png"/><Relationship Id="rId59" Type="http://schemas.openxmlformats.org/officeDocument/2006/relationships/hyperlink" Target="https://www.mongabay.co.id" TargetMode="External"/><Relationship Id="rId103" Type="http://schemas.openxmlformats.org/officeDocument/2006/relationships/hyperlink" Target="https://doi.org/10.1038/s41598-024-59569-4" TargetMode="External"/><Relationship Id="rId108" Type="http://schemas.openxmlformats.org/officeDocument/2006/relationships/hyperlink" Target="https://doi.org/10.1016/j.ecolind.2024.112257" TargetMode="External"/><Relationship Id="rId124" Type="http://schemas.openxmlformats.org/officeDocument/2006/relationships/image" Target="media/image54.jpeg"/><Relationship Id="rId129" Type="http://schemas.openxmlformats.org/officeDocument/2006/relationships/footer" Target="footer2.xml"/><Relationship Id="rId54" Type="http://schemas.openxmlformats.org/officeDocument/2006/relationships/image" Target="media/image31.png"/><Relationship Id="rId70" Type="http://schemas.openxmlformats.org/officeDocument/2006/relationships/image" Target="media/image37.emf"/><Relationship Id="rId75" Type="http://schemas.openxmlformats.org/officeDocument/2006/relationships/hyperlink" Target="https://doi.org/10.33331/ilj.v13i1.15" TargetMode="External"/><Relationship Id="rId91" Type="http://schemas.openxmlformats.org/officeDocument/2006/relationships/chart" Target="charts/chart13.xml"/><Relationship Id="rId96" Type="http://schemas.openxmlformats.org/officeDocument/2006/relationships/image" Target="media/image43.png"/><Relationship Id="rId14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4.png"/><Relationship Id="rId28" Type="http://schemas.openxmlformats.org/officeDocument/2006/relationships/image" Target="media/image19.png"/><Relationship Id="rId49" Type="http://schemas.openxmlformats.org/officeDocument/2006/relationships/hyperlink" Target="https://doi.org/10.22146/ijg.65432" TargetMode="External"/><Relationship Id="rId114" Type="http://schemas.openxmlformats.org/officeDocument/2006/relationships/image" Target="media/image46.png"/><Relationship Id="rId119" Type="http://schemas.openxmlformats.org/officeDocument/2006/relationships/image" Target="media/image49.jpeg"/><Relationship Id="rId44" Type="http://schemas.openxmlformats.org/officeDocument/2006/relationships/hyperlink" Target="https://doi.org/10.1007/s10784-016-9323-z" TargetMode="External"/><Relationship Id="rId60" Type="http://schemas.openxmlformats.org/officeDocument/2006/relationships/image" Target="media/image35.png"/><Relationship Id="rId65" Type="http://schemas.openxmlformats.org/officeDocument/2006/relationships/chart" Target="charts/chart6.xml"/><Relationship Id="rId81" Type="http://schemas.openxmlformats.org/officeDocument/2006/relationships/hyperlink" Target="https://mongabay.co.id/2024/03/27/minyak-hitam-kembali-cemari-laut-bintan-bagaimana-solusinya/" TargetMode="External"/><Relationship Id="rId86" Type="http://schemas.openxmlformats.org/officeDocument/2006/relationships/hyperlink" Target="about:blank" TargetMode="External"/><Relationship Id="rId130" Type="http://schemas.openxmlformats.org/officeDocument/2006/relationships/image" Target="media/image57.png"/><Relationship Id="rId135" Type="http://schemas.openxmlformats.org/officeDocument/2006/relationships/hyperlink" Target="https://www.ceicdata.com/en/indicator/indonesia/unemployment-rate" TargetMode="External"/><Relationship Id="rId13" Type="http://schemas.openxmlformats.org/officeDocument/2006/relationships/image" Target="media/image5.png"/><Relationship Id="rId18" Type="http://schemas.openxmlformats.org/officeDocument/2006/relationships/image" Target="media/image9.jpeg"/><Relationship Id="rId39" Type="http://schemas.openxmlformats.org/officeDocument/2006/relationships/image" Target="media/image29.png"/><Relationship Id="rId109" Type="http://schemas.openxmlformats.org/officeDocument/2006/relationships/hyperlink" Target="https://doi.org/10.1126/sciadv.aau3855" TargetMode="External"/><Relationship Id="rId34" Type="http://schemas.openxmlformats.org/officeDocument/2006/relationships/image" Target="media/image24.png"/><Relationship Id="rId50" Type="http://schemas.openxmlformats.org/officeDocument/2006/relationships/hyperlink" Target="http://dx.doi.org/10.1007/978-94-007-4001-3_213" TargetMode="External"/><Relationship Id="rId55" Type="http://schemas.openxmlformats.org/officeDocument/2006/relationships/image" Target="media/image32.png"/><Relationship Id="rId76" Type="http://schemas.openxmlformats.org/officeDocument/2006/relationships/hyperlink" Target="https://doi.org/10.1155/2016/1876046" TargetMode="External"/><Relationship Id="rId97" Type="http://schemas.openxmlformats.org/officeDocument/2006/relationships/chart" Target="charts/chart18.xml"/><Relationship Id="rId104" Type="http://schemas.openxmlformats.org/officeDocument/2006/relationships/hyperlink" Target="https://doi.org/10.1002/mcf2.210235" TargetMode="External"/><Relationship Id="rId120" Type="http://schemas.openxmlformats.org/officeDocument/2006/relationships/image" Target="media/image50.jpeg"/><Relationship Id="rId125" Type="http://schemas.openxmlformats.org/officeDocument/2006/relationships/image" Target="media/image55.png"/><Relationship Id="rId141"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8.emf"/><Relationship Id="rId92" Type="http://schemas.openxmlformats.org/officeDocument/2006/relationships/chart" Target="charts/chart14.xml"/><Relationship Id="rId2" Type="http://schemas.openxmlformats.org/officeDocument/2006/relationships/customXml" Target="../customXml/item2.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hyperlink" Target="https://doi.org/10.1016/j.marpol.2019.103671" TargetMode="External"/><Relationship Id="rId45" Type="http://schemas.openxmlformats.org/officeDocument/2006/relationships/hyperlink" Target="https://doi.org/10.1016/j.exis.2022.101055" TargetMode="External"/><Relationship Id="rId66" Type="http://schemas.openxmlformats.org/officeDocument/2006/relationships/chart" Target="charts/chart7.xml"/><Relationship Id="rId87" Type="http://schemas.openxmlformats.org/officeDocument/2006/relationships/image" Target="media/image42.jpeg"/><Relationship Id="rId110" Type="http://schemas.openxmlformats.org/officeDocument/2006/relationships/hyperlink" Target="https://doi.org/10.1175/JCLI-D-15-0338.1" TargetMode="External"/><Relationship Id="rId115" Type="http://schemas.openxmlformats.org/officeDocument/2006/relationships/image" Target="media/image47.png"/><Relationship Id="rId131" Type="http://schemas.openxmlformats.org/officeDocument/2006/relationships/image" Target="media/image58.png"/><Relationship Id="rId136" Type="http://schemas.openxmlformats.org/officeDocument/2006/relationships/image" Target="media/image62.png"/><Relationship Id="rId61" Type="http://schemas.openxmlformats.org/officeDocument/2006/relationships/chart" Target="charts/chart2.xml"/><Relationship Id="rId82" Type="http://schemas.openxmlformats.org/officeDocument/2006/relationships/hyperlink" Target="https://doi.org/10.1016/j.marpolbul.2018.11.005" TargetMode="External"/><Relationship Id="rId19" Type="http://schemas.openxmlformats.org/officeDocument/2006/relationships/image" Target="media/image10.jpeg"/><Relationship Id="rId14" Type="http://schemas.openxmlformats.org/officeDocument/2006/relationships/image" Target="media/image6.png"/><Relationship Id="rId30" Type="http://schemas.openxmlformats.org/officeDocument/2006/relationships/image" Target="media/image21.png"/><Relationship Id="rId35" Type="http://schemas.openxmlformats.org/officeDocument/2006/relationships/image" Target="media/image25.png"/><Relationship Id="rId56" Type="http://schemas.openxmlformats.org/officeDocument/2006/relationships/image" Target="media/image33.png"/><Relationship Id="rId77" Type="http://schemas.openxmlformats.org/officeDocument/2006/relationships/hyperlink" Target="https://doi.org/10.1163/15718085-12341433" TargetMode="External"/><Relationship Id="rId100" Type="http://schemas.openxmlformats.org/officeDocument/2006/relationships/hyperlink" Target="https://www.aoml.noaa.gov/phod/docs/jcli-d-15-0338.1.pdf?utm_source=chatgpt.com" TargetMode="External"/><Relationship Id="rId105" Type="http://schemas.openxmlformats.org/officeDocument/2006/relationships/hyperlink" Target="https://doi.org/10.1002/ecs2.1362" TargetMode="External"/><Relationship Id="rId126" Type="http://schemas.openxmlformats.org/officeDocument/2006/relationships/image" Target="media/image56.emf"/><Relationship Id="rId8" Type="http://schemas.openxmlformats.org/officeDocument/2006/relationships/endnotes" Target="endnotes.xml"/><Relationship Id="rId51" Type="http://schemas.openxmlformats.org/officeDocument/2006/relationships/hyperlink" Target="https://doi.org/10.56083/jpd.v10i2.534" TargetMode="External"/><Relationship Id="rId72" Type="http://schemas.openxmlformats.org/officeDocument/2006/relationships/image" Target="media/image39.emf"/><Relationship Id="rId93" Type="http://schemas.openxmlformats.org/officeDocument/2006/relationships/chart" Target="charts/chart15.xml"/><Relationship Id="rId98" Type="http://schemas.openxmlformats.org/officeDocument/2006/relationships/image" Target="media/image44.png"/><Relationship Id="rId121" Type="http://schemas.openxmlformats.org/officeDocument/2006/relationships/image" Target="media/image51.jpeg"/><Relationship Id="rId142" Type="http://schemas.openxmlformats.org/officeDocument/2006/relationships/theme" Target="theme/theme1.xml"/><Relationship Id="rId3" Type="http://schemas.openxmlformats.org/officeDocument/2006/relationships/numbering" Target="numbering.xml"/><Relationship Id="rId25" Type="http://schemas.openxmlformats.org/officeDocument/2006/relationships/image" Target="media/image16.png"/><Relationship Id="rId46" Type="http://schemas.openxmlformats.org/officeDocument/2006/relationships/hyperlink" Target="https://doi.org/10.1371/journal.pone.0118571" TargetMode="External"/><Relationship Id="rId67" Type="http://schemas.openxmlformats.org/officeDocument/2006/relationships/chart" Target="charts/chart8.xml"/><Relationship Id="rId116" Type="http://schemas.openxmlformats.org/officeDocument/2006/relationships/hyperlink" Target="https://bkpm.go.id/id/info/realisasi-investasi" TargetMode="External"/><Relationship Id="rId137" Type="http://schemas.openxmlformats.org/officeDocument/2006/relationships/hyperlink" Target="https://pelita.kemendagri.go.id/kemendagri/dataset/1490/tabel-data" TargetMode="External"/><Relationship Id="rId20" Type="http://schemas.openxmlformats.org/officeDocument/2006/relationships/image" Target="media/image11.png"/><Relationship Id="rId41" Type="http://schemas.openxmlformats.org/officeDocument/2006/relationships/hyperlink" Target="https://doi.org/10.14710/pwk.v17i3.31516" TargetMode="External"/><Relationship Id="rId62" Type="http://schemas.openxmlformats.org/officeDocument/2006/relationships/chart" Target="charts/chart3.xml"/><Relationship Id="rId83" Type="http://schemas.openxmlformats.org/officeDocument/2006/relationships/hyperlink" Target="about:blank" TargetMode="External"/><Relationship Id="rId88" Type="http://schemas.openxmlformats.org/officeDocument/2006/relationships/chart" Target="charts/chart10.xml"/><Relationship Id="rId111" Type="http://schemas.openxmlformats.org/officeDocument/2006/relationships/hyperlink" Target="https://doi.org/10.3389/fmars.2023.1168486" TargetMode="External"/><Relationship Id="rId132" Type="http://schemas.openxmlformats.org/officeDocument/2006/relationships/image" Target="media/image59.png"/><Relationship Id="rId15" Type="http://schemas.openxmlformats.org/officeDocument/2006/relationships/hyperlink" Target="https://fisheries-refugia.org/" TargetMode="External"/><Relationship Id="rId36" Type="http://schemas.openxmlformats.org/officeDocument/2006/relationships/image" Target="media/image26.png"/><Relationship Id="rId57" Type="http://schemas.openxmlformats.org/officeDocument/2006/relationships/image" Target="media/image34.png"/><Relationship Id="rId106" Type="http://schemas.openxmlformats.org/officeDocument/2006/relationships/hyperlink" Target="https://doi.org/10.1093/icesjms/fsz058" TargetMode="External"/><Relationship Id="rId127" Type="http://schemas.openxmlformats.org/officeDocument/2006/relationships/header" Target="header1.xml"/><Relationship Id="rId10" Type="http://schemas.openxmlformats.org/officeDocument/2006/relationships/image" Target="media/image2.png"/><Relationship Id="rId31" Type="http://schemas.openxmlformats.org/officeDocument/2006/relationships/image" Target="media/image22.png"/><Relationship Id="rId52" Type="http://schemas.openxmlformats.org/officeDocument/2006/relationships/hyperlink" Target="https://www.indonesia-tourism.com/index.php" TargetMode="External"/><Relationship Id="rId73" Type="http://schemas.openxmlformats.org/officeDocument/2006/relationships/image" Target="media/image40.png"/><Relationship Id="rId78" Type="http://schemas.openxmlformats.org/officeDocument/2006/relationships/hyperlink" Target="https://doi.org/10.1016/j.jhazmat.2024.136762" TargetMode="External"/><Relationship Id="rId94" Type="http://schemas.openxmlformats.org/officeDocument/2006/relationships/chart" Target="charts/chart16.xml"/><Relationship Id="rId99" Type="http://schemas.openxmlformats.org/officeDocument/2006/relationships/hyperlink" Target="https://fisheries.org/docs/books/55060C/2.pdf?utm_source=chatgpt.com" TargetMode="External"/><Relationship Id="rId101" Type="http://schemas.openxmlformats.org/officeDocument/2006/relationships/hyperlink" Target="https://doi.org/10.1126/science.aag2331" TargetMode="External"/><Relationship Id="rId122" Type="http://schemas.openxmlformats.org/officeDocument/2006/relationships/image" Target="media/image52.jpeg"/><Relationship Id="rId4" Type="http://schemas.openxmlformats.org/officeDocument/2006/relationships/styles" Target="styles.xml"/><Relationship Id="rId9" Type="http://schemas.openxmlformats.org/officeDocument/2006/relationships/image" Target="media/image1.jpg"/><Relationship Id="rId26" Type="http://schemas.openxmlformats.org/officeDocument/2006/relationships/image" Target="media/image17.png"/><Relationship Id="rId47" Type="http://schemas.openxmlformats.org/officeDocument/2006/relationships/hyperlink" Target="https://doi.org/10.1080/09645292.2018.1484426" TargetMode="External"/><Relationship Id="rId68" Type="http://schemas.openxmlformats.org/officeDocument/2006/relationships/chart" Target="charts/chart9.xml"/><Relationship Id="rId89" Type="http://schemas.openxmlformats.org/officeDocument/2006/relationships/chart" Target="charts/chart11.xml"/><Relationship Id="rId112" Type="http://schemas.openxmlformats.org/officeDocument/2006/relationships/image" Target="media/image45.jpeg"/><Relationship Id="rId133" Type="http://schemas.openxmlformats.org/officeDocument/2006/relationships/image" Target="media/image60.png"/><Relationship Id="rId16" Type="http://schemas.openxmlformats.org/officeDocument/2006/relationships/image" Target="media/image7.jpe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29" Type="http://schemas.openxmlformats.org/officeDocument/2006/relationships/font" Target="fonts/font29.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28" Type="http://schemas.openxmlformats.org/officeDocument/2006/relationships/font" Target="fonts/font28.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 Id="rId27" Type="http://schemas.openxmlformats.org/officeDocument/2006/relationships/font" Target="fonts/font27.odttf"/><Relationship Id="rId30" Type="http://schemas.openxmlformats.org/officeDocument/2006/relationships/font" Target="fonts/font30.odttf"/></Relationships>
</file>

<file path=word/charts/_rels/chart1.xml.rels><?xml version="1.0" encoding="UTF-8" standalone="yes"?>
<Relationships xmlns="http://schemas.openxmlformats.org/package/2006/relationships"><Relationship Id="rId3" Type="http://schemas.openxmlformats.org/officeDocument/2006/relationships/oleObject" Target="file:///C:\Users\ASUS\Downloads\N-TDA%20SOCIOECONOMIC%20INDIKATORS_NEW.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E:\Documents\PKSPL\TDA%20SAP%20UNOP\Recap%20Data%20Fisherie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PROJECT\2025\TDA%20SCS\Recap%20Data%20Fisherie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E:\Documents\PKSPL\TDA%20SAP%20UNOP\Indonesia%20TDA-Fish_Annex%201-7.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E:\Documents\PKSPL\TDA%20SAP%20UNOP\Indonesia%20TDA-Fish_Annex%201-7.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D:\PROJECT\2025\TDA%20SCS\Recap%20Data%20Fisherie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E:\Documents\PKSPL\TDA%20SAP%20UNOP\Recap%20Data%20Fisheries.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E:\Documents\PKSPL\TDA%20SAP%20UNOP\Recap%20Data%20Fisheries.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E:\Documents\PKSPL\TDA%20SAP%20UNOP\Recap%20Data%20Fisheries.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E:\Documents\PKSPL\TDA%20SAP%20UNOP\Indonesia%20TDA-Fish_Annex%201-7.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E:\PKSPL%20Riset\2025\UNOP\TDA-SAP\Report\Draft%20Report\Aquaculture%20production%20-%20volume%20pakan%20budiday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qonitasinatrya\Downloads\24112025_Grafik%20Marine%20Pollution.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qonitasinatrya\Downloads\24112025_Grafik%20Marine%20Pollution.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qonitasinatrya\Downloads\28072025_Grafik%20Marine%20Pollution.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qonitasinatrya\Downloads\28072025_Grafik%20Marine%20Pollution.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7256855498104769E-2"/>
          <c:y val="6.148905118037043E-2"/>
          <c:w val="0.62226295242506446"/>
          <c:h val="0.78986756605229147"/>
        </c:manualLayout>
      </c:layout>
      <c:lineChart>
        <c:grouping val="standard"/>
        <c:varyColors val="0"/>
        <c:ser>
          <c:idx val="0"/>
          <c:order val="0"/>
          <c:tx>
            <c:v>2022</c:v>
          </c:tx>
          <c:spPr>
            <a:ln w="28575" cap="rnd">
              <a:solidFill>
                <a:srgbClr val="00B0F0"/>
              </a:solidFill>
              <a:round/>
            </a:ln>
            <a:effectLst/>
          </c:spPr>
          <c:marker>
            <c:symbol val="none"/>
          </c:marker>
          <c:cat>
            <c:strRef>
              <c:f>'SE2 HUMAN WELLBEING'!$A$28:$A$31</c:f>
              <c:strCache>
                <c:ptCount val="4"/>
                <c:pt idx="0">
                  <c:v>West Kalimantan</c:v>
                </c:pt>
                <c:pt idx="1">
                  <c:v>Bangka Belitung</c:v>
                </c:pt>
                <c:pt idx="2">
                  <c:v>Riau Islands</c:v>
                </c:pt>
                <c:pt idx="3">
                  <c:v>South Sumatera</c:v>
                </c:pt>
              </c:strCache>
            </c:strRef>
          </c:cat>
          <c:val>
            <c:numRef>
              <c:f>'SE2 HUMAN WELLBEING'!$B$28:$B$31</c:f>
              <c:numCache>
                <c:formatCode>General</c:formatCode>
                <c:ptCount val="4"/>
                <c:pt idx="0">
                  <c:v>69.709999999999994</c:v>
                </c:pt>
                <c:pt idx="1">
                  <c:v>73.5</c:v>
                </c:pt>
                <c:pt idx="2">
                  <c:v>78.48</c:v>
                </c:pt>
                <c:pt idx="3">
                  <c:v>72.48</c:v>
                </c:pt>
              </c:numCache>
            </c:numRef>
          </c:val>
          <c:smooth val="0"/>
          <c:extLst>
            <c:ext xmlns:c16="http://schemas.microsoft.com/office/drawing/2014/chart" uri="{C3380CC4-5D6E-409C-BE32-E72D297353CC}">
              <c16:uniqueId val="{00000000-E9E9-4105-9A93-703E4C8F1CF0}"/>
            </c:ext>
          </c:extLst>
        </c:ser>
        <c:ser>
          <c:idx val="1"/>
          <c:order val="1"/>
          <c:tx>
            <c:v>2023</c:v>
          </c:tx>
          <c:spPr>
            <a:ln w="28575" cap="rnd">
              <a:solidFill>
                <a:schemeClr val="accent2">
                  <a:lumMod val="75000"/>
                </a:schemeClr>
              </a:solidFill>
              <a:round/>
            </a:ln>
            <a:effectLst/>
          </c:spPr>
          <c:marker>
            <c:symbol val="none"/>
          </c:marker>
          <c:cat>
            <c:strRef>
              <c:f>'SE2 HUMAN WELLBEING'!$A$28:$A$31</c:f>
              <c:strCache>
                <c:ptCount val="4"/>
                <c:pt idx="0">
                  <c:v>West Kalimantan</c:v>
                </c:pt>
                <c:pt idx="1">
                  <c:v>Bangka Belitung</c:v>
                </c:pt>
                <c:pt idx="2">
                  <c:v>Riau Islands</c:v>
                </c:pt>
                <c:pt idx="3">
                  <c:v>South Sumatera</c:v>
                </c:pt>
              </c:strCache>
            </c:strRef>
          </c:cat>
          <c:val>
            <c:numRef>
              <c:f>'SE2 HUMAN WELLBEING'!$C$28:$C$31</c:f>
              <c:numCache>
                <c:formatCode>General</c:formatCode>
                <c:ptCount val="4"/>
                <c:pt idx="0">
                  <c:v>70.47</c:v>
                </c:pt>
                <c:pt idx="1">
                  <c:v>74.09</c:v>
                </c:pt>
                <c:pt idx="2">
                  <c:v>79.08</c:v>
                </c:pt>
                <c:pt idx="3">
                  <c:v>73.180000000000007</c:v>
                </c:pt>
              </c:numCache>
            </c:numRef>
          </c:val>
          <c:smooth val="0"/>
          <c:extLst>
            <c:ext xmlns:c16="http://schemas.microsoft.com/office/drawing/2014/chart" uri="{C3380CC4-5D6E-409C-BE32-E72D297353CC}">
              <c16:uniqueId val="{00000001-E9E9-4105-9A93-703E4C8F1CF0}"/>
            </c:ext>
          </c:extLst>
        </c:ser>
        <c:ser>
          <c:idx val="2"/>
          <c:order val="2"/>
          <c:tx>
            <c:v>2024</c:v>
          </c:tx>
          <c:spPr>
            <a:ln w="28575" cap="rnd">
              <a:solidFill>
                <a:schemeClr val="accent6"/>
              </a:solidFill>
              <a:round/>
            </a:ln>
            <a:effectLst/>
          </c:spPr>
          <c:marker>
            <c:symbol val="none"/>
          </c:marker>
          <c:cat>
            <c:strRef>
              <c:f>'SE2 HUMAN WELLBEING'!$A$28:$A$31</c:f>
              <c:strCache>
                <c:ptCount val="4"/>
                <c:pt idx="0">
                  <c:v>West Kalimantan</c:v>
                </c:pt>
                <c:pt idx="1">
                  <c:v>Bangka Belitung</c:v>
                </c:pt>
                <c:pt idx="2">
                  <c:v>Riau Islands</c:v>
                </c:pt>
                <c:pt idx="3">
                  <c:v>South Sumatera</c:v>
                </c:pt>
              </c:strCache>
            </c:strRef>
          </c:cat>
          <c:val>
            <c:numRef>
              <c:f>'SE2 HUMAN WELLBEING'!$D$28:$D$31</c:f>
              <c:numCache>
                <c:formatCode>General</c:formatCode>
                <c:ptCount val="4"/>
                <c:pt idx="0">
                  <c:v>71.19</c:v>
                </c:pt>
                <c:pt idx="1">
                  <c:v>74.55</c:v>
                </c:pt>
                <c:pt idx="2">
                  <c:v>79.89</c:v>
                </c:pt>
                <c:pt idx="3">
                  <c:v>73.84</c:v>
                </c:pt>
              </c:numCache>
            </c:numRef>
          </c:val>
          <c:smooth val="0"/>
          <c:extLst>
            <c:ext xmlns:c16="http://schemas.microsoft.com/office/drawing/2014/chart" uri="{C3380CC4-5D6E-409C-BE32-E72D297353CC}">
              <c16:uniqueId val="{00000002-E9E9-4105-9A93-703E4C8F1CF0}"/>
            </c:ext>
          </c:extLst>
        </c:ser>
        <c:ser>
          <c:idx val="3"/>
          <c:order val="3"/>
          <c:tx>
            <c:v>HDI Nasional 2022</c:v>
          </c:tx>
          <c:spPr>
            <a:ln w="28575" cap="rnd">
              <a:solidFill>
                <a:srgbClr val="00B0F0"/>
              </a:solidFill>
              <a:prstDash val="sysDash"/>
              <a:round/>
            </a:ln>
            <a:effectLst/>
          </c:spPr>
          <c:marker>
            <c:symbol val="none"/>
          </c:marker>
          <c:val>
            <c:numRef>
              <c:f>'SE2 HUMAN WELLBEING'!$B$37:$B$40</c:f>
              <c:numCache>
                <c:formatCode>General</c:formatCode>
                <c:ptCount val="4"/>
                <c:pt idx="0">
                  <c:v>72.92</c:v>
                </c:pt>
                <c:pt idx="1">
                  <c:v>72.92</c:v>
                </c:pt>
                <c:pt idx="2">
                  <c:v>72.92</c:v>
                </c:pt>
                <c:pt idx="3">
                  <c:v>72.92</c:v>
                </c:pt>
              </c:numCache>
            </c:numRef>
          </c:val>
          <c:smooth val="0"/>
          <c:extLst>
            <c:ext xmlns:c16="http://schemas.microsoft.com/office/drawing/2014/chart" uri="{C3380CC4-5D6E-409C-BE32-E72D297353CC}">
              <c16:uniqueId val="{00000003-E9E9-4105-9A93-703E4C8F1CF0}"/>
            </c:ext>
          </c:extLst>
        </c:ser>
        <c:ser>
          <c:idx val="4"/>
          <c:order val="4"/>
          <c:tx>
            <c:v>HDI Nasional 2023</c:v>
          </c:tx>
          <c:spPr>
            <a:ln w="28575" cap="rnd">
              <a:solidFill>
                <a:schemeClr val="accent2">
                  <a:lumMod val="75000"/>
                </a:schemeClr>
              </a:solidFill>
              <a:prstDash val="sysDash"/>
              <a:round/>
            </a:ln>
            <a:effectLst/>
          </c:spPr>
          <c:marker>
            <c:symbol val="none"/>
          </c:marker>
          <c:val>
            <c:numRef>
              <c:f>'SE2 HUMAN WELLBEING'!$C$37:$C$40</c:f>
              <c:numCache>
                <c:formatCode>General</c:formatCode>
                <c:ptCount val="4"/>
                <c:pt idx="0">
                  <c:v>74.39</c:v>
                </c:pt>
                <c:pt idx="1">
                  <c:v>74.39</c:v>
                </c:pt>
                <c:pt idx="2">
                  <c:v>74.39</c:v>
                </c:pt>
                <c:pt idx="3">
                  <c:v>74.39</c:v>
                </c:pt>
              </c:numCache>
            </c:numRef>
          </c:val>
          <c:smooth val="0"/>
          <c:extLst>
            <c:ext xmlns:c16="http://schemas.microsoft.com/office/drawing/2014/chart" uri="{C3380CC4-5D6E-409C-BE32-E72D297353CC}">
              <c16:uniqueId val="{00000004-E9E9-4105-9A93-703E4C8F1CF0}"/>
            </c:ext>
          </c:extLst>
        </c:ser>
        <c:ser>
          <c:idx val="5"/>
          <c:order val="5"/>
          <c:tx>
            <c:v>HDI Nasional 2024</c:v>
          </c:tx>
          <c:spPr>
            <a:ln w="28575" cap="rnd">
              <a:solidFill>
                <a:schemeClr val="accent6"/>
              </a:solidFill>
              <a:prstDash val="sysDash"/>
              <a:round/>
            </a:ln>
            <a:effectLst/>
          </c:spPr>
          <c:marker>
            <c:symbol val="none"/>
          </c:marker>
          <c:val>
            <c:numRef>
              <c:f>'SE2 HUMAN WELLBEING'!$D$37:$D$40</c:f>
              <c:numCache>
                <c:formatCode>General</c:formatCode>
                <c:ptCount val="4"/>
                <c:pt idx="0">
                  <c:v>75.02</c:v>
                </c:pt>
                <c:pt idx="1">
                  <c:v>75.02</c:v>
                </c:pt>
                <c:pt idx="2">
                  <c:v>75.02</c:v>
                </c:pt>
                <c:pt idx="3">
                  <c:v>75.02</c:v>
                </c:pt>
              </c:numCache>
            </c:numRef>
          </c:val>
          <c:smooth val="0"/>
          <c:extLst>
            <c:ext xmlns:c16="http://schemas.microsoft.com/office/drawing/2014/chart" uri="{C3380CC4-5D6E-409C-BE32-E72D297353CC}">
              <c16:uniqueId val="{00000005-E9E9-4105-9A93-703E4C8F1CF0}"/>
            </c:ext>
          </c:extLst>
        </c:ser>
        <c:dLbls>
          <c:showLegendKey val="0"/>
          <c:showVal val="0"/>
          <c:showCatName val="0"/>
          <c:showSerName val="0"/>
          <c:showPercent val="0"/>
          <c:showBubbleSize val="0"/>
        </c:dLbls>
        <c:smooth val="0"/>
        <c:axId val="686325296"/>
        <c:axId val="686324336"/>
      </c:lineChart>
      <c:catAx>
        <c:axId val="686325296"/>
        <c:scaling>
          <c:orientation val="minMax"/>
        </c:scaling>
        <c:delete val="0"/>
        <c:axPos val="b"/>
        <c:numFmt formatCode="General" sourceLinked="1"/>
        <c:majorTickMark val="out"/>
        <c:minorTickMark val="none"/>
        <c:tickLblPos val="nextTo"/>
        <c:spPr>
          <a:noFill/>
          <a:ln w="9525" cap="flat" cmpd="sng" algn="ctr">
            <a:solidFill>
              <a:schemeClr val="accent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324336"/>
        <c:crosses val="autoZero"/>
        <c:auto val="1"/>
        <c:lblAlgn val="ctr"/>
        <c:lblOffset val="100"/>
        <c:noMultiLvlLbl val="0"/>
      </c:catAx>
      <c:valAx>
        <c:axId val="686324336"/>
        <c:scaling>
          <c:orientation val="minMax"/>
          <c:max val="85"/>
          <c:min val="65"/>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id-ID" b="1"/>
                  <a:t>HDI</a:t>
                </a:r>
              </a:p>
            </c:rich>
          </c:tx>
          <c:layout>
            <c:manualLayout>
              <c:xMode val="edge"/>
              <c:yMode val="edge"/>
              <c:x val="2.4009603841536613E-3"/>
              <c:y val="0.3730523924330987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6325296"/>
        <c:crosses val="autoZero"/>
        <c:crossBetween val="between"/>
        <c:majorUnit val="2"/>
      </c:valAx>
      <c:spPr>
        <a:noFill/>
        <a:ln>
          <a:noFill/>
        </a:ln>
        <a:effectLst/>
      </c:spPr>
    </c:plotArea>
    <c:legend>
      <c:legendPos val="r"/>
      <c:layout>
        <c:manualLayout>
          <c:xMode val="edge"/>
          <c:yMode val="edge"/>
          <c:x val="0.62588235294117645"/>
          <c:y val="3.5629079549663087E-2"/>
          <c:w val="0.35010804321728689"/>
          <c:h val="0.37845339048179488"/>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'P5_By Report Status'!$G$1</c:f>
              <c:strCache>
                <c:ptCount val="1"/>
                <c:pt idx="0">
                  <c:v>Reported</c:v>
                </c:pt>
              </c:strCache>
            </c:strRef>
          </c:tx>
          <c:spPr>
            <a:ln w="28575" cap="rnd">
              <a:solidFill>
                <a:schemeClr val="accent2"/>
              </a:solidFill>
              <a:round/>
            </a:ln>
            <a:effectLst/>
          </c:spPr>
          <c:marker>
            <c:symbol val="none"/>
          </c:marker>
          <c:cat>
            <c:numRef>
              <c:f>'P5_By Report Status'!$F$2:$F$71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'P5_By Report Status'!$G$2:$G$71</c:f>
              <c:numCache>
                <c:formatCode>General</c:formatCode>
                <c:ptCount val="70"/>
                <c:pt idx="0">
                  <c:v>15621.409871889016</c:v>
                </c:pt>
                <c:pt idx="1">
                  <c:v>55906.686720339174</c:v>
                </c:pt>
                <c:pt idx="2">
                  <c:v>59104.733013381512</c:v>
                </c:pt>
                <c:pt idx="3">
                  <c:v>69437.400091270378</c:v>
                </c:pt>
                <c:pt idx="4">
                  <c:v>73849.608418893971</c:v>
                </c:pt>
                <c:pt idx="5">
                  <c:v>76120.586479873906</c:v>
                </c:pt>
                <c:pt idx="6">
                  <c:v>77297.735582205642</c:v>
                </c:pt>
                <c:pt idx="7">
                  <c:v>75436.887944447386</c:v>
                </c:pt>
                <c:pt idx="8">
                  <c:v>77817.859708343705</c:v>
                </c:pt>
                <c:pt idx="9">
                  <c:v>74408.343487635153</c:v>
                </c:pt>
                <c:pt idx="10">
                  <c:v>76075.934765714279</c:v>
                </c:pt>
                <c:pt idx="11">
                  <c:v>120986.99282226135</c:v>
                </c:pt>
                <c:pt idx="12">
                  <c:v>124673.94943525777</c:v>
                </c:pt>
                <c:pt idx="13">
                  <c:v>128455.46231094043</c:v>
                </c:pt>
                <c:pt idx="14">
                  <c:v>135193.65887161027</c:v>
                </c:pt>
                <c:pt idx="15">
                  <c:v>151837.82085797496</c:v>
                </c:pt>
                <c:pt idx="16">
                  <c:v>163911.71213512664</c:v>
                </c:pt>
                <c:pt idx="17">
                  <c:v>154293.17685589276</c:v>
                </c:pt>
                <c:pt idx="18">
                  <c:v>164173.40640183236</c:v>
                </c:pt>
                <c:pt idx="19">
                  <c:v>178604.58555499197</c:v>
                </c:pt>
                <c:pt idx="20">
                  <c:v>188820.36833127891</c:v>
                </c:pt>
                <c:pt idx="21">
                  <c:v>192099.99717908891</c:v>
                </c:pt>
                <c:pt idx="22">
                  <c:v>189005.44892941308</c:v>
                </c:pt>
                <c:pt idx="23">
                  <c:v>201320.73489223118</c:v>
                </c:pt>
                <c:pt idx="24">
                  <c:v>210209.41539023409</c:v>
                </c:pt>
                <c:pt idx="25">
                  <c:v>185775.90682143843</c:v>
                </c:pt>
                <c:pt idx="26">
                  <c:v>196014.4597933364</c:v>
                </c:pt>
                <c:pt idx="27">
                  <c:v>205830.05968059646</c:v>
                </c:pt>
                <c:pt idx="28">
                  <c:v>229527.27035270474</c:v>
                </c:pt>
                <c:pt idx="29">
                  <c:v>249578.99293461218</c:v>
                </c:pt>
                <c:pt idx="30">
                  <c:v>259194.50682913588</c:v>
                </c:pt>
                <c:pt idx="31">
                  <c:v>260395.43192412716</c:v>
                </c:pt>
                <c:pt idx="32">
                  <c:v>260552.74430004784</c:v>
                </c:pt>
                <c:pt idx="33">
                  <c:v>283894.75436196174</c:v>
                </c:pt>
                <c:pt idx="34">
                  <c:v>290855.31001842866</c:v>
                </c:pt>
                <c:pt idx="35">
                  <c:v>321077.69803204801</c:v>
                </c:pt>
                <c:pt idx="36">
                  <c:v>317693.66560496786</c:v>
                </c:pt>
                <c:pt idx="37">
                  <c:v>340686.83989919955</c:v>
                </c:pt>
                <c:pt idx="38">
                  <c:v>349561.70675659424</c:v>
                </c:pt>
                <c:pt idx="39">
                  <c:v>345012.25361417537</c:v>
                </c:pt>
                <c:pt idx="40">
                  <c:v>377377.3485627693</c:v>
                </c:pt>
                <c:pt idx="41">
                  <c:v>449766.08109056571</c:v>
                </c:pt>
                <c:pt idx="42">
                  <c:v>490624.28944118466</c:v>
                </c:pt>
                <c:pt idx="43">
                  <c:v>422161.538151432</c:v>
                </c:pt>
                <c:pt idx="44">
                  <c:v>462820.64300800371</c:v>
                </c:pt>
                <c:pt idx="45">
                  <c:v>482706.19257352513</c:v>
                </c:pt>
                <c:pt idx="46">
                  <c:v>483070.4738466072</c:v>
                </c:pt>
                <c:pt idx="47">
                  <c:v>518853.00335759105</c:v>
                </c:pt>
                <c:pt idx="48">
                  <c:v>509902.5521093976</c:v>
                </c:pt>
                <c:pt idx="49">
                  <c:v>523997.70861447853</c:v>
                </c:pt>
                <c:pt idx="50">
                  <c:v>548524.10092664743</c:v>
                </c:pt>
                <c:pt idx="51">
                  <c:v>596430.68029654119</c:v>
                </c:pt>
                <c:pt idx="52">
                  <c:v>624231.08322494722</c:v>
                </c:pt>
                <c:pt idx="53">
                  <c:v>622686.61050128518</c:v>
                </c:pt>
                <c:pt idx="54">
                  <c:v>596582.16817840445</c:v>
                </c:pt>
                <c:pt idx="55">
                  <c:v>557324.09816953517</c:v>
                </c:pt>
                <c:pt idx="56">
                  <c:v>574599.0968013797</c:v>
                </c:pt>
                <c:pt idx="57">
                  <c:v>597818.71825029736</c:v>
                </c:pt>
                <c:pt idx="58">
                  <c:v>644148.39810793113</c:v>
                </c:pt>
                <c:pt idx="59">
                  <c:v>659801.64122085716</c:v>
                </c:pt>
                <c:pt idx="60">
                  <c:v>634824.87373751833</c:v>
                </c:pt>
                <c:pt idx="61">
                  <c:v>647734.70603898144</c:v>
                </c:pt>
                <c:pt idx="62">
                  <c:v>654748.87685214705</c:v>
                </c:pt>
                <c:pt idx="63">
                  <c:v>664669.8846913887</c:v>
                </c:pt>
                <c:pt idx="64">
                  <c:v>718752.7566953093</c:v>
                </c:pt>
                <c:pt idx="65">
                  <c:v>810535.43513761507</c:v>
                </c:pt>
                <c:pt idx="66">
                  <c:v>765012.89001111954</c:v>
                </c:pt>
                <c:pt idx="67">
                  <c:v>682140.70979208406</c:v>
                </c:pt>
                <c:pt idx="68">
                  <c:v>776656.35246163537</c:v>
                </c:pt>
                <c:pt idx="69">
                  <c:v>866060.96584391105</c:v>
                </c:pt>
              </c:numCache>
            </c:numRef>
          </c:val>
          <c:smooth val="0"/>
          <c:extLst>
            <c:ext xmlns:c16="http://schemas.microsoft.com/office/drawing/2014/chart" uri="{C3380CC4-5D6E-409C-BE32-E72D297353CC}">
              <c16:uniqueId val="{00000000-B163-44BF-8F64-CDACB317F337}"/>
            </c:ext>
          </c:extLst>
        </c:ser>
        <c:ser>
          <c:idx val="2"/>
          <c:order val="1"/>
          <c:tx>
            <c:strRef>
              <c:f>'P5_By Report Status'!$H$1</c:f>
              <c:strCache>
                <c:ptCount val="1"/>
                <c:pt idx="0">
                  <c:v>Unreported</c:v>
                </c:pt>
              </c:strCache>
            </c:strRef>
          </c:tx>
          <c:spPr>
            <a:ln w="28575" cap="rnd">
              <a:solidFill>
                <a:schemeClr val="accent3"/>
              </a:solidFill>
              <a:round/>
            </a:ln>
            <a:effectLst/>
          </c:spPr>
          <c:marker>
            <c:symbol val="none"/>
          </c:marker>
          <c:cat>
            <c:numRef>
              <c:f>'P5_By Report Status'!$F$2:$F$71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'P5_By Report Status'!$H$2:$H$71</c:f>
              <c:numCache>
                <c:formatCode>General</c:formatCode>
                <c:ptCount val="70"/>
                <c:pt idx="0">
                  <c:v>39055.392671455847</c:v>
                </c:pt>
                <c:pt idx="1">
                  <c:v>5624.9888764891066</c:v>
                </c:pt>
                <c:pt idx="2">
                  <c:v>5950.4756767851004</c:v>
                </c:pt>
                <c:pt idx="3">
                  <c:v>6063.812813514598</c:v>
                </c:pt>
                <c:pt idx="4">
                  <c:v>6368.5614516694977</c:v>
                </c:pt>
                <c:pt idx="5">
                  <c:v>6451.0589329690038</c:v>
                </c:pt>
                <c:pt idx="6">
                  <c:v>6602.8660089044051</c:v>
                </c:pt>
                <c:pt idx="7">
                  <c:v>6604.9068350603966</c:v>
                </c:pt>
                <c:pt idx="8">
                  <c:v>6792.7808223212014</c:v>
                </c:pt>
                <c:pt idx="9">
                  <c:v>6770.2251309069034</c:v>
                </c:pt>
                <c:pt idx="10">
                  <c:v>6842.8265440243022</c:v>
                </c:pt>
                <c:pt idx="11">
                  <c:v>9821.2388941661084</c:v>
                </c:pt>
                <c:pt idx="12">
                  <c:v>124673.94943525777</c:v>
                </c:pt>
                <c:pt idx="13">
                  <c:v>15146.724554133301</c:v>
                </c:pt>
                <c:pt idx="14">
                  <c:v>18461.049484474985</c:v>
                </c:pt>
                <c:pt idx="15">
                  <c:v>23379.149975754583</c:v>
                </c:pt>
                <c:pt idx="16">
                  <c:v>28464.841337737096</c:v>
                </c:pt>
                <c:pt idx="17">
                  <c:v>27536.137046565709</c:v>
                </c:pt>
                <c:pt idx="18">
                  <c:v>29366.054171580781</c:v>
                </c:pt>
                <c:pt idx="19">
                  <c:v>31972.036947203989</c:v>
                </c:pt>
                <c:pt idx="20">
                  <c:v>30431.951400523096</c:v>
                </c:pt>
                <c:pt idx="21">
                  <c:v>35623.529539773808</c:v>
                </c:pt>
                <c:pt idx="22">
                  <c:v>34885.243313842861</c:v>
                </c:pt>
                <c:pt idx="23">
                  <c:v>32606.107889357019</c:v>
                </c:pt>
                <c:pt idx="24">
                  <c:v>38773.927989020296</c:v>
                </c:pt>
                <c:pt idx="25">
                  <c:v>38374.450083946234</c:v>
                </c:pt>
                <c:pt idx="26">
                  <c:v>40627.140172659208</c:v>
                </c:pt>
                <c:pt idx="27">
                  <c:v>43005.588636637782</c:v>
                </c:pt>
                <c:pt idx="28">
                  <c:v>46793.476188391905</c:v>
                </c:pt>
                <c:pt idx="29">
                  <c:v>49722.152850679973</c:v>
                </c:pt>
                <c:pt idx="30">
                  <c:v>42964.773517416797</c:v>
                </c:pt>
                <c:pt idx="31">
                  <c:v>47041.531916365879</c:v>
                </c:pt>
                <c:pt idx="32">
                  <c:v>51097.109387755365</c:v>
                </c:pt>
                <c:pt idx="33">
                  <c:v>59627.401159673231</c:v>
                </c:pt>
                <c:pt idx="34">
                  <c:v>58464.671613230727</c:v>
                </c:pt>
                <c:pt idx="35">
                  <c:v>60034.538267020398</c:v>
                </c:pt>
                <c:pt idx="36">
                  <c:v>63962.289448179436</c:v>
                </c:pt>
                <c:pt idx="37">
                  <c:v>65711.603466857268</c:v>
                </c:pt>
                <c:pt idx="38">
                  <c:v>70921.092857341107</c:v>
                </c:pt>
                <c:pt idx="39">
                  <c:v>72225.067426239184</c:v>
                </c:pt>
                <c:pt idx="40">
                  <c:v>73424.056774317534</c:v>
                </c:pt>
                <c:pt idx="41">
                  <c:v>69136.315276520763</c:v>
                </c:pt>
                <c:pt idx="42">
                  <c:v>68516.157186520621</c:v>
                </c:pt>
                <c:pt idx="43">
                  <c:v>66595.035131534285</c:v>
                </c:pt>
                <c:pt idx="44">
                  <c:v>67094.007365128826</c:v>
                </c:pt>
                <c:pt idx="45">
                  <c:v>65321.925577435082</c:v>
                </c:pt>
                <c:pt idx="46">
                  <c:v>62907.348829584698</c:v>
                </c:pt>
                <c:pt idx="47">
                  <c:v>62735.933740278466</c:v>
                </c:pt>
                <c:pt idx="48">
                  <c:v>55435.642710438828</c:v>
                </c:pt>
                <c:pt idx="49">
                  <c:v>50980.169765405488</c:v>
                </c:pt>
                <c:pt idx="50">
                  <c:v>51332.022443435046</c:v>
                </c:pt>
                <c:pt idx="51">
                  <c:v>52955.147979060443</c:v>
                </c:pt>
                <c:pt idx="52">
                  <c:v>53303.00075472294</c:v>
                </c:pt>
                <c:pt idx="53">
                  <c:v>51455.174661916564</c:v>
                </c:pt>
                <c:pt idx="54">
                  <c:v>51349.433296459363</c:v>
                </c:pt>
                <c:pt idx="55">
                  <c:v>47815.701389871756</c:v>
                </c:pt>
                <c:pt idx="56">
                  <c:v>47222.356378689808</c:v>
                </c:pt>
                <c:pt idx="57">
                  <c:v>48246.395718009284</c:v>
                </c:pt>
                <c:pt idx="58">
                  <c:v>50929.126730161675</c:v>
                </c:pt>
                <c:pt idx="59">
                  <c:v>52283.351703852582</c:v>
                </c:pt>
                <c:pt idx="60">
                  <c:v>51713.196202669955</c:v>
                </c:pt>
                <c:pt idx="61">
                  <c:v>52755.059831586514</c:v>
                </c:pt>
                <c:pt idx="62">
                  <c:v>54388.07191877297</c:v>
                </c:pt>
                <c:pt idx="63">
                  <c:v>56026.873187188037</c:v>
                </c:pt>
                <c:pt idx="64">
                  <c:v>57381.604940112782</c:v>
                </c:pt>
                <c:pt idx="65">
                  <c:v>63123.07934269953</c:v>
                </c:pt>
                <c:pt idx="66">
                  <c:v>61701.883118307247</c:v>
                </c:pt>
                <c:pt idx="67">
                  <c:v>55683.49147220845</c:v>
                </c:pt>
                <c:pt idx="68">
                  <c:v>63364.454540667495</c:v>
                </c:pt>
                <c:pt idx="69">
                  <c:v>72816.902443675572</c:v>
                </c:pt>
              </c:numCache>
            </c:numRef>
          </c:val>
          <c:smooth val="0"/>
          <c:extLst>
            <c:ext xmlns:c16="http://schemas.microsoft.com/office/drawing/2014/chart" uri="{C3380CC4-5D6E-409C-BE32-E72D297353CC}">
              <c16:uniqueId val="{00000001-B163-44BF-8F64-CDACB317F337}"/>
            </c:ext>
          </c:extLst>
        </c:ser>
        <c:dLbls>
          <c:showLegendKey val="0"/>
          <c:showVal val="0"/>
          <c:showCatName val="0"/>
          <c:showSerName val="0"/>
          <c:showPercent val="0"/>
          <c:showBubbleSize val="0"/>
        </c:dLbls>
        <c:smooth val="0"/>
        <c:axId val="29877311"/>
        <c:axId val="29857631"/>
      </c:lineChart>
      <c:catAx>
        <c:axId val="29877311"/>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layout>
            <c:manualLayout>
              <c:xMode val="edge"/>
              <c:yMode val="edge"/>
              <c:x val="0.49072756253919586"/>
              <c:y val="0.80513934947758758"/>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9857631"/>
        <c:crosses val="autoZero"/>
        <c:auto val="1"/>
        <c:lblAlgn val="ctr"/>
        <c:lblOffset val="100"/>
        <c:noMultiLvlLbl val="0"/>
      </c:catAx>
      <c:valAx>
        <c:axId val="29857631"/>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298773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'Com-Group Recap'!$B$1</c:f>
              <c:strCache>
                <c:ptCount val="1"/>
                <c:pt idx="0">
                  <c:v>Anchovies</c:v>
                </c:pt>
              </c:strCache>
            </c:strRef>
          </c:tx>
          <c:spPr>
            <a:ln w="28575" cap="rnd">
              <a:solidFill>
                <a:schemeClr val="accent2"/>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Recap'!$B$2:$B$71</c:f>
              <c:numCache>
                <c:formatCode>General</c:formatCode>
                <c:ptCount val="70"/>
                <c:pt idx="0">
                  <c:v>2525.2961485339001</c:v>
                </c:pt>
                <c:pt idx="1">
                  <c:v>2877.9607947035001</c:v>
                </c:pt>
                <c:pt idx="2">
                  <c:v>3230.8721176721001</c:v>
                </c:pt>
                <c:pt idx="3">
                  <c:v>3327.5134589268996</c:v>
                </c:pt>
                <c:pt idx="4">
                  <c:v>3533.7097247133001</c:v>
                </c:pt>
                <c:pt idx="5">
                  <c:v>3629.1431546889003</c:v>
                </c:pt>
                <c:pt idx="6">
                  <c:v>3699.2810693231995</c:v>
                </c:pt>
                <c:pt idx="7">
                  <c:v>3593.7993268982013</c:v>
                </c:pt>
                <c:pt idx="8">
                  <c:v>3718.2336518302</c:v>
                </c:pt>
                <c:pt idx="9">
                  <c:v>3545.5169644352995</c:v>
                </c:pt>
                <c:pt idx="10">
                  <c:v>3629.6940871859001</c:v>
                </c:pt>
                <c:pt idx="11">
                  <c:v>4526.4391690495986</c:v>
                </c:pt>
                <c:pt idx="12">
                  <c:v>4626.2164361853002</c:v>
                </c:pt>
                <c:pt idx="13">
                  <c:v>4713.2480159706001</c:v>
                </c:pt>
                <c:pt idx="14">
                  <c:v>4916.4511310715998</c:v>
                </c:pt>
                <c:pt idx="15">
                  <c:v>5472.5497827801983</c:v>
                </c:pt>
                <c:pt idx="16">
                  <c:v>5846.3207952959019</c:v>
                </c:pt>
                <c:pt idx="17">
                  <c:v>5541.6578600802013</c:v>
                </c:pt>
                <c:pt idx="18">
                  <c:v>5913.5859116736019</c:v>
                </c:pt>
                <c:pt idx="19">
                  <c:v>6438.5657839943997</c:v>
                </c:pt>
                <c:pt idx="20">
                  <c:v>5939.2689640507006</c:v>
                </c:pt>
                <c:pt idx="21">
                  <c:v>6026.9211019737004</c:v>
                </c:pt>
                <c:pt idx="22">
                  <c:v>5266.4856215131995</c:v>
                </c:pt>
                <c:pt idx="23">
                  <c:v>8612.7026726218974</c:v>
                </c:pt>
                <c:pt idx="24">
                  <c:v>9353.6567334797001</c:v>
                </c:pt>
                <c:pt idx="25">
                  <c:v>8905.7303790787009</c:v>
                </c:pt>
                <c:pt idx="26">
                  <c:v>9435.5282924645016</c:v>
                </c:pt>
                <c:pt idx="27">
                  <c:v>10932.753652712105</c:v>
                </c:pt>
                <c:pt idx="28">
                  <c:v>15420.427910449198</c:v>
                </c:pt>
                <c:pt idx="29">
                  <c:v>12906.073835611798</c:v>
                </c:pt>
                <c:pt idx="30">
                  <c:v>16208.421972164699</c:v>
                </c:pt>
                <c:pt idx="31">
                  <c:v>15130.663227191104</c:v>
                </c:pt>
                <c:pt idx="32">
                  <c:v>14053.417636029902</c:v>
                </c:pt>
                <c:pt idx="33">
                  <c:v>12970.385692423</c:v>
                </c:pt>
                <c:pt idx="34">
                  <c:v>13224.082779688299</c:v>
                </c:pt>
                <c:pt idx="35">
                  <c:v>13238.447660188298</c:v>
                </c:pt>
                <c:pt idx="36">
                  <c:v>12698.206227037905</c:v>
                </c:pt>
                <c:pt idx="37">
                  <c:v>15232.823503509895</c:v>
                </c:pt>
                <c:pt idx="38">
                  <c:v>14180.440583394402</c:v>
                </c:pt>
                <c:pt idx="39">
                  <c:v>15146.600741454895</c:v>
                </c:pt>
                <c:pt idx="40">
                  <c:v>16864.069187936791</c:v>
                </c:pt>
                <c:pt idx="41">
                  <c:v>17339.085949624401</c:v>
                </c:pt>
                <c:pt idx="42">
                  <c:v>16876.977300273898</c:v>
                </c:pt>
                <c:pt idx="43">
                  <c:v>17500.196796814402</c:v>
                </c:pt>
                <c:pt idx="44">
                  <c:v>17922.146547436099</c:v>
                </c:pt>
                <c:pt idx="45">
                  <c:v>17888.258054919796</c:v>
                </c:pt>
                <c:pt idx="46">
                  <c:v>20206.914180650296</c:v>
                </c:pt>
                <c:pt idx="47">
                  <c:v>24873.938097920109</c:v>
                </c:pt>
                <c:pt idx="48">
                  <c:v>17962.903694375207</c:v>
                </c:pt>
                <c:pt idx="49">
                  <c:v>16632.608217291207</c:v>
                </c:pt>
                <c:pt idx="50">
                  <c:v>20024.961477798191</c:v>
                </c:pt>
                <c:pt idx="51">
                  <c:v>18567.044011426991</c:v>
                </c:pt>
                <c:pt idx="52">
                  <c:v>18131.312633245398</c:v>
                </c:pt>
                <c:pt idx="53">
                  <c:v>13638.870234120601</c:v>
                </c:pt>
                <c:pt idx="54">
                  <c:v>17576.664847892498</c:v>
                </c:pt>
                <c:pt idx="55">
                  <c:v>16081.151798922199</c:v>
                </c:pt>
                <c:pt idx="56">
                  <c:v>14712.992384921105</c:v>
                </c:pt>
                <c:pt idx="57">
                  <c:v>18748.415425478393</c:v>
                </c:pt>
                <c:pt idx="58">
                  <c:v>25309.011938155487</c:v>
                </c:pt>
                <c:pt idx="59">
                  <c:v>21914.2010710223</c:v>
                </c:pt>
                <c:pt idx="60">
                  <c:v>14036.408387002501</c:v>
                </c:pt>
                <c:pt idx="61">
                  <c:v>14518.568269444399</c:v>
                </c:pt>
                <c:pt idx="62">
                  <c:v>14674.929544614501</c:v>
                </c:pt>
                <c:pt idx="63">
                  <c:v>14905.020718084103</c:v>
                </c:pt>
                <c:pt idx="64">
                  <c:v>16040.872644450195</c:v>
                </c:pt>
                <c:pt idx="65">
                  <c:v>17952.555685305408</c:v>
                </c:pt>
                <c:pt idx="66">
                  <c:v>16975.925082198108</c:v>
                </c:pt>
                <c:pt idx="67">
                  <c:v>15209.812028906503</c:v>
                </c:pt>
                <c:pt idx="68">
                  <c:v>17269.974285255201</c:v>
                </c:pt>
                <c:pt idx="69">
                  <c:v>18203.753945710498</c:v>
                </c:pt>
              </c:numCache>
            </c:numRef>
          </c:val>
          <c:smooth val="0"/>
          <c:extLst>
            <c:ext xmlns:c16="http://schemas.microsoft.com/office/drawing/2014/chart" uri="{C3380CC4-5D6E-409C-BE32-E72D297353CC}">
              <c16:uniqueId val="{00000000-0BB9-439E-8326-EA33936350C9}"/>
            </c:ext>
          </c:extLst>
        </c:ser>
        <c:ser>
          <c:idx val="2"/>
          <c:order val="1"/>
          <c:tx>
            <c:strRef>
              <c:f>'Com-Group Recap'!$C$1</c:f>
              <c:strCache>
                <c:ptCount val="1"/>
                <c:pt idx="0">
                  <c:v>Crustaceans</c:v>
                </c:pt>
              </c:strCache>
            </c:strRef>
          </c:tx>
          <c:spPr>
            <a:ln w="28575" cap="rnd">
              <a:solidFill>
                <a:schemeClr val="accent3"/>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Recap'!$C$2:$C$71</c:f>
              <c:numCache>
                <c:formatCode>General</c:formatCode>
                <c:ptCount val="70"/>
                <c:pt idx="0">
                  <c:v>3988.3484652526004</c:v>
                </c:pt>
                <c:pt idx="1">
                  <c:v>4981.4048840056985</c:v>
                </c:pt>
                <c:pt idx="2">
                  <c:v>5624.2768285049988</c:v>
                </c:pt>
                <c:pt idx="3">
                  <c:v>5922.249329635898</c:v>
                </c:pt>
                <c:pt idx="4">
                  <c:v>6188.2792415884014</c:v>
                </c:pt>
                <c:pt idx="5">
                  <c:v>6479.5297166981027</c:v>
                </c:pt>
                <c:pt idx="6">
                  <c:v>6763.3786665412017</c:v>
                </c:pt>
                <c:pt idx="7">
                  <c:v>6766.762845620402</c:v>
                </c:pt>
                <c:pt idx="8">
                  <c:v>6621.2879187409017</c:v>
                </c:pt>
                <c:pt idx="9">
                  <c:v>6834.8982646306013</c:v>
                </c:pt>
                <c:pt idx="10">
                  <c:v>6971.9107614039003</c:v>
                </c:pt>
                <c:pt idx="11">
                  <c:v>8469.7821383903065</c:v>
                </c:pt>
                <c:pt idx="12">
                  <c:v>8821.3036436844013</c:v>
                </c:pt>
                <c:pt idx="13">
                  <c:v>8947.8138004307984</c:v>
                </c:pt>
                <c:pt idx="14">
                  <c:v>9444.7868280883013</c:v>
                </c:pt>
                <c:pt idx="15">
                  <c:v>10357.092992946002</c:v>
                </c:pt>
                <c:pt idx="16">
                  <c:v>11459.353352855003</c:v>
                </c:pt>
                <c:pt idx="17">
                  <c:v>11067.881654749701</c:v>
                </c:pt>
                <c:pt idx="18">
                  <c:v>11089.126585166001</c:v>
                </c:pt>
                <c:pt idx="19">
                  <c:v>11792.4031077495</c:v>
                </c:pt>
                <c:pt idx="20">
                  <c:v>11317.321421930099</c:v>
                </c:pt>
                <c:pt idx="21">
                  <c:v>11276.5984586381</c:v>
                </c:pt>
                <c:pt idx="22">
                  <c:v>13584.678186361802</c:v>
                </c:pt>
                <c:pt idx="23">
                  <c:v>12659.380584301894</c:v>
                </c:pt>
                <c:pt idx="24">
                  <c:v>10261.972486213399</c:v>
                </c:pt>
                <c:pt idx="25">
                  <c:v>13927.889591609197</c:v>
                </c:pt>
                <c:pt idx="26">
                  <c:v>31410.428983862581</c:v>
                </c:pt>
                <c:pt idx="27">
                  <c:v>37761.9379973717</c:v>
                </c:pt>
                <c:pt idx="28">
                  <c:v>42394.365500458465</c:v>
                </c:pt>
                <c:pt idx="29">
                  <c:v>40147.454293626186</c:v>
                </c:pt>
                <c:pt idx="30">
                  <c:v>31703.399401892708</c:v>
                </c:pt>
                <c:pt idx="31">
                  <c:v>28692.455277824887</c:v>
                </c:pt>
                <c:pt idx="32">
                  <c:v>25661.42737226688</c:v>
                </c:pt>
                <c:pt idx="33">
                  <c:v>27797.631248143705</c:v>
                </c:pt>
                <c:pt idx="34">
                  <c:v>25888.912532028386</c:v>
                </c:pt>
                <c:pt idx="35">
                  <c:v>28994.565697035589</c:v>
                </c:pt>
                <c:pt idx="36">
                  <c:v>32101.747501025395</c:v>
                </c:pt>
                <c:pt idx="37">
                  <c:v>36023.838095811407</c:v>
                </c:pt>
                <c:pt idx="38">
                  <c:v>42173.235790049112</c:v>
                </c:pt>
                <c:pt idx="39">
                  <c:v>36928.900668353926</c:v>
                </c:pt>
                <c:pt idx="40">
                  <c:v>63333.036018810482</c:v>
                </c:pt>
                <c:pt idx="41">
                  <c:v>40764.451241725299</c:v>
                </c:pt>
                <c:pt idx="42">
                  <c:v>45436.595266174816</c:v>
                </c:pt>
                <c:pt idx="43">
                  <c:v>43423.9205187384</c:v>
                </c:pt>
                <c:pt idx="44">
                  <c:v>48483.501884231584</c:v>
                </c:pt>
                <c:pt idx="45">
                  <c:v>44024.151220595995</c:v>
                </c:pt>
                <c:pt idx="46">
                  <c:v>48309.373335327204</c:v>
                </c:pt>
                <c:pt idx="47">
                  <c:v>54160.014321531526</c:v>
                </c:pt>
                <c:pt idx="48">
                  <c:v>55725.540389825299</c:v>
                </c:pt>
                <c:pt idx="49">
                  <c:v>56673.016916853696</c:v>
                </c:pt>
                <c:pt idx="50">
                  <c:v>61318.283266567167</c:v>
                </c:pt>
                <c:pt idx="51">
                  <c:v>64618.568625747517</c:v>
                </c:pt>
                <c:pt idx="52">
                  <c:v>57952.235335756777</c:v>
                </c:pt>
                <c:pt idx="53">
                  <c:v>64976.999971113539</c:v>
                </c:pt>
                <c:pt idx="54">
                  <c:v>67127.108423799917</c:v>
                </c:pt>
                <c:pt idx="55">
                  <c:v>54846.15338094761</c:v>
                </c:pt>
                <c:pt idx="56">
                  <c:v>59988.442991503391</c:v>
                </c:pt>
                <c:pt idx="57">
                  <c:v>62427.388541069777</c:v>
                </c:pt>
                <c:pt idx="58">
                  <c:v>69411.75568970367</c:v>
                </c:pt>
                <c:pt idx="59">
                  <c:v>64192.577174990394</c:v>
                </c:pt>
                <c:pt idx="60">
                  <c:v>65483.884360077587</c:v>
                </c:pt>
                <c:pt idx="61">
                  <c:v>67741.919819494506</c:v>
                </c:pt>
                <c:pt idx="62">
                  <c:v>68470.598933717207</c:v>
                </c:pt>
                <c:pt idx="63">
                  <c:v>69542.246204699084</c:v>
                </c:pt>
                <c:pt idx="64">
                  <c:v>74827.205891004909</c:v>
                </c:pt>
                <c:pt idx="65">
                  <c:v>84061.263003770015</c:v>
                </c:pt>
                <c:pt idx="66">
                  <c:v>79500.787995174673</c:v>
                </c:pt>
                <c:pt idx="67">
                  <c:v>71252.692833288471</c:v>
                </c:pt>
                <c:pt idx="68">
                  <c:v>80876.875820937319</c:v>
                </c:pt>
                <c:pt idx="69">
                  <c:v>87939.769228484714</c:v>
                </c:pt>
              </c:numCache>
            </c:numRef>
          </c:val>
          <c:smooth val="0"/>
          <c:extLst>
            <c:ext xmlns:c16="http://schemas.microsoft.com/office/drawing/2014/chart" uri="{C3380CC4-5D6E-409C-BE32-E72D297353CC}">
              <c16:uniqueId val="{00000001-0BB9-439E-8326-EA33936350C9}"/>
            </c:ext>
          </c:extLst>
        </c:ser>
        <c:ser>
          <c:idx val="3"/>
          <c:order val="2"/>
          <c:tx>
            <c:strRef>
              <c:f>'Com-Group Recap'!$D$1</c:f>
              <c:strCache>
                <c:ptCount val="1"/>
                <c:pt idx="0">
                  <c:v>Flatfishes</c:v>
                </c:pt>
              </c:strCache>
            </c:strRef>
          </c:tx>
          <c:spPr>
            <a:ln w="28575" cap="rnd">
              <a:solidFill>
                <a:schemeClr val="accent4"/>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Recap'!$D$2:$D$71</c:f>
              <c:numCache>
                <c:formatCode>General</c:formatCode>
                <c:ptCount val="70"/>
                <c:pt idx="0">
                  <c:v>207.96666408429999</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numCache>
            </c:numRef>
          </c:val>
          <c:smooth val="0"/>
          <c:extLst>
            <c:ext xmlns:c16="http://schemas.microsoft.com/office/drawing/2014/chart" uri="{C3380CC4-5D6E-409C-BE32-E72D297353CC}">
              <c16:uniqueId val="{00000002-0BB9-439E-8326-EA33936350C9}"/>
            </c:ext>
          </c:extLst>
        </c:ser>
        <c:ser>
          <c:idx val="4"/>
          <c:order val="3"/>
          <c:tx>
            <c:strRef>
              <c:f>'Com-Group Recap'!$E$1</c:f>
              <c:strCache>
                <c:ptCount val="1"/>
                <c:pt idx="0">
                  <c:v>Herring-likes</c:v>
                </c:pt>
              </c:strCache>
            </c:strRef>
          </c:tx>
          <c:spPr>
            <a:ln w="28575" cap="rnd">
              <a:solidFill>
                <a:schemeClr val="accent5"/>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Recap'!$E$2:$E$71</c:f>
              <c:numCache>
                <c:formatCode>General</c:formatCode>
                <c:ptCount val="70"/>
                <c:pt idx="0">
                  <c:v>5139.4797295232984</c:v>
                </c:pt>
                <c:pt idx="1">
                  <c:v>5821.1200273164986</c:v>
                </c:pt>
                <c:pt idx="2">
                  <c:v>6538.5443087406002</c:v>
                </c:pt>
                <c:pt idx="3">
                  <c:v>6700.7845698361998</c:v>
                </c:pt>
                <c:pt idx="4">
                  <c:v>7159.8400733486997</c:v>
                </c:pt>
                <c:pt idx="5">
                  <c:v>7336.0381225691999</c:v>
                </c:pt>
                <c:pt idx="6">
                  <c:v>7485.8425769110991</c:v>
                </c:pt>
                <c:pt idx="7">
                  <c:v>7258.5279913784962</c:v>
                </c:pt>
                <c:pt idx="8">
                  <c:v>7550.0118244819005</c:v>
                </c:pt>
                <c:pt idx="9">
                  <c:v>7182.1473869653</c:v>
                </c:pt>
                <c:pt idx="10">
                  <c:v>7291.0474761175974</c:v>
                </c:pt>
                <c:pt idx="11">
                  <c:v>9554.408201108703</c:v>
                </c:pt>
                <c:pt idx="12">
                  <c:v>10218.061617393598</c:v>
                </c:pt>
                <c:pt idx="13">
                  <c:v>10862.566940751703</c:v>
                </c:pt>
                <c:pt idx="14">
                  <c:v>11735.832911077201</c:v>
                </c:pt>
                <c:pt idx="15">
                  <c:v>13626.224691395397</c:v>
                </c:pt>
                <c:pt idx="16">
                  <c:v>15203.223569630496</c:v>
                </c:pt>
                <c:pt idx="17">
                  <c:v>14419.003444467904</c:v>
                </c:pt>
                <c:pt idx="18">
                  <c:v>15365.240357536008</c:v>
                </c:pt>
                <c:pt idx="19">
                  <c:v>16793.602816660001</c:v>
                </c:pt>
                <c:pt idx="20">
                  <c:v>17763.655028097102</c:v>
                </c:pt>
                <c:pt idx="21">
                  <c:v>18226.169541650801</c:v>
                </c:pt>
                <c:pt idx="22">
                  <c:v>17062.772227325102</c:v>
                </c:pt>
                <c:pt idx="23">
                  <c:v>18608.510692872303</c:v>
                </c:pt>
                <c:pt idx="24">
                  <c:v>21028.309024428792</c:v>
                </c:pt>
                <c:pt idx="25">
                  <c:v>30352.991155687989</c:v>
                </c:pt>
                <c:pt idx="26">
                  <c:v>24682.91016555591</c:v>
                </c:pt>
                <c:pt idx="27">
                  <c:v>32333.403137164602</c:v>
                </c:pt>
                <c:pt idx="28">
                  <c:v>30863.93431504579</c:v>
                </c:pt>
                <c:pt idx="29">
                  <c:v>32020.076819295486</c:v>
                </c:pt>
                <c:pt idx="30">
                  <c:v>39536.115604997292</c:v>
                </c:pt>
                <c:pt idx="31">
                  <c:v>39519.762827082784</c:v>
                </c:pt>
                <c:pt idx="32">
                  <c:v>39509.675252537389</c:v>
                </c:pt>
                <c:pt idx="33">
                  <c:v>43821.184205464124</c:v>
                </c:pt>
                <c:pt idx="34">
                  <c:v>40950.070401290403</c:v>
                </c:pt>
                <c:pt idx="35">
                  <c:v>40033.864478224721</c:v>
                </c:pt>
                <c:pt idx="36">
                  <c:v>44187.553845283706</c:v>
                </c:pt>
                <c:pt idx="37">
                  <c:v>45592.146114191986</c:v>
                </c:pt>
                <c:pt idx="38">
                  <c:v>59759.403390487059</c:v>
                </c:pt>
                <c:pt idx="39">
                  <c:v>63420.35878013519</c:v>
                </c:pt>
                <c:pt idx="40">
                  <c:v>63450.065899614725</c:v>
                </c:pt>
                <c:pt idx="41">
                  <c:v>69014.686251566789</c:v>
                </c:pt>
                <c:pt idx="42">
                  <c:v>69601.606527636264</c:v>
                </c:pt>
                <c:pt idx="43">
                  <c:v>71056.518471128787</c:v>
                </c:pt>
                <c:pt idx="44">
                  <c:v>80277.195177971007</c:v>
                </c:pt>
                <c:pt idx="45">
                  <c:v>71940.891861420314</c:v>
                </c:pt>
                <c:pt idx="46">
                  <c:v>70438.552773480813</c:v>
                </c:pt>
                <c:pt idx="47">
                  <c:v>74942.734635190936</c:v>
                </c:pt>
                <c:pt idx="48">
                  <c:v>90620.173955068269</c:v>
                </c:pt>
                <c:pt idx="49">
                  <c:v>70194.950027151266</c:v>
                </c:pt>
                <c:pt idx="50">
                  <c:v>72022.919341943489</c:v>
                </c:pt>
                <c:pt idx="51">
                  <c:v>77542.085519707296</c:v>
                </c:pt>
                <c:pt idx="52">
                  <c:v>81609.953266369237</c:v>
                </c:pt>
                <c:pt idx="53">
                  <c:v>73134.511349845838</c:v>
                </c:pt>
                <c:pt idx="54">
                  <c:v>64854.500944321189</c:v>
                </c:pt>
                <c:pt idx="55">
                  <c:v>71491.264297724978</c:v>
                </c:pt>
                <c:pt idx="56">
                  <c:v>77107.642654912022</c:v>
                </c:pt>
                <c:pt idx="57">
                  <c:v>77086.072407685264</c:v>
                </c:pt>
                <c:pt idx="58">
                  <c:v>67587.483909857663</c:v>
                </c:pt>
                <c:pt idx="59">
                  <c:v>72096.145073209409</c:v>
                </c:pt>
                <c:pt idx="60">
                  <c:v>69619.082159644095</c:v>
                </c:pt>
                <c:pt idx="61">
                  <c:v>71308.755750673619</c:v>
                </c:pt>
                <c:pt idx="62">
                  <c:v>72082.414481467218</c:v>
                </c:pt>
                <c:pt idx="63">
                  <c:v>73224.929214242584</c:v>
                </c:pt>
                <c:pt idx="64">
                  <c:v>78898.784661853613</c:v>
                </c:pt>
                <c:pt idx="65">
                  <c:v>88453.968711609647</c:v>
                </c:pt>
                <c:pt idx="66">
                  <c:v>83559.494647739673</c:v>
                </c:pt>
                <c:pt idx="67">
                  <c:v>74715.397067142607</c:v>
                </c:pt>
                <c:pt idx="68">
                  <c:v>85013.393070632417</c:v>
                </c:pt>
                <c:pt idx="69">
                  <c:v>90578.753005329549</c:v>
                </c:pt>
              </c:numCache>
            </c:numRef>
          </c:val>
          <c:smooth val="0"/>
          <c:extLst>
            <c:ext xmlns:c16="http://schemas.microsoft.com/office/drawing/2014/chart" uri="{C3380CC4-5D6E-409C-BE32-E72D297353CC}">
              <c16:uniqueId val="{00000003-0BB9-439E-8326-EA33936350C9}"/>
            </c:ext>
          </c:extLst>
        </c:ser>
        <c:ser>
          <c:idx val="5"/>
          <c:order val="4"/>
          <c:tx>
            <c:strRef>
              <c:f>'Com-Group Recap'!$F$1</c:f>
              <c:strCache>
                <c:ptCount val="1"/>
                <c:pt idx="0">
                  <c:v>Molluscs</c:v>
                </c:pt>
              </c:strCache>
            </c:strRef>
          </c:tx>
          <c:spPr>
            <a:ln w="28575" cap="rnd">
              <a:solidFill>
                <a:schemeClr val="accent6"/>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Recap'!$F$2:$F$71</c:f>
              <c:numCache>
                <c:formatCode>General</c:formatCode>
                <c:ptCount val="70"/>
                <c:pt idx="0">
                  <c:v>121.51556781440001</c:v>
                </c:pt>
                <c:pt idx="1">
                  <c:v>166.64362710069997</c:v>
                </c:pt>
                <c:pt idx="2">
                  <c:v>177.91261169929999</c:v>
                </c:pt>
                <c:pt idx="3">
                  <c:v>183.12681414329998</c:v>
                </c:pt>
                <c:pt idx="4">
                  <c:v>219.5029094674</c:v>
                </c:pt>
                <c:pt idx="5">
                  <c:v>222.72614810460001</c:v>
                </c:pt>
                <c:pt idx="6">
                  <c:v>224.38483640139998</c:v>
                </c:pt>
                <c:pt idx="7">
                  <c:v>221.70592981190003</c:v>
                </c:pt>
                <c:pt idx="8">
                  <c:v>225.24466810020002</c:v>
                </c:pt>
                <c:pt idx="9">
                  <c:v>220.2510067515</c:v>
                </c:pt>
                <c:pt idx="10">
                  <c:v>222.7207143352</c:v>
                </c:pt>
                <c:pt idx="11">
                  <c:v>242.96109250310002</c:v>
                </c:pt>
                <c:pt idx="12">
                  <c:v>233.42297163070003</c:v>
                </c:pt>
                <c:pt idx="13">
                  <c:v>251.61048678370003</c:v>
                </c:pt>
                <c:pt idx="14">
                  <c:v>241.11212859950001</c:v>
                </c:pt>
                <c:pt idx="15">
                  <c:v>236.61075198899999</c:v>
                </c:pt>
                <c:pt idx="16">
                  <c:v>253.91441900799998</c:v>
                </c:pt>
                <c:pt idx="17">
                  <c:v>219.91353285689996</c:v>
                </c:pt>
                <c:pt idx="18">
                  <c:v>254.01301495669998</c:v>
                </c:pt>
                <c:pt idx="19">
                  <c:v>274.71366323839999</c:v>
                </c:pt>
                <c:pt idx="20">
                  <c:v>254.47347621639997</c:v>
                </c:pt>
                <c:pt idx="21">
                  <c:v>256.03773285149998</c:v>
                </c:pt>
                <c:pt idx="22">
                  <c:v>284.36926151799997</c:v>
                </c:pt>
                <c:pt idx="23">
                  <c:v>155.2107410891</c:v>
                </c:pt>
                <c:pt idx="24">
                  <c:v>378.19720025670006</c:v>
                </c:pt>
                <c:pt idx="25">
                  <c:v>1013.2874990996</c:v>
                </c:pt>
                <c:pt idx="26">
                  <c:v>1412.5117004843</c:v>
                </c:pt>
                <c:pt idx="27">
                  <c:v>1602.1371313304999</c:v>
                </c:pt>
                <c:pt idx="28">
                  <c:v>4272.1663293271004</c:v>
                </c:pt>
                <c:pt idx="29">
                  <c:v>3166.0482293306</c:v>
                </c:pt>
                <c:pt idx="30">
                  <c:v>2678.4728482443006</c:v>
                </c:pt>
                <c:pt idx="31">
                  <c:v>2561.7029752475005</c:v>
                </c:pt>
                <c:pt idx="32">
                  <c:v>2444.5508731788004</c:v>
                </c:pt>
                <c:pt idx="33">
                  <c:v>3412.7607119445993</c:v>
                </c:pt>
                <c:pt idx="34">
                  <c:v>5079.4218290047011</c:v>
                </c:pt>
                <c:pt idx="35">
                  <c:v>4862.7295505149987</c:v>
                </c:pt>
                <c:pt idx="36">
                  <c:v>3913.7154276270994</c:v>
                </c:pt>
                <c:pt idx="37">
                  <c:v>4208.7263567148993</c:v>
                </c:pt>
                <c:pt idx="38">
                  <c:v>4827.3478599080008</c:v>
                </c:pt>
                <c:pt idx="39">
                  <c:v>4403.5385247303002</c:v>
                </c:pt>
                <c:pt idx="40">
                  <c:v>4589.5012407563991</c:v>
                </c:pt>
                <c:pt idx="41">
                  <c:v>5565.025963013999</c:v>
                </c:pt>
                <c:pt idx="42">
                  <c:v>6551.0161754779992</c:v>
                </c:pt>
                <c:pt idx="43">
                  <c:v>10406.963587554101</c:v>
                </c:pt>
                <c:pt idx="44">
                  <c:v>11568.159365406</c:v>
                </c:pt>
                <c:pt idx="45">
                  <c:v>15561.527135679102</c:v>
                </c:pt>
                <c:pt idx="46">
                  <c:v>13419.556998427901</c:v>
                </c:pt>
                <c:pt idx="47">
                  <c:v>11008.876734040301</c:v>
                </c:pt>
                <c:pt idx="48">
                  <c:v>10231.342908210301</c:v>
                </c:pt>
                <c:pt idx="49">
                  <c:v>13009.161169106301</c:v>
                </c:pt>
                <c:pt idx="50">
                  <c:v>13888.612339245401</c:v>
                </c:pt>
                <c:pt idx="51">
                  <c:v>25259.832011517105</c:v>
                </c:pt>
                <c:pt idx="52">
                  <c:v>26916.653765768897</c:v>
                </c:pt>
                <c:pt idx="53">
                  <c:v>23583.384244589099</c:v>
                </c:pt>
                <c:pt idx="54">
                  <c:v>22364.906058856704</c:v>
                </c:pt>
                <c:pt idx="55">
                  <c:v>14394.9225023252</c:v>
                </c:pt>
                <c:pt idx="56">
                  <c:v>16204.933955615603</c:v>
                </c:pt>
                <c:pt idx="57">
                  <c:v>19193.021914615296</c:v>
                </c:pt>
                <c:pt idx="58">
                  <c:v>12526.745549380797</c:v>
                </c:pt>
                <c:pt idx="59">
                  <c:v>14682.829009221898</c:v>
                </c:pt>
                <c:pt idx="60">
                  <c:v>12875.173503589102</c:v>
                </c:pt>
                <c:pt idx="61">
                  <c:v>13313.5969204911</c:v>
                </c:pt>
                <c:pt idx="62">
                  <c:v>13456.671581259698</c:v>
                </c:pt>
                <c:pt idx="63">
                  <c:v>13666.990582014801</c:v>
                </c:pt>
                <c:pt idx="64">
                  <c:v>14703.396223588597</c:v>
                </c:pt>
                <c:pt idx="65">
                  <c:v>16447.387965753493</c:v>
                </c:pt>
                <c:pt idx="66">
                  <c:v>15557.132962140397</c:v>
                </c:pt>
                <c:pt idx="67">
                  <c:v>13946.841344914603</c:v>
                </c:pt>
                <c:pt idx="68">
                  <c:v>15826.251514039404</c:v>
                </c:pt>
                <c:pt idx="69">
                  <c:v>17030.591409323599</c:v>
                </c:pt>
              </c:numCache>
            </c:numRef>
          </c:val>
          <c:smooth val="0"/>
          <c:extLst>
            <c:ext xmlns:c16="http://schemas.microsoft.com/office/drawing/2014/chart" uri="{C3380CC4-5D6E-409C-BE32-E72D297353CC}">
              <c16:uniqueId val="{00000004-0BB9-439E-8326-EA33936350C9}"/>
            </c:ext>
          </c:extLst>
        </c:ser>
        <c:ser>
          <c:idx val="6"/>
          <c:order val="5"/>
          <c:tx>
            <c:strRef>
              <c:f>'Com-Group Recap'!$G$1</c:f>
              <c:strCache>
                <c:ptCount val="1"/>
                <c:pt idx="0">
                  <c:v>Other fishes &amp; inverts</c:v>
                </c:pt>
              </c:strCache>
            </c:strRef>
          </c:tx>
          <c:spPr>
            <a:ln w="28575" cap="rnd">
              <a:solidFill>
                <a:schemeClr val="accent1">
                  <a:lumMod val="60000"/>
                </a:schemeClr>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Recap'!$G$2:$G$71</c:f>
              <c:numCache>
                <c:formatCode>General</c:formatCode>
                <c:ptCount val="70"/>
                <c:pt idx="0">
                  <c:v>25849.118127450594</c:v>
                </c:pt>
                <c:pt idx="1">
                  <c:v>32976.580101892199</c:v>
                </c:pt>
                <c:pt idx="2">
                  <c:v>37131.519482514472</c:v>
                </c:pt>
                <c:pt idx="3">
                  <c:v>38115.174218675391</c:v>
                </c:pt>
                <c:pt idx="4">
                  <c:v>40394.773958266196</c:v>
                </c:pt>
                <c:pt idx="5">
                  <c:v>41597.552532199799</c:v>
                </c:pt>
                <c:pt idx="6">
                  <c:v>42062.132510653144</c:v>
                </c:pt>
                <c:pt idx="7">
                  <c:v>41112.499444499808</c:v>
                </c:pt>
                <c:pt idx="8">
                  <c:v>42670.194290879226</c:v>
                </c:pt>
                <c:pt idx="9">
                  <c:v>40636.664936924208</c:v>
                </c:pt>
                <c:pt idx="10">
                  <c:v>41325.289276165087</c:v>
                </c:pt>
                <c:pt idx="11">
                  <c:v>77734.113653579421</c:v>
                </c:pt>
                <c:pt idx="12">
                  <c:v>80951.402014791136</c:v>
                </c:pt>
                <c:pt idx="13">
                  <c:v>84685.4187171222</c:v>
                </c:pt>
                <c:pt idx="14">
                  <c:v>90364.476290468097</c:v>
                </c:pt>
                <c:pt idx="15">
                  <c:v>102929.99906661542</c:v>
                </c:pt>
                <c:pt idx="16">
                  <c:v>112315.14001475538</c:v>
                </c:pt>
                <c:pt idx="17">
                  <c:v>105799.18788677032</c:v>
                </c:pt>
                <c:pt idx="18">
                  <c:v>113200.01069878346</c:v>
                </c:pt>
                <c:pt idx="19">
                  <c:v>123339.12088539613</c:v>
                </c:pt>
                <c:pt idx="20">
                  <c:v>137206.22699472742</c:v>
                </c:pt>
                <c:pt idx="21">
                  <c:v>139977.5074040021</c:v>
                </c:pt>
                <c:pt idx="22">
                  <c:v>131556.08477597628</c:v>
                </c:pt>
                <c:pt idx="23">
                  <c:v>136281.17549941453</c:v>
                </c:pt>
                <c:pt idx="24">
                  <c:v>142938.65957305327</c:v>
                </c:pt>
                <c:pt idx="25">
                  <c:v>96828.744039773082</c:v>
                </c:pt>
                <c:pt idx="26">
                  <c:v>84337.94798960755</c:v>
                </c:pt>
                <c:pt idx="27">
                  <c:v>83692.648404540509</c:v>
                </c:pt>
                <c:pt idx="28">
                  <c:v>95078.381000002817</c:v>
                </c:pt>
                <c:pt idx="29">
                  <c:v>114879.13983948804</c:v>
                </c:pt>
                <c:pt idx="30">
                  <c:v>115632.85554945229</c:v>
                </c:pt>
                <c:pt idx="31">
                  <c:v>119457.4900593256</c:v>
                </c:pt>
                <c:pt idx="32">
                  <c:v>122249.19631338349</c:v>
                </c:pt>
                <c:pt idx="33">
                  <c:v>126913.53062179146</c:v>
                </c:pt>
                <c:pt idx="34">
                  <c:v>131355.56887252384</c:v>
                </c:pt>
                <c:pt idx="35">
                  <c:v>149541.63802822109</c:v>
                </c:pt>
                <c:pt idx="36">
                  <c:v>141258.22408385173</c:v>
                </c:pt>
                <c:pt idx="37">
                  <c:v>166359.15859244822</c:v>
                </c:pt>
                <c:pt idx="38">
                  <c:v>155090.57752448294</c:v>
                </c:pt>
                <c:pt idx="39">
                  <c:v>140789.26874493886</c:v>
                </c:pt>
                <c:pt idx="40">
                  <c:v>136601.95772151061</c:v>
                </c:pt>
                <c:pt idx="41">
                  <c:v>212569.56139222428</c:v>
                </c:pt>
                <c:pt idx="42">
                  <c:v>240159.7847238325</c:v>
                </c:pt>
                <c:pt idx="43">
                  <c:v>160815.75779847207</c:v>
                </c:pt>
                <c:pt idx="44">
                  <c:v>165574.99621647722</c:v>
                </c:pt>
                <c:pt idx="45">
                  <c:v>176216.13055337174</c:v>
                </c:pt>
                <c:pt idx="46">
                  <c:v>166513.61576448477</c:v>
                </c:pt>
                <c:pt idx="47">
                  <c:v>166731.47800284505</c:v>
                </c:pt>
                <c:pt idx="48">
                  <c:v>160739.93484356906</c:v>
                </c:pt>
                <c:pt idx="49">
                  <c:v>178273.77144179097</c:v>
                </c:pt>
                <c:pt idx="50">
                  <c:v>200402.1916799272</c:v>
                </c:pt>
                <c:pt idx="51">
                  <c:v>209661.69348474784</c:v>
                </c:pt>
                <c:pt idx="52">
                  <c:v>217536.59264178574</c:v>
                </c:pt>
                <c:pt idx="53">
                  <c:v>235482.58673629159</c:v>
                </c:pt>
                <c:pt idx="54">
                  <c:v>199723.81831119891</c:v>
                </c:pt>
                <c:pt idx="55">
                  <c:v>175865.63792981257</c:v>
                </c:pt>
                <c:pt idx="56">
                  <c:v>199881.3100707446</c:v>
                </c:pt>
                <c:pt idx="57">
                  <c:v>194758.86871749678</c:v>
                </c:pt>
                <c:pt idx="58">
                  <c:v>215688.4433594943</c:v>
                </c:pt>
                <c:pt idx="59">
                  <c:v>213755.70785153462</c:v>
                </c:pt>
                <c:pt idx="60">
                  <c:v>222494.87961453444</c:v>
                </c:pt>
                <c:pt idx="61">
                  <c:v>202115.29672353971</c:v>
                </c:pt>
                <c:pt idx="62">
                  <c:v>205396.70324847524</c:v>
                </c:pt>
                <c:pt idx="63">
                  <c:v>209510.45141086509</c:v>
                </c:pt>
                <c:pt idx="64">
                  <c:v>226206.0873306971</c:v>
                </c:pt>
                <c:pt idx="65">
                  <c:v>254498.37026727496</c:v>
                </c:pt>
                <c:pt idx="66">
                  <c:v>241468.6996325152</c:v>
                </c:pt>
                <c:pt idx="67">
                  <c:v>214401.72891731755</c:v>
                </c:pt>
                <c:pt idx="68">
                  <c:v>244747.24502666749</c:v>
                </c:pt>
                <c:pt idx="69">
                  <c:v>272474.72995741374</c:v>
                </c:pt>
              </c:numCache>
            </c:numRef>
          </c:val>
          <c:smooth val="0"/>
          <c:extLst>
            <c:ext xmlns:c16="http://schemas.microsoft.com/office/drawing/2014/chart" uri="{C3380CC4-5D6E-409C-BE32-E72D297353CC}">
              <c16:uniqueId val="{00000005-0BB9-439E-8326-EA33936350C9}"/>
            </c:ext>
          </c:extLst>
        </c:ser>
        <c:ser>
          <c:idx val="7"/>
          <c:order val="6"/>
          <c:tx>
            <c:strRef>
              <c:f>'Com-Group Recap'!$H$1</c:f>
              <c:strCache>
                <c:ptCount val="1"/>
                <c:pt idx="0">
                  <c:v>Perch-likes</c:v>
                </c:pt>
              </c:strCache>
            </c:strRef>
          </c:tx>
          <c:spPr>
            <a:ln w="28575" cap="rnd">
              <a:solidFill>
                <a:schemeClr val="accent2">
                  <a:lumMod val="60000"/>
                </a:schemeClr>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Recap'!$H$2:$H$71</c:f>
              <c:numCache>
                <c:formatCode>General</c:formatCode>
                <c:ptCount val="70"/>
                <c:pt idx="0">
                  <c:v>14120.075142837799</c:v>
                </c:pt>
                <c:pt idx="1">
                  <c:v>15899.60518204958</c:v>
                </c:pt>
                <c:pt idx="2">
                  <c:v>17817.359239470097</c:v>
                </c:pt>
                <c:pt idx="3">
                  <c:v>18316.066903182695</c:v>
                </c:pt>
                <c:pt idx="4">
                  <c:v>19592.200167718791</c:v>
                </c:pt>
                <c:pt idx="5">
                  <c:v>20085.817468543315</c:v>
                </c:pt>
                <c:pt idx="6">
                  <c:v>20399.583324894986</c:v>
                </c:pt>
                <c:pt idx="7">
                  <c:v>19884.855741418021</c:v>
                </c:pt>
                <c:pt idx="8">
                  <c:v>20543.652823855304</c:v>
                </c:pt>
                <c:pt idx="9">
                  <c:v>19626.107776235698</c:v>
                </c:pt>
                <c:pt idx="10">
                  <c:v>20255.310125084994</c:v>
                </c:pt>
                <c:pt idx="11">
                  <c:v>26309.665242618903</c:v>
                </c:pt>
                <c:pt idx="12">
                  <c:v>28206.268597058577</c:v>
                </c:pt>
                <c:pt idx="13">
                  <c:v>30161.251169815507</c:v>
                </c:pt>
                <c:pt idx="14">
                  <c:v>32931.2376774976</c:v>
                </c:pt>
                <c:pt idx="15">
                  <c:v>38245.597685180597</c:v>
                </c:pt>
                <c:pt idx="16">
                  <c:v>42753.610175503221</c:v>
                </c:pt>
                <c:pt idx="17">
                  <c:v>40495.940026831318</c:v>
                </c:pt>
                <c:pt idx="18">
                  <c:v>43142.558360905772</c:v>
                </c:pt>
                <c:pt idx="19">
                  <c:v>46938.237330719588</c:v>
                </c:pt>
                <c:pt idx="20">
                  <c:v>46405.774303175102</c:v>
                </c:pt>
                <c:pt idx="21">
                  <c:v>47250.647933894397</c:v>
                </c:pt>
                <c:pt idx="22">
                  <c:v>51298.058111128688</c:v>
                </c:pt>
                <c:pt idx="23">
                  <c:v>55578.049118432682</c:v>
                </c:pt>
                <c:pt idx="24">
                  <c:v>57934.85506963532</c:v>
                </c:pt>
                <c:pt idx="25">
                  <c:v>64419.227085102757</c:v>
                </c:pt>
                <c:pt idx="26">
                  <c:v>74620.787880899137</c:v>
                </c:pt>
                <c:pt idx="27">
                  <c:v>71807.560634584559</c:v>
                </c:pt>
                <c:pt idx="28">
                  <c:v>77313.151070639593</c:v>
                </c:pt>
                <c:pt idx="29">
                  <c:v>84786.390084805767</c:v>
                </c:pt>
                <c:pt idx="30">
                  <c:v>82668.097061676788</c:v>
                </c:pt>
                <c:pt idx="31">
                  <c:v>86870.884956740352</c:v>
                </c:pt>
                <c:pt idx="32">
                  <c:v>91073.683967121746</c:v>
                </c:pt>
                <c:pt idx="33">
                  <c:v>110284.7210311884</c:v>
                </c:pt>
                <c:pt idx="34">
                  <c:v>114917.47818241634</c:v>
                </c:pt>
                <c:pt idx="35">
                  <c:v>125558.88733502864</c:v>
                </c:pt>
                <c:pt idx="36">
                  <c:v>129351.88699041501</c:v>
                </c:pt>
                <c:pt idx="37">
                  <c:v>117533.92444967873</c:v>
                </c:pt>
                <c:pt idx="38">
                  <c:v>122780.10288431775</c:v>
                </c:pt>
                <c:pt idx="39">
                  <c:v>132993.088623299</c:v>
                </c:pt>
                <c:pt idx="40">
                  <c:v>141723.32212067503</c:v>
                </c:pt>
                <c:pt idx="41">
                  <c:v>148177.15586352674</c:v>
                </c:pt>
                <c:pt idx="42">
                  <c:v>154442.55663398936</c:v>
                </c:pt>
                <c:pt idx="43">
                  <c:v>157157.20104809824</c:v>
                </c:pt>
                <c:pt idx="44">
                  <c:v>177407.48270386003</c:v>
                </c:pt>
                <c:pt idx="45">
                  <c:v>193662.41843620004</c:v>
                </c:pt>
                <c:pt idx="46">
                  <c:v>192877.6691950711</c:v>
                </c:pt>
                <c:pt idx="47">
                  <c:v>212932.77347642346</c:v>
                </c:pt>
                <c:pt idx="48">
                  <c:v>195567.50817510945</c:v>
                </c:pt>
                <c:pt idx="49">
                  <c:v>203964.94442170515</c:v>
                </c:pt>
                <c:pt idx="50">
                  <c:v>196747.54240579039</c:v>
                </c:pt>
                <c:pt idx="51">
                  <c:v>221724.06342010642</c:v>
                </c:pt>
                <c:pt idx="52">
                  <c:v>237073.6387973433</c:v>
                </c:pt>
                <c:pt idx="53">
                  <c:v>220698.83412442944</c:v>
                </c:pt>
                <c:pt idx="54">
                  <c:v>222429.34035146754</c:v>
                </c:pt>
                <c:pt idx="55">
                  <c:v>216616.55068061341</c:v>
                </c:pt>
                <c:pt idx="56">
                  <c:v>202385.92960059328</c:v>
                </c:pt>
                <c:pt idx="57">
                  <c:v>219215.95801874125</c:v>
                </c:pt>
                <c:pt idx="58">
                  <c:v>245996.94528199968</c:v>
                </c:pt>
                <c:pt idx="59">
                  <c:v>251383.78004825464</c:v>
                </c:pt>
                <c:pt idx="60">
                  <c:v>248415.98779294317</c:v>
                </c:pt>
                <c:pt idx="61">
                  <c:v>284207.04157051782</c:v>
                </c:pt>
                <c:pt idx="62">
                  <c:v>287275.92624055361</c:v>
                </c:pt>
                <c:pt idx="63">
                  <c:v>291245.61664460442</c:v>
                </c:pt>
                <c:pt idx="64">
                  <c:v>313159.84788495558</c:v>
                </c:pt>
                <c:pt idx="65">
                  <c:v>352483.24358137505</c:v>
                </c:pt>
                <c:pt idx="66">
                  <c:v>333183.92842523096</c:v>
                </c:pt>
                <c:pt idx="67">
                  <c:v>298186.13234852842</c:v>
                </c:pt>
                <c:pt idx="68">
                  <c:v>338938.16320536984</c:v>
                </c:pt>
                <c:pt idx="69">
                  <c:v>389509.82094742137</c:v>
                </c:pt>
              </c:numCache>
            </c:numRef>
          </c:val>
          <c:smooth val="0"/>
          <c:extLst>
            <c:ext xmlns:c16="http://schemas.microsoft.com/office/drawing/2014/chart" uri="{C3380CC4-5D6E-409C-BE32-E72D297353CC}">
              <c16:uniqueId val="{00000006-0BB9-439E-8326-EA33936350C9}"/>
            </c:ext>
          </c:extLst>
        </c:ser>
        <c:ser>
          <c:idx val="8"/>
          <c:order val="7"/>
          <c:tx>
            <c:strRef>
              <c:f>'Com-Group Recap'!$I$1</c:f>
              <c:strCache>
                <c:ptCount val="1"/>
                <c:pt idx="0">
                  <c:v>Sharks &amp; rays</c:v>
                </c:pt>
              </c:strCache>
            </c:strRef>
          </c:tx>
          <c:spPr>
            <a:ln w="28575" cap="rnd">
              <a:solidFill>
                <a:schemeClr val="accent3">
                  <a:lumMod val="60000"/>
                </a:schemeClr>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Recap'!$I$2:$I$71</c:f>
              <c:numCache>
                <c:formatCode>General</c:formatCode>
                <c:ptCount val="70"/>
                <c:pt idx="0">
                  <c:v>616.27132752839998</c:v>
                </c:pt>
                <c:pt idx="1">
                  <c:v>709.13487514080009</c:v>
                </c:pt>
                <c:pt idx="2">
                  <c:v>801.99221826239966</c:v>
                </c:pt>
                <c:pt idx="3">
                  <c:v>808.78331030630022</c:v>
                </c:pt>
                <c:pt idx="4">
                  <c:v>852.85996458910006</c:v>
                </c:pt>
                <c:pt idx="5">
                  <c:v>889.96777820149964</c:v>
                </c:pt>
                <c:pt idx="6">
                  <c:v>896.57181393110022</c:v>
                </c:pt>
                <c:pt idx="7">
                  <c:v>890.51651361270001</c:v>
                </c:pt>
                <c:pt idx="8">
                  <c:v>897.55990958140001</c:v>
                </c:pt>
                <c:pt idx="9">
                  <c:v>854.76298734829993</c:v>
                </c:pt>
                <c:pt idx="10">
                  <c:v>892.0444539465999</c:v>
                </c:pt>
                <c:pt idx="11">
                  <c:v>1387.5997590597003</c:v>
                </c:pt>
                <c:pt idx="12">
                  <c:v>1683.0506023300002</c:v>
                </c:pt>
                <c:pt idx="13">
                  <c:v>1995.4626720314</c:v>
                </c:pt>
                <c:pt idx="14">
                  <c:v>2349.5569608348005</c:v>
                </c:pt>
                <c:pt idx="15">
                  <c:v>2929.0901566124012</c:v>
                </c:pt>
                <c:pt idx="16">
                  <c:v>3510.165579532299</c:v>
                </c:pt>
                <c:pt idx="17">
                  <c:v>3306.3012876771986</c:v>
                </c:pt>
                <c:pt idx="18">
                  <c:v>3525.0870172587984</c:v>
                </c:pt>
                <c:pt idx="19">
                  <c:v>3853.2310573074988</c:v>
                </c:pt>
                <c:pt idx="20">
                  <c:v>3720.3795325750993</c:v>
                </c:pt>
                <c:pt idx="21">
                  <c:v>3797.9788487113015</c:v>
                </c:pt>
                <c:pt idx="22">
                  <c:v>3542.1400871657011</c:v>
                </c:pt>
                <c:pt idx="23">
                  <c:v>5174.4423883322024</c:v>
                </c:pt>
                <c:pt idx="24">
                  <c:v>5210.3833954920001</c:v>
                </c:pt>
                <c:pt idx="25">
                  <c:v>6634.2109872813016</c:v>
                </c:pt>
                <c:pt idx="26">
                  <c:v>8455.5244867496967</c:v>
                </c:pt>
                <c:pt idx="27">
                  <c:v>8017.2988523422</c:v>
                </c:pt>
                <c:pt idx="28">
                  <c:v>8352.5550976114009</c:v>
                </c:pt>
                <c:pt idx="29">
                  <c:v>8265.1509013586037</c:v>
                </c:pt>
                <c:pt idx="30">
                  <c:v>9877.9490557201989</c:v>
                </c:pt>
                <c:pt idx="31">
                  <c:v>9988.1702356971982</c:v>
                </c:pt>
                <c:pt idx="32">
                  <c:v>10118.881258497096</c:v>
                </c:pt>
                <c:pt idx="33">
                  <c:v>11447.521530081694</c:v>
                </c:pt>
                <c:pt idx="34">
                  <c:v>11889.706370219392</c:v>
                </c:pt>
                <c:pt idx="35">
                  <c:v>12977.445118128397</c:v>
                </c:pt>
                <c:pt idx="36">
                  <c:v>12233.404900446501</c:v>
                </c:pt>
                <c:pt idx="37">
                  <c:v>14467.030839131094</c:v>
                </c:pt>
                <c:pt idx="38">
                  <c:v>15215.721826931605</c:v>
                </c:pt>
                <c:pt idx="39">
                  <c:v>16452.815370328401</c:v>
                </c:pt>
                <c:pt idx="40">
                  <c:v>16519.642293811503</c:v>
                </c:pt>
                <c:pt idx="41">
                  <c:v>17673.50221913341</c:v>
                </c:pt>
                <c:pt idx="42">
                  <c:v>17378.683641192813</c:v>
                </c:pt>
                <c:pt idx="43">
                  <c:v>18238.264798938595</c:v>
                </c:pt>
                <c:pt idx="44">
                  <c:v>18066.06818837129</c:v>
                </c:pt>
                <c:pt idx="45">
                  <c:v>19054.651399373106</c:v>
                </c:pt>
                <c:pt idx="46">
                  <c:v>21482.890638157791</c:v>
                </c:pt>
                <c:pt idx="47">
                  <c:v>21988.184737129206</c:v>
                </c:pt>
                <c:pt idx="48">
                  <c:v>21610.689193448299</c:v>
                </c:pt>
                <c:pt idx="49">
                  <c:v>22498.680372351508</c:v>
                </c:pt>
                <c:pt idx="50">
                  <c:v>22096.82078072181</c:v>
                </c:pt>
                <c:pt idx="51">
                  <c:v>19832.167200397995</c:v>
                </c:pt>
                <c:pt idx="52">
                  <c:v>25539.517582495802</c:v>
                </c:pt>
                <c:pt idx="53">
                  <c:v>28947.7157691473</c:v>
                </c:pt>
                <c:pt idx="54">
                  <c:v>28112.2735154812</c:v>
                </c:pt>
                <c:pt idx="55">
                  <c:v>15746.720540405493</c:v>
                </c:pt>
                <c:pt idx="56">
                  <c:v>17969.075109433888</c:v>
                </c:pt>
                <c:pt idx="57">
                  <c:v>22282.843558367513</c:v>
                </c:pt>
                <c:pt idx="58">
                  <c:v>24093.447781193896</c:v>
                </c:pt>
                <c:pt idx="59">
                  <c:v>30169.8422155263</c:v>
                </c:pt>
                <c:pt idx="60">
                  <c:v>23920.445272893801</c:v>
                </c:pt>
                <c:pt idx="61">
                  <c:v>23462.266433707897</c:v>
                </c:pt>
                <c:pt idx="62">
                  <c:v>23712.581299521695</c:v>
                </c:pt>
                <c:pt idx="63">
                  <c:v>24087.722742215599</c:v>
                </c:pt>
                <c:pt idx="64">
                  <c:v>25945.446649403086</c:v>
                </c:pt>
                <c:pt idx="65">
                  <c:v>29764.534234159404</c:v>
                </c:pt>
                <c:pt idx="66">
                  <c:v>28124.905932129604</c:v>
                </c:pt>
                <c:pt idx="67">
                  <c:v>25161.411082759794</c:v>
                </c:pt>
                <c:pt idx="68">
                  <c:v>28613.6093367834</c:v>
                </c:pt>
                <c:pt idx="69">
                  <c:v>32232.792683166503</c:v>
                </c:pt>
              </c:numCache>
            </c:numRef>
          </c:val>
          <c:smooth val="0"/>
          <c:extLst>
            <c:ext xmlns:c16="http://schemas.microsoft.com/office/drawing/2014/chart" uri="{C3380CC4-5D6E-409C-BE32-E72D297353CC}">
              <c16:uniqueId val="{00000007-0BB9-439E-8326-EA33936350C9}"/>
            </c:ext>
          </c:extLst>
        </c:ser>
        <c:ser>
          <c:idx val="9"/>
          <c:order val="8"/>
          <c:tx>
            <c:strRef>
              <c:f>'Com-Group Recap'!$J$1</c:f>
              <c:strCache>
                <c:ptCount val="1"/>
                <c:pt idx="0">
                  <c:v>Tuna &amp; billfishes</c:v>
                </c:pt>
              </c:strCache>
            </c:strRef>
          </c:tx>
          <c:spPr>
            <a:ln w="28575" cap="rnd">
              <a:solidFill>
                <a:schemeClr val="accent4">
                  <a:lumMod val="60000"/>
                </a:schemeClr>
              </a:solidFill>
              <a:round/>
            </a:ln>
            <a:effectLst/>
          </c:spPr>
          <c:marker>
            <c:symbol val="none"/>
          </c:marker>
          <c:cat>
            <c:numRef>
              <c:f>'Com-Group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'Com-Group Recap'!$J$2:$J$71</c:f>
              <c:numCache>
                <c:formatCode>General</c:formatCode>
                <c:ptCount val="70"/>
                <c:pt idx="0">
                  <c:v>2108.7313703196005</c:v>
                </c:pt>
                <c:pt idx="1">
                  <c:v>1839.7649682687002</c:v>
                </c:pt>
                <c:pt idx="2">
                  <c:v>2073.5121178446998</c:v>
                </c:pt>
                <c:pt idx="3">
                  <c:v>2127.5143000783</c:v>
                </c:pt>
                <c:pt idx="4">
                  <c:v>2277.0038308716007</c:v>
                </c:pt>
                <c:pt idx="5">
                  <c:v>2330.8704918376002</c:v>
                </c:pt>
                <c:pt idx="6">
                  <c:v>2369.426792453999</c:v>
                </c:pt>
                <c:pt idx="7">
                  <c:v>2313.1269862683012</c:v>
                </c:pt>
                <c:pt idx="8">
                  <c:v>2384.4554431957986</c:v>
                </c:pt>
                <c:pt idx="9">
                  <c:v>2278.2192952512005</c:v>
                </c:pt>
                <c:pt idx="10">
                  <c:v>2330.7444154992004</c:v>
                </c:pt>
                <c:pt idx="11">
                  <c:v>2583.2624601179004</c:v>
                </c:pt>
                <c:pt idx="12">
                  <c:v>2301.5755006799986</c:v>
                </c:pt>
                <c:pt idx="13">
                  <c:v>1984.8150621678003</c:v>
                </c:pt>
                <c:pt idx="14">
                  <c:v>1671.2544284480996</c:v>
                </c:pt>
                <c:pt idx="15">
                  <c:v>1419.8057062107002</c:v>
                </c:pt>
                <c:pt idx="16">
                  <c:v>1034.8255662830004</c:v>
                </c:pt>
                <c:pt idx="17">
                  <c:v>979.42820902490007</c:v>
                </c:pt>
                <c:pt idx="18">
                  <c:v>1049.8386271328002</c:v>
                </c:pt>
                <c:pt idx="19">
                  <c:v>1146.7478571300999</c:v>
                </c:pt>
                <c:pt idx="20">
                  <c:v>887.78013107580011</c:v>
                </c:pt>
                <c:pt idx="21">
                  <c:v>911.66569714059983</c:v>
                </c:pt>
                <c:pt idx="22">
                  <c:v>1296.1039722672001</c:v>
                </c:pt>
                <c:pt idx="23">
                  <c:v>1673.1624238806999</c:v>
                </c:pt>
                <c:pt idx="24">
                  <c:v>1877.3098966953</c:v>
                </c:pt>
                <c:pt idx="25">
                  <c:v>2068.2761677519998</c:v>
                </c:pt>
                <c:pt idx="26">
                  <c:v>2285.9604663719997</c:v>
                </c:pt>
                <c:pt idx="27">
                  <c:v>2687.9085071883997</c:v>
                </c:pt>
                <c:pt idx="28">
                  <c:v>2625.7653175620021</c:v>
                </c:pt>
                <c:pt idx="29">
                  <c:v>3130.8117817753991</c:v>
                </c:pt>
                <c:pt idx="30">
                  <c:v>3853.9688524045996</c:v>
                </c:pt>
                <c:pt idx="31">
                  <c:v>5215.8342813836016</c:v>
                </c:pt>
                <c:pt idx="32">
                  <c:v>6539.0210147878988</c:v>
                </c:pt>
                <c:pt idx="33">
                  <c:v>6874.4204805979989</c:v>
                </c:pt>
                <c:pt idx="34">
                  <c:v>6014.7406644878001</c:v>
                </c:pt>
                <c:pt idx="35">
                  <c:v>5904.6584317269007</c:v>
                </c:pt>
                <c:pt idx="36">
                  <c:v>5911.2160774596014</c:v>
                </c:pt>
                <c:pt idx="37">
                  <c:v>6980.7954145712047</c:v>
                </c:pt>
                <c:pt idx="38">
                  <c:v>6455.9697543641987</c:v>
                </c:pt>
                <c:pt idx="39">
                  <c:v>7102.749587174003</c:v>
                </c:pt>
                <c:pt idx="40">
                  <c:v>7719.8108539708001</c:v>
                </c:pt>
                <c:pt idx="41">
                  <c:v>7798.9274862710972</c:v>
                </c:pt>
                <c:pt idx="42">
                  <c:v>8693.2263591273022</c:v>
                </c:pt>
                <c:pt idx="43">
                  <c:v>10157.750263220903</c:v>
                </c:pt>
                <c:pt idx="44">
                  <c:v>10615.100289379197</c:v>
                </c:pt>
                <c:pt idx="45">
                  <c:v>9680.0894894004959</c:v>
                </c:pt>
                <c:pt idx="46">
                  <c:v>12729.249790592001</c:v>
                </c:pt>
                <c:pt idx="47">
                  <c:v>14950.937092788803</c:v>
                </c:pt>
                <c:pt idx="48">
                  <c:v>12947.533593482496</c:v>
                </c:pt>
                <c:pt idx="49">
                  <c:v>13730.745813634101</c:v>
                </c:pt>
                <c:pt idx="50">
                  <c:v>13354.792078088909</c:v>
                </c:pt>
                <c:pt idx="51">
                  <c:v>12180.374001951297</c:v>
                </c:pt>
                <c:pt idx="52">
                  <c:v>12774.179956904602</c:v>
                </c:pt>
                <c:pt idx="53">
                  <c:v>13678.882733664499</c:v>
                </c:pt>
                <c:pt idx="54">
                  <c:v>25742.989021846199</c:v>
                </c:pt>
                <c:pt idx="55">
                  <c:v>40097.398428655913</c:v>
                </c:pt>
                <c:pt idx="56">
                  <c:v>33571.126412344507</c:v>
                </c:pt>
                <c:pt idx="57">
                  <c:v>32352.545384853114</c:v>
                </c:pt>
                <c:pt idx="58">
                  <c:v>34463.691328307599</c:v>
                </c:pt>
                <c:pt idx="59">
                  <c:v>43889.910480950275</c:v>
                </c:pt>
                <c:pt idx="60">
                  <c:v>29692.208849503302</c:v>
                </c:pt>
                <c:pt idx="61">
                  <c:v>23822.320382699596</c:v>
                </c:pt>
                <c:pt idx="62">
                  <c:v>24067.123441310217</c:v>
                </c:pt>
                <c:pt idx="63">
                  <c:v>24513.780361850499</c:v>
                </c:pt>
                <c:pt idx="64">
                  <c:v>26352.720349469102</c:v>
                </c:pt>
                <c:pt idx="65">
                  <c:v>29997.191031067414</c:v>
                </c:pt>
                <c:pt idx="66">
                  <c:v>28343.898452298698</c:v>
                </c:pt>
                <c:pt idx="67">
                  <c:v>24950.185641435695</c:v>
                </c:pt>
                <c:pt idx="68">
                  <c:v>28735.294742617301</c:v>
                </c:pt>
                <c:pt idx="69">
                  <c:v>30907.657110737597</c:v>
                </c:pt>
              </c:numCache>
            </c:numRef>
          </c:val>
          <c:smooth val="0"/>
          <c:extLst>
            <c:ext xmlns:c16="http://schemas.microsoft.com/office/drawing/2014/chart" uri="{C3380CC4-5D6E-409C-BE32-E72D297353CC}">
              <c16:uniqueId val="{00000008-0BB9-439E-8326-EA33936350C9}"/>
            </c:ext>
          </c:extLst>
        </c:ser>
        <c:dLbls>
          <c:showLegendKey val="0"/>
          <c:showVal val="0"/>
          <c:showCatName val="0"/>
          <c:showSerName val="0"/>
          <c:showPercent val="0"/>
          <c:showBubbleSize val="0"/>
        </c:dLbls>
        <c:smooth val="0"/>
        <c:axId val="494397120"/>
        <c:axId val="494384640"/>
      </c:lineChart>
      <c:catAx>
        <c:axId val="494397120"/>
        <c:scaling>
          <c:orientation val="minMax"/>
        </c:scaling>
        <c:delete val="0"/>
        <c:axPos val="b"/>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494384640"/>
        <c:crosses val="autoZero"/>
        <c:auto val="1"/>
        <c:lblAlgn val="ctr"/>
        <c:lblOffset val="100"/>
        <c:noMultiLvlLbl val="0"/>
      </c:catAx>
      <c:valAx>
        <c:axId val="494384640"/>
        <c:scaling>
          <c:orientation val="minMax"/>
        </c:scaling>
        <c:delete val="0"/>
        <c:axPos val="l"/>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4943971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a:solidFill>
            <a:schemeClr val="tx1"/>
          </a:solidFill>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260759577215634"/>
          <c:y val="4.1074074074074075E-2"/>
          <c:w val="0.79189237774085985"/>
          <c:h val="0.60382793817439484"/>
        </c:manualLayout>
      </c:layout>
      <c:lineChart>
        <c:grouping val="standard"/>
        <c:varyColors val="0"/>
        <c:ser>
          <c:idx val="0"/>
          <c:order val="0"/>
          <c:tx>
            <c:strRef>
              <c:f>'Annex 1_Inland Capture'!$B$4</c:f>
              <c:strCache>
                <c:ptCount val="1"/>
                <c:pt idx="0">
                  <c:v>Freshwater fishes nei</c:v>
                </c:pt>
              </c:strCache>
            </c:strRef>
          </c:tx>
          <c:spPr>
            <a:ln w="28575" cap="rnd">
              <a:solidFill>
                <a:schemeClr val="accent1"/>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Capture'!$C$4:$BM$4</c:f>
              <c:numCache>
                <c:formatCode>#,##0</c:formatCode>
                <c:ptCount val="63"/>
                <c:pt idx="0">
                  <c:v>109188</c:v>
                </c:pt>
                <c:pt idx="1">
                  <c:v>122201</c:v>
                </c:pt>
                <c:pt idx="2">
                  <c:v>127815</c:v>
                </c:pt>
                <c:pt idx="3">
                  <c:v>119128</c:v>
                </c:pt>
                <c:pt idx="4">
                  <c:v>130240</c:v>
                </c:pt>
                <c:pt idx="5">
                  <c:v>127153</c:v>
                </c:pt>
                <c:pt idx="6">
                  <c:v>154467</c:v>
                </c:pt>
                <c:pt idx="7">
                  <c:v>161480</c:v>
                </c:pt>
                <c:pt idx="8">
                  <c:v>138592</c:v>
                </c:pt>
                <c:pt idx="9">
                  <c:v>135805</c:v>
                </c:pt>
                <c:pt idx="10">
                  <c:v>136019</c:v>
                </c:pt>
                <c:pt idx="11">
                  <c:v>136731</c:v>
                </c:pt>
                <c:pt idx="12">
                  <c:v>139544</c:v>
                </c:pt>
                <c:pt idx="13">
                  <c:v>115597</c:v>
                </c:pt>
                <c:pt idx="14">
                  <c:v>102155</c:v>
                </c:pt>
                <c:pt idx="15">
                  <c:v>95350</c:v>
                </c:pt>
                <c:pt idx="16">
                  <c:v>103389</c:v>
                </c:pt>
                <c:pt idx="17">
                  <c:v>87176</c:v>
                </c:pt>
                <c:pt idx="18">
                  <c:v>83483</c:v>
                </c:pt>
                <c:pt idx="19">
                  <c:v>84968</c:v>
                </c:pt>
                <c:pt idx="20">
                  <c:v>82186</c:v>
                </c:pt>
                <c:pt idx="21">
                  <c:v>92706</c:v>
                </c:pt>
                <c:pt idx="22">
                  <c:v>89959</c:v>
                </c:pt>
                <c:pt idx="23">
                  <c:v>90814</c:v>
                </c:pt>
                <c:pt idx="24">
                  <c:v>88518</c:v>
                </c:pt>
                <c:pt idx="25">
                  <c:v>86458</c:v>
                </c:pt>
                <c:pt idx="26">
                  <c:v>95507</c:v>
                </c:pt>
                <c:pt idx="27">
                  <c:v>95825</c:v>
                </c:pt>
                <c:pt idx="28">
                  <c:v>88947</c:v>
                </c:pt>
                <c:pt idx="29">
                  <c:v>91835</c:v>
                </c:pt>
                <c:pt idx="30">
                  <c:v>105944</c:v>
                </c:pt>
                <c:pt idx="31">
                  <c:v>101128</c:v>
                </c:pt>
                <c:pt idx="32">
                  <c:v>113110</c:v>
                </c:pt>
                <c:pt idx="33">
                  <c:v>110071</c:v>
                </c:pt>
                <c:pt idx="34">
                  <c:v>125078</c:v>
                </c:pt>
                <c:pt idx="35">
                  <c:v>122559</c:v>
                </c:pt>
                <c:pt idx="36">
                  <c:v>115323</c:v>
                </c:pt>
                <c:pt idx="37">
                  <c:v>103812</c:v>
                </c:pt>
                <c:pt idx="38">
                  <c:v>96597</c:v>
                </c:pt>
                <c:pt idx="39">
                  <c:v>110347</c:v>
                </c:pt>
                <c:pt idx="40">
                  <c:v>112554</c:v>
                </c:pt>
                <c:pt idx="41">
                  <c:v>107609</c:v>
                </c:pt>
                <c:pt idx="42">
                  <c:v>101516</c:v>
                </c:pt>
                <c:pt idx="43">
                  <c:v>114020</c:v>
                </c:pt>
                <c:pt idx="44">
                  <c:v>82443</c:v>
                </c:pt>
                <c:pt idx="45">
                  <c:v>76495</c:v>
                </c:pt>
                <c:pt idx="46">
                  <c:v>69964</c:v>
                </c:pt>
                <c:pt idx="47">
                  <c:v>79870</c:v>
                </c:pt>
                <c:pt idx="48">
                  <c:v>70889</c:v>
                </c:pt>
                <c:pt idx="49">
                  <c:v>57926</c:v>
                </c:pt>
                <c:pt idx="50">
                  <c:v>55080</c:v>
                </c:pt>
                <c:pt idx="51">
                  <c:v>58442</c:v>
                </c:pt>
                <c:pt idx="52">
                  <c:v>61880</c:v>
                </c:pt>
                <c:pt idx="53">
                  <c:v>68695</c:v>
                </c:pt>
                <c:pt idx="54">
                  <c:v>97551</c:v>
                </c:pt>
                <c:pt idx="55">
                  <c:v>81300</c:v>
                </c:pt>
                <c:pt idx="56">
                  <c:v>46173</c:v>
                </c:pt>
                <c:pt idx="57">
                  <c:v>9016</c:v>
                </c:pt>
                <c:pt idx="58" formatCode="#,##0.00">
                  <c:v>30257.33</c:v>
                </c:pt>
                <c:pt idx="59">
                  <c:v>39313.57</c:v>
                </c:pt>
                <c:pt idx="60">
                  <c:v>20683.84</c:v>
                </c:pt>
                <c:pt idx="61">
                  <c:v>25323.84</c:v>
                </c:pt>
                <c:pt idx="62">
                  <c:v>23511.759999999998</c:v>
                </c:pt>
              </c:numCache>
            </c:numRef>
          </c:val>
          <c:smooth val="0"/>
          <c:extLst>
            <c:ext xmlns:c16="http://schemas.microsoft.com/office/drawing/2014/chart" uri="{C3380CC4-5D6E-409C-BE32-E72D297353CC}">
              <c16:uniqueId val="{00000000-2BD5-49DF-B11E-A89E7C4F3AC5}"/>
            </c:ext>
          </c:extLst>
        </c:ser>
        <c:ser>
          <c:idx val="1"/>
          <c:order val="1"/>
          <c:tx>
            <c:strRef>
              <c:f>'Annex 1_Inland Capture'!$B$5</c:f>
              <c:strCache>
                <c:ptCount val="1"/>
                <c:pt idx="0">
                  <c:v>Freshwater crustaceans nei</c:v>
                </c:pt>
              </c:strCache>
            </c:strRef>
          </c:tx>
          <c:spPr>
            <a:ln w="28575" cap="rnd">
              <a:solidFill>
                <a:schemeClr val="accent2"/>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Capture'!$C$5:$BM$5</c:f>
              <c:numCache>
                <c:formatCode>#,##0</c:formatCode>
                <c:ptCount val="63"/>
                <c:pt idx="0">
                  <c:v>1900</c:v>
                </c:pt>
                <c:pt idx="1">
                  <c:v>2100</c:v>
                </c:pt>
                <c:pt idx="2">
                  <c:v>2200</c:v>
                </c:pt>
                <c:pt idx="3">
                  <c:v>2100</c:v>
                </c:pt>
                <c:pt idx="4">
                  <c:v>2300</c:v>
                </c:pt>
                <c:pt idx="5">
                  <c:v>2200</c:v>
                </c:pt>
                <c:pt idx="6">
                  <c:v>2700</c:v>
                </c:pt>
                <c:pt idx="7">
                  <c:v>2800</c:v>
                </c:pt>
                <c:pt idx="8">
                  <c:v>2400</c:v>
                </c:pt>
                <c:pt idx="9">
                  <c:v>2400</c:v>
                </c:pt>
                <c:pt idx="10">
                  <c:v>2900</c:v>
                </c:pt>
                <c:pt idx="11">
                  <c:v>2800</c:v>
                </c:pt>
                <c:pt idx="12">
                  <c:v>2900</c:v>
                </c:pt>
                <c:pt idx="13">
                  <c:v>2500</c:v>
                </c:pt>
                <c:pt idx="14" formatCode="General">
                  <c:v>266</c:v>
                </c:pt>
                <c:pt idx="15" formatCode="General">
                  <c:v>2</c:v>
                </c:pt>
                <c:pt idx="16" formatCode="General">
                  <c:v>385</c:v>
                </c:pt>
                <c:pt idx="17" formatCode="General">
                  <c:v>81</c:v>
                </c:pt>
                <c:pt idx="18" formatCode="General">
                  <c:v>63</c:v>
                </c:pt>
                <c:pt idx="19" formatCode="General">
                  <c:v>197</c:v>
                </c:pt>
                <c:pt idx="20" formatCode="General">
                  <c:v>264</c:v>
                </c:pt>
                <c:pt idx="21" formatCode="General">
                  <c:v>159</c:v>
                </c:pt>
                <c:pt idx="22">
                  <c:v>1054</c:v>
                </c:pt>
                <c:pt idx="23" formatCode="General">
                  <c:v>826</c:v>
                </c:pt>
                <c:pt idx="24" formatCode="General">
                  <c:v>620</c:v>
                </c:pt>
                <c:pt idx="25" formatCode="General">
                  <c:v>555</c:v>
                </c:pt>
                <c:pt idx="26" formatCode="General">
                  <c:v>811</c:v>
                </c:pt>
                <c:pt idx="27" formatCode="General">
                  <c:v>767</c:v>
                </c:pt>
                <c:pt idx="28" formatCode="General">
                  <c:v>798</c:v>
                </c:pt>
                <c:pt idx="29" formatCode="General">
                  <c:v>706</c:v>
                </c:pt>
                <c:pt idx="30" formatCode="General">
                  <c:v>691</c:v>
                </c:pt>
                <c:pt idx="31" formatCode="General">
                  <c:v>402</c:v>
                </c:pt>
                <c:pt idx="32" formatCode="General">
                  <c:v>244</c:v>
                </c:pt>
                <c:pt idx="33" formatCode="General">
                  <c:v>164</c:v>
                </c:pt>
                <c:pt idx="34" formatCode="General">
                  <c:v>242</c:v>
                </c:pt>
                <c:pt idx="35" formatCode="General">
                  <c:v>86</c:v>
                </c:pt>
                <c:pt idx="36" formatCode="General">
                  <c:v>223</c:v>
                </c:pt>
                <c:pt idx="37" formatCode="General">
                  <c:v>49</c:v>
                </c:pt>
                <c:pt idx="38" formatCode="General">
                  <c:v>93</c:v>
                </c:pt>
                <c:pt idx="39" formatCode="General">
                  <c:v>132</c:v>
                </c:pt>
                <c:pt idx="40" formatCode="General">
                  <c:v>132</c:v>
                </c:pt>
                <c:pt idx="41" formatCode="General">
                  <c:v>337</c:v>
                </c:pt>
                <c:pt idx="42" formatCode="General">
                  <c:v>400</c:v>
                </c:pt>
                <c:pt idx="43" formatCode="General">
                  <c:v>246</c:v>
                </c:pt>
                <c:pt idx="44" formatCode="General">
                  <c:v>290</c:v>
                </c:pt>
                <c:pt idx="45">
                  <c:v>1009</c:v>
                </c:pt>
                <c:pt idx="46">
                  <c:v>1199</c:v>
                </c:pt>
                <c:pt idx="47" formatCode="General">
                  <c:v>989</c:v>
                </c:pt>
                <c:pt idx="48" formatCode="General">
                  <c:v>951</c:v>
                </c:pt>
                <c:pt idx="49" formatCode="General">
                  <c:v>706</c:v>
                </c:pt>
                <c:pt idx="50">
                  <c:v>1335</c:v>
                </c:pt>
                <c:pt idx="51" formatCode="General">
                  <c:v>617</c:v>
                </c:pt>
                <c:pt idx="52">
                  <c:v>4464</c:v>
                </c:pt>
                <c:pt idx="53">
                  <c:v>3387</c:v>
                </c:pt>
                <c:pt idx="54">
                  <c:v>15283</c:v>
                </c:pt>
                <c:pt idx="55">
                  <c:v>6489</c:v>
                </c:pt>
                <c:pt idx="56">
                  <c:v>42555</c:v>
                </c:pt>
                <c:pt idx="57">
                  <c:v>24708</c:v>
                </c:pt>
                <c:pt idx="58">
                  <c:v>28742</c:v>
                </c:pt>
                <c:pt idx="59">
                  <c:v>27404</c:v>
                </c:pt>
                <c:pt idx="60" formatCode="General">
                  <c:v>877</c:v>
                </c:pt>
                <c:pt idx="61">
                  <c:v>2622</c:v>
                </c:pt>
                <c:pt idx="62">
                  <c:v>912.68</c:v>
                </c:pt>
              </c:numCache>
            </c:numRef>
          </c:val>
          <c:smooth val="0"/>
          <c:extLst>
            <c:ext xmlns:c16="http://schemas.microsoft.com/office/drawing/2014/chart" uri="{C3380CC4-5D6E-409C-BE32-E72D297353CC}">
              <c16:uniqueId val="{00000001-2BD5-49DF-B11E-A89E7C4F3AC5}"/>
            </c:ext>
          </c:extLst>
        </c:ser>
        <c:ser>
          <c:idx val="2"/>
          <c:order val="2"/>
          <c:tx>
            <c:strRef>
              <c:f>'Annex 1_Inland Capture'!$B$7</c:f>
              <c:strCache>
                <c:ptCount val="1"/>
                <c:pt idx="0">
                  <c:v>Aquatic plants nei</c:v>
                </c:pt>
              </c:strCache>
            </c:strRef>
          </c:tx>
          <c:spPr>
            <a:ln w="28575" cap="rnd">
              <a:solidFill>
                <a:schemeClr val="accent3"/>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Capture'!$C$7:$BM$7</c:f>
              <c:numCache>
                <c:formatCode>#,##0</c:formatCode>
                <c:ptCount val="63"/>
                <c:pt idx="0">
                  <c:v>4840</c:v>
                </c:pt>
                <c:pt idx="1">
                  <c:v>7800</c:v>
                </c:pt>
                <c:pt idx="2">
                  <c:v>3740</c:v>
                </c:pt>
                <c:pt idx="3">
                  <c:v>2670</c:v>
                </c:pt>
                <c:pt idx="4">
                  <c:v>3580</c:v>
                </c:pt>
                <c:pt idx="5">
                  <c:v>7460</c:v>
                </c:pt>
                <c:pt idx="6">
                  <c:v>39310</c:v>
                </c:pt>
                <c:pt idx="7">
                  <c:v>17120</c:v>
                </c:pt>
                <c:pt idx="8">
                  <c:v>19870</c:v>
                </c:pt>
                <c:pt idx="9">
                  <c:v>18560</c:v>
                </c:pt>
                <c:pt idx="10">
                  <c:v>30161</c:v>
                </c:pt>
                <c:pt idx="11">
                  <c:v>28752</c:v>
                </c:pt>
                <c:pt idx="12">
                  <c:v>26951</c:v>
                </c:pt>
                <c:pt idx="13">
                  <c:v>28844</c:v>
                </c:pt>
                <c:pt idx="14">
                  <c:v>27022</c:v>
                </c:pt>
                <c:pt idx="15">
                  <c:v>8203</c:v>
                </c:pt>
                <c:pt idx="16">
                  <c:v>2886</c:v>
                </c:pt>
                <c:pt idx="17">
                  <c:v>3612</c:v>
                </c:pt>
                <c:pt idx="18">
                  <c:v>5015</c:v>
                </c:pt>
                <c:pt idx="19">
                  <c:v>5252</c:v>
                </c:pt>
                <c:pt idx="20">
                  <c:v>6808</c:v>
                </c:pt>
                <c:pt idx="21">
                  <c:v>6584</c:v>
                </c:pt>
                <c:pt idx="22">
                  <c:v>6744</c:v>
                </c:pt>
                <c:pt idx="23">
                  <c:v>7018</c:v>
                </c:pt>
                <c:pt idx="24">
                  <c:v>7530</c:v>
                </c:pt>
                <c:pt idx="25">
                  <c:v>4975</c:v>
                </c:pt>
                <c:pt idx="26">
                  <c:v>3591</c:v>
                </c:pt>
                <c:pt idx="27">
                  <c:v>8723</c:v>
                </c:pt>
                <c:pt idx="28">
                  <c:v>3831</c:v>
                </c:pt>
                <c:pt idx="29">
                  <c:v>5272</c:v>
                </c:pt>
                <c:pt idx="30">
                  <c:v>19556</c:v>
                </c:pt>
                <c:pt idx="31">
                  <c:v>10731</c:v>
                </c:pt>
                <c:pt idx="32">
                  <c:v>7504</c:v>
                </c:pt>
                <c:pt idx="33">
                  <c:v>8409</c:v>
                </c:pt>
                <c:pt idx="34">
                  <c:v>14001</c:v>
                </c:pt>
                <c:pt idx="35">
                  <c:v>14092</c:v>
                </c:pt>
                <c:pt idx="36">
                  <c:v>31345</c:v>
                </c:pt>
                <c:pt idx="37">
                  <c:v>29148</c:v>
                </c:pt>
                <c:pt idx="38">
                  <c:v>23874</c:v>
                </c:pt>
                <c:pt idx="39">
                  <c:v>20520</c:v>
                </c:pt>
                <c:pt idx="40">
                  <c:v>38791</c:v>
                </c:pt>
                <c:pt idx="41">
                  <c:v>29460</c:v>
                </c:pt>
                <c:pt idx="42">
                  <c:v>52679</c:v>
                </c:pt>
                <c:pt idx="43">
                  <c:v>60061</c:v>
                </c:pt>
                <c:pt idx="44">
                  <c:v>5325</c:v>
                </c:pt>
                <c:pt idx="45">
                  <c:v>4740</c:v>
                </c:pt>
                <c:pt idx="46">
                  <c:v>4072</c:v>
                </c:pt>
                <c:pt idx="47">
                  <c:v>3957</c:v>
                </c:pt>
                <c:pt idx="48">
                  <c:v>2435</c:v>
                </c:pt>
                <c:pt idx="49" formatCode="General">
                  <c:v>796</c:v>
                </c:pt>
                <c:pt idx="50" formatCode="General">
                  <c:v>887</c:v>
                </c:pt>
                <c:pt idx="51">
                  <c:v>3481</c:v>
                </c:pt>
                <c:pt idx="52">
                  <c:v>4309</c:v>
                </c:pt>
                <c:pt idx="53">
                  <c:v>12520</c:v>
                </c:pt>
                <c:pt idx="54">
                  <c:v>36381</c:v>
                </c:pt>
                <c:pt idx="55">
                  <c:v>23918</c:v>
                </c:pt>
                <c:pt idx="56">
                  <c:v>19982</c:v>
                </c:pt>
                <c:pt idx="57">
                  <c:v>20000</c:v>
                </c:pt>
                <c:pt idx="58">
                  <c:v>20000</c:v>
                </c:pt>
                <c:pt idx="59">
                  <c:v>27769</c:v>
                </c:pt>
                <c:pt idx="60">
                  <c:v>32211</c:v>
                </c:pt>
                <c:pt idx="61">
                  <c:v>35119</c:v>
                </c:pt>
                <c:pt idx="62">
                  <c:v>25513</c:v>
                </c:pt>
              </c:numCache>
            </c:numRef>
          </c:val>
          <c:smooth val="0"/>
          <c:extLst>
            <c:ext xmlns:c16="http://schemas.microsoft.com/office/drawing/2014/chart" uri="{C3380CC4-5D6E-409C-BE32-E72D297353CC}">
              <c16:uniqueId val="{00000002-2BD5-49DF-B11E-A89E7C4F3AC5}"/>
            </c:ext>
          </c:extLst>
        </c:ser>
        <c:ser>
          <c:idx val="3"/>
          <c:order val="3"/>
          <c:tx>
            <c:strRef>
              <c:f>'Annex 1_Inland Capture'!$B$8</c:f>
              <c:strCache>
                <c:ptCount val="1"/>
                <c:pt idx="0">
                  <c:v>Freshwater molluscs nei</c:v>
                </c:pt>
              </c:strCache>
            </c:strRef>
          </c:tx>
          <c:spPr>
            <a:ln w="28575" cap="rnd">
              <a:solidFill>
                <a:schemeClr val="accent4"/>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Capture'!$C$8:$BM$8</c:f>
              <c:numCache>
                <c:formatCode>General</c:formatCode>
                <c:ptCount val="63"/>
                <c:pt idx="0">
                  <c:v>600</c:v>
                </c:pt>
                <c:pt idx="1">
                  <c:v>700</c:v>
                </c:pt>
                <c:pt idx="2">
                  <c:v>700</c:v>
                </c:pt>
                <c:pt idx="3">
                  <c:v>600</c:v>
                </c:pt>
                <c:pt idx="4">
                  <c:v>700</c:v>
                </c:pt>
                <c:pt idx="5">
                  <c:v>700</c:v>
                </c:pt>
                <c:pt idx="6">
                  <c:v>800</c:v>
                </c:pt>
                <c:pt idx="7" formatCode="#,##0">
                  <c:v>900</c:v>
                </c:pt>
                <c:pt idx="8" formatCode="#,##0">
                  <c:v>700</c:v>
                </c:pt>
                <c:pt idx="9">
                  <c:v>700</c:v>
                </c:pt>
                <c:pt idx="10">
                  <c:v>800</c:v>
                </c:pt>
                <c:pt idx="11">
                  <c:v>800</c:v>
                </c:pt>
                <c:pt idx="12">
                  <c:v>800</c:v>
                </c:pt>
                <c:pt idx="13">
                  <c:v>700</c:v>
                </c:pt>
                <c:pt idx="14">
                  <c:v>360</c:v>
                </c:pt>
                <c:pt idx="15">
                  <c:v>301</c:v>
                </c:pt>
                <c:pt idx="16">
                  <c:v>493</c:v>
                </c:pt>
                <c:pt idx="17">
                  <c:v>295</c:v>
                </c:pt>
                <c:pt idx="18">
                  <c:v>112</c:v>
                </c:pt>
                <c:pt idx="19">
                  <c:v>544</c:v>
                </c:pt>
                <c:pt idx="20">
                  <c:v>778</c:v>
                </c:pt>
                <c:pt idx="21">
                  <c:v>983</c:v>
                </c:pt>
                <c:pt idx="22">
                  <c:v>556</c:v>
                </c:pt>
                <c:pt idx="23">
                  <c:v>826</c:v>
                </c:pt>
                <c:pt idx="24" formatCode="#,##0">
                  <c:v>1053</c:v>
                </c:pt>
                <c:pt idx="25" formatCode="#,##0">
                  <c:v>1152</c:v>
                </c:pt>
                <c:pt idx="26">
                  <c:v>587</c:v>
                </c:pt>
                <c:pt idx="27">
                  <c:v>911</c:v>
                </c:pt>
                <c:pt idx="28" formatCode="#,##0">
                  <c:v>1302</c:v>
                </c:pt>
                <c:pt idx="29">
                  <c:v>678</c:v>
                </c:pt>
                <c:pt idx="30" formatCode="#,##0">
                  <c:v>1827</c:v>
                </c:pt>
                <c:pt idx="31">
                  <c:v>944</c:v>
                </c:pt>
                <c:pt idx="32">
                  <c:v>578</c:v>
                </c:pt>
                <c:pt idx="33">
                  <c:v>605</c:v>
                </c:pt>
                <c:pt idx="34" formatCode="#,##0">
                  <c:v>2398</c:v>
                </c:pt>
                <c:pt idx="35" formatCode="#,##0">
                  <c:v>1257</c:v>
                </c:pt>
                <c:pt idx="36" formatCode="#,##0">
                  <c:v>1823</c:v>
                </c:pt>
                <c:pt idx="37">
                  <c:v>961</c:v>
                </c:pt>
                <c:pt idx="38">
                  <c:v>971</c:v>
                </c:pt>
                <c:pt idx="39">
                  <c:v>670</c:v>
                </c:pt>
                <c:pt idx="40">
                  <c:v>900</c:v>
                </c:pt>
                <c:pt idx="41" formatCode="#,##0">
                  <c:v>2312</c:v>
                </c:pt>
                <c:pt idx="42" formatCode="#,##0">
                  <c:v>1120</c:v>
                </c:pt>
                <c:pt idx="43" formatCode="#,##0">
                  <c:v>1029</c:v>
                </c:pt>
                <c:pt idx="44" formatCode="#,##0">
                  <c:v>1533</c:v>
                </c:pt>
                <c:pt idx="45" formatCode="#,##0">
                  <c:v>1056</c:v>
                </c:pt>
                <c:pt idx="46" formatCode="#,##0">
                  <c:v>2249</c:v>
                </c:pt>
                <c:pt idx="47">
                  <c:v>885</c:v>
                </c:pt>
                <c:pt idx="48">
                  <c:v>967</c:v>
                </c:pt>
                <c:pt idx="49" formatCode="#,##0">
                  <c:v>1461</c:v>
                </c:pt>
                <c:pt idx="50">
                  <c:v>674</c:v>
                </c:pt>
                <c:pt idx="51" formatCode="#,##0">
                  <c:v>1179</c:v>
                </c:pt>
                <c:pt idx="52" formatCode="#,##0">
                  <c:v>1494</c:v>
                </c:pt>
                <c:pt idx="53" formatCode="#,##0">
                  <c:v>1207</c:v>
                </c:pt>
                <c:pt idx="54" formatCode="#,##0">
                  <c:v>1319</c:v>
                </c:pt>
                <c:pt idx="55">
                  <c:v>243</c:v>
                </c:pt>
                <c:pt idx="56">
                  <c:v>864</c:v>
                </c:pt>
                <c:pt idx="57" formatCode="#,##0">
                  <c:v>31995</c:v>
                </c:pt>
                <c:pt idx="58" formatCode="#,##0">
                  <c:v>595.59</c:v>
                </c:pt>
                <c:pt idx="59" formatCode="#,##0">
                  <c:v>1500</c:v>
                </c:pt>
                <c:pt idx="60" formatCode="#,##0">
                  <c:v>1500</c:v>
                </c:pt>
                <c:pt idx="61" formatCode="#,##0">
                  <c:v>1500</c:v>
                </c:pt>
                <c:pt idx="62" formatCode="#,##0">
                  <c:v>1500</c:v>
                </c:pt>
              </c:numCache>
            </c:numRef>
          </c:val>
          <c:smooth val="0"/>
          <c:extLst>
            <c:ext xmlns:c16="http://schemas.microsoft.com/office/drawing/2014/chart" uri="{C3380CC4-5D6E-409C-BE32-E72D297353CC}">
              <c16:uniqueId val="{00000003-2BD5-49DF-B11E-A89E7C4F3AC5}"/>
            </c:ext>
          </c:extLst>
        </c:ser>
        <c:ser>
          <c:idx val="4"/>
          <c:order val="4"/>
          <c:tx>
            <c:strRef>
              <c:f>'Annex 1_Inland Capture'!$B$9</c:f>
              <c:strCache>
                <c:ptCount val="1"/>
                <c:pt idx="0">
                  <c:v>Freshwater gastropods nei</c:v>
                </c:pt>
              </c:strCache>
            </c:strRef>
          </c:tx>
          <c:spPr>
            <a:ln w="28575" cap="rnd">
              <a:solidFill>
                <a:schemeClr val="accent5"/>
              </a:solidFill>
              <a:round/>
            </a:ln>
            <a:effectLst/>
          </c:spPr>
          <c:marker>
            <c:symbol val="none"/>
          </c:marker>
          <c:cat>
            <c:numRef>
              <c:f>'Annex 1_Inland Capture'!$C$3:$BM$3</c:f>
              <c:numCache>
                <c:formatCode>General</c:formatCode>
                <c:ptCount val="6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numCache>
            </c:numRef>
          </c:cat>
          <c:val>
            <c:numRef>
              <c:f>'Annex 1_Inland Capture'!$C$9:$BM$9</c:f>
              <c:numCache>
                <c:formatCode>General</c:formatCode>
                <c:ptCount val="6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271</c:v>
                </c:pt>
                <c:pt idx="45">
                  <c:v>225</c:v>
                </c:pt>
                <c:pt idx="46">
                  <c:v>794</c:v>
                </c:pt>
                <c:pt idx="47">
                  <c:v>565</c:v>
                </c:pt>
                <c:pt idx="48">
                  <c:v>111</c:v>
                </c:pt>
                <c:pt idx="49">
                  <c:v>112</c:v>
                </c:pt>
                <c:pt idx="50">
                  <c:v>527</c:v>
                </c:pt>
                <c:pt idx="51">
                  <c:v>79</c:v>
                </c:pt>
                <c:pt idx="52">
                  <c:v>96</c:v>
                </c:pt>
                <c:pt idx="53">
                  <c:v>55</c:v>
                </c:pt>
                <c:pt idx="54">
                  <c:v>30</c:v>
                </c:pt>
                <c:pt idx="55">
                  <c:v>430</c:v>
                </c:pt>
                <c:pt idx="56">
                  <c:v>45</c:v>
                </c:pt>
                <c:pt idx="57">
                  <c:v>59</c:v>
                </c:pt>
                <c:pt idx="58">
                  <c:v>0</c:v>
                </c:pt>
                <c:pt idx="59">
                  <c:v>0</c:v>
                </c:pt>
                <c:pt idx="60">
                  <c:v>0</c:v>
                </c:pt>
                <c:pt idx="61">
                  <c:v>0</c:v>
                </c:pt>
                <c:pt idx="62">
                  <c:v>0</c:v>
                </c:pt>
              </c:numCache>
            </c:numRef>
          </c:val>
          <c:smooth val="0"/>
          <c:extLst>
            <c:ext xmlns:c16="http://schemas.microsoft.com/office/drawing/2014/chart" uri="{C3380CC4-5D6E-409C-BE32-E72D297353CC}">
              <c16:uniqueId val="{00000004-2BD5-49DF-B11E-A89E7C4F3AC5}"/>
            </c:ext>
          </c:extLst>
        </c:ser>
        <c:dLbls>
          <c:showLegendKey val="0"/>
          <c:showVal val="0"/>
          <c:showCatName val="0"/>
          <c:showSerName val="0"/>
          <c:showPercent val="0"/>
          <c:showBubbleSize val="0"/>
        </c:dLbls>
        <c:smooth val="0"/>
        <c:axId val="897284863"/>
        <c:axId val="897298303"/>
      </c:lineChart>
      <c:catAx>
        <c:axId val="897284863"/>
        <c:scaling>
          <c:orientation val="minMax"/>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7298303"/>
        <c:crosses val="autoZero"/>
        <c:auto val="1"/>
        <c:lblAlgn val="ctr"/>
        <c:lblOffset val="100"/>
        <c:noMultiLvlLbl val="0"/>
      </c:catAx>
      <c:valAx>
        <c:axId val="897298303"/>
        <c:scaling>
          <c:orientation val="minMax"/>
        </c:scaling>
        <c:delete val="0"/>
        <c:axPos val="l"/>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7284863"/>
        <c:crosses val="autoZero"/>
        <c:crossBetween val="between"/>
      </c:valAx>
      <c:spPr>
        <a:noFill/>
        <a:ln>
          <a:noFill/>
        </a:ln>
        <a:effectLst/>
      </c:spPr>
    </c:plotArea>
    <c:legend>
      <c:legendPos val="b"/>
      <c:layout>
        <c:manualLayout>
          <c:xMode val="edge"/>
          <c:yMode val="edge"/>
          <c:x val="0.18570571311209899"/>
          <c:y val="0.81231729367162442"/>
          <c:w val="0.72123205289754577"/>
          <c:h val="0.16546048410615341"/>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065855722297589"/>
          <c:y val="5.0420180198908877E-2"/>
          <c:w val="0.77513146669277355"/>
          <c:h val="0.47842359399731521"/>
        </c:manualLayout>
      </c:layout>
      <c:lineChart>
        <c:grouping val="standard"/>
        <c:varyColors val="0"/>
        <c:ser>
          <c:idx val="0"/>
          <c:order val="0"/>
          <c:tx>
            <c:strRef>
              <c:f>'Annex 2_Species Groups'!$B$4</c:f>
              <c:strCache>
                <c:ptCount val="1"/>
                <c:pt idx="0">
                  <c:v>Miscelleneous demersal fishes</c:v>
                </c:pt>
              </c:strCache>
            </c:strRef>
          </c:tx>
          <c:spPr>
            <a:ln w="28575" cap="rnd">
              <a:solidFill>
                <a:schemeClr val="accent1"/>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Groups'!$C$4:$BN$4</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formatCode="#,##0">
                  <c:v>45901</c:v>
                </c:pt>
                <c:pt idx="31" formatCode="#,##0">
                  <c:v>43021</c:v>
                </c:pt>
                <c:pt idx="32" formatCode="#,##0">
                  <c:v>44669</c:v>
                </c:pt>
                <c:pt idx="33" formatCode="#,##0">
                  <c:v>48767</c:v>
                </c:pt>
                <c:pt idx="34" formatCode="#,##0">
                  <c:v>45294</c:v>
                </c:pt>
                <c:pt idx="35" formatCode="#,##0">
                  <c:v>51815</c:v>
                </c:pt>
                <c:pt idx="36" formatCode="#,##0">
                  <c:v>55620</c:v>
                </c:pt>
                <c:pt idx="37" formatCode="#,##0">
                  <c:v>62469</c:v>
                </c:pt>
                <c:pt idx="38" formatCode="#,##0">
                  <c:v>59615</c:v>
                </c:pt>
                <c:pt idx="39" formatCode="#,##0">
                  <c:v>63829</c:v>
                </c:pt>
                <c:pt idx="40" formatCode="#,##0">
                  <c:v>64165</c:v>
                </c:pt>
                <c:pt idx="41" formatCode="#,##0">
                  <c:v>71328</c:v>
                </c:pt>
                <c:pt idx="42" formatCode="#,##0">
                  <c:v>76015</c:v>
                </c:pt>
                <c:pt idx="43" formatCode="#,##0">
                  <c:v>82877</c:v>
                </c:pt>
                <c:pt idx="44" formatCode="#,##0">
                  <c:v>87082</c:v>
                </c:pt>
                <c:pt idx="45" formatCode="#,##0">
                  <c:v>153556</c:v>
                </c:pt>
                <c:pt idx="46" formatCode="#,##0">
                  <c:v>159075</c:v>
                </c:pt>
                <c:pt idx="47" formatCode="#,##0">
                  <c:v>175277</c:v>
                </c:pt>
                <c:pt idx="48" formatCode="#,##0">
                  <c:v>204568</c:v>
                </c:pt>
                <c:pt idx="49" formatCode="#,##0">
                  <c:v>200572</c:v>
                </c:pt>
                <c:pt idx="50" formatCode="#,##0">
                  <c:v>211860</c:v>
                </c:pt>
                <c:pt idx="51" formatCode="#,##0">
                  <c:v>202645</c:v>
                </c:pt>
                <c:pt idx="52" formatCode="#,##0">
                  <c:v>198412</c:v>
                </c:pt>
                <c:pt idx="53" formatCode="#,##0">
                  <c:v>202706</c:v>
                </c:pt>
                <c:pt idx="54" formatCode="#,##0">
                  <c:v>221384</c:v>
                </c:pt>
                <c:pt idx="55" formatCode="#,##0">
                  <c:v>168241</c:v>
                </c:pt>
                <c:pt idx="56" formatCode="#,##0">
                  <c:v>215594</c:v>
                </c:pt>
                <c:pt idx="57" formatCode="#,##0">
                  <c:v>173401</c:v>
                </c:pt>
                <c:pt idx="58" formatCode="#,##0">
                  <c:v>228287</c:v>
                </c:pt>
                <c:pt idx="59" formatCode="#,##0">
                  <c:v>250980</c:v>
                </c:pt>
                <c:pt idx="60" formatCode="#,##0">
                  <c:v>263561</c:v>
                </c:pt>
                <c:pt idx="61" formatCode="#,##0">
                  <c:v>309075</c:v>
                </c:pt>
              </c:numCache>
            </c:numRef>
          </c:val>
          <c:smooth val="0"/>
          <c:extLst>
            <c:ext xmlns:c16="http://schemas.microsoft.com/office/drawing/2014/chart" uri="{C3380CC4-5D6E-409C-BE32-E72D297353CC}">
              <c16:uniqueId val="{00000000-44CC-4841-B7A9-515BAEA0E4BD}"/>
            </c:ext>
          </c:extLst>
        </c:ser>
        <c:ser>
          <c:idx val="1"/>
          <c:order val="1"/>
          <c:tx>
            <c:strRef>
              <c:f>'Annex 2_Species Groups'!$B$5</c:f>
              <c:strCache>
                <c:ptCount val="1"/>
                <c:pt idx="0">
                  <c:v>Miscelleneous pelagic fishes</c:v>
                </c:pt>
              </c:strCache>
            </c:strRef>
          </c:tx>
          <c:spPr>
            <a:ln w="28575" cap="rnd">
              <a:solidFill>
                <a:schemeClr val="accent2"/>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Groups'!$C$5:$BN$5</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formatCode="#,##0">
                  <c:v>68022</c:v>
                </c:pt>
                <c:pt idx="31" formatCode="#,##0">
                  <c:v>66334</c:v>
                </c:pt>
                <c:pt idx="32" formatCode="#,##0">
                  <c:v>67655</c:v>
                </c:pt>
                <c:pt idx="33" formatCode="#,##0">
                  <c:v>67017</c:v>
                </c:pt>
                <c:pt idx="34" formatCode="#,##0">
                  <c:v>96281</c:v>
                </c:pt>
                <c:pt idx="35" formatCode="#,##0">
                  <c:v>81371</c:v>
                </c:pt>
                <c:pt idx="36" formatCode="#,##0">
                  <c:v>84950</c:v>
                </c:pt>
                <c:pt idx="37" formatCode="#,##0">
                  <c:v>81994</c:v>
                </c:pt>
                <c:pt idx="38" formatCode="#,##0">
                  <c:v>78947</c:v>
                </c:pt>
                <c:pt idx="39" formatCode="#,##0">
                  <c:v>85132</c:v>
                </c:pt>
                <c:pt idx="40" formatCode="#,##0">
                  <c:v>88935</c:v>
                </c:pt>
                <c:pt idx="41" formatCode="#,##0">
                  <c:v>85856</c:v>
                </c:pt>
                <c:pt idx="42" formatCode="#,##0">
                  <c:v>89799</c:v>
                </c:pt>
                <c:pt idx="43" formatCode="#,##0">
                  <c:v>91695</c:v>
                </c:pt>
                <c:pt idx="44" formatCode="#,##0">
                  <c:v>78016</c:v>
                </c:pt>
                <c:pt idx="45" formatCode="#,##0.00">
                  <c:v>193902.89799999999</c:v>
                </c:pt>
                <c:pt idx="46" formatCode="#,##0.00">
                  <c:v>170337.5</c:v>
                </c:pt>
                <c:pt idx="47" formatCode="#,##0.00">
                  <c:v>171666.60200000001</c:v>
                </c:pt>
                <c:pt idx="48" formatCode="#,##0.00">
                  <c:v>202315.5</c:v>
                </c:pt>
                <c:pt idx="49" formatCode="#,##0.00">
                  <c:v>202203.60200000001</c:v>
                </c:pt>
                <c:pt idx="50" formatCode="#,##0.00">
                  <c:v>213210.30100000001</c:v>
                </c:pt>
                <c:pt idx="51" formatCode="#,##0.00">
                  <c:v>217132.89799999999</c:v>
                </c:pt>
                <c:pt idx="52" formatCode="#,##0.00">
                  <c:v>231784.60200000001</c:v>
                </c:pt>
                <c:pt idx="53" formatCode="#,##0">
                  <c:v>229662</c:v>
                </c:pt>
                <c:pt idx="54" formatCode="#,##0.00">
                  <c:v>249114.5</c:v>
                </c:pt>
                <c:pt idx="55" formatCode="#,##0">
                  <c:v>218154</c:v>
                </c:pt>
                <c:pt idx="56" formatCode="#,##0">
                  <c:v>205707</c:v>
                </c:pt>
                <c:pt idx="57" formatCode="#,##0.00">
                  <c:v>167457.80100000001</c:v>
                </c:pt>
                <c:pt idx="58" formatCode="#,##0.00">
                  <c:v>198546.69899999999</c:v>
                </c:pt>
                <c:pt idx="59" formatCode="#,##0.00">
                  <c:v>304759.5</c:v>
                </c:pt>
                <c:pt idx="60" formatCode="#,##0.00">
                  <c:v>267071.60200000001</c:v>
                </c:pt>
                <c:pt idx="61" formatCode="#,##0.00">
                  <c:v>253186.69899999999</c:v>
                </c:pt>
              </c:numCache>
            </c:numRef>
          </c:val>
          <c:smooth val="0"/>
          <c:extLst>
            <c:ext xmlns:c16="http://schemas.microsoft.com/office/drawing/2014/chart" uri="{C3380CC4-5D6E-409C-BE32-E72D297353CC}">
              <c16:uniqueId val="{00000001-44CC-4841-B7A9-515BAEA0E4BD}"/>
            </c:ext>
          </c:extLst>
        </c:ser>
        <c:ser>
          <c:idx val="2"/>
          <c:order val="2"/>
          <c:tx>
            <c:strRef>
              <c:f>'Annex 2_Species Groups'!$B$6</c:f>
              <c:strCache>
                <c:ptCount val="1"/>
                <c:pt idx="0">
                  <c:v>Squids, cuttlefishes, Octopus</c:v>
                </c:pt>
              </c:strCache>
            </c:strRef>
          </c:tx>
          <c:spPr>
            <a:ln w="28575" cap="rnd">
              <a:solidFill>
                <a:schemeClr val="accent3"/>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Groups'!$C$6:$BN$6</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formatCode="#,##0">
                  <c:v>3386</c:v>
                </c:pt>
                <c:pt idx="31" formatCode="#,##0">
                  <c:v>2286</c:v>
                </c:pt>
                <c:pt idx="32" formatCode="#,##0">
                  <c:v>2300</c:v>
                </c:pt>
                <c:pt idx="33" formatCode="#,##0">
                  <c:v>2265</c:v>
                </c:pt>
                <c:pt idx="34" formatCode="#,##0">
                  <c:v>1976</c:v>
                </c:pt>
                <c:pt idx="35" formatCode="#,##0">
                  <c:v>2210</c:v>
                </c:pt>
                <c:pt idx="36" formatCode="#,##0">
                  <c:v>2268</c:v>
                </c:pt>
                <c:pt idx="37" formatCode="#,##0">
                  <c:v>6762</c:v>
                </c:pt>
                <c:pt idx="38" formatCode="#,##0">
                  <c:v>3485</c:v>
                </c:pt>
                <c:pt idx="39" formatCode="#,##0">
                  <c:v>3867</c:v>
                </c:pt>
                <c:pt idx="40" formatCode="#,##0">
                  <c:v>5149</c:v>
                </c:pt>
                <c:pt idx="41" formatCode="#,##0">
                  <c:v>6918</c:v>
                </c:pt>
                <c:pt idx="42" formatCode="#,##0">
                  <c:v>7109</c:v>
                </c:pt>
                <c:pt idx="43" formatCode="#,##0">
                  <c:v>7922</c:v>
                </c:pt>
                <c:pt idx="44" formatCode="#,##0">
                  <c:v>13572</c:v>
                </c:pt>
                <c:pt idx="45" formatCode="#,##0">
                  <c:v>9405</c:v>
                </c:pt>
                <c:pt idx="46" formatCode="#,##0">
                  <c:v>10598</c:v>
                </c:pt>
                <c:pt idx="47" formatCode="#,##0">
                  <c:v>9148</c:v>
                </c:pt>
                <c:pt idx="48" formatCode="#,##0">
                  <c:v>12141</c:v>
                </c:pt>
                <c:pt idx="49" formatCode="#,##0">
                  <c:v>10481</c:v>
                </c:pt>
                <c:pt idx="50" formatCode="#,##0">
                  <c:v>11383</c:v>
                </c:pt>
                <c:pt idx="51" formatCode="#,##0">
                  <c:v>24878</c:v>
                </c:pt>
                <c:pt idx="52" formatCode="#,##0">
                  <c:v>14280</c:v>
                </c:pt>
                <c:pt idx="53" formatCode="#,##0">
                  <c:v>31783</c:v>
                </c:pt>
                <c:pt idx="54" formatCode="#,##0">
                  <c:v>16035</c:v>
                </c:pt>
                <c:pt idx="55" formatCode="#,##0">
                  <c:v>17086</c:v>
                </c:pt>
                <c:pt idx="56" formatCode="#,##0">
                  <c:v>10605</c:v>
                </c:pt>
                <c:pt idx="57" formatCode="#,##0.00">
                  <c:v>8171.2098999999998</c:v>
                </c:pt>
                <c:pt idx="58" formatCode="#,##0.00">
                  <c:v>19232.400300000001</c:v>
                </c:pt>
                <c:pt idx="59" formatCode="#,##0.00">
                  <c:v>41980.8007</c:v>
                </c:pt>
                <c:pt idx="60" formatCode="#,##0.00">
                  <c:v>58354.699200000003</c:v>
                </c:pt>
                <c:pt idx="61" formatCode="#,##0.00">
                  <c:v>49971.8007</c:v>
                </c:pt>
              </c:numCache>
            </c:numRef>
          </c:val>
          <c:smooth val="0"/>
          <c:extLst>
            <c:ext xmlns:c16="http://schemas.microsoft.com/office/drawing/2014/chart" uri="{C3380CC4-5D6E-409C-BE32-E72D297353CC}">
              <c16:uniqueId val="{00000002-44CC-4841-B7A9-515BAEA0E4BD}"/>
            </c:ext>
          </c:extLst>
        </c:ser>
        <c:ser>
          <c:idx val="3"/>
          <c:order val="3"/>
          <c:tx>
            <c:strRef>
              <c:f>'Annex 2_Species Groups'!$B$7</c:f>
              <c:strCache>
                <c:ptCount val="1"/>
                <c:pt idx="0">
                  <c:v>Crustaceans nei</c:v>
                </c:pt>
              </c:strCache>
            </c:strRef>
          </c:tx>
          <c:spPr>
            <a:ln w="28575" cap="rnd">
              <a:solidFill>
                <a:schemeClr val="accent4"/>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Groups'!$C$7:$BN$7</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29</c:v>
                </c:pt>
                <c:pt idx="15">
                  <c:v>528</c:v>
                </c:pt>
                <c:pt idx="16">
                  <c:v>806</c:v>
                </c:pt>
                <c:pt idx="17">
                  <c:v>413</c:v>
                </c:pt>
                <c:pt idx="18">
                  <c:v>140</c:v>
                </c:pt>
                <c:pt idx="19">
                  <c:v>174</c:v>
                </c:pt>
                <c:pt idx="20">
                  <c:v>451</c:v>
                </c:pt>
                <c:pt idx="21" formatCode="#,##0">
                  <c:v>18622</c:v>
                </c:pt>
                <c:pt idx="22" formatCode="#,##0">
                  <c:v>1060</c:v>
                </c:pt>
                <c:pt idx="23">
                  <c:v>844</c:v>
                </c:pt>
                <c:pt idx="24">
                  <c:v>871</c:v>
                </c:pt>
                <c:pt idx="25">
                  <c:v>601</c:v>
                </c:pt>
                <c:pt idx="26">
                  <c:v>556</c:v>
                </c:pt>
                <c:pt idx="27">
                  <c:v>583</c:v>
                </c:pt>
                <c:pt idx="28" formatCode="#,##0">
                  <c:v>1658</c:v>
                </c:pt>
                <c:pt idx="29" formatCode="#,##0">
                  <c:v>1480</c:v>
                </c:pt>
                <c:pt idx="30" formatCode="#,##0">
                  <c:v>1286</c:v>
                </c:pt>
                <c:pt idx="31" formatCode="#,##0">
                  <c:v>1088</c:v>
                </c:pt>
                <c:pt idx="32" formatCode="#,##0">
                  <c:v>566</c:v>
                </c:pt>
                <c:pt idx="33" formatCode="#,##0">
                  <c:v>313</c:v>
                </c:pt>
                <c:pt idx="34" formatCode="#,##0">
                  <c:v>2820</c:v>
                </c:pt>
                <c:pt idx="35" formatCode="#,##0">
                  <c:v>1098</c:v>
                </c:pt>
                <c:pt idx="36" formatCode="#,##0">
                  <c:v>860</c:v>
                </c:pt>
                <c:pt idx="37" formatCode="#,##0">
                  <c:v>1512</c:v>
                </c:pt>
                <c:pt idx="38" formatCode="#,##0">
                  <c:v>758</c:v>
                </c:pt>
                <c:pt idx="39" formatCode="#,##0">
                  <c:v>503</c:v>
                </c:pt>
                <c:pt idx="40" formatCode="#,##0">
                  <c:v>928</c:v>
                </c:pt>
                <c:pt idx="41" formatCode="#,##0">
                  <c:v>414</c:v>
                </c:pt>
                <c:pt idx="42" formatCode="#,##0">
                  <c:v>252</c:v>
                </c:pt>
                <c:pt idx="43" formatCode="#,##0">
                  <c:v>1347</c:v>
                </c:pt>
                <c:pt idx="44" formatCode="#,##0">
                  <c:v>2171</c:v>
                </c:pt>
                <c:pt idx="45" formatCode="#,##0">
                  <c:v>2238</c:v>
                </c:pt>
                <c:pt idx="46" formatCode="#,##0">
                  <c:v>620</c:v>
                </c:pt>
                <c:pt idx="47" formatCode="#,##0">
                  <c:v>887</c:v>
                </c:pt>
                <c:pt idx="48" formatCode="#,##0">
                  <c:v>1497</c:v>
                </c:pt>
                <c:pt idx="49" formatCode="#,##0">
                  <c:v>1284</c:v>
                </c:pt>
                <c:pt idx="50" formatCode="#,##0">
                  <c:v>1358</c:v>
                </c:pt>
                <c:pt idx="51" formatCode="#,##0">
                  <c:v>856</c:v>
                </c:pt>
                <c:pt idx="52" formatCode="#,##0">
                  <c:v>991</c:v>
                </c:pt>
                <c:pt idx="53" formatCode="#,##0">
                  <c:v>1170</c:v>
                </c:pt>
                <c:pt idx="54" formatCode="#,##0">
                  <c:v>993</c:v>
                </c:pt>
                <c:pt idx="55" formatCode="#,##0">
                  <c:v>749</c:v>
                </c:pt>
                <c:pt idx="56" formatCode="#,##0">
                  <c:v>1774</c:v>
                </c:pt>
                <c:pt idx="57" formatCode="#,##0.00">
                  <c:v>1500</c:v>
                </c:pt>
                <c:pt idx="58" formatCode="#,##0.00">
                  <c:v>3200</c:v>
                </c:pt>
                <c:pt idx="59" formatCode="#,##0.00">
                  <c:v>1565.91</c:v>
                </c:pt>
                <c:pt idx="60" formatCode="#,##0.00">
                  <c:v>1430.98</c:v>
                </c:pt>
                <c:pt idx="61" formatCode="#,##0.00">
                  <c:v>2746.09</c:v>
                </c:pt>
                <c:pt idx="62" formatCode="#,##0.00">
                  <c:v>2614.36</c:v>
                </c:pt>
                <c:pt idx="63" formatCode="#,##0.00">
                  <c:v>1346.15</c:v>
                </c:pt>
              </c:numCache>
            </c:numRef>
          </c:val>
          <c:smooth val="0"/>
          <c:extLst>
            <c:ext xmlns:c16="http://schemas.microsoft.com/office/drawing/2014/chart" uri="{C3380CC4-5D6E-409C-BE32-E72D297353CC}">
              <c16:uniqueId val="{00000003-44CC-4841-B7A9-515BAEA0E4BD}"/>
            </c:ext>
          </c:extLst>
        </c:ser>
        <c:ser>
          <c:idx val="4"/>
          <c:order val="4"/>
          <c:tx>
            <c:strRef>
              <c:f>'Annex 2_Species Groups'!$B$8</c:f>
              <c:strCache>
                <c:ptCount val="1"/>
                <c:pt idx="0">
                  <c:v>Sharks, rays, skates, etc. nei</c:v>
                </c:pt>
              </c:strCache>
            </c:strRef>
          </c:tx>
          <c:spPr>
            <a:ln w="28575" cap="rnd">
              <a:solidFill>
                <a:schemeClr val="accent5"/>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Groups'!$C$8:$BN$8</c:f>
              <c:numCache>
                <c:formatCode>#,##0</c:formatCode>
                <c:ptCount val="64"/>
                <c:pt idx="0">
                  <c:v>5600</c:v>
                </c:pt>
                <c:pt idx="1">
                  <c:v>7100</c:v>
                </c:pt>
                <c:pt idx="2">
                  <c:v>7400</c:v>
                </c:pt>
                <c:pt idx="3">
                  <c:v>7700</c:v>
                </c:pt>
                <c:pt idx="4">
                  <c:v>8000</c:v>
                </c:pt>
                <c:pt idx="5">
                  <c:v>9000</c:v>
                </c:pt>
                <c:pt idx="6">
                  <c:v>9800</c:v>
                </c:pt>
                <c:pt idx="7">
                  <c:v>9200</c:v>
                </c:pt>
                <c:pt idx="8">
                  <c:v>9900</c:v>
                </c:pt>
                <c:pt idx="9">
                  <c:v>10700</c:v>
                </c:pt>
                <c:pt idx="10">
                  <c:v>9100</c:v>
                </c:pt>
                <c:pt idx="11">
                  <c:v>9300</c:v>
                </c:pt>
                <c:pt idx="12">
                  <c:v>8300</c:v>
                </c:pt>
                <c:pt idx="13">
                  <c:v>14700</c:v>
                </c:pt>
                <c:pt idx="14">
                  <c:v>16996</c:v>
                </c:pt>
                <c:pt idx="15">
                  <c:v>18804</c:v>
                </c:pt>
                <c:pt idx="16">
                  <c:v>19355</c:v>
                </c:pt>
                <c:pt idx="17">
                  <c:v>19052</c:v>
                </c:pt>
                <c:pt idx="18">
                  <c:v>21251</c:v>
                </c:pt>
                <c:pt idx="19">
                  <c:v>22834</c:v>
                </c:pt>
                <c:pt idx="20">
                  <c:v>29103</c:v>
                </c:pt>
                <c:pt idx="21">
                  <c:v>31138</c:v>
                </c:pt>
                <c:pt idx="22">
                  <c:v>33441</c:v>
                </c:pt>
                <c:pt idx="23">
                  <c:v>35034</c:v>
                </c:pt>
                <c:pt idx="24">
                  <c:v>36490</c:v>
                </c:pt>
                <c:pt idx="25">
                  <c:v>38874</c:v>
                </c:pt>
                <c:pt idx="26">
                  <c:v>35285</c:v>
                </c:pt>
                <c:pt idx="27">
                  <c:v>41661</c:v>
                </c:pt>
                <c:pt idx="28">
                  <c:v>42950</c:v>
                </c:pt>
                <c:pt idx="29">
                  <c:v>50277</c:v>
                </c:pt>
                <c:pt idx="30">
                  <c:v>52442</c:v>
                </c:pt>
                <c:pt idx="31">
                  <c:v>54595</c:v>
                </c:pt>
                <c:pt idx="32">
                  <c:v>55072</c:v>
                </c:pt>
                <c:pt idx="33">
                  <c:v>58316</c:v>
                </c:pt>
                <c:pt idx="34">
                  <c:v>63222</c:v>
                </c:pt>
                <c:pt idx="35">
                  <c:v>70000</c:v>
                </c:pt>
                <c:pt idx="36">
                  <c:v>66877</c:v>
                </c:pt>
                <c:pt idx="37">
                  <c:v>57394</c:v>
                </c:pt>
                <c:pt idx="38">
                  <c:v>57159</c:v>
                </c:pt>
                <c:pt idx="39">
                  <c:v>63826</c:v>
                </c:pt>
                <c:pt idx="40">
                  <c:v>69468</c:v>
                </c:pt>
                <c:pt idx="41">
                  <c:v>65713</c:v>
                </c:pt>
                <c:pt idx="42">
                  <c:v>67947</c:v>
                </c:pt>
                <c:pt idx="43">
                  <c:v>74181</c:v>
                </c:pt>
                <c:pt idx="44">
                  <c:v>70236</c:v>
                </c:pt>
                <c:pt idx="45">
                  <c:v>68218</c:v>
                </c:pt>
                <c:pt idx="46">
                  <c:v>76093</c:v>
                </c:pt>
                <c:pt idx="47">
                  <c:v>63371</c:v>
                </c:pt>
                <c:pt idx="48">
                  <c:v>63521</c:v>
                </c:pt>
                <c:pt idx="49">
                  <c:v>77213</c:v>
                </c:pt>
                <c:pt idx="50">
                  <c:v>69383</c:v>
                </c:pt>
                <c:pt idx="51">
                  <c:v>72301</c:v>
                </c:pt>
                <c:pt idx="52">
                  <c:v>77498</c:v>
                </c:pt>
                <c:pt idx="53">
                  <c:v>81850</c:v>
                </c:pt>
                <c:pt idx="54">
                  <c:v>92329</c:v>
                </c:pt>
                <c:pt idx="55">
                  <c:v>85706</c:v>
                </c:pt>
                <c:pt idx="56">
                  <c:v>82884</c:v>
                </c:pt>
                <c:pt idx="57">
                  <c:v>28477</c:v>
                </c:pt>
                <c:pt idx="58">
                  <c:v>62845</c:v>
                </c:pt>
                <c:pt idx="59">
                  <c:v>51845</c:v>
                </c:pt>
                <c:pt idx="60">
                  <c:v>64739</c:v>
                </c:pt>
                <c:pt idx="61">
                  <c:v>63312</c:v>
                </c:pt>
                <c:pt idx="62">
                  <c:v>880.9</c:v>
                </c:pt>
                <c:pt idx="63" formatCode="General">
                  <c:v>198.93</c:v>
                </c:pt>
              </c:numCache>
            </c:numRef>
          </c:val>
          <c:smooth val="0"/>
          <c:extLst>
            <c:ext xmlns:c16="http://schemas.microsoft.com/office/drawing/2014/chart" uri="{C3380CC4-5D6E-409C-BE32-E72D297353CC}">
              <c16:uniqueId val="{00000004-44CC-4841-B7A9-515BAEA0E4BD}"/>
            </c:ext>
          </c:extLst>
        </c:ser>
        <c:ser>
          <c:idx val="5"/>
          <c:order val="5"/>
          <c:tx>
            <c:strRef>
              <c:f>'Annex 2_Species Groups'!$B$9</c:f>
              <c:strCache>
                <c:ptCount val="1"/>
                <c:pt idx="0">
                  <c:v>Tunas, bonitos, billfishes</c:v>
                </c:pt>
              </c:strCache>
            </c:strRef>
          </c:tx>
          <c:spPr>
            <a:ln w="28575" cap="rnd">
              <a:solidFill>
                <a:schemeClr val="accent6"/>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Groups'!$C$9:$BN$9</c:f>
              <c:numCache>
                <c:formatCode>General</c:formatCode>
                <c:ptCount val="64"/>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formatCode="0">
                  <c:v>7192</c:v>
                </c:pt>
                <c:pt idx="31" formatCode="#,##0">
                  <c:v>7164</c:v>
                </c:pt>
                <c:pt idx="32" formatCode="#,##0">
                  <c:v>8564</c:v>
                </c:pt>
                <c:pt idx="33" formatCode="#,##0">
                  <c:v>9100</c:v>
                </c:pt>
                <c:pt idx="34" formatCode="#,##0">
                  <c:v>8609</c:v>
                </c:pt>
                <c:pt idx="35" formatCode="#,##0">
                  <c:v>8746</c:v>
                </c:pt>
                <c:pt idx="36" formatCode="#,##0">
                  <c:v>9384</c:v>
                </c:pt>
                <c:pt idx="37" formatCode="#,##0">
                  <c:v>9040</c:v>
                </c:pt>
                <c:pt idx="38" formatCode="#,##0">
                  <c:v>8997</c:v>
                </c:pt>
                <c:pt idx="39" formatCode="#,##0">
                  <c:v>7575</c:v>
                </c:pt>
                <c:pt idx="40" formatCode="#,##0">
                  <c:v>5660</c:v>
                </c:pt>
                <c:pt idx="41" formatCode="#,##0">
                  <c:v>1928</c:v>
                </c:pt>
                <c:pt idx="42" formatCode="#,##0">
                  <c:v>2266</c:v>
                </c:pt>
                <c:pt idx="43">
                  <c:v>826</c:v>
                </c:pt>
                <c:pt idx="44" formatCode="#,##0">
                  <c:v>13096</c:v>
                </c:pt>
                <c:pt idx="45" formatCode="#,##0">
                  <c:v>63277</c:v>
                </c:pt>
                <c:pt idx="46" formatCode="#,##0">
                  <c:v>47404</c:v>
                </c:pt>
                <c:pt idx="47" formatCode="#,##0">
                  <c:v>44581</c:v>
                </c:pt>
                <c:pt idx="48" formatCode="#,##0">
                  <c:v>48705</c:v>
                </c:pt>
                <c:pt idx="49" formatCode="#,##0">
                  <c:v>47423</c:v>
                </c:pt>
                <c:pt idx="50" formatCode="#,##0">
                  <c:v>31798</c:v>
                </c:pt>
                <c:pt idx="51" formatCode="#,##0">
                  <c:v>34629</c:v>
                </c:pt>
                <c:pt idx="52" formatCode="#,##0">
                  <c:v>40653</c:v>
                </c:pt>
                <c:pt idx="53" formatCode="#,##0">
                  <c:v>36237</c:v>
                </c:pt>
                <c:pt idx="54" formatCode="#,##0">
                  <c:v>44688</c:v>
                </c:pt>
                <c:pt idx="55" formatCode="#,##0">
                  <c:v>35588</c:v>
                </c:pt>
                <c:pt idx="56" formatCode="#,##0">
                  <c:v>9018</c:v>
                </c:pt>
                <c:pt idx="57" formatCode="#,##0">
                  <c:v>124832</c:v>
                </c:pt>
                <c:pt idx="58" formatCode="#,##0">
                  <c:v>44756</c:v>
                </c:pt>
                <c:pt idx="59" formatCode="#,##0.00">
                  <c:v>61445.699200000003</c:v>
                </c:pt>
                <c:pt idx="60" formatCode="#,##0.00">
                  <c:v>44363.699200000003</c:v>
                </c:pt>
                <c:pt idx="61" formatCode="#,##0.00">
                  <c:v>37885.699200000003</c:v>
                </c:pt>
              </c:numCache>
            </c:numRef>
          </c:val>
          <c:smooth val="0"/>
          <c:extLst>
            <c:ext xmlns:c16="http://schemas.microsoft.com/office/drawing/2014/chart" uri="{C3380CC4-5D6E-409C-BE32-E72D297353CC}">
              <c16:uniqueId val="{00000005-44CC-4841-B7A9-515BAEA0E4BD}"/>
            </c:ext>
          </c:extLst>
        </c:ser>
        <c:ser>
          <c:idx val="6"/>
          <c:order val="6"/>
          <c:tx>
            <c:strRef>
              <c:f>'Annex 2_Species Groups'!$B$10</c:f>
              <c:strCache>
                <c:ptCount val="1"/>
                <c:pt idx="0">
                  <c:v>Seaweeds</c:v>
                </c:pt>
              </c:strCache>
            </c:strRef>
          </c:tx>
          <c:spPr>
            <a:ln w="28575" cap="rnd">
              <a:solidFill>
                <a:schemeClr val="accent1">
                  <a:lumMod val="60000"/>
                </a:schemeClr>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Groups'!$C$10:$BN$10</c:f>
              <c:numCache>
                <c:formatCode>General</c:formatCode>
                <c:ptCount val="64"/>
                <c:pt idx="0">
                  <c:v>160</c:v>
                </c:pt>
                <c:pt idx="1">
                  <c:v>200</c:v>
                </c:pt>
                <c:pt idx="2">
                  <c:v>260</c:v>
                </c:pt>
                <c:pt idx="3">
                  <c:v>330</c:v>
                </c:pt>
                <c:pt idx="4">
                  <c:v>420</c:v>
                </c:pt>
                <c:pt idx="5">
                  <c:v>540</c:v>
                </c:pt>
                <c:pt idx="6">
                  <c:v>690</c:v>
                </c:pt>
                <c:pt idx="7">
                  <c:v>880</c:v>
                </c:pt>
                <c:pt idx="8" formatCode="#,##0">
                  <c:v>1130</c:v>
                </c:pt>
                <c:pt idx="9" formatCode="#,##0">
                  <c:v>1440</c:v>
                </c:pt>
                <c:pt idx="10" formatCode="#,##0">
                  <c:v>1839</c:v>
                </c:pt>
                <c:pt idx="11" formatCode="#,##0">
                  <c:v>3248</c:v>
                </c:pt>
                <c:pt idx="12" formatCode="#,##0">
                  <c:v>3049</c:v>
                </c:pt>
                <c:pt idx="13" formatCode="#,##0">
                  <c:v>3156</c:v>
                </c:pt>
                <c:pt idx="14" formatCode="#,##0">
                  <c:v>3008</c:v>
                </c:pt>
                <c:pt idx="15" formatCode="#,##0">
                  <c:v>8426</c:v>
                </c:pt>
                <c:pt idx="16" formatCode="#,##0">
                  <c:v>21811</c:v>
                </c:pt>
                <c:pt idx="17" formatCode="#,##0">
                  <c:v>27192</c:v>
                </c:pt>
                <c:pt idx="18" formatCode="#,##0">
                  <c:v>32480</c:v>
                </c:pt>
                <c:pt idx="19" formatCode="#,##0">
                  <c:v>37674</c:v>
                </c:pt>
                <c:pt idx="20" formatCode="#,##0">
                  <c:v>42774</c:v>
                </c:pt>
                <c:pt idx="21" formatCode="#,##0">
                  <c:v>47780</c:v>
                </c:pt>
                <c:pt idx="22" formatCode="#,##0">
                  <c:v>52693</c:v>
                </c:pt>
                <c:pt idx="23" formatCode="#,##0">
                  <c:v>57512</c:v>
                </c:pt>
                <c:pt idx="24" formatCode="#,##0">
                  <c:v>60000</c:v>
                </c:pt>
                <c:pt idx="25" formatCode="#,##0">
                  <c:v>58217</c:v>
                </c:pt>
                <c:pt idx="26" formatCode="#,##0">
                  <c:v>77462</c:v>
                </c:pt>
                <c:pt idx="27" formatCode="#,##0">
                  <c:v>80000</c:v>
                </c:pt>
                <c:pt idx="28" formatCode="#,##0">
                  <c:v>85000</c:v>
                </c:pt>
                <c:pt idx="29" formatCode="#,##0">
                  <c:v>80000</c:v>
                </c:pt>
                <c:pt idx="30" formatCode="#,##0">
                  <c:v>100000</c:v>
                </c:pt>
                <c:pt idx="31" formatCode="#,##0">
                  <c:v>90000</c:v>
                </c:pt>
                <c:pt idx="32" formatCode="#,##0">
                  <c:v>95000</c:v>
                </c:pt>
                <c:pt idx="33" formatCode="#,##0">
                  <c:v>110000</c:v>
                </c:pt>
                <c:pt idx="34" formatCode="#,##0">
                  <c:v>102000</c:v>
                </c:pt>
                <c:pt idx="35" formatCode="#,##0">
                  <c:v>102000</c:v>
                </c:pt>
                <c:pt idx="36" formatCode="#,##0">
                  <c:v>148000</c:v>
                </c:pt>
                <c:pt idx="37" formatCode="#,##0">
                  <c:v>115000</c:v>
                </c:pt>
                <c:pt idx="38" formatCode="#,##0">
                  <c:v>117210</c:v>
                </c:pt>
                <c:pt idx="39" formatCode="#,##0">
                  <c:v>133720</c:v>
                </c:pt>
                <c:pt idx="40" formatCode="#,##0">
                  <c:v>205227</c:v>
                </c:pt>
                <c:pt idx="41" formatCode="#,##0">
                  <c:v>212473</c:v>
                </c:pt>
                <c:pt idx="42" formatCode="#,##0">
                  <c:v>223080</c:v>
                </c:pt>
                <c:pt idx="43" formatCode="#,##0">
                  <c:v>231900</c:v>
                </c:pt>
                <c:pt idx="44" formatCode="#,##0">
                  <c:v>410570</c:v>
                </c:pt>
                <c:pt idx="45" formatCode="#,##0">
                  <c:v>910636</c:v>
                </c:pt>
                <c:pt idx="46" formatCode="#,##0">
                  <c:v>1170000</c:v>
                </c:pt>
                <c:pt idx="47" formatCode="#,##0">
                  <c:v>1728475</c:v>
                </c:pt>
                <c:pt idx="48" formatCode="#,##0">
                  <c:v>2145061</c:v>
                </c:pt>
                <c:pt idx="49" formatCode="#,##0">
                  <c:v>2963556</c:v>
                </c:pt>
                <c:pt idx="50" formatCode="#,##0">
                  <c:v>3915017</c:v>
                </c:pt>
                <c:pt idx="51" formatCode="#,##0">
                  <c:v>5170201</c:v>
                </c:pt>
                <c:pt idx="52" formatCode="#,##0">
                  <c:v>6514854</c:v>
                </c:pt>
                <c:pt idx="53" formatCode="#,##0">
                  <c:v>9298474</c:v>
                </c:pt>
                <c:pt idx="54" formatCode="#,##0">
                  <c:v>10076992</c:v>
                </c:pt>
                <c:pt idx="55" formatCode="#,##0">
                  <c:v>11269341</c:v>
                </c:pt>
                <c:pt idx="56" formatCode="#,##0">
                  <c:v>11050301</c:v>
                </c:pt>
                <c:pt idx="57" formatCode="#,##0">
                  <c:v>10547552</c:v>
                </c:pt>
                <c:pt idx="58" formatCode="#,##0">
                  <c:v>10320000</c:v>
                </c:pt>
                <c:pt idx="59" formatCode="#,##0">
                  <c:v>9775985</c:v>
                </c:pt>
                <c:pt idx="60" formatCode="#,##0">
                  <c:v>9618420</c:v>
                </c:pt>
                <c:pt idx="61" formatCode="#,##0">
                  <c:v>8957291</c:v>
                </c:pt>
                <c:pt idx="62" formatCode="#,##0">
                  <c:v>9219982</c:v>
                </c:pt>
              </c:numCache>
            </c:numRef>
          </c:val>
          <c:smooth val="0"/>
          <c:extLst>
            <c:ext xmlns:c16="http://schemas.microsoft.com/office/drawing/2014/chart" uri="{C3380CC4-5D6E-409C-BE32-E72D297353CC}">
              <c16:uniqueId val="{00000006-44CC-4841-B7A9-515BAEA0E4BD}"/>
            </c:ext>
          </c:extLst>
        </c:ser>
        <c:ser>
          <c:idx val="7"/>
          <c:order val="7"/>
          <c:tx>
            <c:strRef>
              <c:f>'Annex 2_Species Groups'!$B$11</c:f>
              <c:strCache>
                <c:ptCount val="1"/>
                <c:pt idx="0">
                  <c:v>Sea cucumbers nei</c:v>
                </c:pt>
              </c:strCache>
            </c:strRef>
          </c:tx>
          <c:spPr>
            <a:ln w="28575" cap="rnd">
              <a:solidFill>
                <a:schemeClr val="accent2">
                  <a:lumMod val="60000"/>
                </a:schemeClr>
              </a:solidFill>
              <a:round/>
            </a:ln>
            <a:effectLst/>
          </c:spPr>
          <c:marker>
            <c:symbol val="none"/>
          </c:marker>
          <c:cat>
            <c:numRef>
              <c:f>'Annex 2_Species Groups'!$C$3:$BN$3</c:f>
              <c:numCache>
                <c:formatCode>General</c:formatCode>
                <c:ptCount val="64"/>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pt idx="53">
                  <c:v>2013</c:v>
                </c:pt>
                <c:pt idx="54">
                  <c:v>2014</c:v>
                </c:pt>
                <c:pt idx="55">
                  <c:v>2015</c:v>
                </c:pt>
                <c:pt idx="56">
                  <c:v>2016</c:v>
                </c:pt>
                <c:pt idx="57">
                  <c:v>2017</c:v>
                </c:pt>
                <c:pt idx="58">
                  <c:v>2018</c:v>
                </c:pt>
                <c:pt idx="59">
                  <c:v>2019</c:v>
                </c:pt>
                <c:pt idx="60">
                  <c:v>2020</c:v>
                </c:pt>
                <c:pt idx="61">
                  <c:v>2021</c:v>
                </c:pt>
                <c:pt idx="62">
                  <c:v>2022</c:v>
                </c:pt>
                <c:pt idx="63">
                  <c:v>2023</c:v>
                </c:pt>
              </c:numCache>
            </c:numRef>
          </c:cat>
          <c:val>
            <c:numRef>
              <c:f>'Annex 2_Species Groups'!$C$11:$BN$11</c:f>
              <c:numCache>
                <c:formatCode>General</c:formatCode>
                <c:ptCount val="64"/>
                <c:pt idx="0">
                  <c:v>200</c:v>
                </c:pt>
                <c:pt idx="1">
                  <c:v>200</c:v>
                </c:pt>
                <c:pt idx="2">
                  <c:v>200</c:v>
                </c:pt>
                <c:pt idx="3">
                  <c:v>200</c:v>
                </c:pt>
                <c:pt idx="4">
                  <c:v>200</c:v>
                </c:pt>
                <c:pt idx="5">
                  <c:v>300</c:v>
                </c:pt>
                <c:pt idx="6">
                  <c:v>300</c:v>
                </c:pt>
                <c:pt idx="7">
                  <c:v>300</c:v>
                </c:pt>
                <c:pt idx="8">
                  <c:v>300</c:v>
                </c:pt>
                <c:pt idx="9">
                  <c:v>300</c:v>
                </c:pt>
                <c:pt idx="10">
                  <c:v>400</c:v>
                </c:pt>
                <c:pt idx="11">
                  <c:v>500</c:v>
                </c:pt>
                <c:pt idx="12">
                  <c:v>400</c:v>
                </c:pt>
                <c:pt idx="13">
                  <c:v>400</c:v>
                </c:pt>
                <c:pt idx="14">
                  <c:v>116</c:v>
                </c:pt>
                <c:pt idx="15">
                  <c:v>182</c:v>
                </c:pt>
                <c:pt idx="16">
                  <c:v>164</c:v>
                </c:pt>
                <c:pt idx="17">
                  <c:v>206</c:v>
                </c:pt>
                <c:pt idx="18">
                  <c:v>203</c:v>
                </c:pt>
                <c:pt idx="19">
                  <c:v>246</c:v>
                </c:pt>
                <c:pt idx="20">
                  <c:v>232</c:v>
                </c:pt>
                <c:pt idx="21">
                  <c:v>285</c:v>
                </c:pt>
                <c:pt idx="22">
                  <c:v>275</c:v>
                </c:pt>
                <c:pt idx="23">
                  <c:v>229</c:v>
                </c:pt>
                <c:pt idx="24">
                  <c:v>455</c:v>
                </c:pt>
                <c:pt idx="25">
                  <c:v>333</c:v>
                </c:pt>
                <c:pt idx="26">
                  <c:v>470</c:v>
                </c:pt>
                <c:pt idx="27">
                  <c:v>486</c:v>
                </c:pt>
                <c:pt idx="28">
                  <c:v>755</c:v>
                </c:pt>
                <c:pt idx="29" formatCode="#,##0">
                  <c:v>1368</c:v>
                </c:pt>
                <c:pt idx="30" formatCode="#,##0">
                  <c:v>1535</c:v>
                </c:pt>
                <c:pt idx="31" formatCode="#,##0">
                  <c:v>1718</c:v>
                </c:pt>
                <c:pt idx="32" formatCode="#,##0">
                  <c:v>1576</c:v>
                </c:pt>
                <c:pt idx="33" formatCode="#,##0">
                  <c:v>1756</c:v>
                </c:pt>
                <c:pt idx="34" formatCode="#,##0">
                  <c:v>2584</c:v>
                </c:pt>
                <c:pt idx="35" formatCode="#,##0">
                  <c:v>2335</c:v>
                </c:pt>
                <c:pt idx="36" formatCode="#,##0">
                  <c:v>2174</c:v>
                </c:pt>
                <c:pt idx="37" formatCode="#,##0">
                  <c:v>2800</c:v>
                </c:pt>
                <c:pt idx="38" formatCode="#,##0">
                  <c:v>2428</c:v>
                </c:pt>
                <c:pt idx="39" formatCode="#,##0">
                  <c:v>1928</c:v>
                </c:pt>
                <c:pt idx="40" formatCode="#,##0">
                  <c:v>2138</c:v>
                </c:pt>
                <c:pt idx="41" formatCode="#,##0">
                  <c:v>2820</c:v>
                </c:pt>
                <c:pt idx="42" formatCode="#,##0">
                  <c:v>2408</c:v>
                </c:pt>
                <c:pt idx="43" formatCode="#,##0">
                  <c:v>2680</c:v>
                </c:pt>
                <c:pt idx="44" formatCode="#,##0">
                  <c:v>6516</c:v>
                </c:pt>
                <c:pt idx="45" formatCode="#,##0">
                  <c:v>6520</c:v>
                </c:pt>
                <c:pt idx="46" formatCode="#,##0">
                  <c:v>4255</c:v>
                </c:pt>
                <c:pt idx="47" formatCode="#,##0">
                  <c:v>3878</c:v>
                </c:pt>
                <c:pt idx="48" formatCode="#,##0">
                  <c:v>3171</c:v>
                </c:pt>
                <c:pt idx="49" formatCode="#,##0">
                  <c:v>5380</c:v>
                </c:pt>
                <c:pt idx="50" formatCode="#,##0">
                  <c:v>4584</c:v>
                </c:pt>
                <c:pt idx="51" formatCode="#,##0">
                  <c:v>5434</c:v>
                </c:pt>
                <c:pt idx="52" formatCode="#,##0">
                  <c:v>5992</c:v>
                </c:pt>
                <c:pt idx="53" formatCode="#,##0">
                  <c:v>3777</c:v>
                </c:pt>
                <c:pt idx="54" formatCode="#,##0">
                  <c:v>4850</c:v>
                </c:pt>
                <c:pt idx="55" formatCode="#,##0">
                  <c:v>3609</c:v>
                </c:pt>
                <c:pt idx="56" formatCode="#,##0">
                  <c:v>3424</c:v>
                </c:pt>
                <c:pt idx="57" formatCode="#,##0.00">
                  <c:v>6382.89</c:v>
                </c:pt>
                <c:pt idx="58" formatCode="#,##0.00">
                  <c:v>8279.16</c:v>
                </c:pt>
                <c:pt idx="59" formatCode="#,##0.00">
                  <c:v>4153.96</c:v>
                </c:pt>
                <c:pt idx="60" formatCode="#,##0.00">
                  <c:v>3789.94</c:v>
                </c:pt>
                <c:pt idx="61" formatCode="#,##0.00">
                  <c:v>3599.58</c:v>
                </c:pt>
                <c:pt idx="62" formatCode="#,##0.00">
                  <c:v>2617.66</c:v>
                </c:pt>
                <c:pt idx="63" formatCode="#,##0.00">
                  <c:v>2985.34</c:v>
                </c:pt>
              </c:numCache>
            </c:numRef>
          </c:val>
          <c:smooth val="0"/>
          <c:extLst>
            <c:ext xmlns:c16="http://schemas.microsoft.com/office/drawing/2014/chart" uri="{C3380CC4-5D6E-409C-BE32-E72D297353CC}">
              <c16:uniqueId val="{00000007-44CC-4841-B7A9-515BAEA0E4BD}"/>
            </c:ext>
          </c:extLst>
        </c:ser>
        <c:dLbls>
          <c:showLegendKey val="0"/>
          <c:showVal val="0"/>
          <c:showCatName val="0"/>
          <c:showSerName val="0"/>
          <c:showPercent val="0"/>
          <c:showBubbleSize val="0"/>
        </c:dLbls>
        <c:smooth val="0"/>
        <c:axId val="800529807"/>
        <c:axId val="800531247"/>
      </c:lineChart>
      <c:catAx>
        <c:axId val="800529807"/>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0531247"/>
        <c:crossesAt val="1"/>
        <c:auto val="1"/>
        <c:lblAlgn val="ctr"/>
        <c:lblOffset val="100"/>
        <c:noMultiLvlLbl val="0"/>
      </c:catAx>
      <c:valAx>
        <c:axId val="800531247"/>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Production</a:t>
                </a:r>
                <a:r>
                  <a:rPr lang="en-US" baseline="0"/>
                  <a:t> (tonnes)</a:t>
                </a:r>
                <a:endParaRPr lang="en-US"/>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00529807"/>
        <c:crosses val="autoZero"/>
        <c:crossBetween val="between"/>
      </c:valAx>
      <c:spPr>
        <a:noFill/>
        <a:ln>
          <a:noFill/>
        </a:ln>
        <a:effectLst/>
      </c:spPr>
    </c:plotArea>
    <c:legend>
      <c:legendPos val="b"/>
      <c:layout>
        <c:manualLayout>
          <c:xMode val="edge"/>
          <c:yMode val="edge"/>
          <c:x val="0.11975933903022336"/>
          <c:y val="0.76305935178542994"/>
          <c:w val="0.79156480328946444"/>
          <c:h val="0.21031556664867401"/>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'Fishing Sector Recap'!$B$1</c:f>
              <c:strCache>
                <c:ptCount val="1"/>
                <c:pt idx="0">
                  <c:v>Artisanal</c:v>
                </c:pt>
              </c:strCache>
            </c:strRef>
          </c:tx>
          <c:spPr>
            <a:ln w="28575" cap="rnd">
              <a:solidFill>
                <a:schemeClr val="accent2"/>
              </a:solidFill>
              <a:round/>
            </a:ln>
            <a:effectLst/>
          </c:spPr>
          <c:marker>
            <c:symbol val="none"/>
          </c:marker>
          <c:cat>
            <c:numRef>
              <c:f>'Fishing Sector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'Fishing Sector Recap'!$B$2:$B$71</c:f>
              <c:numCache>
                <c:formatCode>General</c:formatCode>
                <c:ptCount val="70"/>
                <c:pt idx="0">
                  <c:v>51191.621618865996</c:v>
                </c:pt>
                <c:pt idx="1">
                  <c:v>61728.945735905596</c:v>
                </c:pt>
                <c:pt idx="2">
                  <c:v>69789.934771607892</c:v>
                </c:pt>
                <c:pt idx="3">
                  <c:v>71826.457809978092</c:v>
                </c:pt>
                <c:pt idx="4">
                  <c:v>76425.548674444901</c:v>
                </c:pt>
                <c:pt idx="5">
                  <c:v>78747.001938840782</c:v>
                </c:pt>
                <c:pt idx="6">
                  <c:v>79993.164465917944</c:v>
                </c:pt>
                <c:pt idx="7">
                  <c:v>78046.80750694497</c:v>
                </c:pt>
                <c:pt idx="8">
                  <c:v>80525.713961514804</c:v>
                </c:pt>
                <c:pt idx="9">
                  <c:v>76994.874463756336</c:v>
                </c:pt>
                <c:pt idx="10">
                  <c:v>78700.38455675586</c:v>
                </c:pt>
                <c:pt idx="11">
                  <c:v>90014.166190680698</c:v>
                </c:pt>
                <c:pt idx="12">
                  <c:v>82425.621971701286</c:v>
                </c:pt>
                <c:pt idx="13">
                  <c:v>74079.403355317379</c:v>
                </c:pt>
                <c:pt idx="14">
                  <c:v>66637.187841010498</c:v>
                </c:pt>
                <c:pt idx="15">
                  <c:v>61840.522134717743</c:v>
                </c:pt>
                <c:pt idx="16">
                  <c:v>52882.28822542767</c:v>
                </c:pt>
                <c:pt idx="17">
                  <c:v>49864.349168769149</c:v>
                </c:pt>
                <c:pt idx="18">
                  <c:v>52779.296655319398</c:v>
                </c:pt>
                <c:pt idx="19">
                  <c:v>57355.503145580704</c:v>
                </c:pt>
                <c:pt idx="20">
                  <c:v>62903.343521593029</c:v>
                </c:pt>
                <c:pt idx="21">
                  <c:v>63953.456122469484</c:v>
                </c:pt>
                <c:pt idx="22">
                  <c:v>61411.432991994632</c:v>
                </c:pt>
                <c:pt idx="23">
                  <c:v>60159.63026469895</c:v>
                </c:pt>
                <c:pt idx="24">
                  <c:v>63391.75399251331</c:v>
                </c:pt>
                <c:pt idx="25">
                  <c:v>61743.049905770757</c:v>
                </c:pt>
                <c:pt idx="26">
                  <c:v>71678.497284409546</c:v>
                </c:pt>
                <c:pt idx="27">
                  <c:v>78044.374612502797</c:v>
                </c:pt>
                <c:pt idx="28">
                  <c:v>88482.498524672963</c:v>
                </c:pt>
                <c:pt idx="29">
                  <c:v>91361.924004711618</c:v>
                </c:pt>
                <c:pt idx="30">
                  <c:v>124571.89200923411</c:v>
                </c:pt>
                <c:pt idx="31">
                  <c:v>113583.79005296959</c:v>
                </c:pt>
                <c:pt idx="32">
                  <c:v>102707.76320767937</c:v>
                </c:pt>
                <c:pt idx="33">
                  <c:v>105883.41012984334</c:v>
                </c:pt>
                <c:pt idx="34">
                  <c:v>103249.61575805045</c:v>
                </c:pt>
                <c:pt idx="35">
                  <c:v>109540.23550410187</c:v>
                </c:pt>
                <c:pt idx="36">
                  <c:v>114829.33706360192</c:v>
                </c:pt>
                <c:pt idx="37">
                  <c:v>119728.5819515531</c:v>
                </c:pt>
                <c:pt idx="38">
                  <c:v>127567.0085940961</c:v>
                </c:pt>
                <c:pt idx="39">
                  <c:v>124291.98690891096</c:v>
                </c:pt>
                <c:pt idx="40">
                  <c:v>143214.05668035211</c:v>
                </c:pt>
                <c:pt idx="41">
                  <c:v>141675.1768128963</c:v>
                </c:pt>
                <c:pt idx="42">
                  <c:v>151270.91311046749</c:v>
                </c:pt>
                <c:pt idx="43">
                  <c:v>157148.44171737586</c:v>
                </c:pt>
                <c:pt idx="44">
                  <c:v>169649.41178551666</c:v>
                </c:pt>
                <c:pt idx="45">
                  <c:v>172669.12372085112</c:v>
                </c:pt>
                <c:pt idx="46">
                  <c:v>181126.19843632705</c:v>
                </c:pt>
                <c:pt idx="47">
                  <c:v>195862.62786934362</c:v>
                </c:pt>
                <c:pt idx="48">
                  <c:v>190831.57194861362</c:v>
                </c:pt>
                <c:pt idx="49">
                  <c:v>203626.69947589294</c:v>
                </c:pt>
                <c:pt idx="50">
                  <c:v>219529.0466230321</c:v>
                </c:pt>
                <c:pt idx="51">
                  <c:v>240502.0320531562</c:v>
                </c:pt>
                <c:pt idx="52">
                  <c:v>253012.36615477127</c:v>
                </c:pt>
                <c:pt idx="53">
                  <c:v>261768.16901663353</c:v>
                </c:pt>
                <c:pt idx="54">
                  <c:v>227475.2846888662</c:v>
                </c:pt>
                <c:pt idx="55">
                  <c:v>202862.46498818757</c:v>
                </c:pt>
                <c:pt idx="56">
                  <c:v>218576.54632214885</c:v>
                </c:pt>
                <c:pt idx="57">
                  <c:v>224338.64513983735</c:v>
                </c:pt>
                <c:pt idx="58">
                  <c:v>235145.0806249473</c:v>
                </c:pt>
                <c:pt idx="59">
                  <c:v>243700.2215799788</c:v>
                </c:pt>
                <c:pt idx="60">
                  <c:v>239077.12847303139</c:v>
                </c:pt>
                <c:pt idx="61">
                  <c:v>235944.37794030923</c:v>
                </c:pt>
                <c:pt idx="62">
                  <c:v>239607.27351451467</c:v>
                </c:pt>
                <c:pt idx="63">
                  <c:v>244316.50143304677</c:v>
                </c:pt>
                <c:pt idx="64">
                  <c:v>264336.95465702942</c:v>
                </c:pt>
                <c:pt idx="65">
                  <c:v>295571.53736053448</c:v>
                </c:pt>
                <c:pt idx="66">
                  <c:v>279667.28516739572</c:v>
                </c:pt>
                <c:pt idx="67">
                  <c:v>247477.42290813496</c:v>
                </c:pt>
                <c:pt idx="68">
                  <c:v>283611.28290482837</c:v>
                </c:pt>
                <c:pt idx="69">
                  <c:v>312193.23457212566</c:v>
                </c:pt>
              </c:numCache>
            </c:numRef>
          </c:val>
          <c:smooth val="0"/>
          <c:extLst>
            <c:ext xmlns:c16="http://schemas.microsoft.com/office/drawing/2014/chart" uri="{C3380CC4-5D6E-409C-BE32-E72D297353CC}">
              <c16:uniqueId val="{00000000-1AE4-41ED-8990-D86F6DD105E8}"/>
            </c:ext>
          </c:extLst>
        </c:ser>
        <c:ser>
          <c:idx val="2"/>
          <c:order val="1"/>
          <c:tx>
            <c:strRef>
              <c:f>'Fishing Sector Recap'!$C$1</c:f>
              <c:strCache>
                <c:ptCount val="1"/>
                <c:pt idx="0">
                  <c:v>Industrial</c:v>
                </c:pt>
              </c:strCache>
            </c:strRef>
          </c:tx>
          <c:spPr>
            <a:ln w="28575" cap="rnd">
              <a:solidFill>
                <a:schemeClr val="accent3"/>
              </a:solidFill>
              <a:round/>
            </a:ln>
            <a:effectLst/>
          </c:spPr>
          <c:marker>
            <c:symbol val="none"/>
          </c:marker>
          <c:cat>
            <c:numRef>
              <c:f>'Fishing Sector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'Fishing Sector Recap'!$C$2:$C$71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36471.538208078688</c:v>
                </c:pt>
                <c:pt idx="12">
                  <c:v>50182.94229035281</c:v>
                </c:pt>
                <c:pt idx="13">
                  <c:v>64976.143865996557</c:v>
                </c:pt>
                <c:pt idx="14">
                  <c:v>82350.535626109297</c:v>
                </c:pt>
                <c:pt idx="15">
                  <c:v>108585.36311991722</c:v>
                </c:pt>
                <c:pt idx="16">
                  <c:v>134567.7866295237</c:v>
                </c:pt>
                <c:pt idx="17">
                  <c:v>126907.27576328257</c:v>
                </c:pt>
                <c:pt idx="18">
                  <c:v>135576.21325362599</c:v>
                </c:pt>
                <c:pt idx="19">
                  <c:v>147903.9222727734</c:v>
                </c:pt>
                <c:pt idx="20">
                  <c:v>155136.03552189772</c:v>
                </c:pt>
                <c:pt idx="21">
                  <c:v>158173.93868444301</c:v>
                </c:pt>
                <c:pt idx="22">
                  <c:v>156741.35162803586</c:v>
                </c:pt>
                <c:pt idx="23">
                  <c:v>172714.07660225889</c:v>
                </c:pt>
                <c:pt idx="24">
                  <c:v>179576.56230783637</c:v>
                </c:pt>
                <c:pt idx="25">
                  <c:v>156238.27304613599</c:v>
                </c:pt>
                <c:pt idx="26">
                  <c:v>158538.70103549896</c:v>
                </c:pt>
                <c:pt idx="27">
                  <c:v>164124.80207293606</c:v>
                </c:pt>
                <c:pt idx="28">
                  <c:v>180972.86360357035</c:v>
                </c:pt>
                <c:pt idx="29">
                  <c:v>200858.55981997674</c:v>
                </c:pt>
                <c:pt idx="30">
                  <c:v>170386.47678622851</c:v>
                </c:pt>
                <c:pt idx="31">
                  <c:v>186431.05356773894</c:v>
                </c:pt>
                <c:pt idx="32">
                  <c:v>201297.45992782648</c:v>
                </c:pt>
                <c:pt idx="33">
                  <c:v>229767.74304925065</c:v>
                </c:pt>
                <c:pt idx="34">
                  <c:v>237973.46825265503</c:v>
                </c:pt>
                <c:pt idx="35">
                  <c:v>263247.34506721067</c:v>
                </c:pt>
                <c:pt idx="36">
                  <c:v>258271.82540988797</c:v>
                </c:pt>
                <c:pt idx="37">
                  <c:v>277867.42880804464</c:v>
                </c:pt>
                <c:pt idx="38">
                  <c:v>283865.82593238039</c:v>
                </c:pt>
                <c:pt idx="39">
                  <c:v>283683.10870208143</c:v>
                </c:pt>
                <c:pt idx="40">
                  <c:v>297992.90228712809</c:v>
                </c:pt>
                <c:pt idx="41">
                  <c:v>367507.10251145979</c:v>
                </c:pt>
                <c:pt idx="42">
                  <c:v>397922.52265505056</c:v>
                </c:pt>
                <c:pt idx="43">
                  <c:v>321446.48444619653</c:v>
                </c:pt>
                <c:pt idx="44">
                  <c:v>349866.28943035624</c:v>
                </c:pt>
                <c:pt idx="45">
                  <c:v>364768.95754777838</c:v>
                </c:pt>
                <c:pt idx="46">
                  <c:v>353871.29811547569</c:v>
                </c:pt>
                <c:pt idx="47">
                  <c:v>374375.43204397772</c:v>
                </c:pt>
                <c:pt idx="48">
                  <c:v>362922.72741826077</c:v>
                </c:pt>
                <c:pt idx="49">
                  <c:v>359256.94643858814</c:v>
                </c:pt>
                <c:pt idx="50">
                  <c:v>367861.85384876304</c:v>
                </c:pt>
                <c:pt idx="51">
                  <c:v>396025.38011746807</c:v>
                </c:pt>
                <c:pt idx="52">
                  <c:v>411322.12331060891</c:v>
                </c:pt>
                <c:pt idx="53">
                  <c:v>398803.19442595012</c:v>
                </c:pt>
                <c:pt idx="54">
                  <c:v>406506.33700528205</c:v>
                </c:pt>
                <c:pt idx="55">
                  <c:v>387949.36293751857</c:v>
                </c:pt>
                <c:pt idx="56">
                  <c:v>388845.20309278619</c:v>
                </c:pt>
                <c:pt idx="57">
                  <c:v>407277.98079171014</c:v>
                </c:pt>
                <c:pt idx="58">
                  <c:v>445448.86910890852</c:v>
                </c:pt>
                <c:pt idx="59">
                  <c:v>453838.38445689884</c:v>
                </c:pt>
                <c:pt idx="60">
                  <c:v>432869.16597853549</c:v>
                </c:pt>
                <c:pt idx="61">
                  <c:v>449909.61828539328</c:v>
                </c:pt>
                <c:pt idx="62">
                  <c:v>454770.60773744673</c:v>
                </c:pt>
                <c:pt idx="63">
                  <c:v>461497.60162963241</c:v>
                </c:pt>
                <c:pt idx="64">
                  <c:v>496791.67572512059</c:v>
                </c:pt>
                <c:pt idx="65">
                  <c:v>562959.28190412419</c:v>
                </c:pt>
                <c:pt idx="66">
                  <c:v>531799.18429432192</c:v>
                </c:pt>
                <c:pt idx="67">
                  <c:v>474979.15709799534</c:v>
                </c:pt>
                <c:pt idx="68">
                  <c:v>540923.7914906427</c:v>
                </c:pt>
                <c:pt idx="69">
                  <c:v>611198.90110862942</c:v>
                </c:pt>
              </c:numCache>
            </c:numRef>
          </c:val>
          <c:smooth val="0"/>
          <c:extLst>
            <c:ext xmlns:c16="http://schemas.microsoft.com/office/drawing/2014/chart" uri="{C3380CC4-5D6E-409C-BE32-E72D297353CC}">
              <c16:uniqueId val="{00000001-1AE4-41ED-8990-D86F6DD105E8}"/>
            </c:ext>
          </c:extLst>
        </c:ser>
        <c:ser>
          <c:idx val="3"/>
          <c:order val="2"/>
          <c:tx>
            <c:strRef>
              <c:f>'Fishing Sector Recap'!$D$1</c:f>
              <c:strCache>
                <c:ptCount val="1"/>
                <c:pt idx="0">
                  <c:v>Recreational</c:v>
                </c:pt>
              </c:strCache>
            </c:strRef>
          </c:tx>
          <c:spPr>
            <a:ln w="28575" cap="rnd">
              <a:solidFill>
                <a:schemeClr val="accent4"/>
              </a:solidFill>
              <a:round/>
            </a:ln>
            <a:effectLst/>
          </c:spPr>
          <c:marker>
            <c:symbol val="none"/>
          </c:marker>
          <c:cat>
            <c:numRef>
              <c:f>'Fishing Sector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'Fishing Sector Recap'!$D$2:$D$71</c:f>
              <c:numCache>
                <c:formatCode>General</c:formatCode>
                <c:ptCount val="70"/>
                <c:pt idx="0">
                  <c:v>1246.2179096488001</c:v>
                </c:pt>
                <c:pt idx="1">
                  <c:v>1267.1288809488001</c:v>
                </c:pt>
                <c:pt idx="2">
                  <c:v>1289.6915877386</c:v>
                </c:pt>
                <c:pt idx="3">
                  <c:v>1313.9225473729</c:v>
                </c:pt>
                <c:pt idx="4">
                  <c:v>1356.3721494591</c:v>
                </c:pt>
                <c:pt idx="5">
                  <c:v>1367.4883293048999</c:v>
                </c:pt>
                <c:pt idx="6">
                  <c:v>1396.8231516026001</c:v>
                </c:pt>
                <c:pt idx="7">
                  <c:v>1427.8592614547999</c:v>
                </c:pt>
                <c:pt idx="8">
                  <c:v>1460.6131762161001</c:v>
                </c:pt>
                <c:pt idx="9">
                  <c:v>1495.0518611770001</c:v>
                </c:pt>
                <c:pt idx="10">
                  <c:v>1464.9687531505001</c:v>
                </c:pt>
                <c:pt idx="11">
                  <c:v>1500.7701198904999</c:v>
                </c:pt>
                <c:pt idx="12">
                  <c:v>1537.7847689344001</c:v>
                </c:pt>
                <c:pt idx="13">
                  <c:v>1576.0997962946999</c:v>
                </c:pt>
                <c:pt idx="14">
                  <c:v>1615.8686812331</c:v>
                </c:pt>
                <c:pt idx="15">
                  <c:v>1657.1830785519001</c:v>
                </c:pt>
                <c:pt idx="16">
                  <c:v>1700.0405932345</c:v>
                </c:pt>
                <c:pt idx="17">
                  <c:v>1744.3279162265001</c:v>
                </c:pt>
                <c:pt idx="18">
                  <c:v>1789.8920968216</c:v>
                </c:pt>
                <c:pt idx="19">
                  <c:v>1836.5305001096999</c:v>
                </c:pt>
                <c:pt idx="20">
                  <c:v>1884.0832546127999</c:v>
                </c:pt>
                <c:pt idx="21">
                  <c:v>1932.4645526723</c:v>
                </c:pt>
                <c:pt idx="22">
                  <c:v>1981.6604701581</c:v>
                </c:pt>
                <c:pt idx="23">
                  <c:v>2031.6690249873</c:v>
                </c:pt>
                <c:pt idx="24">
                  <c:v>2082.5171569660001</c:v>
                </c:pt>
                <c:pt idx="25">
                  <c:v>2134.2090449850002</c:v>
                </c:pt>
                <c:pt idx="26">
                  <c:v>2186.6568497508001</c:v>
                </c:pt>
                <c:pt idx="27">
                  <c:v>2239.7741029106</c:v>
                </c:pt>
                <c:pt idx="28">
                  <c:v>2293.5627700296</c:v>
                </c:pt>
                <c:pt idx="29">
                  <c:v>2348.0425232776001</c:v>
                </c:pt>
                <c:pt idx="30">
                  <c:v>2403.1834992767999</c:v>
                </c:pt>
                <c:pt idx="31">
                  <c:v>2458.9781826306998</c:v>
                </c:pt>
                <c:pt idx="32">
                  <c:v>2515.2748779520998</c:v>
                </c:pt>
                <c:pt idx="33">
                  <c:v>2571.7232025914</c:v>
                </c:pt>
                <c:pt idx="34">
                  <c:v>2627.8737523566001</c:v>
                </c:pt>
                <c:pt idx="35">
                  <c:v>2683.3908285267999</c:v>
                </c:pt>
                <c:pt idx="36">
                  <c:v>2738.1162278768002</c:v>
                </c:pt>
                <c:pt idx="37">
                  <c:v>2792.0785419478998</c:v>
                </c:pt>
                <c:pt idx="38">
                  <c:v>2845.3639087458</c:v>
                </c:pt>
                <c:pt idx="39">
                  <c:v>2898.1452319416999</c:v>
                </c:pt>
                <c:pt idx="40">
                  <c:v>2950.5486050229001</c:v>
                </c:pt>
                <c:pt idx="41">
                  <c:v>3002.629311576</c:v>
                </c:pt>
                <c:pt idx="42">
                  <c:v>3054.3372049118998</c:v>
                </c:pt>
                <c:pt idx="43">
                  <c:v>3105.5811422659999</c:v>
                </c:pt>
                <c:pt idx="44">
                  <c:v>3156.2298767364</c:v>
                </c:pt>
                <c:pt idx="45">
                  <c:v>3206.2259774801</c:v>
                </c:pt>
                <c:pt idx="46">
                  <c:v>3255.5357490932001</c:v>
                </c:pt>
                <c:pt idx="47">
                  <c:v>3304.3041809166998</c:v>
                </c:pt>
                <c:pt idx="48">
                  <c:v>3352.8730996106001</c:v>
                </c:pt>
                <c:pt idx="49">
                  <c:v>3401.6968976077001</c:v>
                </c:pt>
                <c:pt idx="50">
                  <c:v>3451.1146266524001</c:v>
                </c:pt>
                <c:pt idx="51">
                  <c:v>3501.1898455260002</c:v>
                </c:pt>
                <c:pt idx="52">
                  <c:v>3551.8636698585001</c:v>
                </c:pt>
                <c:pt idx="53">
                  <c:v>3603.1885752864</c:v>
                </c:pt>
                <c:pt idx="54">
                  <c:v>3655.1881816271002</c:v>
                </c:pt>
                <c:pt idx="55">
                  <c:v>3707.8307094898</c:v>
                </c:pt>
                <c:pt idx="56">
                  <c:v>3761.1639270648002</c:v>
                </c:pt>
                <c:pt idx="57">
                  <c:v>3815.0598413692001</c:v>
                </c:pt>
                <c:pt idx="58">
                  <c:v>3869.0828402021998</c:v>
                </c:pt>
                <c:pt idx="59">
                  <c:v>3922.6553116629998</c:v>
                </c:pt>
                <c:pt idx="60">
                  <c:v>3975.3389181872999</c:v>
                </c:pt>
                <c:pt idx="61">
                  <c:v>3989.5483609079001</c:v>
                </c:pt>
                <c:pt idx="62">
                  <c:v>4043.8489692502999</c:v>
                </c:pt>
                <c:pt idx="63">
                  <c:v>4098.4390004405996</c:v>
                </c:pt>
                <c:pt idx="64">
                  <c:v>4152.5181720651999</c:v>
                </c:pt>
                <c:pt idx="65">
                  <c:v>4205.4848687008998</c:v>
                </c:pt>
                <c:pt idx="66">
                  <c:v>4257.0960550037998</c:v>
                </c:pt>
                <c:pt idx="67">
                  <c:v>4307.4163797089996</c:v>
                </c:pt>
                <c:pt idx="68">
                  <c:v>4356.5304626280004</c:v>
                </c:pt>
                <c:pt idx="69">
                  <c:v>4356.5304626280004</c:v>
                </c:pt>
              </c:numCache>
            </c:numRef>
          </c:val>
          <c:smooth val="0"/>
          <c:extLst>
            <c:ext xmlns:c16="http://schemas.microsoft.com/office/drawing/2014/chart" uri="{C3380CC4-5D6E-409C-BE32-E72D297353CC}">
              <c16:uniqueId val="{00000002-1AE4-41ED-8990-D86F6DD105E8}"/>
            </c:ext>
          </c:extLst>
        </c:ser>
        <c:ser>
          <c:idx val="4"/>
          <c:order val="3"/>
          <c:tx>
            <c:strRef>
              <c:f>'Fishing Sector Recap'!$E$1</c:f>
              <c:strCache>
                <c:ptCount val="1"/>
                <c:pt idx="0">
                  <c:v>Subsistence</c:v>
                </c:pt>
              </c:strCache>
            </c:strRef>
          </c:tx>
          <c:spPr>
            <a:ln w="28575" cap="rnd">
              <a:solidFill>
                <a:schemeClr val="accent5"/>
              </a:solidFill>
              <a:round/>
            </a:ln>
            <a:effectLst/>
          </c:spPr>
          <c:marker>
            <c:symbol val="none"/>
          </c:marker>
          <c:cat>
            <c:numRef>
              <c:f>'Fishing Sector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'Fishing Sector Recap'!$E$2:$E$71</c:f>
              <c:numCache>
                <c:formatCode>General</c:formatCode>
                <c:ptCount val="70"/>
                <c:pt idx="0">
                  <c:v>2238.9630148299998</c:v>
                </c:pt>
                <c:pt idx="1">
                  <c:v>2276.1398436234003</c:v>
                </c:pt>
                <c:pt idx="2">
                  <c:v>2316.3625653621989</c:v>
                </c:pt>
                <c:pt idx="3">
                  <c:v>2360.8325474339995</c:v>
                </c:pt>
                <c:pt idx="4">
                  <c:v>2436.2490466595</c:v>
                </c:pt>
                <c:pt idx="5">
                  <c:v>2457.1551446973003</c:v>
                </c:pt>
                <c:pt idx="6">
                  <c:v>2510.6139735895003</c:v>
                </c:pt>
                <c:pt idx="7">
                  <c:v>2567.1280111079996</c:v>
                </c:pt>
                <c:pt idx="8">
                  <c:v>2624.3133929339001</c:v>
                </c:pt>
                <c:pt idx="9">
                  <c:v>2688.6422936087001</c:v>
                </c:pt>
                <c:pt idx="10">
                  <c:v>2753.4079998322009</c:v>
                </c:pt>
                <c:pt idx="11">
                  <c:v>2821.757197777601</c:v>
                </c:pt>
                <c:pt idx="12">
                  <c:v>2894.9523527652</c:v>
                </c:pt>
                <c:pt idx="13">
                  <c:v>2970.5398474650001</c:v>
                </c:pt>
                <c:pt idx="14">
                  <c:v>3051.1162077323006</c:v>
                </c:pt>
                <c:pt idx="15">
                  <c:v>3133.9025005429003</c:v>
                </c:pt>
                <c:pt idx="16">
                  <c:v>3226.4380246773003</c:v>
                </c:pt>
                <c:pt idx="17">
                  <c:v>3313.3610541800003</c:v>
                </c:pt>
                <c:pt idx="18">
                  <c:v>3394.0585676462001</c:v>
                </c:pt>
                <c:pt idx="19">
                  <c:v>3480.6665837318001</c:v>
                </c:pt>
                <c:pt idx="20">
                  <c:v>3571.4175537442998</c:v>
                </c:pt>
                <c:pt idx="21">
                  <c:v>3663.6673592774996</c:v>
                </c:pt>
                <c:pt idx="22">
                  <c:v>3756.2471530675007</c:v>
                </c:pt>
                <c:pt idx="23">
                  <c:v>3837.2582290001005</c:v>
                </c:pt>
                <c:pt idx="24">
                  <c:v>3932.5099219388012</c:v>
                </c:pt>
                <c:pt idx="25">
                  <c:v>4034.8249084927993</c:v>
                </c:pt>
                <c:pt idx="26">
                  <c:v>4237.7447963362993</c:v>
                </c:pt>
                <c:pt idx="27">
                  <c:v>4426.6975288851008</c:v>
                </c:pt>
                <c:pt idx="28">
                  <c:v>4571.8216428238011</c:v>
                </c:pt>
                <c:pt idx="29">
                  <c:v>4732.6194373260005</c:v>
                </c:pt>
                <c:pt idx="30">
                  <c:v>4797.7280518136995</c:v>
                </c:pt>
                <c:pt idx="31">
                  <c:v>4963.1420371539989</c:v>
                </c:pt>
                <c:pt idx="32">
                  <c:v>5129.3556743453</c:v>
                </c:pt>
                <c:pt idx="33">
                  <c:v>5299.2791399501011</c:v>
                </c:pt>
                <c:pt idx="34">
                  <c:v>5469.0238685971008</c:v>
                </c:pt>
                <c:pt idx="35">
                  <c:v>5641.2648992289996</c:v>
                </c:pt>
                <c:pt idx="36">
                  <c:v>5816.6763517801992</c:v>
                </c:pt>
                <c:pt idx="37">
                  <c:v>6010.3540645121002</c:v>
                </c:pt>
                <c:pt idx="38">
                  <c:v>6204.601178712498</c:v>
                </c:pt>
                <c:pt idx="39">
                  <c:v>6364.0801974806982</c:v>
                </c:pt>
                <c:pt idx="40">
                  <c:v>6643.8977645839004</c:v>
                </c:pt>
                <c:pt idx="41">
                  <c:v>6717.4877311541022</c:v>
                </c:pt>
                <c:pt idx="42">
                  <c:v>6892.6736572757991</c:v>
                </c:pt>
                <c:pt idx="43">
                  <c:v>7056.0659771274004</c:v>
                </c:pt>
                <c:pt idx="44">
                  <c:v>7242.719280523499</c:v>
                </c:pt>
                <c:pt idx="45">
                  <c:v>7383.8109048508986</c:v>
                </c:pt>
                <c:pt idx="46">
                  <c:v>7724.7903752963002</c:v>
                </c:pt>
                <c:pt idx="47">
                  <c:v>8046.5730036306013</c:v>
                </c:pt>
                <c:pt idx="48">
                  <c:v>8298.454286604001</c:v>
                </c:pt>
                <c:pt idx="49">
                  <c:v>8692.5355677961998</c:v>
                </c:pt>
                <c:pt idx="50">
                  <c:v>9014.1082716355013</c:v>
                </c:pt>
                <c:pt idx="51">
                  <c:v>9357.2262594516978</c:v>
                </c:pt>
                <c:pt idx="52">
                  <c:v>9647.730844431102</c:v>
                </c:pt>
                <c:pt idx="53">
                  <c:v>9967.2331453315983</c:v>
                </c:pt>
                <c:pt idx="54">
                  <c:v>10294.791599088498</c:v>
                </c:pt>
                <c:pt idx="55">
                  <c:v>10620.140924211204</c:v>
                </c:pt>
                <c:pt idx="56">
                  <c:v>10638.539838068498</c:v>
                </c:pt>
                <c:pt idx="57">
                  <c:v>10633.428195391101</c:v>
                </c:pt>
                <c:pt idx="58">
                  <c:v>10614.492264035198</c:v>
                </c:pt>
                <c:pt idx="59">
                  <c:v>10623.731576169099</c:v>
                </c:pt>
                <c:pt idx="60">
                  <c:v>10616.436570434204</c:v>
                </c:pt>
                <c:pt idx="61">
                  <c:v>10646.221283958203</c:v>
                </c:pt>
                <c:pt idx="62">
                  <c:v>10715.218549707501</c:v>
                </c:pt>
                <c:pt idx="63">
                  <c:v>10784.215815457097</c:v>
                </c:pt>
                <c:pt idx="64">
                  <c:v>10853.213081206597</c:v>
                </c:pt>
                <c:pt idx="65">
                  <c:v>10922.210346955797</c:v>
                </c:pt>
                <c:pt idx="66">
                  <c:v>10991.207612705499</c:v>
                </c:pt>
                <c:pt idx="67">
                  <c:v>11060.204878454599</c:v>
                </c:pt>
                <c:pt idx="68">
                  <c:v>11129.202144204201</c:v>
                </c:pt>
                <c:pt idx="69">
                  <c:v>11129.202144204</c:v>
                </c:pt>
              </c:numCache>
            </c:numRef>
          </c:val>
          <c:smooth val="0"/>
          <c:extLst>
            <c:ext xmlns:c16="http://schemas.microsoft.com/office/drawing/2014/chart" uri="{C3380CC4-5D6E-409C-BE32-E72D297353CC}">
              <c16:uniqueId val="{00000003-1AE4-41ED-8990-D86F6DD105E8}"/>
            </c:ext>
          </c:extLst>
        </c:ser>
        <c:dLbls>
          <c:showLegendKey val="0"/>
          <c:showVal val="0"/>
          <c:showCatName val="0"/>
          <c:showSerName val="0"/>
          <c:showPercent val="0"/>
          <c:showBubbleSize val="0"/>
        </c:dLbls>
        <c:smooth val="0"/>
        <c:axId val="1237887311"/>
        <c:axId val="1237889711"/>
      </c:lineChart>
      <c:catAx>
        <c:axId val="123788731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37889711"/>
        <c:crosses val="autoZero"/>
        <c:auto val="1"/>
        <c:lblAlgn val="ctr"/>
        <c:lblOffset val="100"/>
        <c:noMultiLvlLbl val="0"/>
      </c:catAx>
      <c:valAx>
        <c:axId val="123788971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19050">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2378873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'Production Value'!$B$1</c:f>
              <c:strCache>
                <c:ptCount val="1"/>
                <c:pt idx="0">
                  <c:v>Tonnes</c:v>
                </c:pt>
              </c:strCache>
            </c:strRef>
          </c:tx>
          <c:spPr>
            <a:ln w="28575" cap="rnd">
              <a:solidFill>
                <a:schemeClr val="accent2"/>
              </a:solidFill>
              <a:round/>
            </a:ln>
            <a:effectLst/>
          </c:spPr>
          <c:marker>
            <c:symbol val="none"/>
          </c:marker>
          <c:cat>
            <c:numRef>
              <c:f>'Production Value'!$A$2:$A$71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'Production Value'!$B$2:$B$71</c:f>
              <c:numCache>
                <c:formatCode>General</c:formatCode>
                <c:ptCount val="70"/>
                <c:pt idx="0">
                  <c:v>54676.802543344798</c:v>
                </c:pt>
                <c:pt idx="1">
                  <c:v>65272.214460477771</c:v>
                </c:pt>
                <c:pt idx="2">
                  <c:v>73395.988924708625</c:v>
                </c:pt>
                <c:pt idx="3">
                  <c:v>75501.212904784974</c:v>
                </c:pt>
                <c:pt idx="4">
                  <c:v>80218.169870563404</c:v>
                </c:pt>
                <c:pt idx="5">
                  <c:v>82571.645412842918</c:v>
                </c:pt>
                <c:pt idx="6">
                  <c:v>83900.601591110084</c:v>
                </c:pt>
                <c:pt idx="7">
                  <c:v>82041.79477950772</c:v>
                </c:pt>
                <c:pt idx="8">
                  <c:v>84610.640530664779</c:v>
                </c:pt>
                <c:pt idx="9">
                  <c:v>81178.568618541962</c:v>
                </c:pt>
                <c:pt idx="10">
                  <c:v>82918.761309738504</c:v>
                </c:pt>
                <c:pt idx="11">
                  <c:v>130808.23171642736</c:v>
                </c:pt>
                <c:pt idx="12">
                  <c:v>137041.30138375354</c:v>
                </c:pt>
                <c:pt idx="13">
                  <c:v>143602.18686507369</c:v>
                </c:pt>
                <c:pt idx="14">
                  <c:v>153654.70835608526</c:v>
                </c:pt>
                <c:pt idx="15">
                  <c:v>175216.97083372928</c:v>
                </c:pt>
                <c:pt idx="16">
                  <c:v>192376.55347286374</c:v>
                </c:pt>
                <c:pt idx="17">
                  <c:v>181829.31390245841</c:v>
                </c:pt>
                <c:pt idx="18">
                  <c:v>193539.46057341306</c:v>
                </c:pt>
                <c:pt idx="19">
                  <c:v>210576.62250219582</c:v>
                </c:pt>
                <c:pt idx="20">
                  <c:v>223494.8798518473</c:v>
                </c:pt>
                <c:pt idx="21">
                  <c:v>227723.52671886253</c:v>
                </c:pt>
                <c:pt idx="22">
                  <c:v>223890.69224325579</c:v>
                </c:pt>
                <c:pt idx="23">
                  <c:v>238742.63412094538</c:v>
                </c:pt>
                <c:pt idx="24">
                  <c:v>248983.34337925431</c:v>
                </c:pt>
                <c:pt idx="25">
                  <c:v>224150.35690538454</c:v>
                </c:pt>
                <c:pt idx="26">
                  <c:v>236641.59996599553</c:v>
                </c:pt>
                <c:pt idx="27">
                  <c:v>248835.64831723439</c:v>
                </c:pt>
                <c:pt idx="28">
                  <c:v>276320.74654109689</c:v>
                </c:pt>
                <c:pt idx="29">
                  <c:v>299301.1457852918</c:v>
                </c:pt>
                <c:pt idx="30">
                  <c:v>302159.2803465529</c:v>
                </c:pt>
                <c:pt idx="31">
                  <c:v>307436.96384049329</c:v>
                </c:pt>
                <c:pt idx="32">
                  <c:v>311649.85368780314</c:v>
                </c:pt>
                <c:pt idx="33">
                  <c:v>343522.15552163549</c:v>
                </c:pt>
                <c:pt idx="34">
                  <c:v>349319.98163165973</c:v>
                </c:pt>
                <c:pt idx="35">
                  <c:v>381112.23629906861</c:v>
                </c:pt>
                <c:pt idx="36">
                  <c:v>381655.95505314716</c:v>
                </c:pt>
                <c:pt idx="37">
                  <c:v>406398.44336605654</c:v>
                </c:pt>
                <c:pt idx="38">
                  <c:v>420482.79961393605</c:v>
                </c:pt>
                <c:pt idx="39">
                  <c:v>417237.32104041509</c:v>
                </c:pt>
                <c:pt idx="40">
                  <c:v>450801.4053370867</c:v>
                </c:pt>
                <c:pt idx="41">
                  <c:v>518902.39636708697</c:v>
                </c:pt>
                <c:pt idx="42">
                  <c:v>559140.44662770408</c:v>
                </c:pt>
                <c:pt idx="43">
                  <c:v>488756.57328296651</c:v>
                </c:pt>
                <c:pt idx="44">
                  <c:v>529914.65037313267</c:v>
                </c:pt>
                <c:pt idx="45">
                  <c:v>548028.11815096042</c:v>
                </c:pt>
                <c:pt idx="46">
                  <c:v>545977.8226761918</c:v>
                </c:pt>
                <c:pt idx="47">
                  <c:v>581588.93709786946</c:v>
                </c:pt>
                <c:pt idx="48">
                  <c:v>565405.62675308948</c:v>
                </c:pt>
                <c:pt idx="49">
                  <c:v>574977.87837988324</c:v>
                </c:pt>
                <c:pt idx="50">
                  <c:v>599856.12337008107</c:v>
                </c:pt>
                <c:pt idx="51">
                  <c:v>649385.8282756008</c:v>
                </c:pt>
                <c:pt idx="52">
                  <c:v>677534.08397967054</c:v>
                </c:pt>
                <c:pt idx="53">
                  <c:v>674141.78516320291</c:v>
                </c:pt>
                <c:pt idx="54">
                  <c:v>647931.60147486336</c:v>
                </c:pt>
                <c:pt idx="55">
                  <c:v>605139.79955940705</c:v>
                </c:pt>
                <c:pt idx="56">
                  <c:v>621821.4531800698</c:v>
                </c:pt>
                <c:pt idx="57">
                  <c:v>646065.11396830739</c:v>
                </c:pt>
                <c:pt idx="58">
                  <c:v>695077.52483809332</c:v>
                </c:pt>
                <c:pt idx="59">
                  <c:v>712084.99292471062</c:v>
                </c:pt>
                <c:pt idx="60">
                  <c:v>686538.0699401875</c:v>
                </c:pt>
                <c:pt idx="61">
                  <c:v>700489.76587056776</c:v>
                </c:pt>
                <c:pt idx="62">
                  <c:v>709136.94877092063</c:v>
                </c:pt>
                <c:pt idx="63">
                  <c:v>720696.75787857664</c:v>
                </c:pt>
                <c:pt idx="64">
                  <c:v>776134.36163542222</c:v>
                </c:pt>
                <c:pt idx="65">
                  <c:v>873658.51448031573</c:v>
                </c:pt>
                <c:pt idx="66">
                  <c:v>826714.77312942687</c:v>
                </c:pt>
                <c:pt idx="67">
                  <c:v>737824.20126429247</c:v>
                </c:pt>
                <c:pt idx="68">
                  <c:v>840020.80700230296</c:v>
                </c:pt>
                <c:pt idx="69">
                  <c:v>938877.86828758614</c:v>
                </c:pt>
              </c:numCache>
            </c:numRef>
          </c:val>
          <c:smooth val="0"/>
          <c:extLst>
            <c:ext xmlns:c16="http://schemas.microsoft.com/office/drawing/2014/chart" uri="{C3380CC4-5D6E-409C-BE32-E72D297353CC}">
              <c16:uniqueId val="{00000000-BE5B-4901-ACE5-D942AFB34140}"/>
            </c:ext>
          </c:extLst>
        </c:ser>
        <c:dLbls>
          <c:showLegendKey val="0"/>
          <c:showVal val="0"/>
          <c:showCatName val="0"/>
          <c:showSerName val="0"/>
          <c:showPercent val="0"/>
          <c:showBubbleSize val="0"/>
        </c:dLbls>
        <c:smooth val="0"/>
        <c:axId val="110203696"/>
        <c:axId val="110205616"/>
      </c:lineChart>
      <c:catAx>
        <c:axId val="110203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0205616"/>
        <c:crosses val="autoZero"/>
        <c:auto val="1"/>
        <c:lblAlgn val="ctr"/>
        <c:lblOffset val="100"/>
        <c:noMultiLvlLbl val="0"/>
      </c:catAx>
      <c:valAx>
        <c:axId val="1102056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02036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'Production Value'!$C$1</c:f>
              <c:strCache>
                <c:ptCount val="1"/>
                <c:pt idx="0">
                  <c:v>Value</c:v>
                </c:pt>
              </c:strCache>
            </c:strRef>
          </c:tx>
          <c:spPr>
            <a:ln w="28575" cap="rnd">
              <a:solidFill>
                <a:schemeClr val="accent6">
                  <a:lumMod val="75000"/>
                </a:schemeClr>
              </a:solidFill>
              <a:round/>
            </a:ln>
            <a:effectLst/>
          </c:spPr>
          <c:marker>
            <c:symbol val="none"/>
          </c:marker>
          <c:cat>
            <c:numRef>
              <c:f>'Production Value'!$A$2:$A$71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'Production Value'!$D$2:$D$71</c:f>
              <c:numCache>
                <c:formatCode>General</c:formatCode>
                <c:ptCount val="70"/>
                <c:pt idx="0">
                  <c:v>26.345131175503049</c:v>
                </c:pt>
                <c:pt idx="1">
                  <c:v>31.414960887479406</c:v>
                </c:pt>
                <c:pt idx="2">
                  <c:v>33.885174657630301</c:v>
                </c:pt>
                <c:pt idx="3">
                  <c:v>35.979600309494266</c:v>
                </c:pt>
                <c:pt idx="4">
                  <c:v>36.536089484681312</c:v>
                </c:pt>
                <c:pt idx="5">
                  <c:v>39.169993250555628</c:v>
                </c:pt>
                <c:pt idx="6">
                  <c:v>37.544578192999666</c:v>
                </c:pt>
                <c:pt idx="7">
                  <c:v>36.80218367071749</c:v>
                </c:pt>
                <c:pt idx="8">
                  <c:v>31.639935223921015</c:v>
                </c:pt>
                <c:pt idx="9">
                  <c:v>31.007541319284911</c:v>
                </c:pt>
                <c:pt idx="10">
                  <c:v>33.147106161098606</c:v>
                </c:pt>
                <c:pt idx="11">
                  <c:v>47.161752950924573</c:v>
                </c:pt>
                <c:pt idx="12">
                  <c:v>51.625234071326631</c:v>
                </c:pt>
                <c:pt idx="13">
                  <c:v>50.238839533795428</c:v>
                </c:pt>
                <c:pt idx="14">
                  <c:v>54.246808028825356</c:v>
                </c:pt>
                <c:pt idx="15">
                  <c:v>65.227949986374682</c:v>
                </c:pt>
                <c:pt idx="16">
                  <c:v>49.978608233245751</c:v>
                </c:pt>
                <c:pt idx="17">
                  <c:v>59.068520325324151</c:v>
                </c:pt>
                <c:pt idx="18">
                  <c:v>66.585030969854088</c:v>
                </c:pt>
                <c:pt idx="19">
                  <c:v>77.572533368974703</c:v>
                </c:pt>
                <c:pt idx="20">
                  <c:v>66.085868991590402</c:v>
                </c:pt>
                <c:pt idx="21">
                  <c:v>72.968167473127153</c:v>
                </c:pt>
                <c:pt idx="22">
                  <c:v>86.241991999458421</c:v>
                </c:pt>
                <c:pt idx="23">
                  <c:v>276.31074333495036</c:v>
                </c:pt>
                <c:pt idx="24">
                  <c:v>218.59414742945802</c:v>
                </c:pt>
                <c:pt idx="25">
                  <c:v>222.48586728211606</c:v>
                </c:pt>
                <c:pt idx="26">
                  <c:v>243.61286559642411</c:v>
                </c:pt>
                <c:pt idx="27">
                  <c:v>258.97574698408306</c:v>
                </c:pt>
                <c:pt idx="28">
                  <c:v>373.48576901371501</c:v>
                </c:pt>
                <c:pt idx="29">
                  <c:v>314.8098384049631</c:v>
                </c:pt>
                <c:pt idx="30">
                  <c:v>333.54057312954723</c:v>
                </c:pt>
                <c:pt idx="31">
                  <c:v>389.39592727129434</c:v>
                </c:pt>
                <c:pt idx="32">
                  <c:v>319.12709800687588</c:v>
                </c:pt>
                <c:pt idx="33">
                  <c:v>324.78810316431776</c:v>
                </c:pt>
                <c:pt idx="34">
                  <c:v>303.96512979316918</c:v>
                </c:pt>
                <c:pt idx="35">
                  <c:v>244.89037582281046</c:v>
                </c:pt>
                <c:pt idx="36">
                  <c:v>369.88365667278958</c:v>
                </c:pt>
                <c:pt idx="37">
                  <c:v>212.26166701820139</c:v>
                </c:pt>
                <c:pt idx="38">
                  <c:v>211.92830636565063</c:v>
                </c:pt>
                <c:pt idx="39">
                  <c:v>229.51017550813543</c:v>
                </c:pt>
                <c:pt idx="40">
                  <c:v>190.85054221872454</c:v>
                </c:pt>
                <c:pt idx="41">
                  <c:v>198.71519742037918</c:v>
                </c:pt>
                <c:pt idx="42">
                  <c:v>534.12878893773973</c:v>
                </c:pt>
                <c:pt idx="43">
                  <c:v>504.12448428193369</c:v>
                </c:pt>
                <c:pt idx="44">
                  <c:v>482.06541932799752</c:v>
                </c:pt>
                <c:pt idx="45">
                  <c:v>520.41824665859076</c:v>
                </c:pt>
                <c:pt idx="46">
                  <c:v>573.41907823789643</c:v>
                </c:pt>
                <c:pt idx="47">
                  <c:v>516.45483096942519</c:v>
                </c:pt>
                <c:pt idx="48">
                  <c:v>221.02461652970391</c:v>
                </c:pt>
                <c:pt idx="49">
                  <c:v>347.19144175743219</c:v>
                </c:pt>
                <c:pt idx="50">
                  <c:v>493.07158295162009</c:v>
                </c:pt>
                <c:pt idx="51">
                  <c:v>439.5586598696604</c:v>
                </c:pt>
                <c:pt idx="52">
                  <c:v>565.57528266788961</c:v>
                </c:pt>
                <c:pt idx="53">
                  <c:v>736.95640007568352</c:v>
                </c:pt>
                <c:pt idx="54">
                  <c:v>620.20849614192025</c:v>
                </c:pt>
                <c:pt idx="55">
                  <c:v>661.47119531862893</c:v>
                </c:pt>
                <c:pt idx="56">
                  <c:v>646.55016715181137</c:v>
                </c:pt>
                <c:pt idx="57">
                  <c:v>762.73527524257406</c:v>
                </c:pt>
                <c:pt idx="58">
                  <c:v>758.86849361569148</c:v>
                </c:pt>
                <c:pt idx="59">
                  <c:v>1062.926016805842</c:v>
                </c:pt>
                <c:pt idx="60">
                  <c:v>1216.7616354025322</c:v>
                </c:pt>
                <c:pt idx="61">
                  <c:v>785.10542039783115</c:v>
                </c:pt>
                <c:pt idx="62">
                  <c:v>717.53793292299167</c:v>
                </c:pt>
                <c:pt idx="63">
                  <c:v>755.4706173566783</c:v>
                </c:pt>
                <c:pt idx="64">
                  <c:v>781.60936683602961</c:v>
                </c:pt>
                <c:pt idx="65">
                  <c:v>854.6757775341606</c:v>
                </c:pt>
                <c:pt idx="66">
                  <c:v>942.62972715240892</c:v>
                </c:pt>
                <c:pt idx="67">
                  <c:v>1327.1054802377623</c:v>
                </c:pt>
                <c:pt idx="68">
                  <c:v>867.02732630849971</c:v>
                </c:pt>
                <c:pt idx="69">
                  <c:v>1002.2650863078131</c:v>
                </c:pt>
              </c:numCache>
            </c:numRef>
          </c:val>
          <c:smooth val="0"/>
          <c:extLst>
            <c:ext xmlns:c16="http://schemas.microsoft.com/office/drawing/2014/chart" uri="{C3380CC4-5D6E-409C-BE32-E72D297353CC}">
              <c16:uniqueId val="{00000000-A13F-4400-8E6D-D495338CBBE9}"/>
            </c:ext>
          </c:extLst>
        </c:ser>
        <c:dLbls>
          <c:showLegendKey val="0"/>
          <c:showVal val="0"/>
          <c:showCatName val="0"/>
          <c:showSerName val="0"/>
          <c:showPercent val="0"/>
          <c:showBubbleSize val="0"/>
        </c:dLbls>
        <c:smooth val="0"/>
        <c:axId val="110203696"/>
        <c:axId val="110205616"/>
      </c:lineChart>
      <c:catAx>
        <c:axId val="110203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0205616"/>
        <c:crosses val="autoZero"/>
        <c:auto val="1"/>
        <c:lblAlgn val="ctr"/>
        <c:lblOffset val="100"/>
        <c:noMultiLvlLbl val="0"/>
      </c:catAx>
      <c:valAx>
        <c:axId val="110205616"/>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t>Value (Million  USD)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0" sourceLinked="0"/>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10203696"/>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a:solidFill>
            <a:schemeClr val="tx1"/>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34878503987044"/>
          <c:y val="4.6141044310380692E-2"/>
          <c:w val="0.87321200132762478"/>
          <c:h val="0.60727909011373582"/>
        </c:manualLayout>
      </c:layout>
      <c:lineChart>
        <c:grouping val="standard"/>
        <c:varyColors val="0"/>
        <c:ser>
          <c:idx val="1"/>
          <c:order val="0"/>
          <c:tx>
            <c:strRef>
              <c:f>'Gear Type Recap'!$B$1</c:f>
              <c:strCache>
                <c:ptCount val="1"/>
                <c:pt idx="0">
                  <c:v>artisanal fishing gear</c:v>
                </c:pt>
              </c:strCache>
            </c:strRef>
          </c:tx>
          <c:spPr>
            <a:ln w="28575" cap="rnd">
              <a:solidFill>
                <a:schemeClr val="accent2"/>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Recap'!$B$2:$B$71</c:f>
              <c:numCache>
                <c:formatCode>General</c:formatCode>
                <c:ptCount val="70"/>
                <c:pt idx="0">
                  <c:v>2274.042831365301</c:v>
                </c:pt>
                <c:pt idx="1">
                  <c:v>2515.9281090379995</c:v>
                </c:pt>
                <c:pt idx="2">
                  <c:v>2842.3755452302994</c:v>
                </c:pt>
                <c:pt idx="3">
                  <c:v>2918.8562272630979</c:v>
                </c:pt>
                <c:pt idx="4">
                  <c:v>3100.8753131484996</c:v>
                </c:pt>
                <c:pt idx="5">
                  <c:v>3157.713679236801</c:v>
                </c:pt>
                <c:pt idx="6">
                  <c:v>3160.9977168172004</c:v>
                </c:pt>
                <c:pt idx="7">
                  <c:v>3128.175450864801</c:v>
                </c:pt>
                <c:pt idx="8">
                  <c:v>3269.1585364063999</c:v>
                </c:pt>
                <c:pt idx="9">
                  <c:v>3126.9172984450001</c:v>
                </c:pt>
                <c:pt idx="10">
                  <c:v>3368.0808578728002</c:v>
                </c:pt>
                <c:pt idx="11">
                  <c:v>3541.4369515900962</c:v>
                </c:pt>
                <c:pt idx="12">
                  <c:v>3095.8565727474993</c:v>
                </c:pt>
                <c:pt idx="13">
                  <c:v>2642.3495845892003</c:v>
                </c:pt>
                <c:pt idx="14">
                  <c:v>2136.136672367601</c:v>
                </c:pt>
                <c:pt idx="15">
                  <c:v>1756.2379257589998</c:v>
                </c:pt>
                <c:pt idx="16">
                  <c:v>1178.5132759879</c:v>
                </c:pt>
                <c:pt idx="17">
                  <c:v>1893.0149607720002</c:v>
                </c:pt>
                <c:pt idx="18">
                  <c:v>2079.8894676352993</c:v>
                </c:pt>
                <c:pt idx="19">
                  <c:v>2580.6932660148991</c:v>
                </c:pt>
                <c:pt idx="20">
                  <c:v>2863.9376017537979</c:v>
                </c:pt>
                <c:pt idx="21">
                  <c:v>3188.9601498989009</c:v>
                </c:pt>
                <c:pt idx="22">
                  <c:v>3866.6415906133007</c:v>
                </c:pt>
                <c:pt idx="23">
                  <c:v>4387.0994045475009</c:v>
                </c:pt>
                <c:pt idx="24">
                  <c:v>4108.5694562983026</c:v>
                </c:pt>
                <c:pt idx="25">
                  <c:v>4640.8890730524972</c:v>
                </c:pt>
                <c:pt idx="26">
                  <c:v>7618.7774327843017</c:v>
                </c:pt>
                <c:pt idx="27">
                  <c:v>2173.6888471798993</c:v>
                </c:pt>
                <c:pt idx="28">
                  <c:v>3053.0453993339997</c:v>
                </c:pt>
                <c:pt idx="29">
                  <c:v>4414.9589838813008</c:v>
                </c:pt>
                <c:pt idx="30">
                  <c:v>6098.6988894802998</c:v>
                </c:pt>
                <c:pt idx="31">
                  <c:v>5081.3431498961982</c:v>
                </c:pt>
                <c:pt idx="32">
                  <c:v>2714.2616638824006</c:v>
                </c:pt>
                <c:pt idx="33">
                  <c:v>3460.3224569241997</c:v>
                </c:pt>
                <c:pt idx="34">
                  <c:v>5380.2846012857008</c:v>
                </c:pt>
                <c:pt idx="35">
                  <c:v>4545.7816493209993</c:v>
                </c:pt>
                <c:pt idx="36">
                  <c:v>3541.4501835068995</c:v>
                </c:pt>
                <c:pt idx="37">
                  <c:v>4610.3520688160997</c:v>
                </c:pt>
                <c:pt idx="38">
                  <c:v>393.84141590110011</c:v>
                </c:pt>
                <c:pt idx="39">
                  <c:v>3174.6566457536996</c:v>
                </c:pt>
                <c:pt idx="40">
                  <c:v>3845.1669659364006</c:v>
                </c:pt>
                <c:pt idx="41">
                  <c:v>1551.4432061564003</c:v>
                </c:pt>
                <c:pt idx="42">
                  <c:v>620.64843743120025</c:v>
                </c:pt>
                <c:pt idx="43">
                  <c:v>835.23653270200009</c:v>
                </c:pt>
                <c:pt idx="44">
                  <c:v>628.84928908959989</c:v>
                </c:pt>
                <c:pt idx="45">
                  <c:v>622.68218819560013</c:v>
                </c:pt>
                <c:pt idx="46">
                  <c:v>1322.6196804898991</c:v>
                </c:pt>
                <c:pt idx="47">
                  <c:v>1107.9396849373998</c:v>
                </c:pt>
                <c:pt idx="48">
                  <c:v>2750.3948595907013</c:v>
                </c:pt>
                <c:pt idx="49">
                  <c:v>4003.0372073565986</c:v>
                </c:pt>
                <c:pt idx="50">
                  <c:v>4806.9508534107999</c:v>
                </c:pt>
                <c:pt idx="51">
                  <c:v>18580.977672875902</c:v>
                </c:pt>
                <c:pt idx="52">
                  <c:v>16255.2875683539</c:v>
                </c:pt>
                <c:pt idx="53">
                  <c:v>10713.413658013002</c:v>
                </c:pt>
                <c:pt idx="54">
                  <c:v>13902.8422949132</c:v>
                </c:pt>
                <c:pt idx="55">
                  <c:v>10894.051997287099</c:v>
                </c:pt>
                <c:pt idx="56">
                  <c:v>11098.616216174902</c:v>
                </c:pt>
                <c:pt idx="57">
                  <c:v>12078.823131707897</c:v>
                </c:pt>
                <c:pt idx="58">
                  <c:v>6454.0450681498987</c:v>
                </c:pt>
                <c:pt idx="59">
                  <c:v>4488.6257205207003</c:v>
                </c:pt>
                <c:pt idx="60">
                  <c:v>2934.4895711245995</c:v>
                </c:pt>
                <c:pt idx="61">
                  <c:v>4359.6872256907009</c:v>
                </c:pt>
                <c:pt idx="62">
                  <c:v>6445.3274682775991</c:v>
                </c:pt>
                <c:pt idx="63">
                  <c:v>7701.9735671894996</c:v>
                </c:pt>
                <c:pt idx="64">
                  <c:v>8270.581057249301</c:v>
                </c:pt>
                <c:pt idx="65">
                  <c:v>9272.7712840622025</c:v>
                </c:pt>
                <c:pt idx="66">
                  <c:v>8759.3696320833988</c:v>
                </c:pt>
                <c:pt idx="67">
                  <c:v>7831.7009241518026</c:v>
                </c:pt>
                <c:pt idx="68">
                  <c:v>8911.8030126642025</c:v>
                </c:pt>
                <c:pt idx="69">
                  <c:v>302102.45129804494</c:v>
                </c:pt>
              </c:numCache>
            </c:numRef>
          </c:val>
          <c:smooth val="0"/>
          <c:extLst>
            <c:ext xmlns:c16="http://schemas.microsoft.com/office/drawing/2014/chart" uri="{C3380CC4-5D6E-409C-BE32-E72D297353CC}">
              <c16:uniqueId val="{00000000-45A4-4A94-833F-2EBD52155CE4}"/>
            </c:ext>
          </c:extLst>
        </c:ser>
        <c:ser>
          <c:idx val="2"/>
          <c:order val="1"/>
          <c:tx>
            <c:strRef>
              <c:f>'Gear Type Recap'!$C$1</c:f>
              <c:strCache>
                <c:ptCount val="1"/>
                <c:pt idx="0">
                  <c:v>bagnets</c:v>
                </c:pt>
              </c:strCache>
            </c:strRef>
          </c:tx>
          <c:spPr>
            <a:ln w="28575" cap="rnd">
              <a:solidFill>
                <a:schemeClr val="accent3"/>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Recap'!$C$2:$C$71</c:f>
              <c:numCache>
                <c:formatCode>General</c:formatCode>
                <c:ptCount val="70"/>
                <c:pt idx="0">
                  <c:v>4021.9208934490998</c:v>
                </c:pt>
                <c:pt idx="1">
                  <c:v>5512.7620979356034</c:v>
                </c:pt>
                <c:pt idx="2">
                  <c:v>6336.4815702837968</c:v>
                </c:pt>
                <c:pt idx="3">
                  <c:v>6467.7962908245026</c:v>
                </c:pt>
                <c:pt idx="4">
                  <c:v>6929.6503870091965</c:v>
                </c:pt>
                <c:pt idx="5">
                  <c:v>8228.2537334415028</c:v>
                </c:pt>
                <c:pt idx="6">
                  <c:v>7076.7500948354036</c:v>
                </c:pt>
                <c:pt idx="7">
                  <c:v>7144.1420058541999</c:v>
                </c:pt>
                <c:pt idx="8">
                  <c:v>7903.0901292664958</c:v>
                </c:pt>
                <c:pt idx="9">
                  <c:v>7379.3124387371972</c:v>
                </c:pt>
                <c:pt idx="10">
                  <c:v>6201.3512971576019</c:v>
                </c:pt>
                <c:pt idx="11">
                  <c:v>8515.8132752569018</c:v>
                </c:pt>
                <c:pt idx="12">
                  <c:v>8009.5190773352961</c:v>
                </c:pt>
                <c:pt idx="13">
                  <c:v>7083.5425990341018</c:v>
                </c:pt>
                <c:pt idx="14">
                  <c:v>6384.4281756948048</c:v>
                </c:pt>
                <c:pt idx="15">
                  <c:v>6191.1195487834993</c:v>
                </c:pt>
                <c:pt idx="16">
                  <c:v>6082.1718305229015</c:v>
                </c:pt>
                <c:pt idx="17">
                  <c:v>5534.4895993000964</c:v>
                </c:pt>
                <c:pt idx="18">
                  <c:v>4689.6439325211959</c:v>
                </c:pt>
                <c:pt idx="19">
                  <c:v>5067.7739978641976</c:v>
                </c:pt>
                <c:pt idx="20">
                  <c:v>6537.8401457263999</c:v>
                </c:pt>
                <c:pt idx="21">
                  <c:v>7238.2351231202947</c:v>
                </c:pt>
                <c:pt idx="22">
                  <c:v>5717.0053525996009</c:v>
                </c:pt>
                <c:pt idx="23">
                  <c:v>3790.685012262898</c:v>
                </c:pt>
                <c:pt idx="24">
                  <c:v>3306.9846705421</c:v>
                </c:pt>
                <c:pt idx="25">
                  <c:v>3555.3421140873006</c:v>
                </c:pt>
                <c:pt idx="26">
                  <c:v>3117.0958207149993</c:v>
                </c:pt>
                <c:pt idx="27">
                  <c:v>5912.1846383970988</c:v>
                </c:pt>
                <c:pt idx="28">
                  <c:v>5315.0198262296972</c:v>
                </c:pt>
                <c:pt idx="29">
                  <c:v>5315.0198262296972</c:v>
                </c:pt>
                <c:pt idx="30">
                  <c:v>5379.5956928919977</c:v>
                </c:pt>
                <c:pt idx="31">
                  <c:v>3415.9526943838005</c:v>
                </c:pt>
                <c:pt idx="32">
                  <c:v>5292.2086269952015</c:v>
                </c:pt>
                <c:pt idx="33">
                  <c:v>11479.0824093019</c:v>
                </c:pt>
                <c:pt idx="34">
                  <c:v>2886.4234370431004</c:v>
                </c:pt>
                <c:pt idx="35">
                  <c:v>4455.2477348663006</c:v>
                </c:pt>
                <c:pt idx="36">
                  <c:v>6674.3532932116022</c:v>
                </c:pt>
                <c:pt idx="37">
                  <c:v>7081.2975281607014</c:v>
                </c:pt>
                <c:pt idx="38">
                  <c:v>8235.7581587998029</c:v>
                </c:pt>
                <c:pt idx="39">
                  <c:v>6691.8499749526036</c:v>
                </c:pt>
                <c:pt idx="40">
                  <c:v>12399.7814153284</c:v>
                </c:pt>
                <c:pt idx="41">
                  <c:v>10515.513749190506</c:v>
                </c:pt>
                <c:pt idx="42">
                  <c:v>17890.62855884161</c:v>
                </c:pt>
                <c:pt idx="43">
                  <c:v>9078.9893560952969</c:v>
                </c:pt>
                <c:pt idx="44">
                  <c:v>8957.9215805133008</c:v>
                </c:pt>
                <c:pt idx="45">
                  <c:v>8912.6975261643965</c:v>
                </c:pt>
                <c:pt idx="46">
                  <c:v>9811.2892970945031</c:v>
                </c:pt>
                <c:pt idx="47">
                  <c:v>10916.834952396501</c:v>
                </c:pt>
                <c:pt idx="48">
                  <c:v>9938.1189127175021</c:v>
                </c:pt>
                <c:pt idx="49">
                  <c:v>14747.894401958991</c:v>
                </c:pt>
                <c:pt idx="50">
                  <c:v>22008.888361955112</c:v>
                </c:pt>
                <c:pt idx="51">
                  <c:v>21307.235138632888</c:v>
                </c:pt>
                <c:pt idx="52">
                  <c:v>31406.280836226997</c:v>
                </c:pt>
                <c:pt idx="53">
                  <c:v>35123.93934844021</c:v>
                </c:pt>
                <c:pt idx="54">
                  <c:v>9160.5833798110016</c:v>
                </c:pt>
                <c:pt idx="55">
                  <c:v>13380.173759048412</c:v>
                </c:pt>
                <c:pt idx="56">
                  <c:v>15616.271278360802</c:v>
                </c:pt>
                <c:pt idx="57">
                  <c:v>18392.846201809702</c:v>
                </c:pt>
                <c:pt idx="58">
                  <c:v>17581.502220732702</c:v>
                </c:pt>
                <c:pt idx="59">
                  <c:v>16585.705492111305</c:v>
                </c:pt>
                <c:pt idx="60">
                  <c:v>16261.639476564993</c:v>
                </c:pt>
                <c:pt idx="61">
                  <c:v>20083.512159119982</c:v>
                </c:pt>
                <c:pt idx="62">
                  <c:v>20026.729301621002</c:v>
                </c:pt>
                <c:pt idx="63">
                  <c:v>21006.191853229309</c:v>
                </c:pt>
                <c:pt idx="64">
                  <c:v>21956.841610096402</c:v>
                </c:pt>
                <c:pt idx="65">
                  <c:v>24614.270123656697</c:v>
                </c:pt>
                <c:pt idx="66">
                  <c:v>23251.462117654006</c:v>
                </c:pt>
                <c:pt idx="67">
                  <c:v>20788.995670161705</c:v>
                </c:pt>
                <c:pt idx="68">
                  <c:v>23656.091574215894</c:v>
                </c:pt>
                <c:pt idx="69">
                  <c:v>641.57406133209997</c:v>
                </c:pt>
              </c:numCache>
            </c:numRef>
          </c:val>
          <c:smooth val="0"/>
          <c:extLst>
            <c:ext xmlns:c16="http://schemas.microsoft.com/office/drawing/2014/chart" uri="{C3380CC4-5D6E-409C-BE32-E72D297353CC}">
              <c16:uniqueId val="{00000001-45A4-4A94-833F-2EBD52155CE4}"/>
            </c:ext>
          </c:extLst>
        </c:ser>
        <c:ser>
          <c:idx val="3"/>
          <c:order val="2"/>
          <c:tx>
            <c:strRef>
              <c:f>'Gear Type Recap'!$D$1</c:f>
              <c:strCache>
                <c:ptCount val="1"/>
                <c:pt idx="0">
                  <c:v>Bottom Trawl</c:v>
                </c:pt>
              </c:strCache>
            </c:strRef>
          </c:tx>
          <c:spPr>
            <a:ln w="28575" cap="rnd">
              <a:solidFill>
                <a:schemeClr val="accent4"/>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Recap'!$D$2:$D$71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33666.914280396697</c:v>
                </c:pt>
                <c:pt idx="12">
                  <c:v>44319.539300634133</c:v>
                </c:pt>
                <c:pt idx="13">
                  <c:v>55834.065109349271</c:v>
                </c:pt>
                <c:pt idx="14">
                  <c:v>69395.847036417923</c:v>
                </c:pt>
                <c:pt idx="15">
                  <c:v>90225.185845208805</c:v>
                </c:pt>
                <c:pt idx="16">
                  <c:v>110516.92481259289</c:v>
                </c:pt>
                <c:pt idx="17">
                  <c:v>104099.12854195714</c:v>
                </c:pt>
                <c:pt idx="18">
                  <c:v>111158.88238604751</c:v>
                </c:pt>
                <c:pt idx="19">
                  <c:v>121185.9197278318</c:v>
                </c:pt>
                <c:pt idx="20">
                  <c:v>129066.86025236828</c:v>
                </c:pt>
                <c:pt idx="21">
                  <c:v>131514.38213949735</c:v>
                </c:pt>
                <c:pt idx="22">
                  <c:v>127895.5528769251</c:v>
                </c:pt>
                <c:pt idx="23">
                  <c:v>141926.97281943142</c:v>
                </c:pt>
                <c:pt idx="24">
                  <c:v>145240.26431651547</c:v>
                </c:pt>
                <c:pt idx="25">
                  <c:v>110545.70254311812</c:v>
                </c:pt>
                <c:pt idx="26">
                  <c:v>114588.19557933106</c:v>
                </c:pt>
                <c:pt idx="27">
                  <c:v>114278.18566773119</c:v>
                </c:pt>
                <c:pt idx="28">
                  <c:v>124753.8901416561</c:v>
                </c:pt>
                <c:pt idx="29">
                  <c:v>143967.83654292696</c:v>
                </c:pt>
                <c:pt idx="30">
                  <c:v>108273.95792427925</c:v>
                </c:pt>
                <c:pt idx="31">
                  <c:v>122791.36947256555</c:v>
                </c:pt>
                <c:pt idx="32">
                  <c:v>136161.23339999036</c:v>
                </c:pt>
                <c:pt idx="33">
                  <c:v>158140.19276115345</c:v>
                </c:pt>
                <c:pt idx="34">
                  <c:v>157743.63418790078</c:v>
                </c:pt>
                <c:pt idx="35">
                  <c:v>179514.74764104752</c:v>
                </c:pt>
                <c:pt idx="36">
                  <c:v>173167.55510033082</c:v>
                </c:pt>
                <c:pt idx="37">
                  <c:v>194915.75896078307</c:v>
                </c:pt>
                <c:pt idx="38">
                  <c:v>195977.88814542684</c:v>
                </c:pt>
                <c:pt idx="39">
                  <c:v>187995.46177661192</c:v>
                </c:pt>
                <c:pt idx="40">
                  <c:v>194188.14702011159</c:v>
                </c:pt>
                <c:pt idx="41">
                  <c:v>254271.75081349412</c:v>
                </c:pt>
                <c:pt idx="42">
                  <c:v>279343.24436560035</c:v>
                </c:pt>
                <c:pt idx="43">
                  <c:v>203069.77750411871</c:v>
                </c:pt>
                <c:pt idx="44">
                  <c:v>215217.61951750156</c:v>
                </c:pt>
                <c:pt idx="45">
                  <c:v>232777.29381773865</c:v>
                </c:pt>
                <c:pt idx="46">
                  <c:v>222888.96813538446</c:v>
                </c:pt>
                <c:pt idx="47">
                  <c:v>228291.86324610695</c:v>
                </c:pt>
                <c:pt idx="48">
                  <c:v>217324.72195964845</c:v>
                </c:pt>
                <c:pt idx="49">
                  <c:v>228485.38434593641</c:v>
                </c:pt>
                <c:pt idx="50">
                  <c:v>236755.87892534531</c:v>
                </c:pt>
                <c:pt idx="51">
                  <c:v>255719.4010038923</c:v>
                </c:pt>
                <c:pt idx="52">
                  <c:v>264269.03722382215</c:v>
                </c:pt>
                <c:pt idx="53">
                  <c:v>273270.39946923731</c:v>
                </c:pt>
                <c:pt idx="54">
                  <c:v>253017.68591480987</c:v>
                </c:pt>
                <c:pt idx="55">
                  <c:v>230353.73183970468</c:v>
                </c:pt>
                <c:pt idx="56">
                  <c:v>239627.65281391965</c:v>
                </c:pt>
                <c:pt idx="57">
                  <c:v>259194.71751073166</c:v>
                </c:pt>
                <c:pt idx="58">
                  <c:v>288671.85529838887</c:v>
                </c:pt>
                <c:pt idx="59">
                  <c:v>287595.42836217262</c:v>
                </c:pt>
                <c:pt idx="60">
                  <c:v>282028.66870635108</c:v>
                </c:pt>
                <c:pt idx="61">
                  <c:v>294412.13414721453</c:v>
                </c:pt>
                <c:pt idx="62">
                  <c:v>297607.16814053286</c:v>
                </c:pt>
                <c:pt idx="63">
                  <c:v>301772.6242525035</c:v>
                </c:pt>
                <c:pt idx="64">
                  <c:v>324749.17165435059</c:v>
                </c:pt>
                <c:pt idx="65">
                  <c:v>375036.15856187523</c:v>
                </c:pt>
                <c:pt idx="66">
                  <c:v>354271.68832322641</c:v>
                </c:pt>
                <c:pt idx="67">
                  <c:v>316752.23507859692</c:v>
                </c:pt>
                <c:pt idx="68">
                  <c:v>360436.8387123167</c:v>
                </c:pt>
                <c:pt idx="69">
                  <c:v>23111.655723898999</c:v>
                </c:pt>
              </c:numCache>
            </c:numRef>
          </c:val>
          <c:smooth val="0"/>
          <c:extLst>
            <c:ext xmlns:c16="http://schemas.microsoft.com/office/drawing/2014/chart" uri="{C3380CC4-5D6E-409C-BE32-E72D297353CC}">
              <c16:uniqueId val="{00000002-45A4-4A94-833F-2EBD52155CE4}"/>
            </c:ext>
          </c:extLst>
        </c:ser>
        <c:ser>
          <c:idx val="4"/>
          <c:order val="3"/>
          <c:tx>
            <c:strRef>
              <c:f>'Gear Type Recap'!$E$1</c:f>
              <c:strCache>
                <c:ptCount val="1"/>
                <c:pt idx="0">
                  <c:v>cast nets</c:v>
                </c:pt>
              </c:strCache>
            </c:strRef>
          </c:tx>
          <c:spPr>
            <a:ln w="28575" cap="rnd">
              <a:solidFill>
                <a:schemeClr val="accent5"/>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Recap'!$E$2:$E$71</c:f>
              <c:numCache>
                <c:formatCode>General</c:formatCode>
                <c:ptCount val="70"/>
                <c:pt idx="0">
                  <c:v>136.3762674514</c:v>
                </c:pt>
                <c:pt idx="1">
                  <c:v>154.03756162489998</c:v>
                </c:pt>
                <c:pt idx="2">
                  <c:v>173.0018921381</c:v>
                </c:pt>
                <c:pt idx="3">
                  <c:v>173.54880341339998</c:v>
                </c:pt>
                <c:pt idx="4">
                  <c:v>186.36595718590002</c:v>
                </c:pt>
                <c:pt idx="5">
                  <c:v>197.37945548170001</c:v>
                </c:pt>
                <c:pt idx="6">
                  <c:v>200.73874487019998</c:v>
                </c:pt>
                <c:pt idx="7">
                  <c:v>197.54178742159996</c:v>
                </c:pt>
                <c:pt idx="8">
                  <c:v>215.44593971569998</c:v>
                </c:pt>
                <c:pt idx="9">
                  <c:v>204.94094433079999</c:v>
                </c:pt>
                <c:pt idx="10">
                  <c:v>206.3732818716</c:v>
                </c:pt>
                <c:pt idx="11">
                  <c:v>235.35394338570006</c:v>
                </c:pt>
                <c:pt idx="12">
                  <c:v>203.87923480320001</c:v>
                </c:pt>
                <c:pt idx="13">
                  <c:v>181.61480468989998</c:v>
                </c:pt>
                <c:pt idx="14">
                  <c:v>151.1007952368</c:v>
                </c:pt>
                <c:pt idx="15">
                  <c:v>122.70923456830002</c:v>
                </c:pt>
                <c:pt idx="16">
                  <c:v>86.331083672000005</c:v>
                </c:pt>
                <c:pt idx="17">
                  <c:v>79.039609416399998</c:v>
                </c:pt>
                <c:pt idx="18">
                  <c:v>78.879009119300008</c:v>
                </c:pt>
                <c:pt idx="19">
                  <c:v>75.968792205100016</c:v>
                </c:pt>
                <c:pt idx="20">
                  <c:v>263.01647817010007</c:v>
                </c:pt>
                <c:pt idx="21">
                  <c:v>269.31527554860003</c:v>
                </c:pt>
                <c:pt idx="22">
                  <c:v>267.43475004560003</c:v>
                </c:pt>
                <c:pt idx="23">
                  <c:v>293.61475665619997</c:v>
                </c:pt>
                <c:pt idx="24">
                  <c:v>27920.552748942991</c:v>
                </c:pt>
                <c:pt idx="25">
                  <c:v>110893.74075223973</c:v>
                </c:pt>
                <c:pt idx="26">
                  <c:v>115082.72104112555</c:v>
                </c:pt>
                <c:pt idx="27">
                  <c:v>114321.37537597021</c:v>
                </c:pt>
                <c:pt idx="28">
                  <c:v>124930.26055751808</c:v>
                </c:pt>
                <c:pt idx="29">
                  <c:v>144131.34088934684</c:v>
                </c:pt>
                <c:pt idx="30">
                  <c:v>108331.03121255215</c:v>
                </c:pt>
                <c:pt idx="31">
                  <c:v>123306.04332679896</c:v>
                </c:pt>
                <c:pt idx="32">
                  <c:v>136757.07841917474</c:v>
                </c:pt>
                <c:pt idx="33">
                  <c:v>158908.24455773717</c:v>
                </c:pt>
                <c:pt idx="34">
                  <c:v>157772.47707459258</c:v>
                </c:pt>
                <c:pt idx="35">
                  <c:v>179633.08761311311</c:v>
                </c:pt>
                <c:pt idx="36">
                  <c:v>173246.85501163264</c:v>
                </c:pt>
                <c:pt idx="37">
                  <c:v>196655.74828000908</c:v>
                </c:pt>
                <c:pt idx="38">
                  <c:v>196143.28229135476</c:v>
                </c:pt>
                <c:pt idx="39">
                  <c:v>188279.00916796541</c:v>
                </c:pt>
                <c:pt idx="40">
                  <c:v>194502.64615414169</c:v>
                </c:pt>
                <c:pt idx="41">
                  <c:v>254723.09870735533</c:v>
                </c:pt>
                <c:pt idx="42">
                  <c:v>280112.11988284165</c:v>
                </c:pt>
                <c:pt idx="43">
                  <c:v>204157.47989367624</c:v>
                </c:pt>
                <c:pt idx="44">
                  <c:v>216369.96910508545</c:v>
                </c:pt>
                <c:pt idx="45">
                  <c:v>234188.09031734237</c:v>
                </c:pt>
                <c:pt idx="46">
                  <c:v>223392.56685279097</c:v>
                </c:pt>
                <c:pt idx="47">
                  <c:v>228732.50827967454</c:v>
                </c:pt>
                <c:pt idx="48">
                  <c:v>217607.69246014327</c:v>
                </c:pt>
                <c:pt idx="49">
                  <c:v>232222.704076786</c:v>
                </c:pt>
                <c:pt idx="50">
                  <c:v>240089.5595686326</c:v>
                </c:pt>
                <c:pt idx="51">
                  <c:v>259516.96847663383</c:v>
                </c:pt>
                <c:pt idx="52">
                  <c:v>266173.82771585108</c:v>
                </c:pt>
                <c:pt idx="53">
                  <c:v>283749.39264992333</c:v>
                </c:pt>
                <c:pt idx="54">
                  <c:v>263858.93909969262</c:v>
                </c:pt>
                <c:pt idx="55">
                  <c:v>237153.61573264337</c:v>
                </c:pt>
                <c:pt idx="56">
                  <c:v>247872.33755102076</c:v>
                </c:pt>
                <c:pt idx="57">
                  <c:v>267031.89963767806</c:v>
                </c:pt>
                <c:pt idx="58">
                  <c:v>299526.32116481615</c:v>
                </c:pt>
                <c:pt idx="59">
                  <c:v>297202.79185578215</c:v>
                </c:pt>
                <c:pt idx="60">
                  <c:v>292052.48968561122</c:v>
                </c:pt>
                <c:pt idx="61">
                  <c:v>304568.76715658122</c:v>
                </c:pt>
                <c:pt idx="62">
                  <c:v>307971.86177937011</c:v>
                </c:pt>
                <c:pt idx="63">
                  <c:v>312066.06028363359</c:v>
                </c:pt>
                <c:pt idx="64">
                  <c:v>335895.47731453337</c:v>
                </c:pt>
                <c:pt idx="65">
                  <c:v>387533.12127026159</c:v>
                </c:pt>
                <c:pt idx="66">
                  <c:v>366076.73692064569</c:v>
                </c:pt>
                <c:pt idx="67">
                  <c:v>327307.05967138964</c:v>
                </c:pt>
                <c:pt idx="68">
                  <c:v>372447.32257976267</c:v>
                </c:pt>
                <c:pt idx="69">
                  <c:v>23349.209688250499</c:v>
                </c:pt>
              </c:numCache>
            </c:numRef>
          </c:val>
          <c:smooth val="0"/>
          <c:extLst>
            <c:ext xmlns:c16="http://schemas.microsoft.com/office/drawing/2014/chart" uri="{C3380CC4-5D6E-409C-BE32-E72D297353CC}">
              <c16:uniqueId val="{00000003-45A4-4A94-833F-2EBD52155CE4}"/>
            </c:ext>
          </c:extLst>
        </c:ser>
        <c:ser>
          <c:idx val="5"/>
          <c:order val="4"/>
          <c:tx>
            <c:strRef>
              <c:f>'Gear Type Recap'!$F$1</c:f>
              <c:strCache>
                <c:ptCount val="1"/>
                <c:pt idx="0">
                  <c:v>hand or tools</c:v>
                </c:pt>
              </c:strCache>
            </c:strRef>
          </c:tx>
          <c:spPr>
            <a:ln w="28575" cap="rnd">
              <a:solidFill>
                <a:schemeClr val="accent6"/>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Recap'!$F$2:$F$71</c:f>
              <c:numCache>
                <c:formatCode>General</c:formatCode>
                <c:ptCount val="70"/>
                <c:pt idx="0">
                  <c:v>1322.4867046869999</c:v>
                </c:pt>
                <c:pt idx="1">
                  <c:v>1874.8794869999001</c:v>
                </c:pt>
                <c:pt idx="2">
                  <c:v>2095.8920654485996</c:v>
                </c:pt>
                <c:pt idx="3">
                  <c:v>2073.4537588717003</c:v>
                </c:pt>
                <c:pt idx="4">
                  <c:v>2223.9580272785997</c:v>
                </c:pt>
                <c:pt idx="5">
                  <c:v>2334.7261277808002</c:v>
                </c:pt>
                <c:pt idx="6">
                  <c:v>2518.7794440593011</c:v>
                </c:pt>
                <c:pt idx="7">
                  <c:v>2378.4676131957995</c:v>
                </c:pt>
                <c:pt idx="8">
                  <c:v>2555.4238499524004</c:v>
                </c:pt>
                <c:pt idx="9">
                  <c:v>2303.0873516462998</c:v>
                </c:pt>
                <c:pt idx="10">
                  <c:v>2356.5047155672</c:v>
                </c:pt>
                <c:pt idx="11">
                  <c:v>2615.4194275860004</c:v>
                </c:pt>
                <c:pt idx="12">
                  <c:v>2285.1769984106004</c:v>
                </c:pt>
                <c:pt idx="13">
                  <c:v>2467.9351488853004</c:v>
                </c:pt>
                <c:pt idx="14">
                  <c:v>2770.7996447978994</c:v>
                </c:pt>
                <c:pt idx="15">
                  <c:v>2418.151722930399</c:v>
                </c:pt>
                <c:pt idx="16">
                  <c:v>2557.9138760355004</c:v>
                </c:pt>
                <c:pt idx="17">
                  <c:v>2384.4936853848999</c:v>
                </c:pt>
                <c:pt idx="18">
                  <c:v>2301.5971413432994</c:v>
                </c:pt>
                <c:pt idx="19">
                  <c:v>2609.2519092979005</c:v>
                </c:pt>
                <c:pt idx="20">
                  <c:v>2915.0906601305005</c:v>
                </c:pt>
                <c:pt idx="21">
                  <c:v>2898.4603145410006</c:v>
                </c:pt>
                <c:pt idx="22">
                  <c:v>2723.0621133673003</c:v>
                </c:pt>
                <c:pt idx="23">
                  <c:v>2188.5024303534005</c:v>
                </c:pt>
                <c:pt idx="24">
                  <c:v>2604.3098599308992</c:v>
                </c:pt>
                <c:pt idx="25">
                  <c:v>2398.4389200798</c:v>
                </c:pt>
                <c:pt idx="26">
                  <c:v>2122.7700285428996</c:v>
                </c:pt>
                <c:pt idx="27">
                  <c:v>2500.9918221484004</c:v>
                </c:pt>
                <c:pt idx="28">
                  <c:v>4357.119664831599</c:v>
                </c:pt>
                <c:pt idx="29">
                  <c:v>2306.9447816309003</c:v>
                </c:pt>
                <c:pt idx="30">
                  <c:v>3120.163245959799</c:v>
                </c:pt>
                <c:pt idx="31">
                  <c:v>2618.9403267389998</c:v>
                </c:pt>
                <c:pt idx="32">
                  <c:v>2579.8144627428992</c:v>
                </c:pt>
                <c:pt idx="33">
                  <c:v>2436.2722991195001</c:v>
                </c:pt>
                <c:pt idx="34">
                  <c:v>1972.1729141649994</c:v>
                </c:pt>
                <c:pt idx="35">
                  <c:v>2145.7408997287002</c:v>
                </c:pt>
                <c:pt idx="36">
                  <c:v>3051.4549329908004</c:v>
                </c:pt>
                <c:pt idx="37">
                  <c:v>2678.9067247417988</c:v>
                </c:pt>
                <c:pt idx="38">
                  <c:v>6477.3826831576007</c:v>
                </c:pt>
                <c:pt idx="39">
                  <c:v>3233.1000351730004</c:v>
                </c:pt>
                <c:pt idx="40">
                  <c:v>3144.6175763156007</c:v>
                </c:pt>
                <c:pt idx="41">
                  <c:v>7400.1535816452997</c:v>
                </c:pt>
                <c:pt idx="42">
                  <c:v>8475.6966649387996</c:v>
                </c:pt>
                <c:pt idx="43">
                  <c:v>10682.182139558199</c:v>
                </c:pt>
                <c:pt idx="44">
                  <c:v>11829.234312201697</c:v>
                </c:pt>
                <c:pt idx="45">
                  <c:v>14733.122703013898</c:v>
                </c:pt>
                <c:pt idx="46">
                  <c:v>13869.396612365101</c:v>
                </c:pt>
                <c:pt idx="47">
                  <c:v>11255.009203220801</c:v>
                </c:pt>
                <c:pt idx="48">
                  <c:v>10758.9903789944</c:v>
                </c:pt>
                <c:pt idx="49">
                  <c:v>12355.957379663099</c:v>
                </c:pt>
                <c:pt idx="50">
                  <c:v>14094.028377437402</c:v>
                </c:pt>
                <c:pt idx="51">
                  <c:v>10629.248146671</c:v>
                </c:pt>
                <c:pt idx="52">
                  <c:v>13238.392662864102</c:v>
                </c:pt>
                <c:pt idx="53">
                  <c:v>15443.4740589306</c:v>
                </c:pt>
                <c:pt idx="54">
                  <c:v>11501.7985332689</c:v>
                </c:pt>
                <c:pt idx="55">
                  <c:v>8872.4590365321019</c:v>
                </c:pt>
                <c:pt idx="56">
                  <c:v>10092.4586723923</c:v>
                </c:pt>
                <c:pt idx="57">
                  <c:v>9614.0741443040006</c:v>
                </c:pt>
                <c:pt idx="58">
                  <c:v>10893.444727563701</c:v>
                </c:pt>
                <c:pt idx="59">
                  <c:v>14569.454799188099</c:v>
                </c:pt>
                <c:pt idx="60">
                  <c:v>14081.646054396499</c:v>
                </c:pt>
                <c:pt idx="61">
                  <c:v>12908.420987728598</c:v>
                </c:pt>
                <c:pt idx="62">
                  <c:v>10914.196738867397</c:v>
                </c:pt>
                <c:pt idx="63">
                  <c:v>11277.771519055301</c:v>
                </c:pt>
                <c:pt idx="64">
                  <c:v>11732.859870551598</c:v>
                </c:pt>
                <c:pt idx="65">
                  <c:v>13154.5928072637</c:v>
                </c:pt>
                <c:pt idx="66">
                  <c:v>12426.267965479397</c:v>
                </c:pt>
                <c:pt idx="67">
                  <c:v>11110.253179926702</c:v>
                </c:pt>
                <c:pt idx="68">
                  <c:v>12642.5138956716</c:v>
                </c:pt>
                <c:pt idx="69">
                  <c:v>145.2161032418</c:v>
                </c:pt>
              </c:numCache>
            </c:numRef>
          </c:val>
          <c:smooth val="0"/>
          <c:extLst>
            <c:ext xmlns:c16="http://schemas.microsoft.com/office/drawing/2014/chart" uri="{C3380CC4-5D6E-409C-BE32-E72D297353CC}">
              <c16:uniqueId val="{00000004-45A4-4A94-833F-2EBD52155CE4}"/>
            </c:ext>
          </c:extLst>
        </c:ser>
        <c:ser>
          <c:idx val="6"/>
          <c:order val="5"/>
          <c:tx>
            <c:strRef>
              <c:f>'Gear Type Recap'!$G$1</c:f>
              <c:strCache>
                <c:ptCount val="1"/>
                <c:pt idx="0">
                  <c:v>longline</c:v>
                </c:pt>
              </c:strCache>
            </c:strRef>
          </c:tx>
          <c:spPr>
            <a:ln w="28575" cap="rnd">
              <a:solidFill>
                <a:schemeClr val="accent1">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Recap'!$G$2:$G$71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118.87824543940002</c:v>
                </c:pt>
                <c:pt idx="29">
                  <c:v>126.4499522223</c:v>
                </c:pt>
                <c:pt idx="30">
                  <c:v>333.45238512959997</c:v>
                </c:pt>
                <c:pt idx="31">
                  <c:v>467.20587003749995</c:v>
                </c:pt>
                <c:pt idx="32">
                  <c:v>569.07468398190008</c:v>
                </c:pt>
                <c:pt idx="33">
                  <c:v>554.37967456870001</c:v>
                </c:pt>
                <c:pt idx="34">
                  <c:v>741.85405194810005</c:v>
                </c:pt>
                <c:pt idx="35">
                  <c:v>621.08488918970022</c:v>
                </c:pt>
                <c:pt idx="36">
                  <c:v>670.88968885139991</c:v>
                </c:pt>
                <c:pt idx="37">
                  <c:v>1030.0300639052</c:v>
                </c:pt>
                <c:pt idx="38">
                  <c:v>982.95603071429991</c:v>
                </c:pt>
                <c:pt idx="39">
                  <c:v>1063.8500608285999</c:v>
                </c:pt>
                <c:pt idx="40">
                  <c:v>946.73979371269979</c:v>
                </c:pt>
                <c:pt idx="41">
                  <c:v>1202.0004552691</c:v>
                </c:pt>
                <c:pt idx="42">
                  <c:v>1397.0585325846</c:v>
                </c:pt>
                <c:pt idx="43">
                  <c:v>1038.9946812812</c:v>
                </c:pt>
                <c:pt idx="44">
                  <c:v>976.60647020369993</c:v>
                </c:pt>
                <c:pt idx="45">
                  <c:v>1025.0171305094</c:v>
                </c:pt>
                <c:pt idx="46">
                  <c:v>1881.9567674334003</c:v>
                </c:pt>
                <c:pt idx="47">
                  <c:v>1502.5902957119999</c:v>
                </c:pt>
                <c:pt idx="48">
                  <c:v>122.32614308189999</c:v>
                </c:pt>
                <c:pt idx="49">
                  <c:v>145.17012164889999</c:v>
                </c:pt>
                <c:pt idx="50">
                  <c:v>85.545980564200022</c:v>
                </c:pt>
                <c:pt idx="51">
                  <c:v>139.21056746080001</c:v>
                </c:pt>
                <c:pt idx="52">
                  <c:v>84.960348810499994</c:v>
                </c:pt>
                <c:pt idx="53">
                  <c:v>97.386164693199987</c:v>
                </c:pt>
                <c:pt idx="54">
                  <c:v>0</c:v>
                </c:pt>
                <c:pt idx="55">
                  <c:v>0</c:v>
                </c:pt>
                <c:pt idx="56">
                  <c:v>0</c:v>
                </c:pt>
                <c:pt idx="57">
                  <c:v>0</c:v>
                </c:pt>
                <c:pt idx="58">
                  <c:v>0</c:v>
                </c:pt>
                <c:pt idx="59">
                  <c:v>37.260307758299994</c:v>
                </c:pt>
                <c:pt idx="60">
                  <c:v>11.898759581</c:v>
                </c:pt>
                <c:pt idx="61">
                  <c:v>21.310796162399996</c:v>
                </c:pt>
                <c:pt idx="62">
                  <c:v>0</c:v>
                </c:pt>
                <c:pt idx="63">
                  <c:v>69.525321777300007</c:v>
                </c:pt>
                <c:pt idx="64">
                  <c:v>8.8530299231000011</c:v>
                </c:pt>
                <c:pt idx="65">
                  <c:v>3.8981278199999991</c:v>
                </c:pt>
                <c:pt idx="66">
                  <c:v>10.031287533799999</c:v>
                </c:pt>
                <c:pt idx="67">
                  <c:v>4.3167378547000004</c:v>
                </c:pt>
                <c:pt idx="68">
                  <c:v>4.5761709218000002</c:v>
                </c:pt>
                <c:pt idx="69">
                  <c:v>0</c:v>
                </c:pt>
              </c:numCache>
            </c:numRef>
          </c:val>
          <c:smooth val="0"/>
          <c:extLst>
            <c:ext xmlns:c16="http://schemas.microsoft.com/office/drawing/2014/chart" uri="{C3380CC4-5D6E-409C-BE32-E72D297353CC}">
              <c16:uniqueId val="{00000005-45A4-4A94-833F-2EBD52155CE4}"/>
            </c:ext>
          </c:extLst>
        </c:ser>
        <c:ser>
          <c:idx val="7"/>
          <c:order val="6"/>
          <c:tx>
            <c:strRef>
              <c:f>'Gear Type Recap'!$H$1</c:f>
              <c:strCache>
                <c:ptCount val="1"/>
                <c:pt idx="0">
                  <c:v>mixed gear</c:v>
                </c:pt>
              </c:strCache>
            </c:strRef>
          </c:tx>
          <c:spPr>
            <a:ln w="28575" cap="rnd">
              <a:solidFill>
                <a:schemeClr val="accent2">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Recap'!$H$2:$H$71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582.90517956600002</c:v>
                </c:pt>
                <c:pt idx="66">
                  <c:v>553.31637981480003</c:v>
                </c:pt>
                <c:pt idx="67">
                  <c:v>0</c:v>
                </c:pt>
                <c:pt idx="68">
                  <c:v>438.64101590780001</c:v>
                </c:pt>
                <c:pt idx="69">
                  <c:v>0</c:v>
                </c:pt>
              </c:numCache>
            </c:numRef>
          </c:val>
          <c:smooth val="0"/>
          <c:extLst>
            <c:ext xmlns:c16="http://schemas.microsoft.com/office/drawing/2014/chart" uri="{C3380CC4-5D6E-409C-BE32-E72D297353CC}">
              <c16:uniqueId val="{00000006-45A4-4A94-833F-2EBD52155CE4}"/>
            </c:ext>
          </c:extLst>
        </c:ser>
        <c:ser>
          <c:idx val="8"/>
          <c:order val="7"/>
          <c:tx>
            <c:strRef>
              <c:f>'Gear Type Recap'!$I$1</c:f>
              <c:strCache>
                <c:ptCount val="1"/>
                <c:pt idx="0">
                  <c:v>pole and line</c:v>
                </c:pt>
              </c:strCache>
            </c:strRef>
          </c:tx>
          <c:spPr>
            <a:ln w="28575" cap="rnd">
              <a:solidFill>
                <a:schemeClr val="accent3">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Recap'!$I$2:$I$71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0.34655079099999997</c:v>
                </c:pt>
                <c:pt idx="27">
                  <c:v>1.0143024102</c:v>
                </c:pt>
                <c:pt idx="28">
                  <c:v>3.5677816637999999</c:v>
                </c:pt>
                <c:pt idx="29">
                  <c:v>4.4981396968</c:v>
                </c:pt>
                <c:pt idx="30">
                  <c:v>76.243167894400017</c:v>
                </c:pt>
                <c:pt idx="31">
                  <c:v>79.894111360099998</c:v>
                </c:pt>
                <c:pt idx="32">
                  <c:v>90.5771923147</c:v>
                </c:pt>
                <c:pt idx="33">
                  <c:v>242.49208600419999</c:v>
                </c:pt>
                <c:pt idx="34">
                  <c:v>145.70638988879998</c:v>
                </c:pt>
                <c:pt idx="35">
                  <c:v>97.700335337799999</c:v>
                </c:pt>
                <c:pt idx="36">
                  <c:v>31.867240028699996</c:v>
                </c:pt>
                <c:pt idx="37">
                  <c:v>46.337605722300005</c:v>
                </c:pt>
                <c:pt idx="38">
                  <c:v>17.6888744002</c:v>
                </c:pt>
                <c:pt idx="39">
                  <c:v>141.60118039490001</c:v>
                </c:pt>
                <c:pt idx="40">
                  <c:v>481.41737845110003</c:v>
                </c:pt>
                <c:pt idx="41">
                  <c:v>126.6616598734</c:v>
                </c:pt>
                <c:pt idx="42">
                  <c:v>236.4234263239</c:v>
                </c:pt>
                <c:pt idx="43">
                  <c:v>0</c:v>
                </c:pt>
                <c:pt idx="44">
                  <c:v>0</c:v>
                </c:pt>
                <c:pt idx="45">
                  <c:v>92.865050410099997</c:v>
                </c:pt>
                <c:pt idx="46">
                  <c:v>0</c:v>
                </c:pt>
                <c:pt idx="47">
                  <c:v>198.98460438890001</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numCache>
            </c:numRef>
          </c:val>
          <c:smooth val="0"/>
          <c:extLst>
            <c:ext xmlns:c16="http://schemas.microsoft.com/office/drawing/2014/chart" uri="{C3380CC4-5D6E-409C-BE32-E72D297353CC}">
              <c16:uniqueId val="{00000007-45A4-4A94-833F-2EBD52155CE4}"/>
            </c:ext>
          </c:extLst>
        </c:ser>
        <c:ser>
          <c:idx val="9"/>
          <c:order val="8"/>
          <c:tx>
            <c:strRef>
              <c:f>'Gear Type Recap'!$J$1</c:f>
              <c:strCache>
                <c:ptCount val="1"/>
                <c:pt idx="0">
                  <c:v>purse seine</c:v>
                </c:pt>
              </c:strCache>
            </c:strRef>
          </c:tx>
          <c:spPr>
            <a:ln w="28575" cap="rnd">
              <a:solidFill>
                <a:schemeClr val="accent4">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Recap'!$J$2:$J$71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2804.6239276820006</c:v>
                </c:pt>
                <c:pt idx="12">
                  <c:v>5863.4029897186992</c:v>
                </c:pt>
                <c:pt idx="13">
                  <c:v>9142.0787566472991</c:v>
                </c:pt>
                <c:pt idx="14">
                  <c:v>12954.688589691399</c:v>
                </c:pt>
                <c:pt idx="15">
                  <c:v>18360.1772747084</c:v>
                </c:pt>
                <c:pt idx="16">
                  <c:v>24050.861816930799</c:v>
                </c:pt>
                <c:pt idx="17">
                  <c:v>22808.147221325504</c:v>
                </c:pt>
                <c:pt idx="18">
                  <c:v>24417.330867578483</c:v>
                </c:pt>
                <c:pt idx="19">
                  <c:v>26718.002544941606</c:v>
                </c:pt>
                <c:pt idx="20">
                  <c:v>26069.1752695295</c:v>
                </c:pt>
                <c:pt idx="21">
                  <c:v>26659.556544945903</c:v>
                </c:pt>
                <c:pt idx="22">
                  <c:v>28845.7987511106</c:v>
                </c:pt>
                <c:pt idx="23">
                  <c:v>30787.10378282762</c:v>
                </c:pt>
                <c:pt idx="24">
                  <c:v>34336.297991321007</c:v>
                </c:pt>
                <c:pt idx="25">
                  <c:v>45692.570503017887</c:v>
                </c:pt>
                <c:pt idx="26">
                  <c:v>43950.158905376986</c:v>
                </c:pt>
                <c:pt idx="27">
                  <c:v>49845.602102794619</c:v>
                </c:pt>
                <c:pt idx="28">
                  <c:v>56096.527434810792</c:v>
                </c:pt>
                <c:pt idx="29">
                  <c:v>56759.775185130711</c:v>
                </c:pt>
                <c:pt idx="30">
                  <c:v>61702.823308925195</c:v>
                </c:pt>
                <c:pt idx="31">
                  <c:v>63092.584113775723</c:v>
                </c:pt>
                <c:pt idx="32">
                  <c:v>64476.574651539704</c:v>
                </c:pt>
                <c:pt idx="33">
                  <c:v>70830.678527524011</c:v>
                </c:pt>
                <c:pt idx="34">
                  <c:v>79342.273622917302</c:v>
                </c:pt>
                <c:pt idx="35">
                  <c:v>83013.812201635621</c:v>
                </c:pt>
                <c:pt idx="36">
                  <c:v>84401.513380676945</c:v>
                </c:pt>
                <c:pt idx="37">
                  <c:v>81875.302177633974</c:v>
                </c:pt>
                <c:pt idx="38">
                  <c:v>86887.292881839181</c:v>
                </c:pt>
                <c:pt idx="39">
                  <c:v>94482.195684245991</c:v>
                </c:pt>
                <c:pt idx="40">
                  <c:v>102376.59809485238</c:v>
                </c:pt>
                <c:pt idx="41">
                  <c:v>111906.68958282324</c:v>
                </c:pt>
                <c:pt idx="42">
                  <c:v>116945.79633054159</c:v>
                </c:pt>
                <c:pt idx="43">
                  <c:v>117337.71226079619</c:v>
                </c:pt>
                <c:pt idx="44">
                  <c:v>133672.06344265075</c:v>
                </c:pt>
                <c:pt idx="45">
                  <c:v>130873.78154912039</c:v>
                </c:pt>
                <c:pt idx="46">
                  <c:v>129100.37321265781</c:v>
                </c:pt>
                <c:pt idx="47">
                  <c:v>144381.99389777059</c:v>
                </c:pt>
                <c:pt idx="48">
                  <c:v>145475.67931553011</c:v>
                </c:pt>
                <c:pt idx="49">
                  <c:v>130626.39197100222</c:v>
                </c:pt>
                <c:pt idx="50">
                  <c:v>131020.4289428534</c:v>
                </c:pt>
                <c:pt idx="51">
                  <c:v>140166.76854611511</c:v>
                </c:pt>
                <c:pt idx="52">
                  <c:v>146968.12573797628</c:v>
                </c:pt>
                <c:pt idx="53">
                  <c:v>125435.40879201966</c:v>
                </c:pt>
                <c:pt idx="54">
                  <c:v>153488.65109047224</c:v>
                </c:pt>
                <c:pt idx="55">
                  <c:v>157595.63109781404</c:v>
                </c:pt>
                <c:pt idx="56">
                  <c:v>149217.55027886681</c:v>
                </c:pt>
                <c:pt idx="57">
                  <c:v>148083.26328097787</c:v>
                </c:pt>
                <c:pt idx="58">
                  <c:v>156777.01381051936</c:v>
                </c:pt>
                <c:pt idx="59">
                  <c:v>166205.69578696822</c:v>
                </c:pt>
                <c:pt idx="60">
                  <c:v>150828.59851260323</c:v>
                </c:pt>
                <c:pt idx="61">
                  <c:v>155476.17334201644</c:v>
                </c:pt>
                <c:pt idx="62">
                  <c:v>157163.43959691373</c:v>
                </c:pt>
                <c:pt idx="63">
                  <c:v>159655.45205535126</c:v>
                </c:pt>
                <c:pt idx="64">
                  <c:v>172033.65104084669</c:v>
                </c:pt>
                <c:pt idx="65">
                  <c:v>187336.3200348629</c:v>
                </c:pt>
                <c:pt idx="66">
                  <c:v>176964.14830374721</c:v>
                </c:pt>
                <c:pt idx="67">
                  <c:v>158222.60528154369</c:v>
                </c:pt>
                <c:pt idx="68">
                  <c:v>180043.7355914964</c:v>
                </c:pt>
                <c:pt idx="69">
                  <c:v>25997.048364763596</c:v>
                </c:pt>
              </c:numCache>
            </c:numRef>
          </c:val>
          <c:smooth val="0"/>
          <c:extLst>
            <c:ext xmlns:c16="http://schemas.microsoft.com/office/drawing/2014/chart" uri="{C3380CC4-5D6E-409C-BE32-E72D297353CC}">
              <c16:uniqueId val="{00000008-45A4-4A94-833F-2EBD52155CE4}"/>
            </c:ext>
          </c:extLst>
        </c:ser>
        <c:ser>
          <c:idx val="10"/>
          <c:order val="9"/>
          <c:tx>
            <c:strRef>
              <c:f>'Gear Type Recap'!$K$1</c:f>
              <c:strCache>
                <c:ptCount val="1"/>
                <c:pt idx="0">
                  <c:v>recreational fishing gear</c:v>
                </c:pt>
              </c:strCache>
            </c:strRef>
          </c:tx>
          <c:spPr>
            <a:ln w="28575" cap="rnd">
              <a:solidFill>
                <a:schemeClr val="accent5">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Recap'!$K$2:$K$71</c:f>
              <c:numCache>
                <c:formatCode>General</c:formatCode>
                <c:ptCount val="70"/>
                <c:pt idx="0">
                  <c:v>1246.2179096488001</c:v>
                </c:pt>
                <c:pt idx="1">
                  <c:v>1267.1288809488001</c:v>
                </c:pt>
                <c:pt idx="2">
                  <c:v>1289.6915877386</c:v>
                </c:pt>
                <c:pt idx="3">
                  <c:v>1313.9225473729</c:v>
                </c:pt>
                <c:pt idx="4">
                  <c:v>1356.3721494591</c:v>
                </c:pt>
                <c:pt idx="5">
                  <c:v>1367.4883293048999</c:v>
                </c:pt>
                <c:pt idx="6">
                  <c:v>1396.8231516026001</c:v>
                </c:pt>
                <c:pt idx="7">
                  <c:v>1427.8592614547999</c:v>
                </c:pt>
                <c:pt idx="8">
                  <c:v>1460.6131762161001</c:v>
                </c:pt>
                <c:pt idx="9">
                  <c:v>1495.0518611770001</c:v>
                </c:pt>
                <c:pt idx="10">
                  <c:v>1464.9687531505001</c:v>
                </c:pt>
                <c:pt idx="11">
                  <c:v>1500.7701198904999</c:v>
                </c:pt>
                <c:pt idx="12">
                  <c:v>1537.7847689344001</c:v>
                </c:pt>
                <c:pt idx="13">
                  <c:v>1576.0997962946999</c:v>
                </c:pt>
                <c:pt idx="14">
                  <c:v>1615.8686812331</c:v>
                </c:pt>
                <c:pt idx="15">
                  <c:v>1657.1830785519001</c:v>
                </c:pt>
                <c:pt idx="16">
                  <c:v>1700.0405932345</c:v>
                </c:pt>
                <c:pt idx="17">
                  <c:v>1744.3279162265001</c:v>
                </c:pt>
                <c:pt idx="18">
                  <c:v>1789.8920968216</c:v>
                </c:pt>
                <c:pt idx="19">
                  <c:v>1836.5305001096999</c:v>
                </c:pt>
                <c:pt idx="20">
                  <c:v>1884.0832546127999</c:v>
                </c:pt>
                <c:pt idx="21">
                  <c:v>1932.4645526723</c:v>
                </c:pt>
                <c:pt idx="22">
                  <c:v>1981.6604701581</c:v>
                </c:pt>
                <c:pt idx="23">
                  <c:v>2031.6690249873</c:v>
                </c:pt>
                <c:pt idx="24">
                  <c:v>2082.5171569660001</c:v>
                </c:pt>
                <c:pt idx="25">
                  <c:v>2134.2090449850002</c:v>
                </c:pt>
                <c:pt idx="26">
                  <c:v>2186.6568497508001</c:v>
                </c:pt>
                <c:pt idx="27">
                  <c:v>2239.7741029106</c:v>
                </c:pt>
                <c:pt idx="28">
                  <c:v>2293.5627700296</c:v>
                </c:pt>
                <c:pt idx="29">
                  <c:v>2348.0425232776001</c:v>
                </c:pt>
                <c:pt idx="30">
                  <c:v>2403.1834992767999</c:v>
                </c:pt>
                <c:pt idx="31">
                  <c:v>2458.9781826306998</c:v>
                </c:pt>
                <c:pt idx="32">
                  <c:v>2515.2748779520998</c:v>
                </c:pt>
                <c:pt idx="33">
                  <c:v>2571.7232025914</c:v>
                </c:pt>
                <c:pt idx="34">
                  <c:v>2627.8737523566001</c:v>
                </c:pt>
                <c:pt idx="35">
                  <c:v>2683.3908285267999</c:v>
                </c:pt>
                <c:pt idx="36">
                  <c:v>2738.1162278768002</c:v>
                </c:pt>
                <c:pt idx="37">
                  <c:v>2792.0785419478998</c:v>
                </c:pt>
                <c:pt idx="38">
                  <c:v>2845.3639087458</c:v>
                </c:pt>
                <c:pt idx="39">
                  <c:v>2898.1452319416999</c:v>
                </c:pt>
                <c:pt idx="40">
                  <c:v>2950.5486050229001</c:v>
                </c:pt>
                <c:pt idx="41">
                  <c:v>3002.629311576</c:v>
                </c:pt>
                <c:pt idx="42">
                  <c:v>3054.3372049118998</c:v>
                </c:pt>
                <c:pt idx="43">
                  <c:v>3105.5811422659999</c:v>
                </c:pt>
                <c:pt idx="44">
                  <c:v>3156.2298767364</c:v>
                </c:pt>
                <c:pt idx="45">
                  <c:v>3206.2259774801</c:v>
                </c:pt>
                <c:pt idx="46">
                  <c:v>3255.5357490932001</c:v>
                </c:pt>
                <c:pt idx="47">
                  <c:v>3304.3041809166998</c:v>
                </c:pt>
                <c:pt idx="48">
                  <c:v>3352.8730996106001</c:v>
                </c:pt>
                <c:pt idx="49">
                  <c:v>3401.6968976077001</c:v>
                </c:pt>
                <c:pt idx="50">
                  <c:v>3451.1146266524001</c:v>
                </c:pt>
                <c:pt idx="51">
                  <c:v>3501.1898455260002</c:v>
                </c:pt>
                <c:pt idx="52">
                  <c:v>3551.8636698585001</c:v>
                </c:pt>
                <c:pt idx="53">
                  <c:v>3603.1885752864</c:v>
                </c:pt>
                <c:pt idx="54">
                  <c:v>3655.1881816271002</c:v>
                </c:pt>
                <c:pt idx="55">
                  <c:v>3707.8307094898</c:v>
                </c:pt>
                <c:pt idx="56">
                  <c:v>3761.1639270648002</c:v>
                </c:pt>
                <c:pt idx="57">
                  <c:v>3815.0598413692001</c:v>
                </c:pt>
                <c:pt idx="58">
                  <c:v>3869.0828402021998</c:v>
                </c:pt>
                <c:pt idx="59">
                  <c:v>3922.6553116629998</c:v>
                </c:pt>
                <c:pt idx="60">
                  <c:v>3975.3389181872999</c:v>
                </c:pt>
                <c:pt idx="61">
                  <c:v>3989.5483609079001</c:v>
                </c:pt>
                <c:pt idx="62">
                  <c:v>4043.8489692502999</c:v>
                </c:pt>
                <c:pt idx="63">
                  <c:v>4098.4390004405996</c:v>
                </c:pt>
                <c:pt idx="64">
                  <c:v>4152.5181720651999</c:v>
                </c:pt>
                <c:pt idx="65">
                  <c:v>4205.4848687008998</c:v>
                </c:pt>
                <c:pt idx="66">
                  <c:v>4257.0960550037998</c:v>
                </c:pt>
                <c:pt idx="67">
                  <c:v>4307.4163797089996</c:v>
                </c:pt>
                <c:pt idx="68">
                  <c:v>4356.5304626280004</c:v>
                </c:pt>
                <c:pt idx="69">
                  <c:v>4356.5304626280004</c:v>
                </c:pt>
              </c:numCache>
            </c:numRef>
          </c:val>
          <c:smooth val="0"/>
          <c:extLst>
            <c:ext xmlns:c16="http://schemas.microsoft.com/office/drawing/2014/chart" uri="{C3380CC4-5D6E-409C-BE32-E72D297353CC}">
              <c16:uniqueId val="{00000009-45A4-4A94-833F-2EBD52155CE4}"/>
            </c:ext>
          </c:extLst>
        </c:ser>
        <c:ser>
          <c:idx val="11"/>
          <c:order val="10"/>
          <c:tx>
            <c:strRef>
              <c:f>'Gear Type Recap'!$L$1</c:f>
              <c:strCache>
                <c:ptCount val="1"/>
                <c:pt idx="0">
                  <c:v>small scale gillnets</c:v>
                </c:pt>
              </c:strCache>
            </c:strRef>
          </c:tx>
          <c:spPr>
            <a:ln w="28575" cap="rnd">
              <a:solidFill>
                <a:schemeClr val="accent6">
                  <a:lumMod val="6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Recap'!$L$2:$L$71</c:f>
              <c:numCache>
                <c:formatCode>General</c:formatCode>
                <c:ptCount val="70"/>
                <c:pt idx="0">
                  <c:v>17176.559109517802</c:v>
                </c:pt>
                <c:pt idx="1">
                  <c:v>20213.8216693586</c:v>
                </c:pt>
                <c:pt idx="2">
                  <c:v>22863.094339623</c:v>
                </c:pt>
                <c:pt idx="3">
                  <c:v>22829.123966566305</c:v>
                </c:pt>
                <c:pt idx="4">
                  <c:v>24452.352205032799</c:v>
                </c:pt>
                <c:pt idx="5">
                  <c:v>25536.657299588402</c:v>
                </c:pt>
                <c:pt idx="6">
                  <c:v>26385.161237183805</c:v>
                </c:pt>
                <c:pt idx="7">
                  <c:v>25841.500675903902</c:v>
                </c:pt>
                <c:pt idx="8">
                  <c:v>27691.32164931779</c:v>
                </c:pt>
                <c:pt idx="9">
                  <c:v>26527.00473297331</c:v>
                </c:pt>
                <c:pt idx="10">
                  <c:v>27708.259171187387</c:v>
                </c:pt>
                <c:pt idx="11">
                  <c:v>30885.830885617801</c:v>
                </c:pt>
                <c:pt idx="12">
                  <c:v>28047.184289526998</c:v>
                </c:pt>
                <c:pt idx="13">
                  <c:v>23941.941989461502</c:v>
                </c:pt>
                <c:pt idx="14">
                  <c:v>21185.658864532703</c:v>
                </c:pt>
                <c:pt idx="15">
                  <c:v>18725.682563509188</c:v>
                </c:pt>
                <c:pt idx="16">
                  <c:v>14793.613686433004</c:v>
                </c:pt>
                <c:pt idx="17">
                  <c:v>14229.916093402693</c:v>
                </c:pt>
                <c:pt idx="18">
                  <c:v>14708.431778894304</c:v>
                </c:pt>
                <c:pt idx="19">
                  <c:v>16461.567215342489</c:v>
                </c:pt>
                <c:pt idx="20">
                  <c:v>16627.630403318399</c:v>
                </c:pt>
                <c:pt idx="21">
                  <c:v>17856.807498693986</c:v>
                </c:pt>
                <c:pt idx="22">
                  <c:v>18078.754667162502</c:v>
                </c:pt>
                <c:pt idx="23">
                  <c:v>19351.698910547715</c:v>
                </c:pt>
                <c:pt idx="24">
                  <c:v>20835.967786311798</c:v>
                </c:pt>
                <c:pt idx="25">
                  <c:v>21709.158334499614</c:v>
                </c:pt>
                <c:pt idx="26">
                  <c:v>22470.434747918604</c:v>
                </c:pt>
                <c:pt idx="27">
                  <c:v>23064.2814867003</c:v>
                </c:pt>
                <c:pt idx="28">
                  <c:v>26367.991436535303</c:v>
                </c:pt>
                <c:pt idx="29">
                  <c:v>26643.146509690796</c:v>
                </c:pt>
                <c:pt idx="30">
                  <c:v>36818.408349195801</c:v>
                </c:pt>
                <c:pt idx="31">
                  <c:v>34152.490454428611</c:v>
                </c:pt>
                <c:pt idx="32">
                  <c:v>33106.85390600111</c:v>
                </c:pt>
                <c:pt idx="33">
                  <c:v>30198.108750018593</c:v>
                </c:pt>
                <c:pt idx="34">
                  <c:v>30555.383463282495</c:v>
                </c:pt>
                <c:pt idx="35">
                  <c:v>31488.071437953284</c:v>
                </c:pt>
                <c:pt idx="36">
                  <c:v>36433.816714912398</c:v>
                </c:pt>
                <c:pt idx="37">
                  <c:v>34296.0733890665</c:v>
                </c:pt>
                <c:pt idx="38">
                  <c:v>40554.410677083979</c:v>
                </c:pt>
                <c:pt idx="39">
                  <c:v>39510.05838764942</c:v>
                </c:pt>
                <c:pt idx="40">
                  <c:v>42797.955969372837</c:v>
                </c:pt>
                <c:pt idx="41">
                  <c:v>41843.897809222399</c:v>
                </c:pt>
                <c:pt idx="42">
                  <c:v>38801.07074215162</c:v>
                </c:pt>
                <c:pt idx="43">
                  <c:v>42689.601364886999</c:v>
                </c:pt>
                <c:pt idx="44">
                  <c:v>48965.151249784285</c:v>
                </c:pt>
                <c:pt idx="45">
                  <c:v>51770.14614417922</c:v>
                </c:pt>
                <c:pt idx="46">
                  <c:v>55798.4145450875</c:v>
                </c:pt>
                <c:pt idx="47">
                  <c:v>60088.604939551005</c:v>
                </c:pt>
                <c:pt idx="48">
                  <c:v>51382.112424024912</c:v>
                </c:pt>
                <c:pt idx="49">
                  <c:v>59610.750623858352</c:v>
                </c:pt>
                <c:pt idx="50">
                  <c:v>67403.968054232901</c:v>
                </c:pt>
                <c:pt idx="51">
                  <c:v>71979.301728198407</c:v>
                </c:pt>
                <c:pt idx="52">
                  <c:v>70554.181148002346</c:v>
                </c:pt>
                <c:pt idx="53">
                  <c:v>74458.853051706377</c:v>
                </c:pt>
                <c:pt idx="54">
                  <c:v>68691.607205582346</c:v>
                </c:pt>
                <c:pt idx="55">
                  <c:v>62288.167898712672</c:v>
                </c:pt>
                <c:pt idx="56">
                  <c:v>69069.613659124909</c:v>
                </c:pt>
                <c:pt idx="57">
                  <c:v>65672.926088697131</c:v>
                </c:pt>
                <c:pt idx="58">
                  <c:v>72601.716052377596</c:v>
                </c:pt>
                <c:pt idx="59">
                  <c:v>77846.468653940101</c:v>
                </c:pt>
                <c:pt idx="60">
                  <c:v>73876.664743975387</c:v>
                </c:pt>
                <c:pt idx="61">
                  <c:v>71954.354744302895</c:v>
                </c:pt>
                <c:pt idx="62">
                  <c:v>73082.544668988368</c:v>
                </c:pt>
                <c:pt idx="63">
                  <c:v>73533.077892567861</c:v>
                </c:pt>
                <c:pt idx="64">
                  <c:v>80024.817999684572</c:v>
                </c:pt>
                <c:pt idx="65">
                  <c:v>89720.030309588037</c:v>
                </c:pt>
                <c:pt idx="66">
                  <c:v>84752.538891379605</c:v>
                </c:pt>
                <c:pt idx="67">
                  <c:v>75776.747076490006</c:v>
                </c:pt>
                <c:pt idx="68">
                  <c:v>86227.429957598448</c:v>
                </c:pt>
                <c:pt idx="69">
                  <c:v>2318.3842680612001</c:v>
                </c:pt>
              </c:numCache>
            </c:numRef>
          </c:val>
          <c:smooth val="0"/>
          <c:extLst>
            <c:ext xmlns:c16="http://schemas.microsoft.com/office/drawing/2014/chart" uri="{C3380CC4-5D6E-409C-BE32-E72D297353CC}">
              <c16:uniqueId val="{0000000A-45A4-4A94-833F-2EBD52155CE4}"/>
            </c:ext>
          </c:extLst>
        </c:ser>
        <c:ser>
          <c:idx val="12"/>
          <c:order val="11"/>
          <c:tx>
            <c:strRef>
              <c:f>'Gear Type Recap'!$M$1</c:f>
              <c:strCache>
                <c:ptCount val="1"/>
                <c:pt idx="0">
                  <c:v>small scale lines</c:v>
                </c:pt>
              </c:strCache>
            </c:strRef>
          </c:tx>
          <c:spPr>
            <a:ln w="28575" cap="rnd">
              <a:solidFill>
                <a:schemeClr val="accent1">
                  <a:lumMod val="80000"/>
                  <a:lumOff val="2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Recap'!$M$2:$M$71</c:f>
              <c:numCache>
                <c:formatCode>General</c:formatCode>
                <c:ptCount val="70"/>
                <c:pt idx="0">
                  <c:v>5944.9246161007004</c:v>
                </c:pt>
                <c:pt idx="1">
                  <c:v>7043.2038016820024</c:v>
                </c:pt>
                <c:pt idx="2">
                  <c:v>7958.2808101978962</c:v>
                </c:pt>
                <c:pt idx="3">
                  <c:v>8008.5165116393991</c:v>
                </c:pt>
                <c:pt idx="4">
                  <c:v>8568.0693261182987</c:v>
                </c:pt>
                <c:pt idx="5">
                  <c:v>9181.1377602745997</c:v>
                </c:pt>
                <c:pt idx="6">
                  <c:v>9786.418769449403</c:v>
                </c:pt>
                <c:pt idx="7">
                  <c:v>9723.9751313230026</c:v>
                </c:pt>
                <c:pt idx="8">
                  <c:v>9781.1311115807948</c:v>
                </c:pt>
                <c:pt idx="9">
                  <c:v>9546.3951726778068</c:v>
                </c:pt>
                <c:pt idx="10">
                  <c:v>9712.9694392882975</c:v>
                </c:pt>
                <c:pt idx="11">
                  <c:v>11001.7840442789</c:v>
                </c:pt>
                <c:pt idx="12">
                  <c:v>10000.921952314005</c:v>
                </c:pt>
                <c:pt idx="13">
                  <c:v>9007.5693436321981</c:v>
                </c:pt>
                <c:pt idx="14">
                  <c:v>7155.1248876849959</c:v>
                </c:pt>
                <c:pt idx="15">
                  <c:v>6012.5648311848008</c:v>
                </c:pt>
                <c:pt idx="16">
                  <c:v>4564.3440598114012</c:v>
                </c:pt>
                <c:pt idx="17">
                  <c:v>3698.2457563326998</c:v>
                </c:pt>
                <c:pt idx="18">
                  <c:v>4803.1241395679999</c:v>
                </c:pt>
                <c:pt idx="19">
                  <c:v>5025.8067175220012</c:v>
                </c:pt>
                <c:pt idx="20">
                  <c:v>5165.0991908667938</c:v>
                </c:pt>
                <c:pt idx="21">
                  <c:v>3840.7730523247997</c:v>
                </c:pt>
                <c:pt idx="22">
                  <c:v>4893.3318491395021</c:v>
                </c:pt>
                <c:pt idx="23">
                  <c:v>4781.014032761801</c:v>
                </c:pt>
                <c:pt idx="24">
                  <c:v>5052.3307626187998</c:v>
                </c:pt>
                <c:pt idx="25">
                  <c:v>4772.8275028383996</c:v>
                </c:pt>
                <c:pt idx="26">
                  <c:v>4860.3905934427985</c:v>
                </c:pt>
                <c:pt idx="27">
                  <c:v>7642.2159141427001</c:v>
                </c:pt>
                <c:pt idx="28">
                  <c:v>8521.8711889824954</c:v>
                </c:pt>
                <c:pt idx="29">
                  <c:v>7823.6052197525996</c:v>
                </c:pt>
                <c:pt idx="30">
                  <c:v>13751.682144032695</c:v>
                </c:pt>
                <c:pt idx="31">
                  <c:v>15020.083071661007</c:v>
                </c:pt>
                <c:pt idx="32">
                  <c:v>13525.588262213407</c:v>
                </c:pt>
                <c:pt idx="33">
                  <c:v>15291.464231437309</c:v>
                </c:pt>
                <c:pt idx="34">
                  <c:v>13687.114494986708</c:v>
                </c:pt>
                <c:pt idx="35">
                  <c:v>15040.743927618694</c:v>
                </c:pt>
                <c:pt idx="36">
                  <c:v>13022.90103775221</c:v>
                </c:pt>
                <c:pt idx="37">
                  <c:v>15176.148616093791</c:v>
                </c:pt>
                <c:pt idx="38">
                  <c:v>14754.984444614902</c:v>
                </c:pt>
                <c:pt idx="39">
                  <c:v>15858.716194713292</c:v>
                </c:pt>
                <c:pt idx="40">
                  <c:v>19535.447489209011</c:v>
                </c:pt>
                <c:pt idx="41">
                  <c:v>17545.7724957709</c:v>
                </c:pt>
                <c:pt idx="42">
                  <c:v>20702.096508845087</c:v>
                </c:pt>
                <c:pt idx="43">
                  <c:v>23480.960185285305</c:v>
                </c:pt>
                <c:pt idx="44">
                  <c:v>26232.664737941788</c:v>
                </c:pt>
                <c:pt idx="45">
                  <c:v>23586.736992037622</c:v>
                </c:pt>
                <c:pt idx="46">
                  <c:v>23389.470086785408</c:v>
                </c:pt>
                <c:pt idx="47">
                  <c:v>30047.572761394094</c:v>
                </c:pt>
                <c:pt idx="48">
                  <c:v>38465.170656629423</c:v>
                </c:pt>
                <c:pt idx="49">
                  <c:v>32870.985878349282</c:v>
                </c:pt>
                <c:pt idx="50">
                  <c:v>30559.988119273879</c:v>
                </c:pt>
                <c:pt idx="51">
                  <c:v>28546.065600534501</c:v>
                </c:pt>
                <c:pt idx="52">
                  <c:v>32341.310873481612</c:v>
                </c:pt>
                <c:pt idx="53">
                  <c:v>23350.515114905393</c:v>
                </c:pt>
                <c:pt idx="54">
                  <c:v>18592.4740567152</c:v>
                </c:pt>
                <c:pt idx="55">
                  <c:v>21528.765274279096</c:v>
                </c:pt>
                <c:pt idx="56">
                  <c:v>22610.504028897009</c:v>
                </c:pt>
                <c:pt idx="57">
                  <c:v>22672.157597858695</c:v>
                </c:pt>
                <c:pt idx="58">
                  <c:v>24069.324339005499</c:v>
                </c:pt>
                <c:pt idx="59">
                  <c:v>29911.618898873894</c:v>
                </c:pt>
                <c:pt idx="60">
                  <c:v>28931.702530259616</c:v>
                </c:pt>
                <c:pt idx="61">
                  <c:v>26481.818200745009</c:v>
                </c:pt>
                <c:pt idx="62">
                  <c:v>26934.461712437809</c:v>
                </c:pt>
                <c:pt idx="63">
                  <c:v>27541.785761518797</c:v>
                </c:pt>
                <c:pt idx="64">
                  <c:v>30192.422906533502</c:v>
                </c:pt>
                <c:pt idx="65">
                  <c:v>33850.985463295598</c:v>
                </c:pt>
                <c:pt idx="66">
                  <c:v>31976.772099718804</c:v>
                </c:pt>
                <c:pt idx="67">
                  <c:v>28590.244061341309</c:v>
                </c:pt>
                <c:pt idx="68">
                  <c:v>32533.242219826898</c:v>
                </c:pt>
                <c:pt idx="69">
                  <c:v>1645.6499836553999</c:v>
                </c:pt>
              </c:numCache>
            </c:numRef>
          </c:val>
          <c:smooth val="0"/>
          <c:extLst>
            <c:ext xmlns:c16="http://schemas.microsoft.com/office/drawing/2014/chart" uri="{C3380CC4-5D6E-409C-BE32-E72D297353CC}">
              <c16:uniqueId val="{0000000B-45A4-4A94-833F-2EBD52155CE4}"/>
            </c:ext>
          </c:extLst>
        </c:ser>
        <c:ser>
          <c:idx val="13"/>
          <c:order val="12"/>
          <c:tx>
            <c:strRef>
              <c:f>'Gear Type Recap'!$N$1</c:f>
              <c:strCache>
                <c:ptCount val="1"/>
                <c:pt idx="0">
                  <c:v>small scale longline</c:v>
                </c:pt>
              </c:strCache>
            </c:strRef>
          </c:tx>
          <c:spPr>
            <a:ln w="28575" cap="rnd">
              <a:solidFill>
                <a:schemeClr val="accent2">
                  <a:lumMod val="80000"/>
                  <a:lumOff val="2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Recap'!$N$2:$N$71</c:f>
              <c:numCache>
                <c:formatCode>General</c:formatCode>
                <c:ptCount val="70"/>
                <c:pt idx="0">
                  <c:v>0</c:v>
                </c:pt>
                <c:pt idx="1">
                  <c:v>2.4591536999999998E-3</c:v>
                </c:pt>
                <c:pt idx="2">
                  <c:v>2.4591536999999998E-3</c:v>
                </c:pt>
                <c:pt idx="3">
                  <c:v>2.4591536999999998E-3</c:v>
                </c:pt>
                <c:pt idx="4">
                  <c:v>2.4591536999999998E-3</c:v>
                </c:pt>
                <c:pt idx="5">
                  <c:v>2.4591536999999998E-3</c:v>
                </c:pt>
                <c:pt idx="6">
                  <c:v>2.4591536999999998E-3</c:v>
                </c:pt>
                <c:pt idx="7">
                  <c:v>2.4591536999999998E-3</c:v>
                </c:pt>
                <c:pt idx="8">
                  <c:v>2.0494996E-3</c:v>
                </c:pt>
                <c:pt idx="9">
                  <c:v>1.6394357000000001E-3</c:v>
                </c:pt>
                <c:pt idx="10">
                  <c:v>1.6390259E-3</c:v>
                </c:pt>
                <c:pt idx="11">
                  <c:v>8.2012780000000009E-4</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0</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c:v>0</c:v>
                </c:pt>
                <c:pt idx="65">
                  <c:v>0</c:v>
                </c:pt>
                <c:pt idx="66">
                  <c:v>0</c:v>
                </c:pt>
                <c:pt idx="67">
                  <c:v>0</c:v>
                </c:pt>
                <c:pt idx="68">
                  <c:v>0</c:v>
                </c:pt>
                <c:pt idx="69">
                  <c:v>0</c:v>
                </c:pt>
              </c:numCache>
            </c:numRef>
          </c:val>
          <c:smooth val="0"/>
          <c:extLst>
            <c:ext xmlns:c16="http://schemas.microsoft.com/office/drawing/2014/chart" uri="{C3380CC4-5D6E-409C-BE32-E72D297353CC}">
              <c16:uniqueId val="{0000000C-45A4-4A94-833F-2EBD52155CE4}"/>
            </c:ext>
          </c:extLst>
        </c:ser>
        <c:ser>
          <c:idx val="14"/>
          <c:order val="13"/>
          <c:tx>
            <c:strRef>
              <c:f>'Gear Type Recap'!$O$1</c:f>
              <c:strCache>
                <c:ptCount val="1"/>
                <c:pt idx="0">
                  <c:v>small scale seine nets</c:v>
                </c:pt>
              </c:strCache>
            </c:strRef>
          </c:tx>
          <c:spPr>
            <a:ln w="28575" cap="rnd">
              <a:solidFill>
                <a:schemeClr val="accent3">
                  <a:lumMod val="80000"/>
                  <a:lumOff val="20000"/>
                </a:schemeClr>
              </a:solidFill>
              <a:round/>
            </a:ln>
            <a:effectLst/>
          </c:spPr>
          <c:marker>
            <c:symbol val="none"/>
          </c:marker>
          <c:cat>
            <c:numRef>
              <c:f>'Gear Type Recap'!$A$2:$A$71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'Gear Type Recap'!$O$2:$O$71</c:f>
              <c:numCache>
                <c:formatCode>General</c:formatCode>
                <c:ptCount val="70"/>
                <c:pt idx="0">
                  <c:v>5165.4437005672989</c:v>
                </c:pt>
                <c:pt idx="1">
                  <c:v>6168.0221017819003</c:v>
                </c:pt>
                <c:pt idx="2">
                  <c:v>6944.0540509494986</c:v>
                </c:pt>
                <c:pt idx="3">
                  <c:v>7347.4535439492029</c:v>
                </c:pt>
                <c:pt idx="4">
                  <c:v>7785.6406302358992</c:v>
                </c:pt>
                <c:pt idx="5">
                  <c:v>7428.4702164092005</c:v>
                </c:pt>
                <c:pt idx="6">
                  <c:v>7879.9879277608015</c:v>
                </c:pt>
                <c:pt idx="7">
                  <c:v>7890.6059229620014</c:v>
                </c:pt>
                <c:pt idx="8">
                  <c:v>7415.4527398190012</c:v>
                </c:pt>
                <c:pt idx="9">
                  <c:v>7624.0601611439006</c:v>
                </c:pt>
                <c:pt idx="10">
                  <c:v>8610.9018441679982</c:v>
                </c:pt>
                <c:pt idx="11">
                  <c:v>9548.554333964903</c:v>
                </c:pt>
                <c:pt idx="12">
                  <c:v>8634.7204338107986</c:v>
                </c:pt>
                <c:pt idx="13">
                  <c:v>7777.8447107106986</c:v>
                </c:pt>
                <c:pt idx="14">
                  <c:v>7566.2606346911016</c:v>
                </c:pt>
                <c:pt idx="15">
                  <c:v>7092.4051859189003</c:v>
                </c:pt>
                <c:pt idx="16">
                  <c:v>6234.8948551095</c:v>
                </c:pt>
                <c:pt idx="17">
                  <c:v>5113.7033780442007</c:v>
                </c:pt>
                <c:pt idx="18">
                  <c:v>5025.5124557298004</c:v>
                </c:pt>
                <c:pt idx="19">
                  <c:v>5283.9313630303996</c:v>
                </c:pt>
                <c:pt idx="20">
                  <c:v>4863.453722185699</c:v>
                </c:pt>
                <c:pt idx="21">
                  <c:v>5050.6331587771983</c:v>
                </c:pt>
                <c:pt idx="22">
                  <c:v>4267.0339992282998</c:v>
                </c:pt>
                <c:pt idx="23">
                  <c:v>4374.8964910002978</c:v>
                </c:pt>
                <c:pt idx="24">
                  <c:v>4718.0016221597016</c:v>
                </c:pt>
                <c:pt idx="25">
                  <c:v>4467.4428810461995</c:v>
                </c:pt>
                <c:pt idx="26">
                  <c:v>4927.8217952137984</c:v>
                </c:pt>
                <c:pt idx="27">
                  <c:v>4816.324291622801</c:v>
                </c:pt>
                <c:pt idx="28">
                  <c:v>4252.7622661910991</c:v>
                </c:pt>
                <c:pt idx="29">
                  <c:v>4248.553629306899</c:v>
                </c:pt>
                <c:pt idx="30">
                  <c:v>6354.9711587096981</c:v>
                </c:pt>
                <c:pt idx="31">
                  <c:v>6067.5779362798021</c:v>
                </c:pt>
                <c:pt idx="32">
                  <c:v>5779.2736781143976</c:v>
                </c:pt>
                <c:pt idx="33">
                  <c:v>6090.0818101425994</c:v>
                </c:pt>
                <c:pt idx="34">
                  <c:v>6783.0288508402982</c:v>
                </c:pt>
                <c:pt idx="35">
                  <c:v>7401.6098429795011</c:v>
                </c:pt>
                <c:pt idx="36">
                  <c:v>9108.2395403814007</c:v>
                </c:pt>
                <c:pt idx="37">
                  <c:v>7620.191096223999</c:v>
                </c:pt>
                <c:pt idx="38">
                  <c:v>7349.420490597</c:v>
                </c:pt>
                <c:pt idx="39">
                  <c:v>6570.9366684191</c:v>
                </c:pt>
                <c:pt idx="40">
                  <c:v>6979.9788203282014</c:v>
                </c:pt>
                <c:pt idx="41">
                  <c:v>5901.4703933694009</c:v>
                </c:pt>
                <c:pt idx="42">
                  <c:v>10333.611002723799</c:v>
                </c:pt>
                <c:pt idx="43">
                  <c:v>11159.555198625603</c:v>
                </c:pt>
                <c:pt idx="44">
                  <c:v>12447.831933356596</c:v>
                </c:pt>
                <c:pt idx="45">
                  <c:v>14109.004893052497</c:v>
                </c:pt>
                <c:pt idx="46">
                  <c:v>15918.575910116799</c:v>
                </c:pt>
                <c:pt idx="47">
                  <c:v>16867.270634881897</c:v>
                </c:pt>
                <c:pt idx="48">
                  <c:v>18179.273567408603</c:v>
                </c:pt>
                <c:pt idx="49">
                  <c:v>17266.249749755403</c:v>
                </c:pt>
                <c:pt idx="50">
                  <c:v>16083.382549384498</c:v>
                </c:pt>
                <c:pt idx="51">
                  <c:v>16234.440551117003</c:v>
                </c:pt>
                <c:pt idx="52">
                  <c:v>16184.611683952902</c:v>
                </c:pt>
                <c:pt idx="53">
                  <c:v>20782.650892697202</c:v>
                </c:pt>
                <c:pt idx="54">
                  <c:v>16129.685453585895</c:v>
                </c:pt>
                <c:pt idx="55">
                  <c:v>16779.619058017899</c:v>
                </c:pt>
                <c:pt idx="56">
                  <c:v>13056.721405497497</c:v>
                </c:pt>
                <c:pt idx="57">
                  <c:v>13311.6320387796</c:v>
                </c:pt>
                <c:pt idx="58">
                  <c:v>15769.654837599701</c:v>
                </c:pt>
                <c:pt idx="59">
                  <c:v>15296.022537217301</c:v>
                </c:pt>
                <c:pt idx="60">
                  <c:v>14384.591114272203</c:v>
                </c:pt>
                <c:pt idx="61">
                  <c:v>16109.368309019701</c:v>
                </c:pt>
                <c:pt idx="62">
                  <c:v>16470.824079402904</c:v>
                </c:pt>
                <c:pt idx="63">
                  <c:v>14012.3835240399</c:v>
                </c:pt>
                <c:pt idx="64">
                  <c:v>12781.383623045205</c:v>
                </c:pt>
                <c:pt idx="65">
                  <c:v>14127.002550319998</c:v>
                </c:pt>
                <c:pt idx="66">
                  <c:v>15602.639600618095</c:v>
                </c:pt>
                <c:pt idx="67">
                  <c:v>15325.852604289699</c:v>
                </c:pt>
                <c:pt idx="68">
                  <c:v>13975.486715759607</c:v>
                </c:pt>
                <c:pt idx="69">
                  <c:v>3940.7933655276997</c:v>
                </c:pt>
              </c:numCache>
            </c:numRef>
          </c:val>
          <c:smooth val="0"/>
          <c:extLst>
            <c:ext xmlns:c16="http://schemas.microsoft.com/office/drawing/2014/chart" uri="{C3380CC4-5D6E-409C-BE32-E72D297353CC}">
              <c16:uniqueId val="{0000000D-45A4-4A94-833F-2EBD52155CE4}"/>
            </c:ext>
          </c:extLst>
        </c:ser>
        <c:dLbls>
          <c:showLegendKey val="0"/>
          <c:showVal val="0"/>
          <c:showCatName val="0"/>
          <c:showSerName val="0"/>
          <c:showPercent val="0"/>
          <c:showBubbleSize val="0"/>
        </c:dLbls>
        <c:smooth val="0"/>
        <c:axId val="145886368"/>
        <c:axId val="145885888"/>
      </c:lineChart>
      <c:catAx>
        <c:axId val="145886368"/>
        <c:scaling>
          <c:orientation val="minMax"/>
        </c:scaling>
        <c:delete val="0"/>
        <c:axPos val="b"/>
        <c:numFmt formatCode="General" sourceLinked="1"/>
        <c:majorTickMark val="out"/>
        <c:minorTickMark val="none"/>
        <c:tickLblPos val="nextTo"/>
        <c:spPr>
          <a:noFill/>
          <a:ln w="9525">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885888"/>
        <c:crosses val="autoZero"/>
        <c:auto val="1"/>
        <c:lblAlgn val="ctr"/>
        <c:lblOffset val="100"/>
        <c:noMultiLvlLbl val="0"/>
      </c:catAx>
      <c:valAx>
        <c:axId val="145885888"/>
        <c:scaling>
          <c:orientation val="minMax"/>
        </c:scaling>
        <c:delete val="0"/>
        <c:axPos val="l"/>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5886368"/>
        <c:crosses val="autoZero"/>
        <c:crossBetween val="between"/>
      </c:valAx>
      <c:spPr>
        <a:noFill/>
        <a:ln>
          <a:noFill/>
        </a:ln>
        <a:effectLst/>
      </c:spPr>
    </c:plotArea>
    <c:legend>
      <c:legendPos val="b"/>
      <c:layout>
        <c:manualLayout>
          <c:xMode val="edge"/>
          <c:yMode val="edge"/>
          <c:x val="6.894558906677653E-2"/>
          <c:y val="0.81449952415195037"/>
          <c:w val="0.86210882186644699"/>
          <c:h val="0.16053688109040457"/>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1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91276493664097"/>
          <c:y val="5.0902360018509951E-2"/>
          <c:w val="0.83754601642536619"/>
          <c:h val="0.59864145838394522"/>
        </c:manualLayout>
      </c:layout>
      <c:lineChart>
        <c:grouping val="standard"/>
        <c:varyColors val="0"/>
        <c:ser>
          <c:idx val="0"/>
          <c:order val="0"/>
          <c:tx>
            <c:strRef>
              <c:f>'Annex 6_Aquculture Products '!$B$6</c:f>
              <c:strCache>
                <c:ptCount val="1"/>
                <c:pt idx="0">
                  <c:v>Riau-Batam</c:v>
                </c:pt>
              </c:strCache>
            </c:strRef>
          </c:tx>
          <c:spPr>
            <a:ln w="28575" cap="rnd">
              <a:solidFill>
                <a:schemeClr val="accent1"/>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'!$C$6:$AC$6</c:f>
              <c:numCache>
                <c:formatCode>#,##0.00</c:formatCode>
                <c:ptCount val="27"/>
                <c:pt idx="0" formatCode="General">
                  <c:v>0</c:v>
                </c:pt>
                <c:pt idx="1">
                  <c:v>265843.09999999998</c:v>
                </c:pt>
                <c:pt idx="2">
                  <c:v>288473.3</c:v>
                </c:pt>
                <c:pt idx="3" formatCode="General">
                  <c:v>0</c:v>
                </c:pt>
                <c:pt idx="4" formatCode="General">
                  <c:v>0</c:v>
                </c:pt>
                <c:pt idx="5">
                  <c:v>313656.40000000002</c:v>
                </c:pt>
                <c:pt idx="6" formatCode="General">
                  <c:v>0</c:v>
                </c:pt>
                <c:pt idx="7">
                  <c:v>97781.3</c:v>
                </c:pt>
                <c:pt idx="8">
                  <c:v>99188.2</c:v>
                </c:pt>
                <c:pt idx="9">
                  <c:v>102090.2</c:v>
                </c:pt>
                <c:pt idx="10">
                  <c:v>87919.2</c:v>
                </c:pt>
                <c:pt idx="11">
                  <c:v>75517.5</c:v>
                </c:pt>
                <c:pt idx="12">
                  <c:v>77113.5</c:v>
                </c:pt>
                <c:pt idx="13">
                  <c:v>90505.3</c:v>
                </c:pt>
                <c:pt idx="14">
                  <c:v>95611</c:v>
                </c:pt>
                <c:pt idx="15">
                  <c:v>93279.2</c:v>
                </c:pt>
                <c:pt idx="16" formatCode="#,##0">
                  <c:v>107306.2</c:v>
                </c:pt>
                <c:pt idx="17">
                  <c:v>105296.3</c:v>
                </c:pt>
                <c:pt idx="19" formatCode="#,##0">
                  <c:v>68606</c:v>
                </c:pt>
                <c:pt idx="20" formatCode="#,##0">
                  <c:v>19686</c:v>
                </c:pt>
                <c:pt idx="21" formatCode="#,##0">
                  <c:v>33195</c:v>
                </c:pt>
                <c:pt idx="22" formatCode="#,##0">
                  <c:v>27237</c:v>
                </c:pt>
                <c:pt idx="23" formatCode="#,##0">
                  <c:v>20235</c:v>
                </c:pt>
                <c:pt idx="24" formatCode="#,##0">
                  <c:v>27942</c:v>
                </c:pt>
                <c:pt idx="25">
                  <c:v>126344.73</c:v>
                </c:pt>
                <c:pt idx="26" formatCode="#,##0">
                  <c:v>27421</c:v>
                </c:pt>
              </c:numCache>
            </c:numRef>
          </c:val>
          <c:smooth val="0"/>
          <c:extLst>
            <c:ext xmlns:c16="http://schemas.microsoft.com/office/drawing/2014/chart" uri="{C3380CC4-5D6E-409C-BE32-E72D297353CC}">
              <c16:uniqueId val="{00000000-53DC-4C3D-93C6-7D84529872E8}"/>
            </c:ext>
          </c:extLst>
        </c:ser>
        <c:ser>
          <c:idx val="1"/>
          <c:order val="1"/>
          <c:tx>
            <c:strRef>
              <c:f>'Annex 6_Aquculture Products '!$B$7</c:f>
              <c:strCache>
                <c:ptCount val="1"/>
                <c:pt idx="0">
                  <c:v>Bangka-Belitung and South Sumatera</c:v>
                </c:pt>
              </c:strCache>
            </c:strRef>
          </c:tx>
          <c:spPr>
            <a:ln w="28575" cap="rnd">
              <a:solidFill>
                <a:schemeClr val="accent2"/>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'!$C$7:$AC$7</c:f>
              <c:numCache>
                <c:formatCode>General</c:formatCode>
                <c:ptCount val="27"/>
                <c:pt idx="0">
                  <c:v>0</c:v>
                </c:pt>
                <c:pt idx="1">
                  <c:v>0</c:v>
                </c:pt>
                <c:pt idx="2">
                  <c:v>0</c:v>
                </c:pt>
                <c:pt idx="3">
                  <c:v>0</c:v>
                </c:pt>
                <c:pt idx="4">
                  <c:v>313.99</c:v>
                </c:pt>
                <c:pt idx="5">
                  <c:v>626.84</c:v>
                </c:pt>
                <c:pt idx="6">
                  <c:v>788.74</c:v>
                </c:pt>
                <c:pt idx="7">
                  <c:v>724.64</c:v>
                </c:pt>
                <c:pt idx="8">
                  <c:v>935.48</c:v>
                </c:pt>
                <c:pt idx="9">
                  <c:v>903.12</c:v>
                </c:pt>
                <c:pt idx="10" formatCode="#,##0.00">
                  <c:v>1502.56</c:v>
                </c:pt>
                <c:pt idx="11" formatCode="#,##0.00">
                  <c:v>2076.6799999999998</c:v>
                </c:pt>
                <c:pt idx="12" formatCode="#,##0.00">
                  <c:v>2622.27</c:v>
                </c:pt>
                <c:pt idx="13" formatCode="#,##0.00">
                  <c:v>1683.05</c:v>
                </c:pt>
                <c:pt idx="14" formatCode="#,##0.00">
                  <c:v>8107.5</c:v>
                </c:pt>
                <c:pt idx="15" formatCode="#,##0.00">
                  <c:v>3209.37</c:v>
                </c:pt>
                <c:pt idx="16" formatCode="#,##0">
                  <c:v>4199</c:v>
                </c:pt>
                <c:pt idx="17" formatCode="#,##0">
                  <c:v>4307</c:v>
                </c:pt>
                <c:pt idx="18" formatCode="#,##0">
                  <c:v>4623</c:v>
                </c:pt>
                <c:pt idx="19" formatCode="#,##0">
                  <c:v>3845</c:v>
                </c:pt>
                <c:pt idx="20" formatCode="#,##0">
                  <c:v>9334</c:v>
                </c:pt>
                <c:pt idx="21" formatCode="#,##0">
                  <c:v>7151</c:v>
                </c:pt>
                <c:pt idx="22" formatCode="#,##0">
                  <c:v>8164</c:v>
                </c:pt>
                <c:pt idx="23" formatCode="#,##0">
                  <c:v>9144</c:v>
                </c:pt>
                <c:pt idx="24" formatCode="#,##0">
                  <c:v>11165</c:v>
                </c:pt>
                <c:pt idx="25" formatCode="#,##0.00">
                  <c:v>10913.68</c:v>
                </c:pt>
                <c:pt idx="26" formatCode="#,##0">
                  <c:v>11165</c:v>
                </c:pt>
              </c:numCache>
            </c:numRef>
          </c:val>
          <c:smooth val="0"/>
          <c:extLst>
            <c:ext xmlns:c16="http://schemas.microsoft.com/office/drawing/2014/chart" uri="{C3380CC4-5D6E-409C-BE32-E72D297353CC}">
              <c16:uniqueId val="{00000001-53DC-4C3D-93C6-7D84529872E8}"/>
            </c:ext>
          </c:extLst>
        </c:ser>
        <c:ser>
          <c:idx val="2"/>
          <c:order val="2"/>
          <c:tx>
            <c:strRef>
              <c:f>'Annex 6_Aquculture Products '!$B$8</c:f>
              <c:strCache>
                <c:ptCount val="1"/>
                <c:pt idx="0">
                  <c:v>Jakarta and West Java</c:v>
                </c:pt>
              </c:strCache>
            </c:strRef>
          </c:tx>
          <c:spPr>
            <a:ln w="28575" cap="rnd">
              <a:solidFill>
                <a:schemeClr val="accent3"/>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'!$C$8:$AC$8</c:f>
              <c:numCache>
                <c:formatCode>General</c:formatCode>
                <c:ptCount val="27"/>
                <c:pt idx="0">
                  <c:v>0</c:v>
                </c:pt>
                <c:pt idx="1">
                  <c:v>0</c:v>
                </c:pt>
                <c:pt idx="2">
                  <c:v>0</c:v>
                </c:pt>
                <c:pt idx="3">
                  <c:v>0</c:v>
                </c:pt>
                <c:pt idx="4" formatCode="#,##0.00">
                  <c:v>3760</c:v>
                </c:pt>
                <c:pt idx="5" formatCode="#,##0.00">
                  <c:v>13760</c:v>
                </c:pt>
                <c:pt idx="6" formatCode="#,##0.00">
                  <c:v>11092.6</c:v>
                </c:pt>
                <c:pt idx="7" formatCode="#,##0.00">
                  <c:v>14662.57</c:v>
                </c:pt>
                <c:pt idx="8" formatCode="#,##0.00">
                  <c:v>11774.5</c:v>
                </c:pt>
                <c:pt idx="9" formatCode="#,##0.00">
                  <c:v>12381.69</c:v>
                </c:pt>
                <c:pt idx="10" formatCode="#,##0.00">
                  <c:v>12624.41</c:v>
                </c:pt>
                <c:pt idx="11" formatCode="#,##0.00">
                  <c:v>2676.17</c:v>
                </c:pt>
                <c:pt idx="12" formatCode="#,##0.00">
                  <c:v>9577.84</c:v>
                </c:pt>
                <c:pt idx="13" formatCode="#,##0.00">
                  <c:v>8799.8799999999992</c:v>
                </c:pt>
                <c:pt idx="14" formatCode="#,##0.00">
                  <c:v>4505.12</c:v>
                </c:pt>
                <c:pt idx="15">
                  <c:v>0</c:v>
                </c:pt>
                <c:pt idx="16" formatCode="#,##0">
                  <c:v>1048114</c:v>
                </c:pt>
                <c:pt idx="17" formatCode="#,##0">
                  <c:v>1430700</c:v>
                </c:pt>
                <c:pt idx="18" formatCode="#,##0">
                  <c:v>57079.17</c:v>
                </c:pt>
                <c:pt idx="19" formatCode="#,##0">
                  <c:v>1160748</c:v>
                </c:pt>
                <c:pt idx="20" formatCode="#,##0">
                  <c:v>1174435</c:v>
                </c:pt>
                <c:pt idx="21" formatCode="#,##0">
                  <c:v>1327271</c:v>
                </c:pt>
                <c:pt idx="22" formatCode="#,##0">
                  <c:v>1186738</c:v>
                </c:pt>
                <c:pt idx="23" formatCode="#,##0">
                  <c:v>1235930</c:v>
                </c:pt>
                <c:pt idx="24" formatCode="#,##0">
                  <c:v>1240853</c:v>
                </c:pt>
                <c:pt idx="25" formatCode="#,##0">
                  <c:v>1148465</c:v>
                </c:pt>
              </c:numCache>
            </c:numRef>
          </c:val>
          <c:smooth val="0"/>
          <c:extLst>
            <c:ext xmlns:c16="http://schemas.microsoft.com/office/drawing/2014/chart" uri="{C3380CC4-5D6E-409C-BE32-E72D297353CC}">
              <c16:uniqueId val="{00000002-53DC-4C3D-93C6-7D84529872E8}"/>
            </c:ext>
          </c:extLst>
        </c:ser>
        <c:ser>
          <c:idx val="3"/>
          <c:order val="3"/>
          <c:tx>
            <c:strRef>
              <c:f>'Annex 6_Aquculture Products '!$B$9</c:f>
              <c:strCache>
                <c:ptCount val="1"/>
                <c:pt idx="0">
                  <c:v>East Java</c:v>
                </c:pt>
              </c:strCache>
            </c:strRef>
          </c:tx>
          <c:spPr>
            <a:ln w="28575" cap="rnd">
              <a:solidFill>
                <a:schemeClr val="accent4"/>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'!$C$9:$AC$9</c:f>
              <c:numCache>
                <c:formatCode>General</c:formatCode>
                <c:ptCount val="27"/>
                <c:pt idx="0">
                  <c:v>0</c:v>
                </c:pt>
                <c:pt idx="1">
                  <c:v>0</c:v>
                </c:pt>
                <c:pt idx="2">
                  <c:v>0</c:v>
                </c:pt>
                <c:pt idx="3">
                  <c:v>0</c:v>
                </c:pt>
                <c:pt idx="4">
                  <c:v>0</c:v>
                </c:pt>
                <c:pt idx="5">
                  <c:v>0</c:v>
                </c:pt>
                <c:pt idx="6">
                  <c:v>0</c:v>
                </c:pt>
                <c:pt idx="7">
                  <c:v>0</c:v>
                </c:pt>
                <c:pt idx="8">
                  <c:v>0</c:v>
                </c:pt>
                <c:pt idx="9">
                  <c:v>0</c:v>
                </c:pt>
                <c:pt idx="10" formatCode="#,##0.00">
                  <c:v>73737.600000000006</c:v>
                </c:pt>
                <c:pt idx="11" formatCode="#,##0.00">
                  <c:v>339487.5</c:v>
                </c:pt>
                <c:pt idx="12" formatCode="#,##0.00">
                  <c:v>1680.3</c:v>
                </c:pt>
                <c:pt idx="13" formatCode="#,##0">
                  <c:v>10690</c:v>
                </c:pt>
                <c:pt idx="14" formatCode="#,##0">
                  <c:v>79610</c:v>
                </c:pt>
                <c:pt idx="15" formatCode="#,##0">
                  <c:v>395396</c:v>
                </c:pt>
                <c:pt idx="16" formatCode="#,##0">
                  <c:v>601413</c:v>
                </c:pt>
                <c:pt idx="17" formatCode="#,##0">
                  <c:v>845861.71</c:v>
                </c:pt>
                <c:pt idx="18" formatCode="#,##0.00">
                  <c:v>640818.92000000004</c:v>
                </c:pt>
                <c:pt idx="19" formatCode="#,##0">
                  <c:v>1189443</c:v>
                </c:pt>
                <c:pt idx="20" formatCode="#,##0">
                  <c:v>1226560</c:v>
                </c:pt>
                <c:pt idx="21" formatCode="#,##0">
                  <c:v>1243767</c:v>
                </c:pt>
                <c:pt idx="22" formatCode="#,##0">
                  <c:v>1264159</c:v>
                </c:pt>
                <c:pt idx="23" formatCode="#,##0">
                  <c:v>1279959</c:v>
                </c:pt>
                <c:pt idx="24" formatCode="#,##0">
                  <c:v>1284129</c:v>
                </c:pt>
                <c:pt idx="25" formatCode="#,##0">
                  <c:v>1054927</c:v>
                </c:pt>
                <c:pt idx="26" formatCode="#,##0">
                  <c:v>1369571</c:v>
                </c:pt>
              </c:numCache>
            </c:numRef>
          </c:val>
          <c:smooth val="0"/>
          <c:extLst>
            <c:ext xmlns:c16="http://schemas.microsoft.com/office/drawing/2014/chart" uri="{C3380CC4-5D6E-409C-BE32-E72D297353CC}">
              <c16:uniqueId val="{00000003-53DC-4C3D-93C6-7D84529872E8}"/>
            </c:ext>
          </c:extLst>
        </c:ser>
        <c:ser>
          <c:idx val="4"/>
          <c:order val="4"/>
          <c:tx>
            <c:strRef>
              <c:f>'Annex 6_Aquculture Products '!$B$10</c:f>
              <c:strCache>
                <c:ptCount val="1"/>
                <c:pt idx="0">
                  <c:v>South Kalimantan</c:v>
                </c:pt>
              </c:strCache>
            </c:strRef>
          </c:tx>
          <c:spPr>
            <a:ln w="28575" cap="rnd">
              <a:solidFill>
                <a:schemeClr val="accent5"/>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'!$C$10:$AC$10</c:f>
              <c:numCache>
                <c:formatCode>General</c:formatCode>
                <c:ptCount val="27"/>
                <c:pt idx="0">
                  <c:v>0</c:v>
                </c:pt>
                <c:pt idx="1">
                  <c:v>0</c:v>
                </c:pt>
                <c:pt idx="2">
                  <c:v>0</c:v>
                </c:pt>
                <c:pt idx="3">
                  <c:v>0</c:v>
                </c:pt>
                <c:pt idx="4">
                  <c:v>0</c:v>
                </c:pt>
                <c:pt idx="5">
                  <c:v>0</c:v>
                </c:pt>
                <c:pt idx="6">
                  <c:v>0</c:v>
                </c:pt>
                <c:pt idx="7">
                  <c:v>0</c:v>
                </c:pt>
                <c:pt idx="8">
                  <c:v>0</c:v>
                </c:pt>
                <c:pt idx="9">
                  <c:v>0</c:v>
                </c:pt>
                <c:pt idx="10" formatCode="#,##0.00">
                  <c:v>5622</c:v>
                </c:pt>
                <c:pt idx="11" formatCode="#,##0">
                  <c:v>1833.2</c:v>
                </c:pt>
                <c:pt idx="12" formatCode="#,##0.00">
                  <c:v>1866.9</c:v>
                </c:pt>
                <c:pt idx="13" formatCode="#,##0.00">
                  <c:v>3063.4</c:v>
                </c:pt>
                <c:pt idx="14" formatCode="#,##0.00">
                  <c:v>2725.9</c:v>
                </c:pt>
                <c:pt idx="15" formatCode="#,##0.00">
                  <c:v>2426.1999999999998</c:v>
                </c:pt>
                <c:pt idx="16" formatCode="#,##0.00">
                  <c:v>2705.6</c:v>
                </c:pt>
                <c:pt idx="17">
                  <c:v>486</c:v>
                </c:pt>
                <c:pt idx="18">
                  <c:v>675</c:v>
                </c:pt>
                <c:pt idx="19" formatCode="#,##0">
                  <c:v>164715</c:v>
                </c:pt>
                <c:pt idx="20" formatCode="#,##0">
                  <c:v>177852</c:v>
                </c:pt>
                <c:pt idx="21" formatCode="#,##0">
                  <c:v>129442</c:v>
                </c:pt>
                <c:pt idx="22" formatCode="#,##0">
                  <c:v>139079</c:v>
                </c:pt>
                <c:pt idx="23" formatCode="#,##0">
                  <c:v>118059</c:v>
                </c:pt>
                <c:pt idx="24" formatCode="#,##0">
                  <c:v>126468</c:v>
                </c:pt>
              </c:numCache>
            </c:numRef>
          </c:val>
          <c:smooth val="0"/>
          <c:extLst>
            <c:ext xmlns:c16="http://schemas.microsoft.com/office/drawing/2014/chart" uri="{C3380CC4-5D6E-409C-BE32-E72D297353CC}">
              <c16:uniqueId val="{00000004-53DC-4C3D-93C6-7D84529872E8}"/>
            </c:ext>
          </c:extLst>
        </c:ser>
        <c:ser>
          <c:idx val="5"/>
          <c:order val="5"/>
          <c:tx>
            <c:strRef>
              <c:f>'Annex 6_Aquculture Products '!$B$11</c:f>
              <c:strCache>
                <c:ptCount val="1"/>
                <c:pt idx="0">
                  <c:v>West Kalimantan</c:v>
                </c:pt>
              </c:strCache>
            </c:strRef>
          </c:tx>
          <c:spPr>
            <a:ln w="28575" cap="rnd">
              <a:solidFill>
                <a:schemeClr val="accent6"/>
              </a:solidFill>
              <a:round/>
            </a:ln>
            <a:effectLst/>
          </c:spPr>
          <c:marker>
            <c:symbol val="none"/>
          </c:marker>
          <c:cat>
            <c:numRef>
              <c:f>'Annex 6_Aquculture Products '!$C$3:$AC$3</c:f>
              <c:numCache>
                <c:formatCode>General</c:formatCode>
                <c:ptCount val="27"/>
                <c:pt idx="0">
                  <c:v>1998</c:v>
                </c:pt>
                <c:pt idx="1">
                  <c:v>1999</c:v>
                </c:pt>
                <c:pt idx="2">
                  <c:v>2000</c:v>
                </c:pt>
                <c:pt idx="3">
                  <c:v>2001</c:v>
                </c:pt>
                <c:pt idx="4">
                  <c:v>2002</c:v>
                </c:pt>
                <c:pt idx="5">
                  <c:v>2003</c:v>
                </c:pt>
                <c:pt idx="6">
                  <c:v>2004</c:v>
                </c:pt>
                <c:pt idx="7">
                  <c:v>2005</c:v>
                </c:pt>
                <c:pt idx="8">
                  <c:v>2006</c:v>
                </c:pt>
                <c:pt idx="9">
                  <c:v>2007</c:v>
                </c:pt>
                <c:pt idx="10">
                  <c:v>2008</c:v>
                </c:pt>
                <c:pt idx="11">
                  <c:v>2009</c:v>
                </c:pt>
                <c:pt idx="12">
                  <c:v>2010</c:v>
                </c:pt>
                <c:pt idx="13">
                  <c:v>2011</c:v>
                </c:pt>
                <c:pt idx="14">
                  <c:v>2012</c:v>
                </c:pt>
                <c:pt idx="15">
                  <c:v>2013</c:v>
                </c:pt>
                <c:pt idx="16">
                  <c:v>2014</c:v>
                </c:pt>
                <c:pt idx="17">
                  <c:v>2015</c:v>
                </c:pt>
                <c:pt idx="18">
                  <c:v>2016</c:v>
                </c:pt>
                <c:pt idx="19">
                  <c:v>2017</c:v>
                </c:pt>
                <c:pt idx="20">
                  <c:v>2018</c:v>
                </c:pt>
                <c:pt idx="21">
                  <c:v>2019</c:v>
                </c:pt>
                <c:pt idx="22">
                  <c:v>2020</c:v>
                </c:pt>
                <c:pt idx="23">
                  <c:v>2021</c:v>
                </c:pt>
                <c:pt idx="24">
                  <c:v>2022</c:v>
                </c:pt>
                <c:pt idx="25">
                  <c:v>2023</c:v>
                </c:pt>
                <c:pt idx="26">
                  <c:v>2024</c:v>
                </c:pt>
              </c:numCache>
            </c:numRef>
          </c:cat>
          <c:val>
            <c:numRef>
              <c:f>'Annex 6_Aquculture Products '!$C$11:$AC$11</c:f>
              <c:numCache>
                <c:formatCode>#,##0.00</c:formatCode>
                <c:ptCount val="27"/>
                <c:pt idx="0">
                  <c:v>3006.7</c:v>
                </c:pt>
                <c:pt idx="1">
                  <c:v>2684.9</c:v>
                </c:pt>
                <c:pt idx="2">
                  <c:v>2347.8000000000002</c:v>
                </c:pt>
                <c:pt idx="3">
                  <c:v>2856.7</c:v>
                </c:pt>
                <c:pt idx="4">
                  <c:v>2921.8</c:v>
                </c:pt>
                <c:pt idx="5">
                  <c:v>3321.7</c:v>
                </c:pt>
                <c:pt idx="6">
                  <c:v>3671.7</c:v>
                </c:pt>
                <c:pt idx="7">
                  <c:v>6903.6</c:v>
                </c:pt>
                <c:pt idx="8">
                  <c:v>7757.2</c:v>
                </c:pt>
                <c:pt idx="9">
                  <c:v>9269.2999999999993</c:v>
                </c:pt>
                <c:pt idx="10">
                  <c:v>14888.9</c:v>
                </c:pt>
                <c:pt idx="11">
                  <c:v>15204.8</c:v>
                </c:pt>
                <c:pt idx="12">
                  <c:v>27039.1</c:v>
                </c:pt>
                <c:pt idx="13">
                  <c:v>33878.300000000003</c:v>
                </c:pt>
                <c:pt idx="14" formatCode="#,##0">
                  <c:v>40309</c:v>
                </c:pt>
                <c:pt idx="15" formatCode="#,##0">
                  <c:v>79154</c:v>
                </c:pt>
                <c:pt idx="16" formatCode="#,##0">
                  <c:v>57935</c:v>
                </c:pt>
                <c:pt idx="17" formatCode="#,##0">
                  <c:v>65267</c:v>
                </c:pt>
                <c:pt idx="18" formatCode="#,##0">
                  <c:v>62301</c:v>
                </c:pt>
                <c:pt idx="19" formatCode="#,##0">
                  <c:v>77970</c:v>
                </c:pt>
                <c:pt idx="20" formatCode="#,##0">
                  <c:v>78349</c:v>
                </c:pt>
                <c:pt idx="21" formatCode="#,##0">
                  <c:v>74245</c:v>
                </c:pt>
                <c:pt idx="22" formatCode="#,##0">
                  <c:v>81474</c:v>
                </c:pt>
                <c:pt idx="23" formatCode="#,##0">
                  <c:v>83149</c:v>
                </c:pt>
                <c:pt idx="24" formatCode="#,##0">
                  <c:v>84076</c:v>
                </c:pt>
                <c:pt idx="25">
                  <c:v>84717.32</c:v>
                </c:pt>
              </c:numCache>
            </c:numRef>
          </c:val>
          <c:smooth val="0"/>
          <c:extLst>
            <c:ext xmlns:c16="http://schemas.microsoft.com/office/drawing/2014/chart" uri="{C3380CC4-5D6E-409C-BE32-E72D297353CC}">
              <c16:uniqueId val="{00000005-53DC-4C3D-93C6-7D84529872E8}"/>
            </c:ext>
          </c:extLst>
        </c:ser>
        <c:dLbls>
          <c:showLegendKey val="0"/>
          <c:showVal val="0"/>
          <c:showCatName val="0"/>
          <c:showSerName val="0"/>
          <c:showPercent val="0"/>
          <c:showBubbleSize val="0"/>
        </c:dLbls>
        <c:smooth val="0"/>
        <c:axId val="873541535"/>
        <c:axId val="873542495"/>
      </c:lineChart>
      <c:catAx>
        <c:axId val="873541535"/>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Years</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a:solidFill>
              <a:schemeClr val="accent1"/>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73542495"/>
        <c:crosses val="autoZero"/>
        <c:auto val="1"/>
        <c:lblAlgn val="ctr"/>
        <c:lblOffset val="100"/>
        <c:noMultiLvlLbl val="0"/>
      </c:catAx>
      <c:valAx>
        <c:axId val="873542495"/>
        <c:scaling>
          <c:orientation val="minMax"/>
        </c:scaling>
        <c:delete val="0"/>
        <c:axPos val="l"/>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Production (tonnes)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solidFill>
              <a:schemeClr val="accent1"/>
            </a:solid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73541535"/>
        <c:crosses val="autoZero"/>
        <c:crossBetween val="between"/>
      </c:valAx>
      <c:spPr>
        <a:noFill/>
        <a:ln>
          <a:noFill/>
        </a:ln>
        <a:effectLst/>
      </c:spPr>
    </c:plotArea>
    <c:legend>
      <c:legendPos val="b"/>
      <c:layout>
        <c:manualLayout>
          <c:xMode val="edge"/>
          <c:yMode val="edge"/>
          <c:x val="7.5184150368301169E-4"/>
          <c:y val="0.82558016666241574"/>
          <c:w val="0.92967888691332934"/>
          <c:h val="0.1466549096911243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a:no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2">
                  <a:lumMod val="75000"/>
                </a:schemeClr>
              </a:solidFill>
              <a:round/>
            </a:ln>
            <a:effectLst/>
          </c:spPr>
          <c:marker>
            <c:symbol val="none"/>
          </c:marker>
          <c:trendline>
            <c:spPr>
              <a:ln w="19050" cap="rnd">
                <a:solidFill>
                  <a:schemeClr val="accent1"/>
                </a:solidFill>
                <a:prstDash val="sysDot"/>
              </a:ln>
              <a:effectLst/>
            </c:spPr>
            <c:trendlineType val="linear"/>
            <c:dispRSqr val="0"/>
            <c:dispEq val="0"/>
          </c:trendline>
          <c:cat>
            <c:numRef>
              <c:f>'Pertumbuhan ekonomi nasional'!$F$2:$M$2</c:f>
              <c:numCache>
                <c:formatCode>0</c:formatCode>
                <c:ptCount val="8"/>
                <c:pt idx="0">
                  <c:v>2016</c:v>
                </c:pt>
                <c:pt idx="1">
                  <c:v>2017</c:v>
                </c:pt>
                <c:pt idx="2">
                  <c:v>2018</c:v>
                </c:pt>
                <c:pt idx="3">
                  <c:v>2019</c:v>
                </c:pt>
                <c:pt idx="4">
                  <c:v>2020</c:v>
                </c:pt>
                <c:pt idx="5">
                  <c:v>2021</c:v>
                </c:pt>
                <c:pt idx="6">
                  <c:v>2022</c:v>
                </c:pt>
                <c:pt idx="7">
                  <c:v>2023</c:v>
                </c:pt>
              </c:numCache>
            </c:numRef>
          </c:cat>
          <c:val>
            <c:numRef>
              <c:f>'Pertumbuhan ekonomi nasional'!$F$3:$M$3</c:f>
              <c:numCache>
                <c:formatCode>_(* #,##0.00_);_(* \(#,##0.00\);_(* "-"??_);_(@_)</c:formatCode>
                <c:ptCount val="8"/>
                <c:pt idx="0">
                  <c:v>5.03</c:v>
                </c:pt>
                <c:pt idx="1">
                  <c:v>5.07</c:v>
                </c:pt>
                <c:pt idx="2">
                  <c:v>5.17</c:v>
                </c:pt>
                <c:pt idx="3">
                  <c:v>5.0199999999999996</c:v>
                </c:pt>
                <c:pt idx="4">
                  <c:v>-2.0699999999999998</c:v>
                </c:pt>
                <c:pt idx="5">
                  <c:v>3.7</c:v>
                </c:pt>
                <c:pt idx="6">
                  <c:v>5.31</c:v>
                </c:pt>
                <c:pt idx="7">
                  <c:v>5.05</c:v>
                </c:pt>
              </c:numCache>
            </c:numRef>
          </c:val>
          <c:smooth val="0"/>
          <c:extLst>
            <c:ext xmlns:c16="http://schemas.microsoft.com/office/drawing/2014/chart" uri="{C3380CC4-5D6E-409C-BE32-E72D297353CC}">
              <c16:uniqueId val="{00000001-C781-44F6-82BA-F760CFF833E4}"/>
            </c:ext>
          </c:extLst>
        </c:ser>
        <c:dLbls>
          <c:showLegendKey val="0"/>
          <c:showVal val="0"/>
          <c:showCatName val="0"/>
          <c:showSerName val="0"/>
          <c:showPercent val="0"/>
          <c:showBubbleSize val="0"/>
        </c:dLbls>
        <c:smooth val="0"/>
        <c:axId val="1536038528"/>
        <c:axId val="1536039488"/>
      </c:lineChart>
      <c:catAx>
        <c:axId val="15360385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Year</a:t>
                </a:r>
              </a:p>
            </c:rich>
          </c:tx>
          <c:layout>
            <c:manualLayout>
              <c:xMode val="edge"/>
              <c:yMode val="edge"/>
              <c:x val="0.53838951151508196"/>
              <c:y val="0.9110877806940799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6039488"/>
        <c:crosses val="autoZero"/>
        <c:auto val="1"/>
        <c:lblAlgn val="ctr"/>
        <c:lblOffset val="100"/>
        <c:noMultiLvlLbl val="0"/>
      </c:catAx>
      <c:valAx>
        <c:axId val="1536039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Percent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603852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060698147724934"/>
          <c:y val="5.5515507384714918E-2"/>
          <c:w val="0.68086797441616331"/>
          <c:h val="0.82740598327620174"/>
        </c:manualLayout>
      </c:layout>
      <c:barChart>
        <c:barDir val="col"/>
        <c:grouping val="clustered"/>
        <c:varyColors val="0"/>
        <c:ser>
          <c:idx val="0"/>
          <c:order val="0"/>
          <c:tx>
            <c:v>Riau Islands</c:v>
          </c:tx>
          <c:spPr>
            <a:solidFill>
              <a:schemeClr val="tx1">
                <a:lumMod val="50000"/>
                <a:lumOff val="50000"/>
              </a:schemeClr>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'!$X$30:$AC$30</c:f>
              <c:numCache>
                <c:formatCode>_(* #,##0_);_(* \(#,##0\);_(* "-"_);_(@_)</c:formatCode>
                <c:ptCount val="6"/>
                <c:pt idx="0">
                  <c:v>8962.65</c:v>
                </c:pt>
                <c:pt idx="1">
                  <c:v>7353.99</c:v>
                </c:pt>
                <c:pt idx="2">
                  <c:v>5463.45</c:v>
                </c:pt>
                <c:pt idx="3">
                  <c:v>7544.3399999999992</c:v>
                </c:pt>
                <c:pt idx="4">
                  <c:v>34113.077099999995</c:v>
                </c:pt>
                <c:pt idx="5">
                  <c:v>7403.67</c:v>
                </c:pt>
              </c:numCache>
            </c:numRef>
          </c:val>
          <c:extLst>
            <c:ext xmlns:c16="http://schemas.microsoft.com/office/drawing/2014/chart" uri="{C3380CC4-5D6E-409C-BE32-E72D297353CC}">
              <c16:uniqueId val="{00000000-6E60-40D0-A2FA-EC1D86B626E8}"/>
            </c:ext>
          </c:extLst>
        </c:ser>
        <c:ser>
          <c:idx val="1"/>
          <c:order val="1"/>
          <c:tx>
            <c:v>Bangka Belitung</c:v>
          </c:tx>
          <c:spPr>
            <a:solidFill>
              <a:schemeClr val="accent2"/>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'!$X$31:$AC$31</c:f>
              <c:numCache>
                <c:formatCode>_(* #,##0_);_(* \(#,##0\);_(* "-"_);_(@_)</c:formatCode>
                <c:ptCount val="6"/>
                <c:pt idx="0">
                  <c:v>1930.77</c:v>
                </c:pt>
                <c:pt idx="1">
                  <c:v>2204.2800000000002</c:v>
                </c:pt>
                <c:pt idx="2">
                  <c:v>2468.88</c:v>
                </c:pt>
                <c:pt idx="3">
                  <c:v>3014.5499999999997</c:v>
                </c:pt>
                <c:pt idx="4">
                  <c:v>2946.6936000000001</c:v>
                </c:pt>
                <c:pt idx="5">
                  <c:v>3014.5499999999997</c:v>
                </c:pt>
              </c:numCache>
            </c:numRef>
          </c:val>
          <c:extLst>
            <c:ext xmlns:c16="http://schemas.microsoft.com/office/drawing/2014/chart" uri="{C3380CC4-5D6E-409C-BE32-E72D297353CC}">
              <c16:uniqueId val="{00000001-6E60-40D0-A2FA-EC1D86B626E8}"/>
            </c:ext>
          </c:extLst>
        </c:ser>
        <c:ser>
          <c:idx val="2"/>
          <c:order val="2"/>
          <c:tx>
            <c:v>Jakarta West Java</c:v>
          </c:tx>
          <c:spPr>
            <a:solidFill>
              <a:schemeClr val="accent3"/>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'!$X$32:$AC$32</c:f>
            </c:numRef>
          </c:val>
          <c:extLst>
            <c:ext xmlns:c16="http://schemas.microsoft.com/office/drawing/2014/chart" uri="{C3380CC4-5D6E-409C-BE32-E72D297353CC}">
              <c16:uniqueId val="{00000002-6E60-40D0-A2FA-EC1D86B626E8}"/>
            </c:ext>
          </c:extLst>
        </c:ser>
        <c:ser>
          <c:idx val="3"/>
          <c:order val="3"/>
          <c:tx>
            <c:strRef>
              <c:f>'Annex 6_Aquculture Products '!$B$35</c:f>
              <c:strCache>
                <c:ptCount val="1"/>
                <c:pt idx="0">
                  <c:v> West Kalimantan </c:v>
                </c:pt>
              </c:strCache>
            </c:strRef>
          </c:tx>
          <c:spPr>
            <a:solidFill>
              <a:schemeClr val="accent4"/>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'!$X$35:$AC$35</c:f>
              <c:numCache>
                <c:formatCode>_(* #,##0_);_(* \(#,##0\);_(* "-"_);_(@_)</c:formatCode>
                <c:ptCount val="6"/>
                <c:pt idx="0">
                  <c:v>20046.149999999998</c:v>
                </c:pt>
                <c:pt idx="1">
                  <c:v>21997.98</c:v>
                </c:pt>
                <c:pt idx="2">
                  <c:v>22450.23</c:v>
                </c:pt>
                <c:pt idx="3">
                  <c:v>22700.52</c:v>
                </c:pt>
                <c:pt idx="4">
                  <c:v>22873.6764</c:v>
                </c:pt>
                <c:pt idx="5">
                  <c:v>0</c:v>
                </c:pt>
              </c:numCache>
            </c:numRef>
          </c:val>
          <c:extLst>
            <c:ext xmlns:c16="http://schemas.microsoft.com/office/drawing/2014/chart" uri="{C3380CC4-5D6E-409C-BE32-E72D297353CC}">
              <c16:uniqueId val="{00000003-6E60-40D0-A2FA-EC1D86B626E8}"/>
            </c:ext>
          </c:extLst>
        </c:ser>
        <c:ser>
          <c:idx val="4"/>
          <c:order val="4"/>
          <c:tx>
            <c:strRef>
              <c:f>'Annex 6_Aquculture Products '!$B$34</c:f>
              <c:strCache>
                <c:ptCount val="1"/>
                <c:pt idx="0">
                  <c:v> South Kalimantan </c:v>
                </c:pt>
              </c:strCache>
            </c:strRef>
          </c:tx>
          <c:spPr>
            <a:solidFill>
              <a:schemeClr val="accent5"/>
            </a:solidFill>
            <a:ln>
              <a:noFill/>
            </a:ln>
            <a:effectLst/>
          </c:spPr>
          <c:invertIfNegative val="0"/>
          <c:cat>
            <c:numRef>
              <c:f>'Annex 6_Aquculture Products '!$X$27:$AC$27</c:f>
              <c:numCache>
                <c:formatCode>@</c:formatCode>
                <c:ptCount val="6"/>
                <c:pt idx="0">
                  <c:v>2019</c:v>
                </c:pt>
                <c:pt idx="1">
                  <c:v>2020</c:v>
                </c:pt>
                <c:pt idx="2">
                  <c:v>2021</c:v>
                </c:pt>
                <c:pt idx="3">
                  <c:v>2022</c:v>
                </c:pt>
                <c:pt idx="4">
                  <c:v>2023</c:v>
                </c:pt>
                <c:pt idx="5">
                  <c:v>2024</c:v>
                </c:pt>
              </c:numCache>
            </c:numRef>
          </c:cat>
          <c:val>
            <c:numRef>
              <c:f>'Annex 6_Aquculture Products '!$X$34:$AC$34</c:f>
              <c:numCache>
                <c:formatCode>_(* #,##0_);_(* \(#,##0\);_(* "-"_);_(@_)</c:formatCode>
                <c:ptCount val="6"/>
                <c:pt idx="0">
                  <c:v>34949.339999999997</c:v>
                </c:pt>
                <c:pt idx="1">
                  <c:v>37551.33</c:v>
                </c:pt>
                <c:pt idx="2">
                  <c:v>31875.93</c:v>
                </c:pt>
                <c:pt idx="3">
                  <c:v>34146.36</c:v>
                </c:pt>
                <c:pt idx="4">
                  <c:v>0</c:v>
                </c:pt>
                <c:pt idx="5">
                  <c:v>0</c:v>
                </c:pt>
              </c:numCache>
            </c:numRef>
          </c:val>
          <c:extLst>
            <c:ext xmlns:c16="http://schemas.microsoft.com/office/drawing/2014/chart" uri="{C3380CC4-5D6E-409C-BE32-E72D297353CC}">
              <c16:uniqueId val="{00000004-6E60-40D0-A2FA-EC1D86B626E8}"/>
            </c:ext>
          </c:extLst>
        </c:ser>
        <c:dLbls>
          <c:showLegendKey val="0"/>
          <c:showVal val="0"/>
          <c:showCatName val="0"/>
          <c:showSerName val="0"/>
          <c:showPercent val="0"/>
          <c:showBubbleSize val="0"/>
        </c:dLbls>
        <c:gapWidth val="219"/>
        <c:overlap val="-27"/>
        <c:axId val="572746528"/>
        <c:axId val="572745568"/>
      </c:barChart>
      <c:catAx>
        <c:axId val="572746528"/>
        <c:scaling>
          <c:orientation val="minMax"/>
        </c:scaling>
        <c:delete val="0"/>
        <c:axPos val="b"/>
        <c:numFmt formatCode="@"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572745568"/>
        <c:crosses val="autoZero"/>
        <c:auto val="1"/>
        <c:lblAlgn val="ctr"/>
        <c:lblOffset val="100"/>
        <c:noMultiLvlLbl val="0"/>
      </c:catAx>
      <c:valAx>
        <c:axId val="5727455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tonnes</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n-US"/>
          </a:p>
        </c:txPr>
        <c:crossAx val="572746528"/>
        <c:crosses val="autoZero"/>
        <c:crossBetween val="between"/>
      </c:valAx>
      <c:spPr>
        <a:noFill/>
        <a:ln>
          <a:solidFill>
            <a:schemeClr val="tx1"/>
          </a:solidFill>
        </a:ln>
        <a:effectLst/>
      </c:spPr>
    </c:plotArea>
    <c:legend>
      <c:legendPos val="r"/>
      <c:layout>
        <c:manualLayout>
          <c:xMode val="edge"/>
          <c:yMode val="edge"/>
          <c:x val="0.80358561705379561"/>
          <c:y val="0.31572331099890155"/>
          <c:w val="0.1919827410228718"/>
          <c:h val="0.36855294808050715"/>
        </c:manualLayout>
      </c:layou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accent1"/>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Sheet1!$C$13</c:f>
              <c:strCache>
                <c:ptCount val="1"/>
                <c:pt idx="0">
                  <c:v>Riau Islands</c:v>
                </c:pt>
              </c:strCache>
            </c:strRef>
          </c:tx>
          <c:spPr>
            <a:solidFill>
              <a:schemeClr val="accent1"/>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Sheet1!$D$13:$H$13</c:f>
              <c:numCache>
                <c:formatCode>General</c:formatCode>
                <c:ptCount val="5"/>
                <c:pt idx="0">
                  <c:v>40</c:v>
                </c:pt>
                <c:pt idx="1">
                  <c:v>117</c:v>
                </c:pt>
                <c:pt idx="2">
                  <c:v>119</c:v>
                </c:pt>
                <c:pt idx="3">
                  <c:v>63</c:v>
                </c:pt>
                <c:pt idx="4">
                  <c:v>74</c:v>
                </c:pt>
              </c:numCache>
            </c:numRef>
          </c:val>
          <c:extLst>
            <c:ext xmlns:c16="http://schemas.microsoft.com/office/drawing/2014/chart" uri="{C3380CC4-5D6E-409C-BE32-E72D297353CC}">
              <c16:uniqueId val="{00000000-3E49-4E70-946B-21F8427AFD58}"/>
            </c:ext>
          </c:extLst>
        </c:ser>
        <c:ser>
          <c:idx val="1"/>
          <c:order val="1"/>
          <c:tx>
            <c:strRef>
              <c:f>Sheet1!$C$14</c:f>
              <c:strCache>
                <c:ptCount val="1"/>
                <c:pt idx="0">
                  <c:v>West Kalimantan</c:v>
                </c:pt>
              </c:strCache>
            </c:strRef>
          </c:tx>
          <c:spPr>
            <a:solidFill>
              <a:schemeClr val="accent2"/>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Sheet1!$D$14:$H$14</c:f>
              <c:numCache>
                <c:formatCode>#,##0</c:formatCode>
                <c:ptCount val="5"/>
                <c:pt idx="0">
                  <c:v>21508</c:v>
                </c:pt>
                <c:pt idx="1">
                  <c:v>34444</c:v>
                </c:pt>
                <c:pt idx="2">
                  <c:v>30003</c:v>
                </c:pt>
                <c:pt idx="3">
                  <c:v>32708</c:v>
                </c:pt>
                <c:pt idx="4">
                  <c:v>25704</c:v>
                </c:pt>
              </c:numCache>
            </c:numRef>
          </c:val>
          <c:extLst>
            <c:ext xmlns:c16="http://schemas.microsoft.com/office/drawing/2014/chart" uri="{C3380CC4-5D6E-409C-BE32-E72D297353CC}">
              <c16:uniqueId val="{00000001-3E49-4E70-946B-21F8427AFD58}"/>
            </c:ext>
          </c:extLst>
        </c:ser>
        <c:ser>
          <c:idx val="2"/>
          <c:order val="2"/>
          <c:tx>
            <c:strRef>
              <c:f>Sheet1!$C$15</c:f>
              <c:strCache>
                <c:ptCount val="1"/>
                <c:pt idx="0">
                  <c:v>Bangka Belitung</c:v>
                </c:pt>
              </c:strCache>
            </c:strRef>
          </c:tx>
          <c:spPr>
            <a:solidFill>
              <a:schemeClr val="accent3"/>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Sheet1!$D$15:$H$15</c:f>
              <c:numCache>
                <c:formatCode>#,##0</c:formatCode>
                <c:ptCount val="5"/>
                <c:pt idx="0">
                  <c:v>23343</c:v>
                </c:pt>
                <c:pt idx="1">
                  <c:v>25058</c:v>
                </c:pt>
                <c:pt idx="2">
                  <c:v>30840</c:v>
                </c:pt>
                <c:pt idx="3">
                  <c:v>16607</c:v>
                </c:pt>
                <c:pt idx="4">
                  <c:v>1268</c:v>
                </c:pt>
              </c:numCache>
            </c:numRef>
          </c:val>
          <c:extLst>
            <c:ext xmlns:c16="http://schemas.microsoft.com/office/drawing/2014/chart" uri="{C3380CC4-5D6E-409C-BE32-E72D297353CC}">
              <c16:uniqueId val="{00000002-3E49-4E70-946B-21F8427AFD58}"/>
            </c:ext>
          </c:extLst>
        </c:ser>
        <c:ser>
          <c:idx val="3"/>
          <c:order val="3"/>
          <c:tx>
            <c:strRef>
              <c:f>Sheet1!$C$16</c:f>
              <c:strCache>
                <c:ptCount val="1"/>
                <c:pt idx="0">
                  <c:v>South Sumatera</c:v>
                </c:pt>
              </c:strCache>
            </c:strRef>
          </c:tx>
          <c:spPr>
            <a:solidFill>
              <a:schemeClr val="accent4"/>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Sheet1!$D$16:$H$16</c:f>
              <c:numCache>
                <c:formatCode>#,##0</c:formatCode>
                <c:ptCount val="5"/>
                <c:pt idx="0">
                  <c:v>110408</c:v>
                </c:pt>
                <c:pt idx="1">
                  <c:v>150645</c:v>
                </c:pt>
                <c:pt idx="2">
                  <c:v>125825</c:v>
                </c:pt>
                <c:pt idx="3">
                  <c:v>117545</c:v>
                </c:pt>
                <c:pt idx="4">
                  <c:v>81871</c:v>
                </c:pt>
              </c:numCache>
            </c:numRef>
          </c:val>
          <c:extLst>
            <c:ext xmlns:c16="http://schemas.microsoft.com/office/drawing/2014/chart" uri="{C3380CC4-5D6E-409C-BE32-E72D297353CC}">
              <c16:uniqueId val="{00000003-3E49-4E70-946B-21F8427AFD58}"/>
            </c:ext>
          </c:extLst>
        </c:ser>
        <c:ser>
          <c:idx val="4"/>
          <c:order val="4"/>
          <c:tx>
            <c:strRef>
              <c:f>Sheet1!$C$17</c:f>
              <c:strCache>
                <c:ptCount val="1"/>
                <c:pt idx="0">
                  <c:v>Jambi</c:v>
                </c:pt>
              </c:strCache>
            </c:strRef>
          </c:tx>
          <c:spPr>
            <a:solidFill>
              <a:schemeClr val="accent5"/>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Sheet1!$D$17:$H$17</c:f>
              <c:numCache>
                <c:formatCode>#,##0</c:formatCode>
                <c:ptCount val="5"/>
                <c:pt idx="0">
                  <c:v>18692</c:v>
                </c:pt>
                <c:pt idx="1">
                  <c:v>29112</c:v>
                </c:pt>
                <c:pt idx="2">
                  <c:v>30055</c:v>
                </c:pt>
                <c:pt idx="3">
                  <c:v>26008</c:v>
                </c:pt>
                <c:pt idx="4">
                  <c:v>12190</c:v>
                </c:pt>
              </c:numCache>
            </c:numRef>
          </c:val>
          <c:extLst>
            <c:ext xmlns:c16="http://schemas.microsoft.com/office/drawing/2014/chart" uri="{C3380CC4-5D6E-409C-BE32-E72D297353CC}">
              <c16:uniqueId val="{00000004-3E49-4E70-946B-21F8427AFD58}"/>
            </c:ext>
          </c:extLst>
        </c:ser>
        <c:dLbls>
          <c:showLegendKey val="0"/>
          <c:showVal val="0"/>
          <c:showCatName val="0"/>
          <c:showSerName val="0"/>
          <c:showPercent val="0"/>
          <c:showBubbleSize val="0"/>
        </c:dLbls>
        <c:gapWidth val="219"/>
        <c:overlap val="-27"/>
        <c:axId val="1150711504"/>
        <c:axId val="896928079"/>
      </c:barChart>
      <c:catAx>
        <c:axId val="115071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928079"/>
        <c:crosses val="autoZero"/>
        <c:auto val="1"/>
        <c:lblAlgn val="ctr"/>
        <c:lblOffset val="100"/>
        <c:noMultiLvlLbl val="0"/>
      </c:catAx>
      <c:valAx>
        <c:axId val="896928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0711504"/>
        <c:crosses val="autoZero"/>
        <c:crossBetween val="between"/>
      </c:valAx>
      <c:spPr>
        <a:noFill/>
        <a:ln>
          <a:solidFill>
            <a:schemeClr val="tx1"/>
          </a:solid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Sheet1!$C$13</c:f>
              <c:strCache>
                <c:ptCount val="1"/>
                <c:pt idx="0">
                  <c:v>Riau Islands</c:v>
                </c:pt>
              </c:strCache>
            </c:strRef>
          </c:tx>
          <c:spPr>
            <a:solidFill>
              <a:schemeClr val="accent1"/>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Sheet1!$D$13:$H$13</c:f>
              <c:numCache>
                <c:formatCode>General</c:formatCode>
                <c:ptCount val="5"/>
                <c:pt idx="0">
                  <c:v>40</c:v>
                </c:pt>
                <c:pt idx="1">
                  <c:v>117</c:v>
                </c:pt>
                <c:pt idx="2">
                  <c:v>119</c:v>
                </c:pt>
                <c:pt idx="3">
                  <c:v>63</c:v>
                </c:pt>
                <c:pt idx="4">
                  <c:v>74</c:v>
                </c:pt>
              </c:numCache>
            </c:numRef>
          </c:val>
          <c:extLst>
            <c:ext xmlns:c16="http://schemas.microsoft.com/office/drawing/2014/chart" uri="{C3380CC4-5D6E-409C-BE32-E72D297353CC}">
              <c16:uniqueId val="{00000000-CAA7-41DE-B7DE-576381152ADA}"/>
            </c:ext>
          </c:extLst>
        </c:ser>
        <c:ser>
          <c:idx val="1"/>
          <c:order val="1"/>
          <c:tx>
            <c:strRef>
              <c:f>Sheet1!$C$14</c:f>
              <c:strCache>
                <c:ptCount val="1"/>
                <c:pt idx="0">
                  <c:v>West Kalimantan</c:v>
                </c:pt>
              </c:strCache>
            </c:strRef>
          </c:tx>
          <c:spPr>
            <a:solidFill>
              <a:schemeClr val="accent2"/>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Sheet1!$D$14:$H$14</c:f>
              <c:numCache>
                <c:formatCode>#,##0</c:formatCode>
                <c:ptCount val="5"/>
                <c:pt idx="0">
                  <c:v>21508</c:v>
                </c:pt>
                <c:pt idx="1">
                  <c:v>34444</c:v>
                </c:pt>
                <c:pt idx="2">
                  <c:v>30003</c:v>
                </c:pt>
                <c:pt idx="3">
                  <c:v>32708</c:v>
                </c:pt>
                <c:pt idx="4">
                  <c:v>25704</c:v>
                </c:pt>
              </c:numCache>
            </c:numRef>
          </c:val>
          <c:extLst>
            <c:ext xmlns:c16="http://schemas.microsoft.com/office/drawing/2014/chart" uri="{C3380CC4-5D6E-409C-BE32-E72D297353CC}">
              <c16:uniqueId val="{00000001-CAA7-41DE-B7DE-576381152ADA}"/>
            </c:ext>
          </c:extLst>
        </c:ser>
        <c:ser>
          <c:idx val="2"/>
          <c:order val="2"/>
          <c:tx>
            <c:strRef>
              <c:f>Sheet1!$C$15</c:f>
              <c:strCache>
                <c:ptCount val="1"/>
                <c:pt idx="0">
                  <c:v>Bangka Belitung</c:v>
                </c:pt>
              </c:strCache>
            </c:strRef>
          </c:tx>
          <c:spPr>
            <a:solidFill>
              <a:schemeClr val="accent3"/>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Sheet1!$D$15:$H$15</c:f>
              <c:numCache>
                <c:formatCode>#,##0</c:formatCode>
                <c:ptCount val="5"/>
                <c:pt idx="0">
                  <c:v>23343</c:v>
                </c:pt>
                <c:pt idx="1">
                  <c:v>25058</c:v>
                </c:pt>
                <c:pt idx="2">
                  <c:v>30840</c:v>
                </c:pt>
                <c:pt idx="3">
                  <c:v>16607</c:v>
                </c:pt>
                <c:pt idx="4">
                  <c:v>1268</c:v>
                </c:pt>
              </c:numCache>
            </c:numRef>
          </c:val>
          <c:extLst>
            <c:ext xmlns:c16="http://schemas.microsoft.com/office/drawing/2014/chart" uri="{C3380CC4-5D6E-409C-BE32-E72D297353CC}">
              <c16:uniqueId val="{00000002-CAA7-41DE-B7DE-576381152ADA}"/>
            </c:ext>
          </c:extLst>
        </c:ser>
        <c:ser>
          <c:idx val="3"/>
          <c:order val="3"/>
          <c:tx>
            <c:strRef>
              <c:f>Sheet1!$C$16</c:f>
              <c:strCache>
                <c:ptCount val="1"/>
                <c:pt idx="0">
                  <c:v>South Sumatera</c:v>
                </c:pt>
              </c:strCache>
            </c:strRef>
          </c:tx>
          <c:spPr>
            <a:solidFill>
              <a:schemeClr val="accent4"/>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Sheet1!$D$16:$H$16</c:f>
              <c:numCache>
                <c:formatCode>#,##0</c:formatCode>
                <c:ptCount val="5"/>
                <c:pt idx="0">
                  <c:v>110408</c:v>
                </c:pt>
                <c:pt idx="1">
                  <c:v>150645</c:v>
                </c:pt>
                <c:pt idx="2">
                  <c:v>125825</c:v>
                </c:pt>
                <c:pt idx="3">
                  <c:v>117545</c:v>
                </c:pt>
                <c:pt idx="4">
                  <c:v>81871</c:v>
                </c:pt>
              </c:numCache>
            </c:numRef>
          </c:val>
          <c:extLst>
            <c:ext xmlns:c16="http://schemas.microsoft.com/office/drawing/2014/chart" uri="{C3380CC4-5D6E-409C-BE32-E72D297353CC}">
              <c16:uniqueId val="{00000003-CAA7-41DE-B7DE-576381152ADA}"/>
            </c:ext>
          </c:extLst>
        </c:ser>
        <c:ser>
          <c:idx val="4"/>
          <c:order val="4"/>
          <c:tx>
            <c:strRef>
              <c:f>Sheet1!$C$17</c:f>
              <c:strCache>
                <c:ptCount val="1"/>
                <c:pt idx="0">
                  <c:v>Jambi</c:v>
                </c:pt>
              </c:strCache>
            </c:strRef>
          </c:tx>
          <c:spPr>
            <a:solidFill>
              <a:schemeClr val="accent5"/>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Sheet1!$D$17:$H$17</c:f>
              <c:numCache>
                <c:formatCode>#,##0</c:formatCode>
                <c:ptCount val="5"/>
                <c:pt idx="0">
                  <c:v>18692</c:v>
                </c:pt>
                <c:pt idx="1">
                  <c:v>29112</c:v>
                </c:pt>
                <c:pt idx="2">
                  <c:v>30055</c:v>
                </c:pt>
                <c:pt idx="3">
                  <c:v>26008</c:v>
                </c:pt>
                <c:pt idx="4">
                  <c:v>12190</c:v>
                </c:pt>
              </c:numCache>
            </c:numRef>
          </c:val>
          <c:extLst>
            <c:ext xmlns:c16="http://schemas.microsoft.com/office/drawing/2014/chart" uri="{C3380CC4-5D6E-409C-BE32-E72D297353CC}">
              <c16:uniqueId val="{00000004-CAA7-41DE-B7DE-576381152ADA}"/>
            </c:ext>
          </c:extLst>
        </c:ser>
        <c:dLbls>
          <c:showLegendKey val="0"/>
          <c:showVal val="0"/>
          <c:showCatName val="0"/>
          <c:showSerName val="0"/>
          <c:showPercent val="0"/>
          <c:showBubbleSize val="0"/>
        </c:dLbls>
        <c:gapWidth val="219"/>
        <c:overlap val="-27"/>
        <c:axId val="1150711504"/>
        <c:axId val="896928079"/>
      </c:barChart>
      <c:catAx>
        <c:axId val="115071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928079"/>
        <c:crosses val="autoZero"/>
        <c:auto val="1"/>
        <c:lblAlgn val="ctr"/>
        <c:lblOffset val="100"/>
        <c:noMultiLvlLbl val="0"/>
      </c:catAx>
      <c:valAx>
        <c:axId val="896928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0711504"/>
        <c:crosses val="autoZero"/>
        <c:crossBetween val="between"/>
      </c:valAx>
      <c:spPr>
        <a:noFill/>
        <a:ln>
          <a:solidFill>
            <a:schemeClr val="tx1"/>
          </a:solid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Sheet1!$C$53</c:f>
              <c:strCache>
                <c:ptCount val="1"/>
                <c:pt idx="0">
                  <c:v>Riau Islands</c:v>
                </c:pt>
              </c:strCache>
            </c:strRef>
          </c:tx>
          <c:spPr>
            <a:solidFill>
              <a:schemeClr val="accent1"/>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Sheet1!$D$53:$H$53</c:f>
              <c:numCache>
                <c:formatCode>0.00</c:formatCode>
                <c:ptCount val="5"/>
                <c:pt idx="0">
                  <c:v>81.09</c:v>
                </c:pt>
                <c:pt idx="1">
                  <c:v>69.819999999999993</c:v>
                </c:pt>
                <c:pt idx="2">
                  <c:v>75.680000000000007</c:v>
                </c:pt>
                <c:pt idx="3">
                  <c:v>85.56</c:v>
                </c:pt>
                <c:pt idx="4">
                  <c:v>81.81</c:v>
                </c:pt>
              </c:numCache>
            </c:numRef>
          </c:val>
          <c:extLst>
            <c:ext xmlns:c16="http://schemas.microsoft.com/office/drawing/2014/chart" uri="{C3380CC4-5D6E-409C-BE32-E72D297353CC}">
              <c16:uniqueId val="{00000000-6B5D-4A53-A1D1-2DC5B9B0D814}"/>
            </c:ext>
          </c:extLst>
        </c:ser>
        <c:ser>
          <c:idx val="1"/>
          <c:order val="1"/>
          <c:tx>
            <c:strRef>
              <c:f>Sheet1!$C$54</c:f>
              <c:strCache>
                <c:ptCount val="1"/>
                <c:pt idx="0">
                  <c:v>West Kalimantan</c:v>
                </c:pt>
              </c:strCache>
            </c:strRef>
          </c:tx>
          <c:spPr>
            <a:solidFill>
              <a:schemeClr val="accent2"/>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Sheet1!$D$54:$H$54</c:f>
              <c:numCache>
                <c:formatCode>0.00</c:formatCode>
                <c:ptCount val="5"/>
                <c:pt idx="0">
                  <c:v>67.97</c:v>
                </c:pt>
                <c:pt idx="1">
                  <c:v>73.25</c:v>
                </c:pt>
                <c:pt idx="2">
                  <c:v>77.83</c:v>
                </c:pt>
                <c:pt idx="3">
                  <c:v>63.3</c:v>
                </c:pt>
                <c:pt idx="4">
                  <c:v>83.52</c:v>
                </c:pt>
              </c:numCache>
            </c:numRef>
          </c:val>
          <c:extLst>
            <c:ext xmlns:c16="http://schemas.microsoft.com/office/drawing/2014/chart" uri="{C3380CC4-5D6E-409C-BE32-E72D297353CC}">
              <c16:uniqueId val="{00000001-6B5D-4A53-A1D1-2DC5B9B0D814}"/>
            </c:ext>
          </c:extLst>
        </c:ser>
        <c:ser>
          <c:idx val="2"/>
          <c:order val="2"/>
          <c:tx>
            <c:strRef>
              <c:f>Sheet1!$C$55</c:f>
              <c:strCache>
                <c:ptCount val="1"/>
                <c:pt idx="0">
                  <c:v>Bangka Belitung</c:v>
                </c:pt>
              </c:strCache>
            </c:strRef>
          </c:tx>
          <c:spPr>
            <a:solidFill>
              <a:schemeClr val="accent3"/>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Sheet1!$D$55:$H$55</c:f>
              <c:numCache>
                <c:formatCode>0.00</c:formatCode>
                <c:ptCount val="5"/>
                <c:pt idx="0">
                  <c:v>67.56</c:v>
                </c:pt>
                <c:pt idx="1">
                  <c:v>70.66</c:v>
                </c:pt>
                <c:pt idx="2">
                  <c:v>82.71</c:v>
                </c:pt>
                <c:pt idx="3">
                  <c:v>85.02</c:v>
                </c:pt>
                <c:pt idx="4">
                  <c:v>82.57</c:v>
                </c:pt>
              </c:numCache>
            </c:numRef>
          </c:val>
          <c:extLst>
            <c:ext xmlns:c16="http://schemas.microsoft.com/office/drawing/2014/chart" uri="{C3380CC4-5D6E-409C-BE32-E72D297353CC}">
              <c16:uniqueId val="{00000002-6B5D-4A53-A1D1-2DC5B9B0D814}"/>
            </c:ext>
          </c:extLst>
        </c:ser>
        <c:ser>
          <c:idx val="3"/>
          <c:order val="3"/>
          <c:tx>
            <c:strRef>
              <c:f>Sheet1!$C$56</c:f>
              <c:strCache>
                <c:ptCount val="1"/>
                <c:pt idx="0">
                  <c:v>South Sumatera</c:v>
                </c:pt>
              </c:strCache>
            </c:strRef>
          </c:tx>
          <c:spPr>
            <a:solidFill>
              <a:schemeClr val="accent4"/>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Sheet1!$D$56:$H$56</c:f>
              <c:numCache>
                <c:formatCode>0.00</c:formatCode>
                <c:ptCount val="5"/>
                <c:pt idx="0">
                  <c:v>71.58</c:v>
                </c:pt>
                <c:pt idx="1">
                  <c:v>63.75</c:v>
                </c:pt>
                <c:pt idx="2">
                  <c:v>75.53</c:v>
                </c:pt>
                <c:pt idx="3">
                  <c:v>81.03</c:v>
                </c:pt>
                <c:pt idx="4">
                  <c:v>70.37</c:v>
                </c:pt>
              </c:numCache>
            </c:numRef>
          </c:val>
          <c:extLst>
            <c:ext xmlns:c16="http://schemas.microsoft.com/office/drawing/2014/chart" uri="{C3380CC4-5D6E-409C-BE32-E72D297353CC}">
              <c16:uniqueId val="{00000003-6B5D-4A53-A1D1-2DC5B9B0D814}"/>
            </c:ext>
          </c:extLst>
        </c:ser>
        <c:ser>
          <c:idx val="4"/>
          <c:order val="4"/>
          <c:tx>
            <c:strRef>
              <c:f>Sheet1!$C$57</c:f>
              <c:strCache>
                <c:ptCount val="1"/>
                <c:pt idx="0">
                  <c:v>Jambi</c:v>
                </c:pt>
              </c:strCache>
            </c:strRef>
          </c:tx>
          <c:spPr>
            <a:solidFill>
              <a:schemeClr val="accent5"/>
            </a:solidFill>
            <a:ln>
              <a:noFill/>
            </a:ln>
            <a:effectLst/>
          </c:spPr>
          <c:invertIfNegative val="0"/>
          <c:cat>
            <c:numRef>
              <c:f>Sheet1!$D$12:$H$12</c:f>
              <c:numCache>
                <c:formatCode>General</c:formatCode>
                <c:ptCount val="5"/>
                <c:pt idx="0">
                  <c:v>2019</c:v>
                </c:pt>
                <c:pt idx="1">
                  <c:v>2020</c:v>
                </c:pt>
                <c:pt idx="2">
                  <c:v>2021</c:v>
                </c:pt>
                <c:pt idx="3">
                  <c:v>2022</c:v>
                </c:pt>
                <c:pt idx="4">
                  <c:v>2023</c:v>
                </c:pt>
              </c:numCache>
            </c:numRef>
          </c:cat>
          <c:val>
            <c:numRef>
              <c:f>Sheet1!$D$57:$H$57</c:f>
              <c:numCache>
                <c:formatCode>0.00</c:formatCode>
                <c:ptCount val="5"/>
                <c:pt idx="0">
                  <c:v>72.2</c:v>
                </c:pt>
                <c:pt idx="1">
                  <c:v>79.58</c:v>
                </c:pt>
                <c:pt idx="2">
                  <c:v>83.58</c:v>
                </c:pt>
                <c:pt idx="3">
                  <c:v>81.67</c:v>
                </c:pt>
                <c:pt idx="4">
                  <c:v>70.69</c:v>
                </c:pt>
              </c:numCache>
            </c:numRef>
          </c:val>
          <c:extLst>
            <c:ext xmlns:c16="http://schemas.microsoft.com/office/drawing/2014/chart" uri="{C3380CC4-5D6E-409C-BE32-E72D297353CC}">
              <c16:uniqueId val="{00000004-6B5D-4A53-A1D1-2DC5B9B0D814}"/>
            </c:ext>
          </c:extLst>
        </c:ser>
        <c:dLbls>
          <c:showLegendKey val="0"/>
          <c:showVal val="0"/>
          <c:showCatName val="0"/>
          <c:showSerName val="0"/>
          <c:showPercent val="0"/>
          <c:showBubbleSize val="0"/>
        </c:dLbls>
        <c:gapWidth val="219"/>
        <c:overlap val="-27"/>
        <c:axId val="1150711504"/>
        <c:axId val="896928079"/>
      </c:barChart>
      <c:catAx>
        <c:axId val="115071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928079"/>
        <c:crosses val="autoZero"/>
        <c:auto val="1"/>
        <c:lblAlgn val="ctr"/>
        <c:lblOffset val="100"/>
        <c:noMultiLvlLbl val="0"/>
      </c:catAx>
      <c:valAx>
        <c:axId val="89692807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Tonnes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50711504"/>
        <c:crosses val="autoZero"/>
        <c:crossBetween val="between"/>
      </c:valAx>
      <c:spPr>
        <a:noFill/>
        <a:ln>
          <a:solidFill>
            <a:schemeClr val="tx1"/>
          </a:solid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ID" b="1">
                <a:solidFill>
                  <a:sysClr val="windowText" lastClr="000000"/>
                </a:solidFill>
              </a:rPr>
              <a:t>NH3-N</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22256736657917761"/>
          <c:y val="0.17171296296296296"/>
          <c:w val="0.7468770778652668"/>
          <c:h val="0.67003098571011954"/>
        </c:manualLayout>
      </c:layout>
      <c:barChart>
        <c:barDir val="col"/>
        <c:grouping val="clustered"/>
        <c:varyColors val="0"/>
        <c:ser>
          <c:idx val="0"/>
          <c:order val="0"/>
          <c:spPr>
            <a:solidFill>
              <a:schemeClr val="accent1"/>
            </a:solidFill>
            <a:ln>
              <a:noFill/>
            </a:ln>
            <a:effectLst/>
          </c:spPr>
          <c:invertIfNegative val="0"/>
          <c:cat>
            <c:strRef>
              <c:f>Sheet1!$A$3:$A$8</c:f>
              <c:strCache>
                <c:ptCount val="6"/>
                <c:pt idx="0">
                  <c:v>Siak</c:v>
                </c:pt>
                <c:pt idx="1">
                  <c:v>Batanghari</c:v>
                </c:pt>
                <c:pt idx="2">
                  <c:v>Bangka Belitung</c:v>
                </c:pt>
                <c:pt idx="3">
                  <c:v>Bintan</c:v>
                </c:pt>
                <c:pt idx="4">
                  <c:v>Kapuas</c:v>
                </c:pt>
                <c:pt idx="5">
                  <c:v>South Sumatera</c:v>
                </c:pt>
              </c:strCache>
            </c:strRef>
          </c:cat>
          <c:val>
            <c:numRef>
              <c:f>Sheet1!$G$3:$G$8</c:f>
              <c:numCache>
                <c:formatCode>_(* #,##0.00_);_(* \(#,##0.00\);_(* "-"??_);_(@_)</c:formatCode>
                <c:ptCount val="6"/>
                <c:pt idx="0">
                  <c:v>30831.84</c:v>
                </c:pt>
                <c:pt idx="1">
                  <c:v>304223.93164800003</c:v>
                </c:pt>
                <c:pt idx="2">
                  <c:v>32262.665057279999</c:v>
                </c:pt>
                <c:pt idx="3">
                  <c:v>274.92514560000001</c:v>
                </c:pt>
                <c:pt idx="4">
                  <c:v>736408.91681279999</c:v>
                </c:pt>
                <c:pt idx="5">
                  <c:v>172627.94649599999</c:v>
                </c:pt>
              </c:numCache>
            </c:numRef>
          </c:val>
          <c:extLst>
            <c:ext xmlns:c16="http://schemas.microsoft.com/office/drawing/2014/chart" uri="{C3380CC4-5D6E-409C-BE32-E72D297353CC}">
              <c16:uniqueId val="{00000000-B59A-49B8-8A84-E42477821873}"/>
            </c:ext>
          </c:extLst>
        </c:ser>
        <c:dLbls>
          <c:showLegendKey val="0"/>
          <c:showVal val="0"/>
          <c:showCatName val="0"/>
          <c:showSerName val="0"/>
          <c:showPercent val="0"/>
          <c:showBubbleSize val="0"/>
        </c:dLbls>
        <c:gapWidth val="219"/>
        <c:overlap val="-27"/>
        <c:axId val="414427680"/>
        <c:axId val="425765728"/>
      </c:barChart>
      <c:catAx>
        <c:axId val="41442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25765728"/>
        <c:crosses val="autoZero"/>
        <c:auto val="1"/>
        <c:lblAlgn val="ctr"/>
        <c:lblOffset val="100"/>
        <c:noMultiLvlLbl val="0"/>
      </c:catAx>
      <c:valAx>
        <c:axId val="425765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Load tonnes/year</a:t>
                </a:r>
              </a:p>
            </c:rich>
          </c:tx>
          <c:layout>
            <c:manualLayout>
              <c:xMode val="edge"/>
              <c:yMode val="edge"/>
              <c:x val="2.7208223972003495E-2"/>
              <c:y val="0.32283938466025086"/>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14427680"/>
        <c:crosses val="autoZero"/>
        <c:crossBetween val="between"/>
      </c:valAx>
      <c:spPr>
        <a:noFill/>
        <a:ln>
          <a:solidFill>
            <a:schemeClr val="tx1"/>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ID" b="1">
                <a:solidFill>
                  <a:sysClr val="windowText" lastClr="000000"/>
                </a:solidFill>
              </a:rPr>
              <a:t>TSS</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25034514435695543"/>
          <c:y val="0.17171296296296296"/>
          <c:w val="0.71909930008748901"/>
          <c:h val="0.67003098571011954"/>
        </c:manualLayout>
      </c:layout>
      <c:barChart>
        <c:barDir val="col"/>
        <c:grouping val="clustered"/>
        <c:varyColors val="0"/>
        <c:ser>
          <c:idx val="0"/>
          <c:order val="0"/>
          <c:spPr>
            <a:solidFill>
              <a:schemeClr val="accent1"/>
            </a:solidFill>
            <a:ln>
              <a:noFill/>
            </a:ln>
            <a:effectLst/>
          </c:spPr>
          <c:invertIfNegative val="0"/>
          <c:cat>
            <c:strRef>
              <c:f>Sheet1!$A$3:$A$8</c:f>
              <c:strCache>
                <c:ptCount val="6"/>
                <c:pt idx="0">
                  <c:v>Siak</c:v>
                </c:pt>
                <c:pt idx="1">
                  <c:v>Batanghari</c:v>
                </c:pt>
                <c:pt idx="2">
                  <c:v>Bangka Belitung</c:v>
                </c:pt>
                <c:pt idx="3">
                  <c:v>Bintan</c:v>
                </c:pt>
                <c:pt idx="4">
                  <c:v>Kapuas</c:v>
                </c:pt>
                <c:pt idx="5">
                  <c:v>South Sumatera</c:v>
                </c:pt>
              </c:strCache>
            </c:strRef>
          </c:cat>
          <c:val>
            <c:numRef>
              <c:f>Sheet1!$G$12:$G$17</c:f>
              <c:numCache>
                <c:formatCode>_(* #,##0.00_);_(* \(#,##0.00\);_(* "-"??_);_(@_)</c:formatCode>
                <c:ptCount val="6"/>
                <c:pt idx="0">
                  <c:v>5620881.5999999996</c:v>
                </c:pt>
                <c:pt idx="1">
                  <c:v>12871012.492799999</c:v>
                </c:pt>
                <c:pt idx="2">
                  <c:v>124280.64254592</c:v>
                </c:pt>
                <c:pt idx="3">
                  <c:v>46020.078719999998</c:v>
                </c:pt>
                <c:pt idx="4">
                  <c:v>31475542.412160002</c:v>
                </c:pt>
                <c:pt idx="5">
                  <c:v>3320549.3237760006</c:v>
                </c:pt>
              </c:numCache>
            </c:numRef>
          </c:val>
          <c:extLst>
            <c:ext xmlns:c16="http://schemas.microsoft.com/office/drawing/2014/chart" uri="{C3380CC4-5D6E-409C-BE32-E72D297353CC}">
              <c16:uniqueId val="{00000000-0BEC-4A8C-941E-EE609AFCD53B}"/>
            </c:ext>
          </c:extLst>
        </c:ser>
        <c:dLbls>
          <c:showLegendKey val="0"/>
          <c:showVal val="0"/>
          <c:showCatName val="0"/>
          <c:showSerName val="0"/>
          <c:showPercent val="0"/>
          <c:showBubbleSize val="0"/>
        </c:dLbls>
        <c:gapWidth val="219"/>
        <c:overlap val="-27"/>
        <c:axId val="414427680"/>
        <c:axId val="425765728"/>
      </c:barChart>
      <c:catAx>
        <c:axId val="41442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25765728"/>
        <c:crosses val="autoZero"/>
        <c:auto val="1"/>
        <c:lblAlgn val="ctr"/>
        <c:lblOffset val="100"/>
        <c:noMultiLvlLbl val="0"/>
      </c:catAx>
      <c:valAx>
        <c:axId val="425765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Load tonnes/year</a:t>
                </a:r>
              </a:p>
            </c:rich>
          </c:tx>
          <c:layout>
            <c:manualLayout>
              <c:xMode val="edge"/>
              <c:yMode val="edge"/>
              <c:x val="2.7208223972003495E-2"/>
              <c:y val="0.32283938466025086"/>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14427680"/>
        <c:crosses val="autoZero"/>
        <c:crossBetween val="between"/>
      </c:valAx>
      <c:spPr>
        <a:noFill/>
        <a:ln>
          <a:solidFill>
            <a:schemeClr val="tx1"/>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ID" b="1">
                <a:solidFill>
                  <a:sysClr val="windowText" lastClr="000000"/>
                </a:solidFill>
              </a:rPr>
              <a:t>Total Coli</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27455281843688034"/>
          <c:y val="0.19486111111111112"/>
          <c:w val="0.68331914035823893"/>
          <c:h val="0.59577356357683009"/>
        </c:manualLayout>
      </c:layout>
      <c:barChart>
        <c:barDir val="col"/>
        <c:grouping val="clustered"/>
        <c:varyColors val="0"/>
        <c:ser>
          <c:idx val="0"/>
          <c:order val="0"/>
          <c:spPr>
            <a:solidFill>
              <a:schemeClr val="accent1"/>
            </a:solidFill>
            <a:ln>
              <a:noFill/>
            </a:ln>
            <a:effectLst/>
          </c:spPr>
          <c:invertIfNegative val="0"/>
          <c:cat>
            <c:strRef>
              <c:f>Sheet1!$A$3:$A$8</c:f>
              <c:strCache>
                <c:ptCount val="6"/>
                <c:pt idx="0">
                  <c:v>Siak</c:v>
                </c:pt>
                <c:pt idx="1">
                  <c:v>Batanghari</c:v>
                </c:pt>
                <c:pt idx="2">
                  <c:v>Bangka Belitung</c:v>
                </c:pt>
                <c:pt idx="3">
                  <c:v>Bintan</c:v>
                </c:pt>
                <c:pt idx="4">
                  <c:v>Kapuas</c:v>
                </c:pt>
                <c:pt idx="5">
                  <c:v>South Sumatera</c:v>
                </c:pt>
              </c:strCache>
            </c:strRef>
          </c:cat>
          <c:val>
            <c:numRef>
              <c:f>Sheet1!$G$21:$G$26</c:f>
              <c:numCache>
                <c:formatCode>_(* #,##0.00_);_(* \(#,##0.00\);_(* "-"??_);_(@_)</c:formatCode>
                <c:ptCount val="6"/>
                <c:pt idx="0">
                  <c:v>56208816</c:v>
                </c:pt>
                <c:pt idx="1">
                  <c:v>7466023025.8559999</c:v>
                </c:pt>
                <c:pt idx="2">
                  <c:v>19080070.732799999</c:v>
                </c:pt>
                <c:pt idx="3">
                  <c:v>21276815.616</c:v>
                </c:pt>
                <c:pt idx="4">
                  <c:v>2177553248.6399999</c:v>
                </c:pt>
                <c:pt idx="5">
                  <c:v>274173797.37599999</c:v>
                </c:pt>
              </c:numCache>
            </c:numRef>
          </c:val>
          <c:extLst>
            <c:ext xmlns:c16="http://schemas.microsoft.com/office/drawing/2014/chart" uri="{C3380CC4-5D6E-409C-BE32-E72D297353CC}">
              <c16:uniqueId val="{00000000-6D47-4DA5-BE71-B8CB939123CF}"/>
            </c:ext>
          </c:extLst>
        </c:ser>
        <c:dLbls>
          <c:showLegendKey val="0"/>
          <c:showVal val="0"/>
          <c:showCatName val="0"/>
          <c:showSerName val="0"/>
          <c:showPercent val="0"/>
          <c:showBubbleSize val="0"/>
        </c:dLbls>
        <c:gapWidth val="219"/>
        <c:overlap val="-27"/>
        <c:axId val="414427680"/>
        <c:axId val="425765728"/>
      </c:barChart>
      <c:catAx>
        <c:axId val="41442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25765728"/>
        <c:crosses val="autoZero"/>
        <c:auto val="1"/>
        <c:lblAlgn val="ctr"/>
        <c:lblOffset val="100"/>
        <c:noMultiLvlLbl val="0"/>
      </c:catAx>
      <c:valAx>
        <c:axId val="425765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en-US" b="1">
                    <a:solidFill>
                      <a:sysClr val="windowText" lastClr="000000"/>
                    </a:solidFill>
                  </a:rPr>
                  <a:t>Load numbers</a:t>
                </a:r>
                <a:r>
                  <a:rPr lang="en-US" b="1" baseline="0">
                    <a:solidFill>
                      <a:sysClr val="windowText" lastClr="000000"/>
                    </a:solidFill>
                  </a:rPr>
                  <a:t> </a:t>
                </a:r>
                <a:r>
                  <a:rPr lang="en-US" b="1">
                    <a:solidFill>
                      <a:sysClr val="windowText" lastClr="000000"/>
                    </a:solidFill>
                  </a:rPr>
                  <a:t>/year</a:t>
                </a:r>
              </a:p>
            </c:rich>
          </c:tx>
          <c:layout>
            <c:manualLayout>
              <c:xMode val="edge"/>
              <c:yMode val="edge"/>
              <c:x val="2.7208223972003495E-2"/>
              <c:y val="0.32283938466025086"/>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n-US"/>
            </a:p>
          </c:tx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414427680"/>
        <c:crosses val="autoZero"/>
        <c:crossBetween val="between"/>
      </c:valAx>
      <c:spPr>
        <a:noFill/>
        <a:ln>
          <a:solidFill>
            <a:schemeClr val="tx1"/>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Sheet1!$G$61</c:f>
              <c:strCache>
                <c:ptCount val="1"/>
                <c:pt idx="0">
                  <c:v>2022</c:v>
                </c:pt>
              </c:strCache>
            </c:strRef>
          </c:tx>
          <c:spPr>
            <a:solidFill>
              <a:schemeClr val="accent1"/>
            </a:solidFill>
            <a:ln>
              <a:noFill/>
            </a:ln>
            <a:effectLst/>
          </c:spPr>
          <c:invertIfNegative val="0"/>
          <c:cat>
            <c:multiLvlStrRef>
              <c:f>Sheet1!$B$62:$C$88</c:f>
              <c:multiLvlStrCache>
                <c:ptCount val="27"/>
                <c:lvl>
                  <c:pt idx="0">
                    <c:v>Bintan</c:v>
                  </c:pt>
                  <c:pt idx="1">
                    <c:v>Lingga</c:v>
                  </c:pt>
                  <c:pt idx="2">
                    <c:v>Karimun</c:v>
                  </c:pt>
                  <c:pt idx="3">
                    <c:v>Kepulauan Anambas</c:v>
                  </c:pt>
                  <c:pt idx="4">
                    <c:v>Kota Batam</c:v>
                  </c:pt>
                  <c:pt idx="5">
                    <c:v>Kota Tanjung Pinang</c:v>
                  </c:pt>
                  <c:pt idx="6">
                    <c:v>Sambas</c:v>
                  </c:pt>
                  <c:pt idx="7">
                    <c:v>Mempawah</c:v>
                  </c:pt>
                  <c:pt idx="8">
                    <c:v>Sanggau</c:v>
                  </c:pt>
                  <c:pt idx="9">
                    <c:v>Kapuan Hulu</c:v>
                  </c:pt>
                  <c:pt idx="10">
                    <c:v>Kota Pontianak</c:v>
                  </c:pt>
                  <c:pt idx="11">
                    <c:v>Kota Singkawang</c:v>
                  </c:pt>
                  <c:pt idx="12">
                    <c:v>Belitung</c:v>
                  </c:pt>
                  <c:pt idx="13">
                    <c:v>Bangka Selatan</c:v>
                  </c:pt>
                  <c:pt idx="14">
                    <c:v>Bangka Tengah</c:v>
                  </c:pt>
                  <c:pt idx="15">
                    <c:v>Bangka Timur</c:v>
                  </c:pt>
                  <c:pt idx="16">
                    <c:v>Ogan Komering Ulu</c:v>
                  </c:pt>
                  <c:pt idx="17">
                    <c:v>Muara Enim</c:v>
                  </c:pt>
                  <c:pt idx="18">
                    <c:v>Lahat</c:v>
                  </c:pt>
                  <c:pt idx="19">
                    <c:v>Musi Rawas</c:v>
                  </c:pt>
                  <c:pt idx="20">
                    <c:v>Musi Banyuasin</c:v>
                  </c:pt>
                  <c:pt idx="21">
                    <c:v>Banyuasin</c:v>
                  </c:pt>
                  <c:pt idx="22">
                    <c:v>Ogan Komering Ulu Timur</c:v>
                  </c:pt>
                  <c:pt idx="23">
                    <c:v>Penukal Abab Lematang Ilir</c:v>
                  </c:pt>
                  <c:pt idx="24">
                    <c:v>Kota Pagar Alam</c:v>
                  </c:pt>
                  <c:pt idx="25">
                    <c:v>Kota Prabumulih</c:v>
                  </c:pt>
                  <c:pt idx="26">
                    <c:v>Bungo</c:v>
                  </c:pt>
                </c:lvl>
                <c:lvl>
                  <c:pt idx="0">
                    <c:v>Riau Islands</c:v>
                  </c:pt>
                  <c:pt idx="7">
                    <c:v>West Kalimantan</c:v>
                  </c:pt>
                  <c:pt idx="12">
                    <c:v>Bangka Belitung</c:v>
                  </c:pt>
                  <c:pt idx="16">
                    <c:v>South Sumatera</c:v>
                  </c:pt>
                  <c:pt idx="26">
                    <c:v>Jambi</c:v>
                  </c:pt>
                </c:lvl>
              </c:multiLvlStrCache>
            </c:multiLvlStrRef>
          </c:cat>
          <c:val>
            <c:numRef>
              <c:f>Sheet1!$G$62:$G$88</c:f>
              <c:numCache>
                <c:formatCode>#,##0.00</c:formatCode>
                <c:ptCount val="27"/>
                <c:pt idx="0">
                  <c:v>20409.89</c:v>
                </c:pt>
                <c:pt idx="1">
                  <c:v>10376.549999999999</c:v>
                </c:pt>
                <c:pt idx="2" formatCode="General">
                  <c:v>0</c:v>
                </c:pt>
                <c:pt idx="3" formatCode="General">
                  <c:v>0</c:v>
                </c:pt>
                <c:pt idx="4">
                  <c:v>413461.6</c:v>
                </c:pt>
                <c:pt idx="5">
                  <c:v>56905.36</c:v>
                </c:pt>
                <c:pt idx="6">
                  <c:v>116112</c:v>
                </c:pt>
                <c:pt idx="7">
                  <c:v>30669.65</c:v>
                </c:pt>
                <c:pt idx="8">
                  <c:v>89841.83</c:v>
                </c:pt>
                <c:pt idx="9" formatCode="General">
                  <c:v>0</c:v>
                </c:pt>
                <c:pt idx="10" formatCode="General">
                  <c:v>0</c:v>
                </c:pt>
                <c:pt idx="11" formatCode="General">
                  <c:v>0</c:v>
                </c:pt>
                <c:pt idx="12">
                  <c:v>26864.58</c:v>
                </c:pt>
                <c:pt idx="13" formatCode="General">
                  <c:v>0</c:v>
                </c:pt>
                <c:pt idx="14">
                  <c:v>30061.11</c:v>
                </c:pt>
                <c:pt idx="15" formatCode="General">
                  <c:v>0</c:v>
                </c:pt>
                <c:pt idx="16">
                  <c:v>55556.87</c:v>
                </c:pt>
                <c:pt idx="17" formatCode="General">
                  <c:v>0</c:v>
                </c:pt>
                <c:pt idx="18" formatCode="General">
                  <c:v>0</c:v>
                </c:pt>
                <c:pt idx="19">
                  <c:v>93259.27</c:v>
                </c:pt>
                <c:pt idx="20">
                  <c:v>94145.47</c:v>
                </c:pt>
                <c:pt idx="21">
                  <c:v>211235.9</c:v>
                </c:pt>
                <c:pt idx="22">
                  <c:v>102981.68</c:v>
                </c:pt>
                <c:pt idx="23">
                  <c:v>37316.32</c:v>
                </c:pt>
                <c:pt idx="24" formatCode="General">
                  <c:v>0</c:v>
                </c:pt>
                <c:pt idx="25">
                  <c:v>35918.19</c:v>
                </c:pt>
                <c:pt idx="26">
                  <c:v>159688.01</c:v>
                </c:pt>
              </c:numCache>
            </c:numRef>
          </c:val>
          <c:extLst>
            <c:ext xmlns:c16="http://schemas.microsoft.com/office/drawing/2014/chart" uri="{C3380CC4-5D6E-409C-BE32-E72D297353CC}">
              <c16:uniqueId val="{00000000-C93C-453C-A554-670E0986BDBA}"/>
            </c:ext>
          </c:extLst>
        </c:ser>
        <c:ser>
          <c:idx val="1"/>
          <c:order val="1"/>
          <c:tx>
            <c:strRef>
              <c:f>Sheet1!$H$61</c:f>
              <c:strCache>
                <c:ptCount val="1"/>
                <c:pt idx="0">
                  <c:v>2023</c:v>
                </c:pt>
              </c:strCache>
            </c:strRef>
          </c:tx>
          <c:spPr>
            <a:solidFill>
              <a:schemeClr val="accent2"/>
            </a:solidFill>
            <a:ln>
              <a:noFill/>
            </a:ln>
            <a:effectLst/>
          </c:spPr>
          <c:invertIfNegative val="0"/>
          <c:cat>
            <c:multiLvlStrRef>
              <c:f>Sheet1!$B$62:$C$88</c:f>
              <c:multiLvlStrCache>
                <c:ptCount val="27"/>
                <c:lvl>
                  <c:pt idx="0">
                    <c:v>Bintan</c:v>
                  </c:pt>
                  <c:pt idx="1">
                    <c:v>Lingga</c:v>
                  </c:pt>
                  <c:pt idx="2">
                    <c:v>Karimun</c:v>
                  </c:pt>
                  <c:pt idx="3">
                    <c:v>Kepulauan Anambas</c:v>
                  </c:pt>
                  <c:pt idx="4">
                    <c:v>Kota Batam</c:v>
                  </c:pt>
                  <c:pt idx="5">
                    <c:v>Kota Tanjung Pinang</c:v>
                  </c:pt>
                  <c:pt idx="6">
                    <c:v>Sambas</c:v>
                  </c:pt>
                  <c:pt idx="7">
                    <c:v>Mempawah</c:v>
                  </c:pt>
                  <c:pt idx="8">
                    <c:v>Sanggau</c:v>
                  </c:pt>
                  <c:pt idx="9">
                    <c:v>Kapuan Hulu</c:v>
                  </c:pt>
                  <c:pt idx="10">
                    <c:v>Kota Pontianak</c:v>
                  </c:pt>
                  <c:pt idx="11">
                    <c:v>Kota Singkawang</c:v>
                  </c:pt>
                  <c:pt idx="12">
                    <c:v>Belitung</c:v>
                  </c:pt>
                  <c:pt idx="13">
                    <c:v>Bangka Selatan</c:v>
                  </c:pt>
                  <c:pt idx="14">
                    <c:v>Bangka Tengah</c:v>
                  </c:pt>
                  <c:pt idx="15">
                    <c:v>Bangka Timur</c:v>
                  </c:pt>
                  <c:pt idx="16">
                    <c:v>Ogan Komering Ulu</c:v>
                  </c:pt>
                  <c:pt idx="17">
                    <c:v>Muara Enim</c:v>
                  </c:pt>
                  <c:pt idx="18">
                    <c:v>Lahat</c:v>
                  </c:pt>
                  <c:pt idx="19">
                    <c:v>Musi Rawas</c:v>
                  </c:pt>
                  <c:pt idx="20">
                    <c:v>Musi Banyuasin</c:v>
                  </c:pt>
                  <c:pt idx="21">
                    <c:v>Banyuasin</c:v>
                  </c:pt>
                  <c:pt idx="22">
                    <c:v>Ogan Komering Ulu Timur</c:v>
                  </c:pt>
                  <c:pt idx="23">
                    <c:v>Penukal Abab Lematang Ilir</c:v>
                  </c:pt>
                  <c:pt idx="24">
                    <c:v>Kota Pagar Alam</c:v>
                  </c:pt>
                  <c:pt idx="25">
                    <c:v>Kota Prabumulih</c:v>
                  </c:pt>
                  <c:pt idx="26">
                    <c:v>Bungo</c:v>
                  </c:pt>
                </c:lvl>
                <c:lvl>
                  <c:pt idx="0">
                    <c:v>Riau Islands</c:v>
                  </c:pt>
                  <c:pt idx="7">
                    <c:v>West Kalimantan</c:v>
                  </c:pt>
                  <c:pt idx="12">
                    <c:v>Bangka Belitung</c:v>
                  </c:pt>
                  <c:pt idx="16">
                    <c:v>South Sumatera</c:v>
                  </c:pt>
                  <c:pt idx="26">
                    <c:v>Jambi</c:v>
                  </c:pt>
                </c:lvl>
              </c:multiLvlStrCache>
            </c:multiLvlStrRef>
          </c:cat>
          <c:val>
            <c:numRef>
              <c:f>Sheet1!$H$62:$H$88</c:f>
              <c:numCache>
                <c:formatCode>General</c:formatCode>
                <c:ptCount val="27"/>
                <c:pt idx="0" formatCode="#,##0.00">
                  <c:v>20409.89</c:v>
                </c:pt>
                <c:pt idx="1">
                  <c:v>0</c:v>
                </c:pt>
                <c:pt idx="2" formatCode="#,##0.00">
                  <c:v>71422.210000000006</c:v>
                </c:pt>
                <c:pt idx="3" formatCode="#,##0.00">
                  <c:v>4876.8</c:v>
                </c:pt>
                <c:pt idx="4" formatCode="#,##0.00">
                  <c:v>423054.13</c:v>
                </c:pt>
                <c:pt idx="5" formatCode="#,##0.00">
                  <c:v>55715.79</c:v>
                </c:pt>
                <c:pt idx="6">
                  <c:v>0</c:v>
                </c:pt>
                <c:pt idx="7" formatCode="#,##0.00">
                  <c:v>30769.279999999999</c:v>
                </c:pt>
                <c:pt idx="8" formatCode="#,##0.00">
                  <c:v>91225.36</c:v>
                </c:pt>
                <c:pt idx="9" formatCode="#,##0.00">
                  <c:v>49063.3</c:v>
                </c:pt>
                <c:pt idx="10" formatCode="#,##0.00">
                  <c:v>161286.82</c:v>
                </c:pt>
                <c:pt idx="11" formatCode="#,##0.00">
                  <c:v>34813.5</c:v>
                </c:pt>
                <c:pt idx="12" formatCode="#,##0.00">
                  <c:v>27405.95</c:v>
                </c:pt>
                <c:pt idx="13" formatCode="#,##0.00">
                  <c:v>30710.22</c:v>
                </c:pt>
                <c:pt idx="14" formatCode="#,##0.00">
                  <c:v>30604.52</c:v>
                </c:pt>
                <c:pt idx="15" formatCode="#,##0.00">
                  <c:v>19169.36</c:v>
                </c:pt>
                <c:pt idx="16">
                  <c:v>0</c:v>
                </c:pt>
                <c:pt idx="17" formatCode="#,##0.00">
                  <c:v>84971.42</c:v>
                </c:pt>
                <c:pt idx="18" formatCode="#,##0.00">
                  <c:v>98053.34</c:v>
                </c:pt>
                <c:pt idx="20" formatCode="#,##0.00">
                  <c:v>92436.1</c:v>
                </c:pt>
                <c:pt idx="21">
                  <c:v>0</c:v>
                </c:pt>
                <c:pt idx="22">
                  <c:v>0</c:v>
                </c:pt>
                <c:pt idx="23">
                  <c:v>0</c:v>
                </c:pt>
                <c:pt idx="24" formatCode="#,##0.00">
                  <c:v>26980.07</c:v>
                </c:pt>
                <c:pt idx="25" formatCode="#,##0.00">
                  <c:v>36405.83</c:v>
                </c:pt>
                <c:pt idx="26" formatCode="#,##0.00">
                  <c:v>59014.11</c:v>
                </c:pt>
              </c:numCache>
            </c:numRef>
          </c:val>
          <c:extLst>
            <c:ext xmlns:c16="http://schemas.microsoft.com/office/drawing/2014/chart" uri="{C3380CC4-5D6E-409C-BE32-E72D297353CC}">
              <c16:uniqueId val="{00000001-C93C-453C-A554-670E0986BDBA}"/>
            </c:ext>
          </c:extLst>
        </c:ser>
        <c:dLbls>
          <c:showLegendKey val="0"/>
          <c:showVal val="0"/>
          <c:showCatName val="0"/>
          <c:showSerName val="0"/>
          <c:showPercent val="0"/>
          <c:showBubbleSize val="0"/>
        </c:dLbls>
        <c:gapWidth val="219"/>
        <c:overlap val="-27"/>
        <c:axId val="817144623"/>
        <c:axId val="67808655"/>
      </c:barChart>
      <c:catAx>
        <c:axId val="8171446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808655"/>
        <c:crosses val="autoZero"/>
        <c:auto val="1"/>
        <c:lblAlgn val="ctr"/>
        <c:lblOffset val="100"/>
        <c:noMultiLvlLbl val="0"/>
      </c:catAx>
      <c:valAx>
        <c:axId val="678086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Tonnes/ Year</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171446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a:solidFill>
          <a:schemeClr val="tx1">
            <a:lumMod val="35000"/>
            <a:lumOff val="65000"/>
          </a:schemeClr>
        </a:solidFill>
        <a:round/>
      </a:ln>
    </cs:spPr>
  </cs:dropLine>
  <cs:errorBar>
    <cs:lnRef idx="0"/>
    <cs:fillRef idx="0"/>
    <cs:effectRef idx="0"/>
    <cs:fontRef idx="minor">
      <a:schemeClr val="tx1"/>
    </cs:fontRef>
    <cs:spPr>
      <a:ln w="9525">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a:solidFill>
          <a:schemeClr val="tx1">
            <a:lumMod val="15000"/>
            <a:lumOff val="85000"/>
          </a:schemeClr>
        </a:solidFill>
        <a:round/>
      </a:ln>
    </cs:spPr>
  </cs:gridlineMajor>
  <cs:gridlineMinor>
    <cs:lnRef idx="0"/>
    <cs:fillRef idx="0"/>
    <cs:effectRef idx="0"/>
    <cs:fontRef idx="minor">
      <a:schemeClr val="tx1"/>
    </cs:fontRef>
    <cs:spPr>
      <a:ln w="9525">
        <a:solidFill>
          <a:schemeClr val="tx1">
            <a:lumMod val="5000"/>
            <a:lumOff val="95000"/>
          </a:schemeClr>
        </a:solidFill>
        <a:round/>
      </a:ln>
    </cs:spPr>
  </cs:gridlineMinor>
  <cs:hiLoLine>
    <cs:lnRef idx="0"/>
    <cs:fillRef idx="0"/>
    <cs:effectRef idx="0"/>
    <cs:fontRef idx="minor">
      <a:schemeClr val="tx1"/>
    </cs:fontRef>
    <cs:spPr>
      <a:ln w="9525">
        <a:solidFill>
          <a:schemeClr val="tx1">
            <a:lumMod val="75000"/>
            <a:lumOff val="25000"/>
          </a:schemeClr>
        </a:solidFill>
        <a:round/>
      </a:ln>
    </cs:spPr>
  </cs:hiLoLine>
  <cs:leaderLine>
    <cs:lnRef idx="0"/>
    <cs:fillRef idx="0"/>
    <cs:effectRef idx="0"/>
    <cs:fontRef idx="minor">
      <a:schemeClr val="tx1"/>
    </cs:fontRef>
    <cs:spPr>
      <a:ln w="9525">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c0fnsfZgmvWMdUOQnKNjCpNvQ==">CgMxLjAyDmguYmVzMmVsaTV6OXI2Mg5oLmNydTZ1dTFvY3IzbDINaC44bmo1eHB5anluNjIOaC51cWxhemdjZW9oaTIyDmguN2VxNDEzc2cwNjF6Mg5oLmFjYWd4YWRoaWluYjIIaC5namRneHMyDmguaHZqbHBvOTlucGc2OAByITFIRXN6N0oyN2hUVWxiS1lFSmVlaDQ4cnpMX1JnUWVFNw==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971553D-E239-46CB-AA89-EDCF4097A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199</Pages>
  <Words>59703</Words>
  <Characters>340313</Characters>
  <Application>Microsoft Office Word</Application>
  <DocSecurity>0</DocSecurity>
  <Lines>2835</Lines>
  <Paragraphs>798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SCS SAP Inception Team</dc:creator>
  <cp:lastModifiedBy>Reviewer</cp:lastModifiedBy>
  <cp:revision>3</cp:revision>
  <cp:lastPrinted>2025-12-22T05:09:00Z</cp:lastPrinted>
  <dcterms:created xsi:type="dcterms:W3CDTF">2025-12-22T05:09:00Z</dcterms:created>
  <dcterms:modified xsi:type="dcterms:W3CDTF">2025-12-22T05:09:00Z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6fdcc359-8384-4f5d-8f66-0ec35e1aef22</vt:lpwstr>
  </property>
</Properties>
</file>