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E9020B" w14:textId="77777777" w:rsidR="00394091" w:rsidRPr="00150993" w:rsidRDefault="00394091" w:rsidP="00D34E25">
      <w:pPr>
        <w:rPr>
          <w:rFonts w:ascii="Arial" w:hAnsi="Arial" w:cs="Arial"/>
          <w:b/>
          <w:bCs/>
          <w:sz w:val="32"/>
          <w:szCs w:val="32"/>
        </w:rPr>
      </w:pPr>
      <w:bookmarkStart w:id="0" w:name="_Hlk215136087"/>
      <w:bookmarkEnd w:id="0"/>
    </w:p>
    <w:p w14:paraId="6F00661D" w14:textId="77777777" w:rsidR="007A385A" w:rsidRPr="00150993" w:rsidRDefault="007A385A" w:rsidP="00D34E25">
      <w:pPr>
        <w:rPr>
          <w:rFonts w:ascii="Arial" w:hAnsi="Arial" w:cs="Arial"/>
          <w:b/>
          <w:bCs/>
          <w:sz w:val="32"/>
          <w:szCs w:val="32"/>
        </w:rPr>
      </w:pPr>
    </w:p>
    <w:p w14:paraId="7D5A6C21" w14:textId="77777777" w:rsidR="00D21CB7" w:rsidRDefault="00D21CB7" w:rsidP="00A70829">
      <w:pPr>
        <w:ind w:left="1985" w:hanging="1985"/>
        <w:rPr>
          <w:rFonts w:ascii="Arial" w:hAnsi="Arial" w:cs="Arial"/>
          <w:b/>
          <w:bCs/>
          <w:color w:val="002060"/>
          <w:sz w:val="40"/>
          <w:szCs w:val="40"/>
        </w:rPr>
      </w:pPr>
      <w:r w:rsidRPr="00150993">
        <w:rPr>
          <w:rFonts w:ascii="Arial" w:hAnsi="Arial" w:cs="Arial"/>
          <w:b/>
          <w:bCs/>
          <w:sz w:val="40"/>
          <w:szCs w:val="40"/>
        </w:rPr>
        <w:t xml:space="preserve">Chapter 2 </w:t>
      </w:r>
      <w:r w:rsidR="00D34E25" w:rsidRPr="00150993">
        <w:rPr>
          <w:rFonts w:ascii="Arial" w:hAnsi="Arial" w:cs="Arial"/>
          <w:b/>
          <w:bCs/>
          <w:color w:val="002060"/>
          <w:sz w:val="40"/>
          <w:szCs w:val="40"/>
        </w:rPr>
        <w:t>Socio-economics and Climate-related Threats</w:t>
      </w:r>
    </w:p>
    <w:p w14:paraId="79A711E0" w14:textId="77777777" w:rsidR="00A70829" w:rsidRDefault="00A70829" w:rsidP="00D34E25">
      <w:pPr>
        <w:rPr>
          <w:rFonts w:ascii="Arial" w:hAnsi="Arial" w:cs="Arial"/>
          <w:b/>
          <w:bCs/>
          <w:color w:val="002060"/>
          <w:sz w:val="40"/>
          <w:szCs w:val="40"/>
        </w:rPr>
      </w:pPr>
    </w:p>
    <w:p w14:paraId="47E25CDC" w14:textId="77777777" w:rsidR="00A70829" w:rsidRDefault="00A70829" w:rsidP="00D34E25">
      <w:pPr>
        <w:rPr>
          <w:rFonts w:ascii="Arial" w:hAnsi="Arial" w:cs="Arial"/>
          <w:b/>
          <w:bCs/>
          <w:color w:val="002060"/>
          <w:sz w:val="40"/>
          <w:szCs w:val="40"/>
        </w:rPr>
      </w:pPr>
    </w:p>
    <w:p w14:paraId="707DB7CD" w14:textId="77777777" w:rsidR="00A70829" w:rsidRDefault="00A70829" w:rsidP="00D34E25">
      <w:pPr>
        <w:rPr>
          <w:rFonts w:ascii="Arial" w:hAnsi="Arial" w:cs="Arial"/>
          <w:b/>
          <w:bCs/>
          <w:color w:val="002060"/>
          <w:sz w:val="40"/>
          <w:szCs w:val="40"/>
        </w:rPr>
      </w:pPr>
    </w:p>
    <w:p w14:paraId="21E933E0" w14:textId="77777777" w:rsidR="00A70829" w:rsidRDefault="00A70829" w:rsidP="00D34E25">
      <w:pPr>
        <w:rPr>
          <w:rFonts w:ascii="Arial" w:hAnsi="Arial" w:cs="Arial"/>
          <w:b/>
          <w:bCs/>
          <w:color w:val="002060"/>
          <w:sz w:val="40"/>
          <w:szCs w:val="40"/>
        </w:rPr>
      </w:pPr>
    </w:p>
    <w:p w14:paraId="037CB7FB" w14:textId="77777777" w:rsidR="00A70829" w:rsidRPr="00F43B5D" w:rsidRDefault="00A70829" w:rsidP="00A70829">
      <w:pPr>
        <w:jc w:val="center"/>
        <w:rPr>
          <w:rFonts w:ascii="Arial" w:hAnsi="Arial" w:cs="Arial"/>
          <w:b/>
          <w:bCs/>
          <w:color w:val="000000" w:themeColor="text1"/>
          <w:sz w:val="28"/>
        </w:rPr>
      </w:pPr>
      <w:r w:rsidRPr="00F43B5D">
        <w:rPr>
          <w:rFonts w:ascii="Arial" w:hAnsi="Arial" w:cs="Arial"/>
          <w:b/>
          <w:bCs/>
          <w:color w:val="000000" w:themeColor="text1"/>
          <w:sz w:val="28"/>
        </w:rPr>
        <w:t>“Implementing the Strategic Action Programme for the South China Sea and Gulf of Thailand (SCS SAP Project)”</w:t>
      </w:r>
    </w:p>
    <w:p w14:paraId="36129F79" w14:textId="77777777" w:rsidR="00A70829" w:rsidRPr="00150993" w:rsidRDefault="00A70829" w:rsidP="00D34E25">
      <w:pPr>
        <w:rPr>
          <w:rFonts w:ascii="Arial" w:hAnsi="Arial" w:cs="Arial"/>
          <w:b/>
          <w:bCs/>
          <w:sz w:val="40"/>
          <w:szCs w:val="40"/>
        </w:rPr>
      </w:pPr>
    </w:p>
    <w:p w14:paraId="10F32919" w14:textId="77777777" w:rsidR="00394091" w:rsidRPr="00150993" w:rsidRDefault="00394091" w:rsidP="00D34E25">
      <w:pPr>
        <w:rPr>
          <w:rFonts w:ascii="Arial" w:hAnsi="Arial" w:cs="Arial"/>
          <w:b/>
          <w:bCs/>
          <w:sz w:val="32"/>
          <w:szCs w:val="32"/>
        </w:rPr>
      </w:pPr>
    </w:p>
    <w:p w14:paraId="5B7C6857" w14:textId="77777777" w:rsidR="007A385A" w:rsidRPr="00150993" w:rsidRDefault="007A385A" w:rsidP="00D34E25">
      <w:pPr>
        <w:rPr>
          <w:rFonts w:ascii="Arial" w:hAnsi="Arial" w:cs="Arial"/>
          <w:b/>
          <w:bCs/>
        </w:rPr>
      </w:pPr>
    </w:p>
    <w:p w14:paraId="4EBBBDA7" w14:textId="77777777" w:rsidR="007A385A" w:rsidRPr="00150993" w:rsidRDefault="007A385A" w:rsidP="00D34E25">
      <w:pPr>
        <w:rPr>
          <w:rFonts w:ascii="Arial" w:hAnsi="Arial" w:cs="Arial"/>
          <w:b/>
          <w:bCs/>
        </w:rPr>
      </w:pPr>
    </w:p>
    <w:p w14:paraId="136786AA" w14:textId="77777777" w:rsidR="007A385A" w:rsidRPr="00150993" w:rsidRDefault="007A385A" w:rsidP="00D34E25">
      <w:pPr>
        <w:rPr>
          <w:rFonts w:ascii="Arial" w:hAnsi="Arial" w:cs="Arial"/>
          <w:b/>
          <w:bCs/>
        </w:rPr>
      </w:pPr>
    </w:p>
    <w:p w14:paraId="05A5D6D1" w14:textId="77777777" w:rsidR="007A385A" w:rsidRPr="00150993" w:rsidRDefault="007A385A" w:rsidP="00D34E25">
      <w:pPr>
        <w:rPr>
          <w:rFonts w:ascii="Arial" w:hAnsi="Arial" w:cs="Arial"/>
          <w:b/>
          <w:bCs/>
        </w:rPr>
      </w:pPr>
    </w:p>
    <w:p w14:paraId="462EC619" w14:textId="77777777" w:rsidR="007A385A" w:rsidRPr="00150993" w:rsidRDefault="007A385A" w:rsidP="00D34E25">
      <w:pPr>
        <w:rPr>
          <w:rFonts w:ascii="Arial" w:hAnsi="Arial" w:cs="Arial"/>
          <w:b/>
          <w:bCs/>
        </w:rPr>
      </w:pPr>
    </w:p>
    <w:p w14:paraId="0B729370" w14:textId="77777777" w:rsidR="007A385A" w:rsidRPr="00150993" w:rsidRDefault="007A385A" w:rsidP="00D34E25">
      <w:pPr>
        <w:rPr>
          <w:rFonts w:ascii="Arial" w:hAnsi="Arial" w:cs="Arial"/>
          <w:b/>
          <w:bCs/>
        </w:rPr>
      </w:pPr>
    </w:p>
    <w:p w14:paraId="458EE7CF" w14:textId="77777777" w:rsidR="007A385A" w:rsidRPr="00150993" w:rsidRDefault="007A385A" w:rsidP="00D34E25">
      <w:pPr>
        <w:rPr>
          <w:rFonts w:ascii="Arial" w:hAnsi="Arial" w:cs="Arial"/>
          <w:b/>
          <w:bCs/>
        </w:rPr>
      </w:pPr>
    </w:p>
    <w:p w14:paraId="165FCBEA" w14:textId="0108FE6A" w:rsidR="007A385A" w:rsidRPr="00150993" w:rsidRDefault="007A385A" w:rsidP="007A385A">
      <w:pPr>
        <w:spacing w:line="276" w:lineRule="auto"/>
        <w:rPr>
          <w:rFonts w:ascii="Arial" w:hAnsi="Arial" w:cs="Arial"/>
          <w:b/>
          <w:bCs/>
        </w:rPr>
      </w:pPr>
      <w:r w:rsidRPr="00150993">
        <w:rPr>
          <w:rFonts w:ascii="Arial" w:hAnsi="Arial" w:cs="Arial"/>
          <w:b/>
          <w:bCs/>
        </w:rPr>
        <w:t xml:space="preserve">Version: </w:t>
      </w:r>
      <w:r w:rsidR="007A1A6F">
        <w:rPr>
          <w:rFonts w:ascii="Arial" w:hAnsi="Arial" w:cs="Arial"/>
        </w:rPr>
        <w:t>Fourth</w:t>
      </w:r>
      <w:r w:rsidRPr="00150993">
        <w:rPr>
          <w:rFonts w:ascii="Arial" w:hAnsi="Arial" w:cs="Arial"/>
        </w:rPr>
        <w:t xml:space="preserve"> Draft</w:t>
      </w:r>
    </w:p>
    <w:p w14:paraId="741E9012" w14:textId="796EF744" w:rsidR="007A385A" w:rsidRPr="00150993" w:rsidRDefault="007A385A" w:rsidP="007A385A">
      <w:pPr>
        <w:spacing w:line="276" w:lineRule="auto"/>
        <w:rPr>
          <w:rFonts w:ascii="Arial" w:hAnsi="Arial" w:cs="Arial"/>
          <w:b/>
          <w:bCs/>
        </w:rPr>
      </w:pPr>
      <w:r w:rsidRPr="00150993">
        <w:rPr>
          <w:rFonts w:ascii="Arial" w:hAnsi="Arial" w:cs="Arial"/>
          <w:b/>
          <w:bCs/>
        </w:rPr>
        <w:t xml:space="preserve">Date: </w:t>
      </w:r>
      <w:r w:rsidR="007A1A6F">
        <w:rPr>
          <w:rFonts w:ascii="Arial" w:hAnsi="Arial" w:cs="Arial"/>
        </w:rPr>
        <w:t>2</w:t>
      </w:r>
      <w:r w:rsidR="000B1A6D">
        <w:rPr>
          <w:rFonts w:ascii="Arial" w:hAnsi="Arial" w:cs="Arial"/>
        </w:rPr>
        <w:t>1</w:t>
      </w:r>
      <w:r w:rsidR="000B1A6D" w:rsidRPr="000B1A6D">
        <w:rPr>
          <w:rFonts w:ascii="Arial" w:hAnsi="Arial" w:cs="Arial"/>
          <w:vertAlign w:val="superscript"/>
        </w:rPr>
        <w:t>st</w:t>
      </w:r>
      <w:r w:rsidR="000B1A6D">
        <w:rPr>
          <w:rFonts w:ascii="Arial" w:hAnsi="Arial" w:cs="Arial"/>
        </w:rPr>
        <w:t xml:space="preserve"> </w:t>
      </w:r>
      <w:r w:rsidR="00E342D5">
        <w:rPr>
          <w:rFonts w:ascii="Arial" w:hAnsi="Arial" w:cs="Arial"/>
        </w:rPr>
        <w:t>December</w:t>
      </w:r>
      <w:r w:rsidRPr="00150993">
        <w:rPr>
          <w:rFonts w:ascii="Arial" w:hAnsi="Arial" w:cs="Arial"/>
        </w:rPr>
        <w:t xml:space="preserve"> 2025</w:t>
      </w:r>
    </w:p>
    <w:p w14:paraId="021DA5E8" w14:textId="4A54BA71" w:rsidR="00602443" w:rsidRDefault="007A385A" w:rsidP="00E215E5">
      <w:pPr>
        <w:spacing w:line="276" w:lineRule="auto"/>
        <w:rPr>
          <w:rFonts w:ascii="Arial" w:hAnsi="Arial" w:cs="Arial"/>
        </w:rPr>
      </w:pPr>
      <w:r w:rsidRPr="00150993">
        <w:rPr>
          <w:rFonts w:ascii="Arial" w:hAnsi="Arial" w:cs="Arial"/>
          <w:b/>
          <w:bCs/>
        </w:rPr>
        <w:t xml:space="preserve">Country: </w:t>
      </w:r>
      <w:r w:rsidRPr="00150993">
        <w:rPr>
          <w:rFonts w:ascii="Arial" w:hAnsi="Arial" w:cs="Arial"/>
        </w:rPr>
        <w:t xml:space="preserve">Cambodia </w:t>
      </w:r>
      <w:r w:rsidR="003135F4" w:rsidRPr="00150993">
        <w:rPr>
          <w:rFonts w:ascii="Arial" w:hAnsi="Arial" w:cs="Arial"/>
        </w:rPr>
        <w:t>[</w:t>
      </w:r>
      <w:r w:rsidRPr="00150993">
        <w:rPr>
          <w:rFonts w:ascii="Arial" w:hAnsi="Arial" w:cs="Arial"/>
        </w:rPr>
        <w:t>KH</w:t>
      </w:r>
      <w:r w:rsidR="00E215E5" w:rsidRPr="00150993">
        <w:rPr>
          <w:rFonts w:ascii="Arial" w:hAnsi="Arial" w:cs="Arial"/>
        </w:rPr>
        <w:t>M]</w:t>
      </w:r>
    </w:p>
    <w:p w14:paraId="3E54C5A7" w14:textId="77777777" w:rsidR="008764B6" w:rsidRPr="006D1C44" w:rsidRDefault="00602443" w:rsidP="008764B6">
      <w:pPr>
        <w:rPr>
          <w:rFonts w:ascii="Arial" w:hAnsi="Arial" w:cs="Arial"/>
          <w:b/>
          <w:bCs/>
          <w:i/>
          <w:iCs/>
        </w:rPr>
      </w:pPr>
      <w:r>
        <w:rPr>
          <w:rFonts w:ascii="Arial" w:hAnsi="Arial" w:cs="Arial"/>
        </w:rPr>
        <w:br w:type="column"/>
      </w:r>
      <w:r w:rsidR="008764B6" w:rsidRPr="006D1C44">
        <w:rPr>
          <w:rFonts w:ascii="Arial" w:hAnsi="Arial" w:cs="Arial"/>
          <w:b/>
          <w:bCs/>
          <w:i/>
          <w:iCs/>
        </w:rPr>
        <w:lastRenderedPageBreak/>
        <w:t>Abstract</w:t>
      </w:r>
    </w:p>
    <w:p w14:paraId="552F6452" w14:textId="1C0A683C" w:rsidR="008764B6" w:rsidRPr="00B77C8F" w:rsidRDefault="008764B6" w:rsidP="008764B6">
      <w:pPr>
        <w:pStyle w:val="NormalWeb"/>
        <w:jc w:val="both"/>
        <w:rPr>
          <w:rStyle w:val="relative"/>
          <w:rFonts w:ascii="Arial" w:eastAsiaTheme="majorEastAsia" w:hAnsi="Arial" w:cs="Arial"/>
          <w:sz w:val="22"/>
          <w:szCs w:val="22"/>
        </w:rPr>
      </w:pPr>
      <w:r w:rsidRPr="008764B6">
        <w:rPr>
          <w:rFonts w:ascii="Arial" w:hAnsi="Arial" w:cs="Arial"/>
          <w:sz w:val="22"/>
          <w:szCs w:val="22"/>
        </w:rPr>
        <w:t>Cambodia’s socio-economic profile and climate-related threats are assessed with a focus on the four coastal provinces (Preah Sihanouk, Kampot, Kep, and Koh Kong). Rapid but uneven coastal change—population and household growth, accelerating urbanization, and the concentration of assets and livelihoods in coastal hubs, especially Preah Sihanouk—has increased exposure to flooding and climate shocks. Human development has improved (national HDI 0.606 in 2023), yet inequality and spatial disparities persist; poverty declined over the long term but remained vulnerable to reversals during COVID-19, with uneven patterns across coastal provinces. Economically, strong growth and diversification toward industry and services, including tourism and port-related activity, have raised incomes while amplifying risk where infrastructure, workers, and settlements cluster in low-lying coastal corridors. Major hazards and impacts are synthesized: floods remain the deadliest, droughts affect the largest populations, and storms and lightning add compound risks; sea-level rise and ocean warming elevate coastal flood baselines, salinity intrusion, and ecosystem stress affecting fisheries and tourism. Overall disaster risk is “medium,” but river-flood exposure is very high and coping capacity remains constrained, underscoring the need for integrated basin-to-coast risk management. Priority directions include risk-informed urban and port planning, improved drainage and early warning, protection and restoration of ecosystem buffers, drought–salinity water security, and inclusive human development and livelihood diversification to reduce vulnerability along coastal growth pathways.</w:t>
      </w:r>
    </w:p>
    <w:p w14:paraId="17D10FB8" w14:textId="2612B973" w:rsidR="00A21F58" w:rsidRPr="008764B6" w:rsidRDefault="008764B6" w:rsidP="008764B6">
      <w:pPr>
        <w:jc w:val="both"/>
        <w:rPr>
          <w:rFonts w:ascii="Arial" w:hAnsi="Arial" w:cs="Arial"/>
          <w:i/>
          <w:iCs/>
          <w:sz w:val="22"/>
          <w:szCs w:val="22"/>
        </w:rPr>
        <w:sectPr w:rsidR="00A21F58" w:rsidRPr="008764B6" w:rsidSect="00394091">
          <w:footerReference w:type="default" r:id="rId8"/>
          <w:pgSz w:w="11900" w:h="16840"/>
          <w:pgMar w:top="1701" w:right="1440" w:bottom="1440" w:left="1440" w:header="720" w:footer="720" w:gutter="0"/>
          <w:pgNumType w:fmt="lowerRoman" w:start="1"/>
          <w:cols w:space="720"/>
          <w:docGrid w:linePitch="360"/>
        </w:sectPr>
      </w:pPr>
      <w:r w:rsidRPr="00CD2D9E">
        <w:rPr>
          <w:rFonts w:ascii="Arial" w:hAnsi="Arial" w:cs="Arial"/>
          <w:b/>
          <w:bCs/>
          <w:i/>
          <w:iCs/>
        </w:rPr>
        <w:t xml:space="preserve">Keywords: </w:t>
      </w:r>
      <w:r w:rsidRPr="008764B6">
        <w:rPr>
          <w:rFonts w:ascii="Arial" w:hAnsi="Arial" w:cs="Arial"/>
          <w:i/>
          <w:iCs/>
          <w:sz w:val="22"/>
          <w:szCs w:val="22"/>
        </w:rPr>
        <w:t>Cambodia; coastal provinces; socio-economic</w:t>
      </w:r>
      <w:r>
        <w:rPr>
          <w:rFonts w:ascii="Arial" w:hAnsi="Arial" w:cs="Arial"/>
          <w:i/>
          <w:iCs/>
          <w:sz w:val="22"/>
          <w:szCs w:val="22"/>
        </w:rPr>
        <w:t xml:space="preserve">, </w:t>
      </w:r>
      <w:r w:rsidRPr="008764B6">
        <w:rPr>
          <w:rFonts w:ascii="Arial" w:hAnsi="Arial" w:cs="Arial"/>
          <w:i/>
          <w:iCs/>
          <w:sz w:val="22"/>
          <w:szCs w:val="22"/>
        </w:rPr>
        <w:t>urbanization; vulnerability; poverty; inequality; HDI/IHDI; disaster risk; floods; drought; sea-level rise; salinity intrusion; tourism; ports and logistics; fisheries; early warning; risk-informed planning.</w:t>
      </w:r>
    </w:p>
    <w:p w14:paraId="46725D85" w14:textId="40A0DCDA" w:rsidR="00737B2B" w:rsidRPr="009413E2" w:rsidRDefault="00E215E5" w:rsidP="009413E2">
      <w:pPr>
        <w:pStyle w:val="Heading1"/>
      </w:pPr>
      <w:bookmarkStart w:id="1" w:name="_Toc213424652"/>
      <w:bookmarkStart w:id="2" w:name="_Toc217231512"/>
      <w:bookmarkStart w:id="3" w:name="OLE_LINK10"/>
      <w:bookmarkStart w:id="4" w:name="OLE_LINK13"/>
      <w:r w:rsidRPr="009413E2">
        <w:t xml:space="preserve">2 </w:t>
      </w:r>
      <w:r w:rsidR="00737B2B" w:rsidRPr="009413E2">
        <w:t>Socio-economics and Climate-related Threats</w:t>
      </w:r>
      <w:bookmarkEnd w:id="1"/>
      <w:bookmarkEnd w:id="2"/>
    </w:p>
    <w:p w14:paraId="2C7A7F8D" w14:textId="77777777" w:rsidR="005E1112" w:rsidRPr="00275B0E" w:rsidRDefault="00737B2B" w:rsidP="00275B0E">
      <w:pPr>
        <w:pStyle w:val="Heading2"/>
        <w:keepNext w:val="0"/>
        <w:keepLines w:val="0"/>
        <w:spacing w:before="100" w:beforeAutospacing="1" w:after="100" w:afterAutospacing="1" w:line="240" w:lineRule="auto"/>
        <w:rPr>
          <w:rFonts w:ascii="Arial" w:eastAsia="Times New Roman" w:hAnsi="Arial" w:cs="Arial"/>
          <w:b/>
          <w:bCs/>
          <w:color w:val="auto"/>
          <w:sz w:val="28"/>
          <w:szCs w:val="28"/>
        </w:rPr>
      </w:pPr>
      <w:bookmarkStart w:id="5" w:name="_Toc213424653"/>
      <w:bookmarkStart w:id="6" w:name="_Toc217231513"/>
      <w:r w:rsidRPr="00275B0E">
        <w:rPr>
          <w:rFonts w:ascii="Arial" w:eastAsia="Times New Roman" w:hAnsi="Arial" w:cs="Arial"/>
          <w:b/>
          <w:bCs/>
          <w:color w:val="auto"/>
          <w:sz w:val="28"/>
          <w:szCs w:val="28"/>
        </w:rPr>
        <w:t>2.1 Key Findings</w:t>
      </w:r>
      <w:bookmarkEnd w:id="5"/>
      <w:bookmarkEnd w:id="6"/>
    </w:p>
    <w:p w14:paraId="22322379" w14:textId="77777777" w:rsidR="00275B0E" w:rsidRDefault="00AD7BC4" w:rsidP="00275B0E">
      <w:pPr>
        <w:pStyle w:val="NormalWeb"/>
        <w:numPr>
          <w:ilvl w:val="0"/>
          <w:numId w:val="12"/>
        </w:numPr>
        <w:spacing w:before="120" w:beforeAutospacing="0" w:after="120" w:afterAutospacing="0"/>
        <w:ind w:left="425" w:hanging="357"/>
        <w:jc w:val="both"/>
        <w:rPr>
          <w:rFonts w:ascii="Arial" w:hAnsi="Arial" w:cs="Arial"/>
          <w:sz w:val="22"/>
          <w:szCs w:val="22"/>
        </w:rPr>
      </w:pPr>
      <w:r w:rsidRPr="00150993">
        <w:rPr>
          <w:rStyle w:val="Strong"/>
          <w:rFonts w:ascii="Arial" w:eastAsiaTheme="majorEastAsia" w:hAnsi="Arial" w:cs="Arial"/>
          <w:sz w:val="22"/>
          <w:szCs w:val="22"/>
        </w:rPr>
        <w:t>Coastal growth is fast but uneven.</w:t>
      </w:r>
      <w:r w:rsidRPr="00150993">
        <w:rPr>
          <w:rFonts w:ascii="Arial" w:hAnsi="Arial" w:cs="Arial"/>
          <w:sz w:val="22"/>
          <w:szCs w:val="22"/>
        </w:rPr>
        <w:t xml:space="preserve"> </w:t>
      </w:r>
      <w:r w:rsidR="00E215E5" w:rsidRPr="00150993">
        <w:rPr>
          <w:rFonts w:ascii="Arial" w:hAnsi="Arial" w:cs="Arial"/>
          <w:sz w:val="22"/>
          <w:szCs w:val="22"/>
        </w:rPr>
        <w:t>Coastal population growth from 1998 to 2019 was fast but uneven at 1.3% per year, with Preah Sihanouk concentrating the most exposed assets.</w:t>
      </w:r>
    </w:p>
    <w:p w14:paraId="13902FE0" w14:textId="3E4E5BE5" w:rsidR="00E215E5" w:rsidRPr="00275B0E" w:rsidRDefault="00E215E5" w:rsidP="00275B0E">
      <w:pPr>
        <w:pStyle w:val="NormalWeb"/>
        <w:numPr>
          <w:ilvl w:val="0"/>
          <w:numId w:val="12"/>
        </w:numPr>
        <w:spacing w:before="120" w:beforeAutospacing="0" w:after="120" w:afterAutospacing="0"/>
        <w:ind w:left="425" w:hanging="357"/>
        <w:jc w:val="both"/>
        <w:rPr>
          <w:rFonts w:ascii="Arial" w:hAnsi="Arial" w:cs="Arial"/>
          <w:sz w:val="22"/>
          <w:szCs w:val="22"/>
        </w:rPr>
      </w:pPr>
      <w:r w:rsidRPr="00275B0E">
        <w:rPr>
          <w:rStyle w:val="Strong"/>
          <w:rFonts w:ascii="Arial" w:eastAsiaTheme="majorEastAsia" w:hAnsi="Arial" w:cs="Arial"/>
          <w:sz w:val="22"/>
          <w:szCs w:val="22"/>
        </w:rPr>
        <w:t>Urbanization</w:t>
      </w:r>
      <w:r w:rsidRPr="00275B0E">
        <w:rPr>
          <w:rFonts w:ascii="Arial" w:hAnsi="Arial" w:cs="Arial"/>
          <w:sz w:val="22"/>
          <w:szCs w:val="22"/>
        </w:rPr>
        <w:t xml:space="preserve"> </w:t>
      </w:r>
      <w:r w:rsidRPr="00275B0E">
        <w:rPr>
          <w:rFonts w:ascii="Arial" w:hAnsi="Arial" w:cs="Arial"/>
          <w:b/>
          <w:bCs/>
          <w:sz w:val="22"/>
          <w:szCs w:val="22"/>
        </w:rPr>
        <w:t>is accelerating</w:t>
      </w:r>
      <w:r w:rsidR="005E040C">
        <w:rPr>
          <w:rFonts w:ascii="Arial" w:hAnsi="Arial" w:cs="Arial"/>
          <w:b/>
          <w:bCs/>
          <w:sz w:val="22"/>
          <w:szCs w:val="22"/>
        </w:rPr>
        <w:t>.</w:t>
      </w:r>
      <w:r w:rsidRPr="00275B0E">
        <w:rPr>
          <w:rFonts w:ascii="Arial" w:hAnsi="Arial" w:cs="Arial"/>
          <w:sz w:val="22"/>
          <w:szCs w:val="22"/>
        </w:rPr>
        <w:t xml:space="preserve"> the urban share rose from about 10% in 1950 to 24% in 2020 and is projected to exceed ~30% by the mid-2030s and ~40% by the mid-2040s, increasing exposure to urban and coastal flooding in fast-growing towns.</w:t>
      </w:r>
    </w:p>
    <w:p w14:paraId="1D895F32" w14:textId="2A176BD3" w:rsidR="00E215E5"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150993">
        <w:rPr>
          <w:rStyle w:val="Strong"/>
          <w:rFonts w:ascii="Arial" w:eastAsiaTheme="majorEastAsia" w:hAnsi="Arial" w:cs="Arial"/>
          <w:sz w:val="22"/>
          <w:szCs w:val="22"/>
        </w:rPr>
        <w:t>Human development</w:t>
      </w:r>
      <w:r w:rsidRPr="00150993">
        <w:rPr>
          <w:rFonts w:ascii="Arial" w:hAnsi="Arial" w:cs="Arial"/>
          <w:sz w:val="22"/>
          <w:szCs w:val="22"/>
        </w:rPr>
        <w:t xml:space="preserve"> </w:t>
      </w:r>
      <w:r w:rsidRPr="00275B0E">
        <w:rPr>
          <w:rFonts w:ascii="Arial" w:hAnsi="Arial" w:cs="Arial"/>
          <w:b/>
          <w:bCs/>
          <w:sz w:val="22"/>
          <w:szCs w:val="22"/>
        </w:rPr>
        <w:t>has improved but remains unequal</w:t>
      </w:r>
      <w:r w:rsidR="005E040C">
        <w:rPr>
          <w:rFonts w:ascii="Arial" w:hAnsi="Arial" w:cs="Arial"/>
          <w:b/>
          <w:bCs/>
          <w:sz w:val="22"/>
          <w:szCs w:val="22"/>
        </w:rPr>
        <w:t>.</w:t>
      </w:r>
      <w:r w:rsidRPr="00150993">
        <w:rPr>
          <w:rFonts w:ascii="Arial" w:hAnsi="Arial" w:cs="Arial"/>
          <w:sz w:val="22"/>
          <w:szCs w:val="22"/>
        </w:rPr>
        <w:t xml:space="preserve"> Cambodia’s HDI reached 0.606 in 2023, yet inequality still cuts 27–29% off the inequality-adjusted HDI, and coastal SHDI has plateaued in some provinces since around 2015.</w:t>
      </w:r>
    </w:p>
    <w:p w14:paraId="3A15CB32" w14:textId="77777777" w:rsidR="00E215E5"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150993">
        <w:rPr>
          <w:rStyle w:val="Strong"/>
          <w:rFonts w:ascii="Arial" w:eastAsiaTheme="majorEastAsia" w:hAnsi="Arial" w:cs="Arial"/>
          <w:sz w:val="22"/>
          <w:szCs w:val="22"/>
        </w:rPr>
        <w:t>Poverty</w:t>
      </w:r>
      <w:r w:rsidRPr="00150993">
        <w:rPr>
          <w:rFonts w:ascii="Arial" w:hAnsi="Arial" w:cs="Arial"/>
          <w:sz w:val="22"/>
          <w:szCs w:val="22"/>
        </w:rPr>
        <w:t xml:space="preserve"> </w:t>
      </w:r>
      <w:r w:rsidRPr="00275B0E">
        <w:rPr>
          <w:rFonts w:ascii="Arial" w:hAnsi="Arial" w:cs="Arial"/>
          <w:b/>
          <w:bCs/>
          <w:sz w:val="22"/>
          <w:szCs w:val="22"/>
        </w:rPr>
        <w:t>dropped from 33.8% in 2009 to 17.8% in 2019/20</w:t>
      </w:r>
      <w:r w:rsidRPr="00150993">
        <w:rPr>
          <w:rFonts w:ascii="Arial" w:hAnsi="Arial" w:cs="Arial"/>
          <w:sz w:val="22"/>
          <w:szCs w:val="22"/>
        </w:rPr>
        <w:t>, but COVID-19 likely added about 2.8 percentage points and coastal poverty is uneven, with Koh Kong and Kampot showing the highest intensity and Preah Sihanouk the lowest.</w:t>
      </w:r>
    </w:p>
    <w:p w14:paraId="71210252" w14:textId="2DDF787D" w:rsidR="00E215E5"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150993">
        <w:rPr>
          <w:rStyle w:val="Strong"/>
          <w:rFonts w:ascii="Arial" w:eastAsiaTheme="majorEastAsia" w:hAnsi="Arial" w:cs="Arial"/>
          <w:sz w:val="22"/>
          <w:szCs w:val="22"/>
        </w:rPr>
        <w:t>Economic diversification</w:t>
      </w:r>
      <w:r w:rsidRPr="00150993">
        <w:rPr>
          <w:rFonts w:ascii="Arial" w:hAnsi="Arial" w:cs="Arial"/>
          <w:sz w:val="22"/>
          <w:szCs w:val="22"/>
        </w:rPr>
        <w:t xml:space="preserve"> </w:t>
      </w:r>
      <w:r w:rsidRPr="00275B0E">
        <w:rPr>
          <w:rFonts w:ascii="Arial" w:hAnsi="Arial" w:cs="Arial"/>
          <w:b/>
          <w:bCs/>
          <w:sz w:val="22"/>
          <w:szCs w:val="22"/>
        </w:rPr>
        <w:t>is rapid</w:t>
      </w:r>
      <w:r w:rsidR="005E040C">
        <w:rPr>
          <w:rFonts w:ascii="Arial" w:hAnsi="Arial" w:cs="Arial"/>
          <w:b/>
          <w:bCs/>
          <w:sz w:val="22"/>
          <w:szCs w:val="22"/>
        </w:rPr>
        <w:t>.</w:t>
      </w:r>
      <w:r w:rsidRPr="00275B0E">
        <w:rPr>
          <w:rFonts w:ascii="Arial" w:hAnsi="Arial" w:cs="Arial"/>
          <w:b/>
          <w:bCs/>
          <w:sz w:val="22"/>
          <w:szCs w:val="22"/>
        </w:rPr>
        <w:t xml:space="preserve"> </w:t>
      </w:r>
      <w:r w:rsidRPr="00150993">
        <w:rPr>
          <w:rFonts w:ascii="Arial" w:hAnsi="Arial" w:cs="Arial"/>
          <w:sz w:val="22"/>
          <w:szCs w:val="22"/>
        </w:rPr>
        <w:t>GDP grew from US$3.69 billion in 2000 to about US$46 billion in 2024 and GDP per capita from US$296 to US$2,628, with a shift toward industry and services concentrated in coastal hubs that now combine high growth with high exposure.</w:t>
      </w:r>
    </w:p>
    <w:p w14:paraId="1A62F6BB" w14:textId="77777777" w:rsidR="00E215E5"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150993">
        <w:rPr>
          <w:rStyle w:val="Strong"/>
          <w:rFonts w:ascii="Arial" w:eastAsiaTheme="majorEastAsia" w:hAnsi="Arial" w:cs="Arial"/>
          <w:sz w:val="22"/>
          <w:szCs w:val="22"/>
        </w:rPr>
        <w:t>Disaster patterns</w:t>
      </w:r>
      <w:r w:rsidRPr="00150993">
        <w:rPr>
          <w:rFonts w:ascii="Arial" w:hAnsi="Arial" w:cs="Arial"/>
          <w:sz w:val="22"/>
          <w:szCs w:val="22"/>
        </w:rPr>
        <w:t xml:space="preserve"> </w:t>
      </w:r>
      <w:r w:rsidRPr="00275B0E">
        <w:rPr>
          <w:rFonts w:ascii="Arial" w:hAnsi="Arial" w:cs="Arial"/>
          <w:b/>
          <w:bCs/>
          <w:sz w:val="22"/>
          <w:szCs w:val="22"/>
        </w:rPr>
        <w:t>are clear:</w:t>
      </w:r>
      <w:r w:rsidRPr="00150993">
        <w:rPr>
          <w:rFonts w:ascii="Arial" w:hAnsi="Arial" w:cs="Arial"/>
          <w:sz w:val="22"/>
          <w:szCs w:val="22"/>
        </w:rPr>
        <w:t xml:space="preserve"> floods are the deadliest events, major droughts (such as 2016) have affected around 2.5 million people, and storms plus exceptionally high lightning fatality rates add compound risks for ports, estuaries and tourism towns.</w:t>
      </w:r>
    </w:p>
    <w:p w14:paraId="61A02FFC" w14:textId="77777777" w:rsidR="00E215E5"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150993">
        <w:rPr>
          <w:rStyle w:val="Strong"/>
          <w:rFonts w:ascii="Arial" w:eastAsiaTheme="majorEastAsia" w:hAnsi="Arial" w:cs="Arial"/>
          <w:sz w:val="22"/>
          <w:szCs w:val="22"/>
        </w:rPr>
        <w:t>Sea-level rise and warming seas</w:t>
      </w:r>
      <w:r w:rsidRPr="00150993">
        <w:rPr>
          <w:rFonts w:ascii="Arial" w:hAnsi="Arial" w:cs="Arial"/>
          <w:sz w:val="22"/>
          <w:szCs w:val="22"/>
        </w:rPr>
        <w:t xml:space="preserve"> </w:t>
      </w:r>
      <w:r w:rsidRPr="00275B0E">
        <w:rPr>
          <w:rFonts w:ascii="Arial" w:hAnsi="Arial" w:cs="Arial"/>
          <w:b/>
          <w:bCs/>
          <w:sz w:val="22"/>
          <w:szCs w:val="22"/>
        </w:rPr>
        <w:t>are already stressing</w:t>
      </w:r>
      <w:r w:rsidRPr="00150993">
        <w:rPr>
          <w:rFonts w:ascii="Arial" w:hAnsi="Arial" w:cs="Arial"/>
          <w:sz w:val="22"/>
          <w:szCs w:val="22"/>
        </w:rPr>
        <w:t xml:space="preserve"> reefs, seagrass, mangroves and beaches, threatening fisheries and coastal tourism unless natural buffers are protected and pollution and sediment loads are better managed.</w:t>
      </w:r>
    </w:p>
    <w:p w14:paraId="595DBE65" w14:textId="77777777" w:rsidR="00E215E5"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150993">
        <w:rPr>
          <w:rStyle w:val="Strong"/>
          <w:rFonts w:ascii="Arial" w:eastAsiaTheme="majorEastAsia" w:hAnsi="Arial" w:cs="Arial"/>
          <w:sz w:val="22"/>
          <w:szCs w:val="22"/>
        </w:rPr>
        <w:t>Country risk</w:t>
      </w:r>
      <w:r w:rsidRPr="00150993">
        <w:rPr>
          <w:rFonts w:ascii="Arial" w:hAnsi="Arial" w:cs="Arial"/>
          <w:sz w:val="22"/>
          <w:szCs w:val="22"/>
        </w:rPr>
        <w:t xml:space="preserve"> </w:t>
      </w:r>
      <w:r w:rsidRPr="00275B0E">
        <w:rPr>
          <w:rFonts w:ascii="Arial" w:hAnsi="Arial" w:cs="Arial"/>
          <w:b/>
          <w:bCs/>
          <w:sz w:val="22"/>
          <w:szCs w:val="22"/>
        </w:rPr>
        <w:t>is classified as “medium,”</w:t>
      </w:r>
      <w:r w:rsidRPr="00150993">
        <w:rPr>
          <w:rFonts w:ascii="Arial" w:hAnsi="Arial" w:cs="Arial"/>
          <w:sz w:val="22"/>
          <w:szCs w:val="22"/>
        </w:rPr>
        <w:t xml:space="preserve"> with an overall disaster-risk score around 4.4/10, very high river-flood exposure (about 8.6/10) and limited coping capacity driving vulnerability.</w:t>
      </w:r>
    </w:p>
    <w:p w14:paraId="7C5E1F73" w14:textId="529C4322" w:rsidR="00E215E5"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275B0E">
        <w:rPr>
          <w:rStyle w:val="Strong"/>
          <w:rFonts w:ascii="Arial" w:eastAsiaTheme="majorEastAsia" w:hAnsi="Arial" w:cs="Arial"/>
          <w:sz w:val="22"/>
          <w:szCs w:val="22"/>
        </w:rPr>
        <w:t>Three binding coastal gaps</w:t>
      </w:r>
      <w:r w:rsidRPr="00275B0E">
        <w:rPr>
          <w:rFonts w:ascii="Arial" w:hAnsi="Arial" w:cs="Arial"/>
          <w:sz w:val="22"/>
          <w:szCs w:val="22"/>
        </w:rPr>
        <w:t xml:space="preserve"> </w:t>
      </w:r>
      <w:r w:rsidRPr="00275B0E">
        <w:rPr>
          <w:rFonts w:ascii="Arial" w:hAnsi="Arial" w:cs="Arial"/>
          <w:b/>
          <w:bCs/>
          <w:sz w:val="22"/>
          <w:szCs w:val="22"/>
        </w:rPr>
        <w:t>remain:</w:t>
      </w:r>
      <w:r w:rsidRPr="00150993">
        <w:rPr>
          <w:rFonts w:ascii="Arial" w:hAnsi="Arial" w:cs="Arial"/>
          <w:sz w:val="22"/>
          <w:szCs w:val="22"/>
        </w:rPr>
        <w:t xml:space="preserve"> (i) drainage, land-use planning and basic infrastructure lag behind hazard realities; (ii) ecosystem defenses such as mangroves, floodplains, dunes and reefs are fragmented; and (iii) inequality, informality and thin safety nets leave near-poor and migrants highly exposed.</w:t>
      </w:r>
    </w:p>
    <w:p w14:paraId="09F4FAAD" w14:textId="59B6A3FE" w:rsidR="00AD7BC4" w:rsidRPr="00150993" w:rsidRDefault="00E215E5" w:rsidP="00E215E5">
      <w:pPr>
        <w:pStyle w:val="NormalWeb"/>
        <w:numPr>
          <w:ilvl w:val="0"/>
          <w:numId w:val="12"/>
        </w:numPr>
        <w:spacing w:before="120" w:beforeAutospacing="0" w:after="120" w:afterAutospacing="0"/>
        <w:ind w:left="426" w:hanging="357"/>
        <w:jc w:val="both"/>
        <w:rPr>
          <w:rFonts w:ascii="Arial" w:hAnsi="Arial" w:cs="Arial"/>
          <w:sz w:val="22"/>
          <w:szCs w:val="22"/>
        </w:rPr>
      </w:pPr>
      <w:r w:rsidRPr="00150993">
        <w:rPr>
          <w:rStyle w:val="Strong"/>
          <w:rFonts w:ascii="Arial" w:eastAsiaTheme="majorEastAsia" w:hAnsi="Arial" w:cs="Arial"/>
          <w:sz w:val="22"/>
          <w:szCs w:val="22"/>
        </w:rPr>
        <w:t>Priority directions</w:t>
      </w:r>
      <w:r w:rsidRPr="00150993">
        <w:rPr>
          <w:rFonts w:ascii="Arial" w:hAnsi="Arial" w:cs="Arial"/>
          <w:sz w:val="22"/>
          <w:szCs w:val="22"/>
        </w:rPr>
        <w:t xml:space="preserve"> include basin-to-coast flood management and early warning, risk-informed standards for urban growth and ports, large-scale restoration of mangroves and floodplains, drought-salinity water security, and investment in inclusive human development (TVET, health and MSMEs) for a more resilient coastal economy.</w:t>
      </w:r>
    </w:p>
    <w:p w14:paraId="16418369" w14:textId="77777777" w:rsidR="00174296" w:rsidRPr="00150993" w:rsidRDefault="00174296" w:rsidP="00174296">
      <w:pPr>
        <w:rPr>
          <w:rFonts w:ascii="Arial" w:hAnsi="Arial" w:cs="Arial"/>
          <w:sz w:val="22"/>
          <w:szCs w:val="22"/>
        </w:rPr>
      </w:pPr>
    </w:p>
    <w:p w14:paraId="6A5B0E56" w14:textId="5B353F8A" w:rsidR="00737B2B" w:rsidRPr="00150993" w:rsidRDefault="00E95347" w:rsidP="00275B0E">
      <w:pPr>
        <w:pStyle w:val="Heading2"/>
        <w:keepNext w:val="0"/>
        <w:keepLines w:val="0"/>
        <w:spacing w:before="100" w:beforeAutospacing="1" w:after="100" w:afterAutospacing="1" w:line="240" w:lineRule="auto"/>
        <w:rPr>
          <w:rFonts w:ascii="Arial" w:hAnsi="Arial" w:cs="Arial"/>
          <w:b/>
          <w:bCs/>
          <w:sz w:val="24"/>
          <w:szCs w:val="24"/>
        </w:rPr>
      </w:pPr>
      <w:bookmarkStart w:id="7" w:name="_Toc213424654"/>
      <w:bookmarkStart w:id="8" w:name="OLE_LINK4"/>
      <w:bookmarkStart w:id="9" w:name="OLE_LINK5"/>
      <w:bookmarkStart w:id="10" w:name="OLE_LINK6"/>
      <w:bookmarkStart w:id="11" w:name="OLE_LINK7"/>
      <w:bookmarkStart w:id="12" w:name="OLE_LINK8"/>
      <w:bookmarkStart w:id="13" w:name="OLE_LINK9"/>
      <w:r w:rsidRPr="00150993">
        <w:rPr>
          <w:rFonts w:ascii="Arial" w:hAnsi="Arial" w:cs="Arial"/>
          <w:b/>
          <w:bCs/>
          <w:sz w:val="24"/>
          <w:szCs w:val="24"/>
        </w:rPr>
        <w:br w:type="column"/>
      </w:r>
      <w:bookmarkStart w:id="14" w:name="_Toc217231514"/>
      <w:r w:rsidR="00737B2B" w:rsidRPr="00275B0E">
        <w:rPr>
          <w:rFonts w:ascii="Arial" w:eastAsia="Times New Roman" w:hAnsi="Arial" w:cs="Arial"/>
          <w:b/>
          <w:bCs/>
          <w:color w:val="auto"/>
          <w:sz w:val="28"/>
          <w:szCs w:val="28"/>
        </w:rPr>
        <w:t>2.2 Current Status</w:t>
      </w:r>
      <w:bookmarkEnd w:id="7"/>
      <w:bookmarkEnd w:id="14"/>
    </w:p>
    <w:p w14:paraId="4241E61D" w14:textId="77777777" w:rsidR="00737B2B"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15" w:name="_Toc213424655"/>
      <w:bookmarkStart w:id="16" w:name="_Toc217231515"/>
      <w:r w:rsidRPr="00275B0E">
        <w:rPr>
          <w:rFonts w:ascii="Arial" w:eastAsia="Times New Roman" w:hAnsi="Arial" w:cs="Arial"/>
          <w:b/>
          <w:bCs/>
          <w:color w:val="auto"/>
          <w:sz w:val="24"/>
          <w:szCs w:val="24"/>
        </w:rPr>
        <w:t>2.2.1 Demographics</w:t>
      </w:r>
      <w:bookmarkEnd w:id="15"/>
      <w:bookmarkEnd w:id="16"/>
    </w:p>
    <w:p w14:paraId="7525BD73" w14:textId="77777777" w:rsidR="00C368AD" w:rsidRPr="00275B0E" w:rsidRDefault="00C368AD" w:rsidP="00275B0E">
      <w:pPr>
        <w:pStyle w:val="Heading4"/>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2.2.1.1. Population</w:t>
      </w:r>
    </w:p>
    <w:p w14:paraId="160C614C" w14:textId="7DB78222" w:rsidR="00151EB0" w:rsidRPr="00150993" w:rsidRDefault="00E95347" w:rsidP="00151EB0">
      <w:pPr>
        <w:pStyle w:val="NormalWeb"/>
        <w:jc w:val="both"/>
        <w:rPr>
          <w:rFonts w:ascii="Arial" w:hAnsi="Arial" w:cs="Arial"/>
          <w:sz w:val="22"/>
          <w:szCs w:val="22"/>
        </w:rPr>
      </w:pPr>
      <w:r w:rsidRPr="00150993">
        <w:rPr>
          <w:rFonts w:ascii="Arial" w:hAnsi="Arial" w:cs="Arial"/>
          <w:sz w:val="22"/>
          <w:szCs w:val="22"/>
        </w:rPr>
        <w:fldChar w:fldCharType="begin"/>
      </w:r>
      <w:r w:rsidRPr="00150993">
        <w:rPr>
          <w:rFonts w:ascii="Arial" w:hAnsi="Arial" w:cs="Arial"/>
          <w:sz w:val="22"/>
          <w:szCs w:val="22"/>
        </w:rPr>
        <w:instrText xml:space="preserve"> REF _Ref215135262 \h </w:instrText>
      </w:r>
      <w:r w:rsidR="00150993" w:rsidRPr="00150993">
        <w:rPr>
          <w:rFonts w:ascii="Arial" w:hAnsi="Arial" w:cs="Arial"/>
          <w:sz w:val="22"/>
          <w:szCs w:val="22"/>
        </w:rPr>
        <w:instrText xml:space="preserve"> \* MERGEFORMAT </w:instrText>
      </w:r>
      <w:r w:rsidRPr="00150993">
        <w:rPr>
          <w:rFonts w:ascii="Arial" w:hAnsi="Arial" w:cs="Arial"/>
          <w:sz w:val="22"/>
          <w:szCs w:val="22"/>
        </w:rPr>
      </w:r>
      <w:r w:rsidRPr="00150993">
        <w:rPr>
          <w:rFonts w:ascii="Arial" w:hAnsi="Arial" w:cs="Arial"/>
          <w:sz w:val="22"/>
          <w:szCs w:val="22"/>
        </w:rPr>
        <w:fldChar w:fldCharType="separate"/>
      </w:r>
      <w:r w:rsidR="005A16C1" w:rsidRPr="00150993">
        <w:rPr>
          <w:rFonts w:ascii="Arial" w:hAnsi="Arial" w:cs="Arial"/>
          <w:color w:val="002060"/>
          <w:sz w:val="22"/>
          <w:szCs w:val="22"/>
        </w:rPr>
        <w:t>Figure 2-</w:t>
      </w:r>
      <w:r w:rsidR="005A16C1">
        <w:rPr>
          <w:rFonts w:ascii="Arial" w:hAnsi="Arial" w:cs="Arial"/>
          <w:color w:val="002060"/>
          <w:sz w:val="22"/>
          <w:szCs w:val="22"/>
        </w:rPr>
        <w:t>1</w:t>
      </w:r>
      <w:r w:rsidRPr="00150993">
        <w:rPr>
          <w:rFonts w:ascii="Arial" w:hAnsi="Arial" w:cs="Arial"/>
          <w:sz w:val="22"/>
          <w:szCs w:val="22"/>
        </w:rPr>
        <w:fldChar w:fldCharType="end"/>
      </w:r>
      <w:r w:rsidRPr="00150993">
        <w:rPr>
          <w:rFonts w:ascii="Arial" w:hAnsi="Arial" w:cs="Arial"/>
          <w:sz w:val="22"/>
          <w:szCs w:val="22"/>
        </w:rPr>
        <w:t xml:space="preserve"> shows </w:t>
      </w:r>
      <w:r w:rsidR="00151EB0" w:rsidRPr="00150993">
        <w:rPr>
          <w:rFonts w:ascii="Arial" w:hAnsi="Arial" w:cs="Arial"/>
          <w:sz w:val="22"/>
          <w:szCs w:val="22"/>
        </w:rPr>
        <w:t xml:space="preserve">Cambodia’s </w:t>
      </w:r>
      <w:r w:rsidRPr="00150993">
        <w:rPr>
          <w:rFonts w:ascii="Arial" w:hAnsi="Arial" w:cs="Arial"/>
          <w:sz w:val="22"/>
          <w:szCs w:val="22"/>
        </w:rPr>
        <w:t xml:space="preserve">national </w:t>
      </w:r>
      <w:r w:rsidR="00151EB0" w:rsidRPr="00150993">
        <w:rPr>
          <w:rFonts w:ascii="Arial" w:hAnsi="Arial" w:cs="Arial"/>
          <w:sz w:val="22"/>
          <w:szCs w:val="22"/>
        </w:rPr>
        <w:t xml:space="preserve">population grew </w:t>
      </w:r>
      <w:r w:rsidRPr="00150993">
        <w:rPr>
          <w:rFonts w:ascii="Arial" w:hAnsi="Arial" w:cs="Arial"/>
          <w:sz w:val="22"/>
          <w:szCs w:val="22"/>
        </w:rPr>
        <w:t>from about 11.4 million in the late 1990s to 15.3 million in 2019 and an estimated 17.6 million in 2024, with recent growth around 1–1.3% per year; projections suggest ≈18 million by 2028 and ≈21 million by 2048</w:t>
      </w:r>
      <w:r w:rsidR="00821293" w:rsidRPr="00150993">
        <w:rPr>
          <w:rFonts w:ascii="Arial" w:hAnsi="Arial" w:cs="Arial"/>
          <w:sz w:val="22"/>
          <w:szCs w:val="22"/>
        </w:rPr>
        <w:t xml:space="preserve"> (NIS, 1998, 2008, 2019; WB–WDI, 2025).</w:t>
      </w:r>
    </w:p>
    <w:p w14:paraId="15CDAB9A" w14:textId="2AC8F3E1" w:rsidR="00A8509D" w:rsidRPr="00150993" w:rsidRDefault="002A122A" w:rsidP="002A122A">
      <w:pPr>
        <w:pStyle w:val="NormalWeb"/>
        <w:spacing w:before="0" w:beforeAutospacing="0" w:after="0" w:afterAutospacing="0"/>
        <w:jc w:val="both"/>
        <w:rPr>
          <w:rFonts w:ascii="Arial" w:hAnsi="Arial" w:cs="Arial"/>
          <w:sz w:val="22"/>
          <w:szCs w:val="22"/>
        </w:rPr>
      </w:pPr>
      <w:r w:rsidRPr="00150993">
        <w:rPr>
          <w:rFonts w:ascii="Arial" w:hAnsi="Arial" w:cs="Arial"/>
          <w:noProof/>
          <w14:ligatures w14:val="standardContextual"/>
        </w:rPr>
        <w:drawing>
          <wp:inline distT="0" distB="0" distL="0" distR="0" wp14:anchorId="48C8F2FE" wp14:editId="2140EC20">
            <wp:extent cx="5709285" cy="2353235"/>
            <wp:effectExtent l="0" t="0" r="18415" b="9525"/>
            <wp:docPr id="502150538" name="Chart 1">
              <a:extLst xmlns:a="http://schemas.openxmlformats.org/drawingml/2006/main">
                <a:ext uri="{FF2B5EF4-FFF2-40B4-BE49-F238E27FC236}">
                  <a16:creationId xmlns:a16="http://schemas.microsoft.com/office/drawing/2014/main" id="{24B783C9-23F5-937A-1A45-54F147715B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A7CE0EA" w14:textId="6D40F875" w:rsidR="00E95347" w:rsidRPr="00150993" w:rsidRDefault="00E95347" w:rsidP="002A122A">
      <w:pPr>
        <w:pStyle w:val="NormalWeb"/>
        <w:spacing w:before="120" w:beforeAutospacing="0" w:after="0" w:afterAutospacing="0"/>
        <w:rPr>
          <w:rFonts w:ascii="Arial" w:hAnsi="Arial" w:cs="Arial"/>
          <w:color w:val="002060"/>
          <w:sz w:val="22"/>
          <w:szCs w:val="22"/>
        </w:rPr>
      </w:pPr>
      <w:bookmarkStart w:id="17" w:name="_Ref215135262"/>
      <w:bookmarkStart w:id="18" w:name="_Toc215219050"/>
      <w:bookmarkStart w:id="19" w:name="OLE_LINK11"/>
      <w:r w:rsidRPr="00150993">
        <w:rPr>
          <w:rFonts w:ascii="Arial" w:hAnsi="Arial" w:cs="Arial"/>
          <w:color w:val="002060"/>
          <w:sz w:val="22"/>
          <w:szCs w:val="22"/>
        </w:rPr>
        <w:t>Figure 2-</w:t>
      </w:r>
      <w:r w:rsidRPr="00150993">
        <w:rPr>
          <w:rFonts w:ascii="Arial" w:hAnsi="Arial" w:cs="Arial"/>
          <w:color w:val="002060"/>
          <w:sz w:val="22"/>
          <w:szCs w:val="22"/>
        </w:rPr>
        <w:fldChar w:fldCharType="begin"/>
      </w:r>
      <w:r w:rsidRPr="00150993">
        <w:rPr>
          <w:rFonts w:ascii="Arial" w:hAnsi="Arial" w:cs="Arial"/>
          <w:color w:val="002060"/>
          <w:sz w:val="22"/>
          <w:szCs w:val="22"/>
        </w:rPr>
        <w:instrText xml:space="preserve"> SEQ Figure_2- \* ARABIC </w:instrText>
      </w:r>
      <w:r w:rsidRPr="00150993">
        <w:rPr>
          <w:rFonts w:ascii="Arial" w:hAnsi="Arial" w:cs="Arial"/>
          <w:color w:val="002060"/>
          <w:sz w:val="22"/>
          <w:szCs w:val="22"/>
        </w:rPr>
        <w:fldChar w:fldCharType="separate"/>
      </w:r>
      <w:r w:rsidR="005A16C1">
        <w:rPr>
          <w:rFonts w:ascii="Arial" w:hAnsi="Arial" w:cs="Arial"/>
          <w:noProof/>
          <w:color w:val="002060"/>
          <w:sz w:val="22"/>
          <w:szCs w:val="22"/>
        </w:rPr>
        <w:t>1</w:t>
      </w:r>
      <w:r w:rsidRPr="00150993">
        <w:rPr>
          <w:rFonts w:ascii="Arial" w:hAnsi="Arial" w:cs="Arial"/>
          <w:color w:val="002060"/>
          <w:sz w:val="22"/>
          <w:szCs w:val="22"/>
        </w:rPr>
        <w:fldChar w:fldCharType="end"/>
      </w:r>
      <w:bookmarkEnd w:id="17"/>
      <w:r w:rsidRPr="00150993">
        <w:rPr>
          <w:rFonts w:ascii="Arial" w:hAnsi="Arial" w:cs="Arial"/>
          <w:color w:val="002060"/>
          <w:sz w:val="22"/>
          <w:szCs w:val="22"/>
        </w:rPr>
        <w:t xml:space="preserve"> Cambodia’s national population and projections (1998–2048)</w:t>
      </w:r>
      <w:bookmarkEnd w:id="18"/>
    </w:p>
    <w:p w14:paraId="4E8B7940" w14:textId="6152EA09" w:rsidR="00E95347" w:rsidRPr="00150993" w:rsidRDefault="00E95347" w:rsidP="00E95347">
      <w:pPr>
        <w:pStyle w:val="NormalWeb"/>
        <w:spacing w:before="0" w:beforeAutospacing="0" w:after="0" w:afterAutospacing="0"/>
        <w:jc w:val="both"/>
        <w:rPr>
          <w:rFonts w:ascii="Arial" w:hAnsi="Arial" w:cs="Arial"/>
          <w:i/>
          <w:iCs/>
          <w:sz w:val="20"/>
          <w:szCs w:val="20"/>
        </w:rPr>
      </w:pPr>
      <w:bookmarkStart w:id="20" w:name="OLE_LINK12"/>
      <w:bookmarkEnd w:id="19"/>
      <w:r w:rsidRPr="00150993">
        <w:rPr>
          <w:rFonts w:ascii="Arial" w:hAnsi="Arial" w:cs="Arial"/>
          <w:b/>
          <w:bCs/>
          <w:i/>
          <w:iCs/>
          <w:sz w:val="20"/>
          <w:szCs w:val="20"/>
        </w:rPr>
        <w:t>Source:</w:t>
      </w:r>
      <w:r w:rsidRPr="00150993">
        <w:rPr>
          <w:rFonts w:ascii="Arial" w:hAnsi="Arial" w:cs="Arial"/>
          <w:i/>
          <w:iCs/>
          <w:sz w:val="20"/>
          <w:szCs w:val="20"/>
        </w:rPr>
        <w:t xml:space="preserve"> NIS,</w:t>
      </w:r>
      <w:r w:rsidR="00144150" w:rsidRPr="00150993">
        <w:rPr>
          <w:rFonts w:ascii="Arial" w:hAnsi="Arial" w:cs="Arial"/>
          <w:i/>
          <w:iCs/>
          <w:sz w:val="20"/>
          <w:szCs w:val="20"/>
        </w:rPr>
        <w:t xml:space="preserve"> 1998, 2008,</w:t>
      </w:r>
      <w:r w:rsidRPr="00150993">
        <w:rPr>
          <w:rFonts w:ascii="Arial" w:hAnsi="Arial" w:cs="Arial"/>
          <w:i/>
          <w:iCs/>
          <w:sz w:val="20"/>
          <w:szCs w:val="20"/>
        </w:rPr>
        <w:t xml:space="preserve"> 2019; WB–WDI, 2025</w:t>
      </w:r>
      <w:bookmarkEnd w:id="20"/>
    </w:p>
    <w:p w14:paraId="60D759F0" w14:textId="0DB53DC9" w:rsidR="00C96768" w:rsidRPr="00150993" w:rsidRDefault="00151EB0" w:rsidP="00151EB0">
      <w:pPr>
        <w:pStyle w:val="NormalWeb"/>
        <w:jc w:val="both"/>
        <w:rPr>
          <w:rFonts w:ascii="Arial" w:hAnsi="Arial" w:cs="Arial"/>
          <w:sz w:val="22"/>
          <w:szCs w:val="22"/>
        </w:rPr>
      </w:pPr>
      <w:r w:rsidRPr="00150993">
        <w:rPr>
          <w:rFonts w:ascii="Arial" w:hAnsi="Arial" w:cs="Arial"/>
          <w:sz w:val="22"/>
          <w:szCs w:val="22"/>
        </w:rPr>
        <w:t>Across the four coastal provinces</w:t>
      </w:r>
      <w:r w:rsidR="00144150" w:rsidRPr="00150993">
        <w:rPr>
          <w:rFonts w:ascii="Arial" w:hAnsi="Arial" w:cs="Arial"/>
          <w:sz w:val="22"/>
          <w:szCs w:val="22"/>
        </w:rPr>
        <w:t xml:space="preserve"> (</w:t>
      </w:r>
      <w:r w:rsidR="00821293" w:rsidRPr="00150993">
        <w:rPr>
          <w:rFonts w:ascii="Arial" w:hAnsi="Arial" w:cs="Arial"/>
          <w:sz w:val="22"/>
          <w:szCs w:val="22"/>
        </w:rPr>
        <w:fldChar w:fldCharType="begin"/>
      </w:r>
      <w:r w:rsidR="00821293" w:rsidRPr="00150993">
        <w:rPr>
          <w:rFonts w:ascii="Arial" w:hAnsi="Arial" w:cs="Arial"/>
          <w:sz w:val="22"/>
          <w:szCs w:val="22"/>
        </w:rPr>
        <w:instrText xml:space="preserve"> REF _Ref215138476 \h </w:instrText>
      </w:r>
      <w:r w:rsidR="00150993" w:rsidRPr="00150993">
        <w:rPr>
          <w:rFonts w:ascii="Arial" w:hAnsi="Arial" w:cs="Arial"/>
          <w:sz w:val="22"/>
          <w:szCs w:val="22"/>
        </w:rPr>
        <w:instrText xml:space="preserve"> \* MERGEFORMAT </w:instrText>
      </w:r>
      <w:r w:rsidR="00821293" w:rsidRPr="00150993">
        <w:rPr>
          <w:rFonts w:ascii="Arial" w:hAnsi="Arial" w:cs="Arial"/>
          <w:sz w:val="22"/>
          <w:szCs w:val="22"/>
        </w:rPr>
      </w:r>
      <w:r w:rsidR="00821293" w:rsidRPr="00150993">
        <w:rPr>
          <w:rFonts w:ascii="Arial" w:hAnsi="Arial" w:cs="Arial"/>
          <w:sz w:val="22"/>
          <w:szCs w:val="22"/>
        </w:rPr>
        <w:fldChar w:fldCharType="separate"/>
      </w:r>
      <w:r w:rsidR="005A16C1" w:rsidRPr="00150993">
        <w:rPr>
          <w:rFonts w:ascii="Arial" w:hAnsi="Arial" w:cs="Arial"/>
          <w:color w:val="002060"/>
          <w:sz w:val="22"/>
          <w:szCs w:val="22"/>
        </w:rPr>
        <w:t>Figure 2-</w:t>
      </w:r>
      <w:r w:rsidR="005A16C1">
        <w:rPr>
          <w:rFonts w:ascii="Arial" w:hAnsi="Arial" w:cs="Arial"/>
          <w:color w:val="002060"/>
          <w:sz w:val="22"/>
          <w:szCs w:val="22"/>
        </w:rPr>
        <w:t>2</w:t>
      </w:r>
      <w:r w:rsidR="00821293" w:rsidRPr="00150993">
        <w:rPr>
          <w:rFonts w:ascii="Arial" w:hAnsi="Arial" w:cs="Arial"/>
          <w:sz w:val="22"/>
          <w:szCs w:val="22"/>
        </w:rPr>
        <w:fldChar w:fldCharType="end"/>
      </w:r>
      <w:r w:rsidR="00821293" w:rsidRPr="00150993">
        <w:rPr>
          <w:rFonts w:ascii="Arial" w:hAnsi="Arial" w:cs="Arial"/>
          <w:sz w:val="22"/>
          <w:szCs w:val="22"/>
        </w:rPr>
        <w:t>)</w:t>
      </w:r>
      <w:r w:rsidRPr="00150993">
        <w:rPr>
          <w:rFonts w:ascii="Arial" w:hAnsi="Arial" w:cs="Arial"/>
          <w:sz w:val="22"/>
          <w:szCs w:val="22"/>
        </w:rPr>
        <w:t xml:space="preserve">, population increased from </w:t>
      </w:r>
      <w:r w:rsidRPr="00150993">
        <w:rPr>
          <w:rStyle w:val="Strong"/>
          <w:rFonts w:ascii="Arial" w:eastAsiaTheme="majorEastAsia" w:hAnsi="Arial" w:cs="Arial"/>
          <w:sz w:val="22"/>
          <w:szCs w:val="22"/>
        </w:rPr>
        <w:t xml:space="preserve">0.845 million </w:t>
      </w:r>
      <w:r w:rsidRPr="00150993">
        <w:rPr>
          <w:rStyle w:val="Strong"/>
          <w:rFonts w:ascii="Arial" w:eastAsiaTheme="majorEastAsia" w:hAnsi="Arial" w:cs="Arial"/>
          <w:b w:val="0"/>
          <w:bCs w:val="0"/>
          <w:sz w:val="22"/>
          <w:szCs w:val="22"/>
        </w:rPr>
        <w:t>(1998)</w:t>
      </w:r>
      <w:r w:rsidRPr="00150993">
        <w:rPr>
          <w:rStyle w:val="Strong"/>
          <w:rFonts w:ascii="Arial" w:eastAsiaTheme="majorEastAsia" w:hAnsi="Arial" w:cs="Arial"/>
          <w:sz w:val="22"/>
          <w:szCs w:val="22"/>
        </w:rPr>
        <w:t xml:space="preserve"> to 0.960 million </w:t>
      </w:r>
      <w:r w:rsidRPr="00150993">
        <w:rPr>
          <w:rStyle w:val="Strong"/>
          <w:rFonts w:ascii="Arial" w:eastAsiaTheme="majorEastAsia" w:hAnsi="Arial" w:cs="Arial"/>
          <w:b w:val="0"/>
          <w:bCs w:val="0"/>
          <w:sz w:val="22"/>
          <w:szCs w:val="22"/>
        </w:rPr>
        <w:t>(2008) and</w:t>
      </w:r>
      <w:r w:rsidRPr="00150993">
        <w:rPr>
          <w:rStyle w:val="Strong"/>
          <w:rFonts w:ascii="Arial" w:eastAsiaTheme="majorEastAsia" w:hAnsi="Arial" w:cs="Arial"/>
          <w:sz w:val="22"/>
          <w:szCs w:val="22"/>
        </w:rPr>
        <w:t xml:space="preserve"> 1.072 million </w:t>
      </w:r>
      <w:r w:rsidRPr="00150993">
        <w:rPr>
          <w:rStyle w:val="Strong"/>
          <w:rFonts w:ascii="Arial" w:eastAsiaTheme="majorEastAsia" w:hAnsi="Arial" w:cs="Arial"/>
          <w:b w:val="0"/>
          <w:bCs w:val="0"/>
          <w:sz w:val="22"/>
          <w:szCs w:val="22"/>
        </w:rPr>
        <w:t>(2019)</w:t>
      </w:r>
      <w:r w:rsidRPr="00150993">
        <w:rPr>
          <w:rFonts w:ascii="Arial" w:hAnsi="Arial" w:cs="Arial"/>
          <w:b/>
          <w:bCs/>
          <w:sz w:val="22"/>
          <w:szCs w:val="22"/>
        </w:rPr>
        <w:t>,</w:t>
      </w:r>
      <w:r w:rsidRPr="00150993">
        <w:rPr>
          <w:rFonts w:ascii="Arial" w:hAnsi="Arial" w:cs="Arial"/>
          <w:sz w:val="22"/>
          <w:szCs w:val="22"/>
        </w:rPr>
        <w:t xml:space="preserve"> while their share of the national total slipped from </w:t>
      </w:r>
      <w:r w:rsidRPr="00150993">
        <w:rPr>
          <w:rStyle w:val="Strong"/>
          <w:rFonts w:ascii="Arial" w:eastAsiaTheme="majorEastAsia" w:hAnsi="Arial" w:cs="Arial"/>
          <w:sz w:val="22"/>
          <w:szCs w:val="22"/>
        </w:rPr>
        <w:t>7.</w:t>
      </w:r>
      <w:r w:rsidR="00144150" w:rsidRPr="00150993">
        <w:rPr>
          <w:rStyle w:val="Strong"/>
          <w:rFonts w:ascii="Arial" w:eastAsiaTheme="majorEastAsia" w:hAnsi="Arial" w:cs="Arial"/>
          <w:sz w:val="22"/>
          <w:szCs w:val="22"/>
        </w:rPr>
        <w:t>4</w:t>
      </w:r>
      <w:r w:rsidRPr="00150993">
        <w:rPr>
          <w:rStyle w:val="Strong"/>
          <w:rFonts w:ascii="Arial" w:eastAsiaTheme="majorEastAsia" w:hAnsi="Arial" w:cs="Arial"/>
          <w:sz w:val="22"/>
          <w:szCs w:val="22"/>
        </w:rPr>
        <w:t xml:space="preserve">% </w:t>
      </w:r>
      <w:r w:rsidRPr="00150993">
        <w:rPr>
          <w:rStyle w:val="Strong"/>
          <w:rFonts w:ascii="Arial" w:eastAsiaTheme="majorEastAsia" w:hAnsi="Arial" w:cs="Arial"/>
          <w:b w:val="0"/>
          <w:bCs w:val="0"/>
          <w:sz w:val="22"/>
          <w:szCs w:val="22"/>
        </w:rPr>
        <w:t>to</w:t>
      </w:r>
      <w:r w:rsidRPr="00150993">
        <w:rPr>
          <w:rStyle w:val="Strong"/>
          <w:rFonts w:ascii="Arial" w:eastAsiaTheme="majorEastAsia" w:hAnsi="Arial" w:cs="Arial"/>
          <w:sz w:val="22"/>
          <w:szCs w:val="22"/>
        </w:rPr>
        <w:t xml:space="preserve"> 7.2% </w:t>
      </w:r>
      <w:r w:rsidRPr="00150993">
        <w:rPr>
          <w:rStyle w:val="Strong"/>
          <w:rFonts w:ascii="Arial" w:eastAsiaTheme="majorEastAsia" w:hAnsi="Arial" w:cs="Arial"/>
          <w:b w:val="0"/>
          <w:bCs w:val="0"/>
          <w:sz w:val="22"/>
          <w:szCs w:val="22"/>
        </w:rPr>
        <w:t>to</w:t>
      </w:r>
      <w:r w:rsidRPr="00150993">
        <w:rPr>
          <w:rStyle w:val="Strong"/>
          <w:rFonts w:ascii="Arial" w:eastAsiaTheme="majorEastAsia" w:hAnsi="Arial" w:cs="Arial"/>
          <w:sz w:val="22"/>
          <w:szCs w:val="22"/>
        </w:rPr>
        <w:t xml:space="preserve"> 6.9%</w:t>
      </w:r>
      <w:r w:rsidRPr="00150993">
        <w:rPr>
          <w:rFonts w:ascii="Arial" w:hAnsi="Arial" w:cs="Arial"/>
          <w:sz w:val="22"/>
          <w:szCs w:val="22"/>
        </w:rPr>
        <w:t xml:space="preserve"> </w:t>
      </w:r>
      <w:r w:rsidR="005938F3" w:rsidRPr="00150993">
        <w:rPr>
          <w:rFonts w:ascii="Arial" w:hAnsi="Arial" w:cs="Arial"/>
          <w:sz w:val="22"/>
          <w:szCs w:val="22"/>
        </w:rPr>
        <w:t xml:space="preserve">respectively. </w:t>
      </w:r>
      <w:r w:rsidRPr="00150993">
        <w:rPr>
          <w:rFonts w:ascii="Arial" w:hAnsi="Arial" w:cs="Arial"/>
          <w:sz w:val="22"/>
          <w:szCs w:val="22"/>
        </w:rPr>
        <w:t>(NIS, 1998, 2008, 2019).</w:t>
      </w:r>
    </w:p>
    <w:p w14:paraId="3130B360" w14:textId="1B5A55D3" w:rsidR="00C96768" w:rsidRPr="00150993" w:rsidRDefault="00C96768" w:rsidP="00144150">
      <w:pPr>
        <w:pStyle w:val="NormalWeb"/>
        <w:spacing w:before="0" w:beforeAutospacing="0" w:after="0" w:afterAutospacing="0"/>
        <w:jc w:val="both"/>
        <w:rPr>
          <w:rFonts w:ascii="Arial" w:hAnsi="Arial" w:cs="Arial"/>
          <w:sz w:val="22"/>
          <w:szCs w:val="22"/>
        </w:rPr>
      </w:pPr>
      <w:r w:rsidRPr="00150993">
        <w:rPr>
          <w:rFonts w:ascii="Arial" w:hAnsi="Arial" w:cs="Arial"/>
          <w:noProof/>
          <w14:ligatures w14:val="standardContextual"/>
        </w:rPr>
        <w:drawing>
          <wp:inline distT="0" distB="0" distL="0" distR="0" wp14:anchorId="739B3BF8" wp14:editId="5CE56922">
            <wp:extent cx="5709285" cy="2390775"/>
            <wp:effectExtent l="0" t="0" r="18415" b="9525"/>
            <wp:docPr id="68970042"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4346943" w14:textId="347E9068" w:rsidR="00144150" w:rsidRPr="00150993" w:rsidRDefault="00144150" w:rsidP="00144150">
      <w:pPr>
        <w:pStyle w:val="NormalWeb"/>
        <w:spacing w:before="120" w:beforeAutospacing="0" w:after="0" w:afterAutospacing="0"/>
        <w:rPr>
          <w:rFonts w:ascii="Arial" w:hAnsi="Arial" w:cs="Arial"/>
          <w:color w:val="002060"/>
          <w:sz w:val="22"/>
          <w:szCs w:val="22"/>
        </w:rPr>
      </w:pPr>
      <w:bookmarkStart w:id="21" w:name="_Ref215138476"/>
      <w:bookmarkStart w:id="22" w:name="_Toc215219051"/>
      <w:r w:rsidRPr="00150993">
        <w:rPr>
          <w:rFonts w:ascii="Arial" w:hAnsi="Arial" w:cs="Arial"/>
          <w:color w:val="002060"/>
          <w:sz w:val="22"/>
          <w:szCs w:val="22"/>
        </w:rPr>
        <w:t>Figure 2-</w:t>
      </w:r>
      <w:r w:rsidRPr="00150993">
        <w:rPr>
          <w:rFonts w:ascii="Arial" w:hAnsi="Arial" w:cs="Arial"/>
          <w:color w:val="002060"/>
          <w:sz w:val="22"/>
          <w:szCs w:val="22"/>
        </w:rPr>
        <w:fldChar w:fldCharType="begin"/>
      </w:r>
      <w:r w:rsidRPr="00150993">
        <w:rPr>
          <w:rFonts w:ascii="Arial" w:hAnsi="Arial" w:cs="Arial"/>
          <w:color w:val="002060"/>
          <w:sz w:val="22"/>
          <w:szCs w:val="22"/>
        </w:rPr>
        <w:instrText xml:space="preserve"> SEQ Figure_2- \* ARABIC </w:instrText>
      </w:r>
      <w:r w:rsidRPr="00150993">
        <w:rPr>
          <w:rFonts w:ascii="Arial" w:hAnsi="Arial" w:cs="Arial"/>
          <w:color w:val="002060"/>
          <w:sz w:val="22"/>
          <w:szCs w:val="22"/>
        </w:rPr>
        <w:fldChar w:fldCharType="separate"/>
      </w:r>
      <w:r w:rsidR="005A16C1">
        <w:rPr>
          <w:rFonts w:ascii="Arial" w:hAnsi="Arial" w:cs="Arial"/>
          <w:noProof/>
          <w:color w:val="002060"/>
          <w:sz w:val="22"/>
          <w:szCs w:val="22"/>
        </w:rPr>
        <w:t>2</w:t>
      </w:r>
      <w:r w:rsidRPr="00150993">
        <w:rPr>
          <w:rFonts w:ascii="Arial" w:hAnsi="Arial" w:cs="Arial"/>
          <w:color w:val="002060"/>
          <w:sz w:val="22"/>
          <w:szCs w:val="22"/>
        </w:rPr>
        <w:fldChar w:fldCharType="end"/>
      </w:r>
      <w:bookmarkEnd w:id="21"/>
      <w:r w:rsidRPr="00150993">
        <w:rPr>
          <w:rFonts w:ascii="Arial" w:hAnsi="Arial" w:cs="Arial"/>
          <w:color w:val="002060"/>
          <w:sz w:val="22"/>
          <w:szCs w:val="22"/>
        </w:rPr>
        <w:t xml:space="preserve"> Coastal population and share of national total (1998–2019)</w:t>
      </w:r>
      <w:bookmarkEnd w:id="22"/>
    </w:p>
    <w:p w14:paraId="185D7E54" w14:textId="31B9A905" w:rsidR="00144150" w:rsidRPr="00150993" w:rsidRDefault="00144150" w:rsidP="00144150">
      <w:pPr>
        <w:pStyle w:val="NormalWeb"/>
        <w:spacing w:before="0" w:beforeAutospacing="0" w:after="0" w:afterAutospacing="0"/>
        <w:rPr>
          <w:rFonts w:ascii="Arial" w:hAnsi="Arial" w:cs="Arial"/>
          <w:i/>
          <w:iCs/>
          <w:color w:val="002060"/>
          <w:sz w:val="22"/>
          <w:szCs w:val="22"/>
        </w:rPr>
      </w:pPr>
      <w:r w:rsidRPr="00150993">
        <w:rPr>
          <w:rFonts w:ascii="Arial" w:hAnsi="Arial" w:cs="Arial"/>
          <w:b/>
          <w:bCs/>
          <w:i/>
          <w:iCs/>
          <w:sz w:val="20"/>
          <w:szCs w:val="20"/>
        </w:rPr>
        <w:t>Source:</w:t>
      </w:r>
      <w:r w:rsidRPr="00150993">
        <w:rPr>
          <w:rFonts w:ascii="Arial" w:hAnsi="Arial" w:cs="Arial"/>
          <w:i/>
          <w:iCs/>
          <w:sz w:val="20"/>
          <w:szCs w:val="20"/>
        </w:rPr>
        <w:t xml:space="preserve"> </w:t>
      </w:r>
      <w:r w:rsidRPr="00150993">
        <w:rPr>
          <w:rFonts w:ascii="Arial" w:hAnsi="Arial" w:cs="Arial"/>
          <w:i/>
          <w:iCs/>
          <w:sz w:val="22"/>
          <w:szCs w:val="22"/>
        </w:rPr>
        <w:t>NIS, 1998, 2008, 2019</w:t>
      </w:r>
    </w:p>
    <w:p w14:paraId="656273FC" w14:textId="77777777" w:rsidR="00144150" w:rsidRPr="00150993" w:rsidRDefault="00144150" w:rsidP="00144150">
      <w:pPr>
        <w:pStyle w:val="NormalWeb"/>
        <w:spacing w:before="0" w:beforeAutospacing="0" w:after="0" w:afterAutospacing="0"/>
        <w:rPr>
          <w:rFonts w:ascii="Arial" w:hAnsi="Arial" w:cs="Arial"/>
          <w:color w:val="002060"/>
          <w:sz w:val="22"/>
          <w:szCs w:val="22"/>
        </w:rPr>
      </w:pPr>
    </w:p>
    <w:p w14:paraId="5C837424" w14:textId="38A9775D" w:rsidR="00151EB0" w:rsidRPr="00150993" w:rsidRDefault="00151EB0" w:rsidP="00151EB0">
      <w:pPr>
        <w:pStyle w:val="NormalWeb"/>
        <w:jc w:val="both"/>
        <w:rPr>
          <w:rFonts w:ascii="Arial" w:hAnsi="Arial" w:cs="Arial"/>
          <w:sz w:val="22"/>
          <w:szCs w:val="22"/>
        </w:rPr>
      </w:pPr>
      <w:r w:rsidRPr="00150993">
        <w:rPr>
          <w:rFonts w:ascii="Arial" w:hAnsi="Arial" w:cs="Arial"/>
          <w:sz w:val="22"/>
          <w:szCs w:val="22"/>
        </w:rPr>
        <w:t>Within the coast (</w:t>
      </w:r>
      <w:r w:rsidR="00821293" w:rsidRPr="00150993">
        <w:rPr>
          <w:rFonts w:ascii="Arial" w:hAnsi="Arial" w:cs="Arial"/>
          <w:sz w:val="22"/>
          <w:szCs w:val="22"/>
          <w:highlight w:val="yellow"/>
        </w:rPr>
        <w:fldChar w:fldCharType="begin"/>
      </w:r>
      <w:r w:rsidR="00821293" w:rsidRPr="00150993">
        <w:rPr>
          <w:rFonts w:ascii="Arial" w:hAnsi="Arial" w:cs="Arial"/>
          <w:sz w:val="22"/>
          <w:szCs w:val="22"/>
        </w:rPr>
        <w:instrText xml:space="preserve"> REF _Ref215138495 \h </w:instrText>
      </w:r>
      <w:r w:rsidR="00150993" w:rsidRPr="00150993">
        <w:rPr>
          <w:rFonts w:ascii="Arial" w:hAnsi="Arial" w:cs="Arial"/>
          <w:sz w:val="22"/>
          <w:szCs w:val="22"/>
          <w:highlight w:val="yellow"/>
        </w:rPr>
        <w:instrText xml:space="preserve"> \* MERGEFORMAT </w:instrText>
      </w:r>
      <w:r w:rsidR="00821293" w:rsidRPr="00150993">
        <w:rPr>
          <w:rFonts w:ascii="Arial" w:hAnsi="Arial" w:cs="Arial"/>
          <w:sz w:val="22"/>
          <w:szCs w:val="22"/>
          <w:highlight w:val="yellow"/>
        </w:rPr>
      </w:r>
      <w:r w:rsidR="00821293" w:rsidRPr="00150993">
        <w:rPr>
          <w:rFonts w:ascii="Arial" w:hAnsi="Arial" w:cs="Arial"/>
          <w:sz w:val="22"/>
          <w:szCs w:val="22"/>
          <w:highlight w:val="yellow"/>
        </w:rPr>
        <w:fldChar w:fldCharType="separate"/>
      </w:r>
      <w:r w:rsidR="005A16C1" w:rsidRPr="00150993">
        <w:rPr>
          <w:rFonts w:ascii="Arial" w:hAnsi="Arial" w:cs="Arial"/>
          <w:color w:val="002060"/>
          <w:sz w:val="22"/>
          <w:szCs w:val="22"/>
        </w:rPr>
        <w:t>Figure 2-</w:t>
      </w:r>
      <w:r w:rsidR="005A16C1">
        <w:rPr>
          <w:rFonts w:ascii="Arial" w:hAnsi="Arial" w:cs="Arial"/>
          <w:color w:val="002060"/>
          <w:sz w:val="22"/>
          <w:szCs w:val="22"/>
        </w:rPr>
        <w:t>3</w:t>
      </w:r>
      <w:r w:rsidR="00821293" w:rsidRPr="00150993">
        <w:rPr>
          <w:rFonts w:ascii="Arial" w:hAnsi="Arial" w:cs="Arial"/>
          <w:sz w:val="22"/>
          <w:szCs w:val="22"/>
          <w:highlight w:val="yellow"/>
        </w:rPr>
        <w:fldChar w:fldCharType="end"/>
      </w:r>
      <w:r w:rsidRPr="00150993">
        <w:rPr>
          <w:rFonts w:ascii="Arial" w:hAnsi="Arial" w:cs="Arial"/>
          <w:sz w:val="22"/>
          <w:szCs w:val="22"/>
        </w:rPr>
        <w:t>),</w:t>
      </w:r>
      <w:r w:rsidR="00144150" w:rsidRPr="00150993">
        <w:rPr>
          <w:rFonts w:ascii="Arial" w:hAnsi="Arial" w:cs="Arial"/>
        </w:rPr>
        <w:t xml:space="preserve"> </w:t>
      </w:r>
      <w:r w:rsidR="00144150" w:rsidRPr="00150993">
        <w:rPr>
          <w:rFonts w:ascii="Arial" w:hAnsi="Arial" w:cs="Arial"/>
          <w:sz w:val="22"/>
          <w:szCs w:val="22"/>
        </w:rPr>
        <w:t xml:space="preserve">Preah Sihanouk nearly doubled its population and households </w:t>
      </w:r>
      <w:r w:rsidR="009D4ADA" w:rsidRPr="00150993">
        <w:rPr>
          <w:rFonts w:ascii="Arial" w:hAnsi="Arial" w:cs="Arial"/>
          <w:sz w:val="22"/>
          <w:szCs w:val="22"/>
        </w:rPr>
        <w:t xml:space="preserve">households grew faster than people, from </w:t>
      </w:r>
      <w:r w:rsidR="009D4ADA" w:rsidRPr="00150993">
        <w:rPr>
          <w:rStyle w:val="Strong"/>
          <w:rFonts w:ascii="Arial" w:eastAsiaTheme="majorEastAsia" w:hAnsi="Arial" w:cs="Arial"/>
          <w:sz w:val="22"/>
          <w:szCs w:val="22"/>
        </w:rPr>
        <w:t xml:space="preserve">163,337 </w:t>
      </w:r>
      <w:r w:rsidR="009D4ADA" w:rsidRPr="00150993">
        <w:rPr>
          <w:rStyle w:val="Strong"/>
          <w:rFonts w:ascii="Arial" w:eastAsiaTheme="majorEastAsia" w:hAnsi="Arial" w:cs="Arial"/>
          <w:b w:val="0"/>
          <w:bCs w:val="0"/>
          <w:sz w:val="22"/>
          <w:szCs w:val="22"/>
        </w:rPr>
        <w:t>to</w:t>
      </w:r>
      <w:r w:rsidR="009D4ADA" w:rsidRPr="00150993">
        <w:rPr>
          <w:rStyle w:val="Strong"/>
          <w:rFonts w:ascii="Arial" w:eastAsiaTheme="majorEastAsia" w:hAnsi="Arial" w:cs="Arial"/>
          <w:sz w:val="22"/>
          <w:szCs w:val="22"/>
        </w:rPr>
        <w:t xml:space="preserve"> 206,868 </w:t>
      </w:r>
      <w:r w:rsidR="009D4ADA" w:rsidRPr="00150993">
        <w:rPr>
          <w:rStyle w:val="Strong"/>
          <w:rFonts w:ascii="Arial" w:eastAsiaTheme="majorEastAsia" w:hAnsi="Arial" w:cs="Arial"/>
          <w:b w:val="0"/>
          <w:bCs w:val="0"/>
          <w:sz w:val="22"/>
          <w:szCs w:val="22"/>
        </w:rPr>
        <w:t>to</w:t>
      </w:r>
      <w:r w:rsidR="009D4ADA" w:rsidRPr="00150993">
        <w:rPr>
          <w:rStyle w:val="Strong"/>
          <w:rFonts w:ascii="Arial" w:eastAsiaTheme="majorEastAsia" w:hAnsi="Arial" w:cs="Arial"/>
          <w:sz w:val="22"/>
          <w:szCs w:val="22"/>
        </w:rPr>
        <w:t xml:space="preserve"> 228,415</w:t>
      </w:r>
      <w:r w:rsidR="009D4ADA" w:rsidRPr="00150993">
        <w:rPr>
          <w:rFonts w:ascii="Arial" w:hAnsi="Arial" w:cs="Arial"/>
          <w:sz w:val="22"/>
          <w:szCs w:val="22"/>
        </w:rPr>
        <w:t xml:space="preserve"> (+40%), indicating sustained household formation and in-migration to coastal hubs (Brinkhoff, 2019).</w:t>
      </w:r>
      <w:r w:rsidR="00144150" w:rsidRPr="00150993">
        <w:rPr>
          <w:rFonts w:ascii="Arial" w:hAnsi="Arial" w:cs="Arial"/>
          <w:sz w:val="22"/>
          <w:szCs w:val="22"/>
        </w:rPr>
        <w:t xml:space="preserve"> Kampot grew modestly but its national share fell; Koh Kong shows slow net growth from a small base; and Kep remains tiny but recorded the fastest relative population and household gains</w:t>
      </w:r>
      <w:r w:rsidRPr="00150993">
        <w:rPr>
          <w:rFonts w:ascii="Arial" w:hAnsi="Arial" w:cs="Arial"/>
          <w:sz w:val="22"/>
          <w:szCs w:val="22"/>
        </w:rPr>
        <w:t>. Average household size generally fell and sex ratios diverged—male-skewed in Preah Sihanouk and Koh Kong, more balanced or female-skewed in Kampot and Kep—</w:t>
      </w:r>
      <w:r w:rsidR="0004646D" w:rsidRPr="00150993">
        <w:rPr>
          <w:rFonts w:ascii="Arial" w:hAnsi="Arial" w:cs="Arial"/>
          <w:sz w:val="22"/>
          <w:szCs w:val="22"/>
        </w:rPr>
        <w:t xml:space="preserve"> total shows about </w:t>
      </w:r>
      <w:r w:rsidR="0004646D" w:rsidRPr="00150993">
        <w:rPr>
          <w:rFonts w:ascii="Arial" w:hAnsi="Arial" w:cs="Arial"/>
          <w:b/>
          <w:bCs/>
          <w:sz w:val="22"/>
          <w:szCs w:val="22"/>
        </w:rPr>
        <w:t>0.92–0.94</w:t>
      </w:r>
      <w:r w:rsidR="0004646D" w:rsidRPr="00150993">
        <w:rPr>
          <w:rFonts w:ascii="Arial" w:hAnsi="Arial" w:cs="Arial"/>
          <w:sz w:val="22"/>
          <w:szCs w:val="22"/>
        </w:rPr>
        <w:t xml:space="preserve">, </w:t>
      </w:r>
      <w:r w:rsidRPr="00150993">
        <w:rPr>
          <w:rFonts w:ascii="Arial" w:hAnsi="Arial" w:cs="Arial"/>
          <w:sz w:val="22"/>
          <w:szCs w:val="22"/>
        </w:rPr>
        <w:t>reflecting different labour markets and migration patterns (NIS, 1998, 2008, 2019).</w:t>
      </w:r>
      <w:r w:rsidR="00821293" w:rsidRPr="00150993">
        <w:rPr>
          <w:rFonts w:ascii="Arial" w:hAnsi="Arial" w:cs="Arial"/>
          <w:sz w:val="22"/>
          <w:szCs w:val="22"/>
        </w:rPr>
        <w:t xml:space="preserve"> </w:t>
      </w:r>
    </w:p>
    <w:p w14:paraId="63E8080A" w14:textId="09C87E0A" w:rsidR="00ED011A" w:rsidRPr="00150993" w:rsidRDefault="00144150" w:rsidP="00D960AA">
      <w:pPr>
        <w:pStyle w:val="Caption"/>
        <w:spacing w:after="0"/>
        <w:jc w:val="center"/>
        <w:rPr>
          <w:rFonts w:ascii="Arial" w:hAnsi="Arial" w:cs="Arial"/>
          <w:color w:val="0070C0"/>
          <w:sz w:val="21"/>
          <w:szCs w:val="21"/>
        </w:rPr>
      </w:pPr>
      <w:r w:rsidRPr="00150993">
        <w:rPr>
          <w:rFonts w:ascii="Arial" w:hAnsi="Arial" w:cs="Arial"/>
          <w:noProof/>
          <w14:ligatures w14:val="standardContextual"/>
        </w:rPr>
        <w:drawing>
          <wp:inline distT="0" distB="0" distL="0" distR="0" wp14:anchorId="6B98022C" wp14:editId="15AECE14">
            <wp:extent cx="5805170" cy="2743200"/>
            <wp:effectExtent l="0" t="0" r="11430" b="12700"/>
            <wp:docPr id="2092476766" name="Chart 1">
              <a:extLst xmlns:a="http://schemas.openxmlformats.org/drawingml/2006/main">
                <a:ext uri="{FF2B5EF4-FFF2-40B4-BE49-F238E27FC236}">
                  <a16:creationId xmlns:a16="http://schemas.microsoft.com/office/drawing/2014/main" id="{B1BD6E68-D9FD-4D85-70C1-C0A9CEC571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C375AED" w14:textId="3015D4A7" w:rsidR="0004646D" w:rsidRPr="00150993" w:rsidRDefault="0004646D" w:rsidP="0004646D">
      <w:pPr>
        <w:pStyle w:val="NormalWeb"/>
        <w:spacing w:before="0" w:beforeAutospacing="0" w:after="0" w:afterAutospacing="0"/>
        <w:rPr>
          <w:rFonts w:ascii="Arial" w:hAnsi="Arial" w:cs="Arial"/>
          <w:color w:val="002060"/>
          <w:sz w:val="22"/>
          <w:szCs w:val="22"/>
        </w:rPr>
      </w:pPr>
      <w:bookmarkStart w:id="23" w:name="_Ref215138495"/>
      <w:bookmarkStart w:id="24" w:name="_Toc215219052"/>
      <w:r w:rsidRPr="00150993">
        <w:rPr>
          <w:rFonts w:ascii="Arial" w:hAnsi="Arial" w:cs="Arial"/>
          <w:color w:val="002060"/>
          <w:sz w:val="22"/>
          <w:szCs w:val="22"/>
        </w:rPr>
        <w:t>Figure 2-</w:t>
      </w:r>
      <w:r w:rsidRPr="00150993">
        <w:rPr>
          <w:rFonts w:ascii="Arial" w:hAnsi="Arial" w:cs="Arial"/>
          <w:i/>
          <w:iCs/>
          <w:color w:val="002060"/>
          <w:sz w:val="22"/>
          <w:szCs w:val="22"/>
        </w:rPr>
        <w:fldChar w:fldCharType="begin"/>
      </w:r>
      <w:r w:rsidRPr="00150993">
        <w:rPr>
          <w:rFonts w:ascii="Arial" w:hAnsi="Arial" w:cs="Arial"/>
          <w:color w:val="002060"/>
          <w:sz w:val="22"/>
          <w:szCs w:val="22"/>
        </w:rPr>
        <w:instrText xml:space="preserve"> SEQ Figure_2- \* ARABIC </w:instrText>
      </w:r>
      <w:r w:rsidRPr="00150993">
        <w:rPr>
          <w:rFonts w:ascii="Arial" w:hAnsi="Arial" w:cs="Arial"/>
          <w:i/>
          <w:iCs/>
          <w:color w:val="002060"/>
          <w:sz w:val="22"/>
          <w:szCs w:val="22"/>
        </w:rPr>
        <w:fldChar w:fldCharType="separate"/>
      </w:r>
      <w:r w:rsidR="005A16C1">
        <w:rPr>
          <w:rFonts w:ascii="Arial" w:hAnsi="Arial" w:cs="Arial"/>
          <w:noProof/>
          <w:color w:val="002060"/>
          <w:sz w:val="22"/>
          <w:szCs w:val="22"/>
        </w:rPr>
        <w:t>3</w:t>
      </w:r>
      <w:r w:rsidRPr="00150993">
        <w:rPr>
          <w:rFonts w:ascii="Arial" w:hAnsi="Arial" w:cs="Arial"/>
          <w:i/>
          <w:iCs/>
          <w:color w:val="002060"/>
          <w:sz w:val="22"/>
          <w:szCs w:val="22"/>
        </w:rPr>
        <w:fldChar w:fldCharType="end"/>
      </w:r>
      <w:bookmarkEnd w:id="23"/>
      <w:r w:rsidRPr="00150993">
        <w:rPr>
          <w:rFonts w:ascii="Arial" w:hAnsi="Arial" w:cs="Arial"/>
          <w:color w:val="002060"/>
          <w:sz w:val="22"/>
          <w:szCs w:val="22"/>
        </w:rPr>
        <w:t xml:space="preserve"> </w:t>
      </w:r>
      <w:r w:rsidR="00144150" w:rsidRPr="00150993">
        <w:rPr>
          <w:rFonts w:ascii="Arial" w:hAnsi="Arial" w:cs="Arial"/>
          <w:color w:val="002060"/>
          <w:sz w:val="22"/>
          <w:szCs w:val="22"/>
        </w:rPr>
        <w:t>Coastal provinces – population and households (1998–2019)</w:t>
      </w:r>
      <w:bookmarkEnd w:id="24"/>
    </w:p>
    <w:p w14:paraId="278DACBC" w14:textId="7EE7DCAB" w:rsidR="00863137" w:rsidRPr="00150993" w:rsidRDefault="00E95347" w:rsidP="0004646D">
      <w:pPr>
        <w:spacing w:after="120"/>
        <w:rPr>
          <w:rFonts w:ascii="Arial" w:hAnsi="Arial" w:cs="Arial"/>
          <w:i/>
          <w:iCs/>
          <w:sz w:val="20"/>
          <w:szCs w:val="20"/>
        </w:rPr>
      </w:pPr>
      <w:r w:rsidRPr="00150993">
        <w:rPr>
          <w:rFonts w:ascii="Arial" w:hAnsi="Arial" w:cs="Arial"/>
          <w:b/>
          <w:bCs/>
          <w:i/>
          <w:iCs/>
          <w:sz w:val="20"/>
          <w:szCs w:val="20"/>
        </w:rPr>
        <w:t>Source:</w:t>
      </w:r>
      <w:r w:rsidRPr="00150993">
        <w:rPr>
          <w:rFonts w:ascii="Arial" w:hAnsi="Arial" w:cs="Arial"/>
          <w:i/>
          <w:iCs/>
          <w:sz w:val="20"/>
          <w:szCs w:val="20"/>
        </w:rPr>
        <w:t xml:space="preserve"> NIE, 1998, 2008, 2019)</w:t>
      </w:r>
    </w:p>
    <w:p w14:paraId="012862F8" w14:textId="77777777" w:rsidR="00C368AD" w:rsidRPr="00275B0E" w:rsidRDefault="00863137"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2.2.1.2. </w:t>
      </w:r>
      <w:r w:rsidR="00C368AD" w:rsidRPr="00275B0E">
        <w:rPr>
          <w:rFonts w:ascii="Arial" w:hAnsi="Arial" w:cs="Arial"/>
          <w:b/>
          <w:bCs/>
          <w:i w:val="0"/>
          <w:iCs w:val="0"/>
          <w:color w:val="0070C0"/>
          <w:sz w:val="22"/>
          <w:szCs w:val="22"/>
        </w:rPr>
        <w:t>Subnational coastal area</w:t>
      </w:r>
      <w:r w:rsidRPr="00275B0E">
        <w:rPr>
          <w:rFonts w:ascii="Arial" w:hAnsi="Arial" w:cs="Arial"/>
          <w:b/>
          <w:bCs/>
          <w:i w:val="0"/>
          <w:iCs w:val="0"/>
          <w:color w:val="0070C0"/>
          <w:sz w:val="22"/>
          <w:szCs w:val="22"/>
        </w:rPr>
        <w:t xml:space="preserve"> and population densities</w:t>
      </w:r>
    </w:p>
    <w:p w14:paraId="05698031" w14:textId="398D171B" w:rsidR="00C368AD" w:rsidRPr="00150993" w:rsidRDefault="00810FDE" w:rsidP="00275B0E">
      <w:pPr>
        <w:pStyle w:val="NormalWeb"/>
        <w:adjustRightInd w:val="0"/>
        <w:snapToGrid w:val="0"/>
        <w:spacing w:before="240" w:beforeAutospacing="0" w:after="240" w:afterAutospacing="0"/>
        <w:jc w:val="both"/>
        <w:rPr>
          <w:rFonts w:ascii="Arial" w:hAnsi="Arial" w:cs="Arial"/>
          <w:sz w:val="21"/>
          <w:szCs w:val="21"/>
        </w:rPr>
      </w:pPr>
      <w:r>
        <w:rPr>
          <w:rFonts w:ascii="Arial" w:hAnsi="Arial" w:cs="Arial"/>
          <w:sz w:val="21"/>
          <w:szCs w:val="21"/>
        </w:rPr>
        <w:t xml:space="preserve">As show in </w:t>
      </w:r>
      <w:r>
        <w:rPr>
          <w:rFonts w:ascii="Arial" w:hAnsi="Arial" w:cs="Arial"/>
          <w:sz w:val="21"/>
          <w:szCs w:val="21"/>
        </w:rPr>
        <w:fldChar w:fldCharType="begin"/>
      </w:r>
      <w:r>
        <w:rPr>
          <w:rFonts w:ascii="Arial" w:hAnsi="Arial" w:cs="Arial"/>
          <w:sz w:val="21"/>
          <w:szCs w:val="21"/>
        </w:rPr>
        <w:instrText xml:space="preserve"> REF _Ref215133627 \h </w:instrText>
      </w:r>
      <w:r>
        <w:rPr>
          <w:rFonts w:ascii="Arial" w:hAnsi="Arial" w:cs="Arial"/>
          <w:sz w:val="21"/>
          <w:szCs w:val="21"/>
        </w:rPr>
      </w:r>
      <w:r>
        <w:rPr>
          <w:rFonts w:ascii="Arial" w:hAnsi="Arial" w:cs="Arial"/>
          <w:sz w:val="21"/>
          <w:szCs w:val="21"/>
        </w:rPr>
        <w:fldChar w:fldCharType="separate"/>
      </w:r>
      <w:r w:rsidR="005A16C1" w:rsidRPr="00150993">
        <w:rPr>
          <w:rFonts w:ascii="Arial" w:hAnsi="Arial" w:cs="Arial"/>
          <w:color w:val="002060"/>
          <w:sz w:val="22"/>
          <w:szCs w:val="22"/>
        </w:rPr>
        <w:t>Table 2-</w:t>
      </w:r>
      <w:r w:rsidR="005A16C1">
        <w:rPr>
          <w:rFonts w:ascii="Arial" w:hAnsi="Arial" w:cs="Arial"/>
          <w:noProof/>
          <w:color w:val="002060"/>
          <w:sz w:val="22"/>
          <w:szCs w:val="22"/>
        </w:rPr>
        <w:t>1</w:t>
      </w:r>
      <w:r>
        <w:rPr>
          <w:rFonts w:ascii="Arial" w:hAnsi="Arial" w:cs="Arial"/>
          <w:sz w:val="21"/>
          <w:szCs w:val="21"/>
        </w:rPr>
        <w:fldChar w:fldCharType="end"/>
      </w:r>
      <w:r>
        <w:rPr>
          <w:rFonts w:ascii="Arial" w:hAnsi="Arial" w:cs="Arial"/>
          <w:sz w:val="21"/>
          <w:szCs w:val="21"/>
        </w:rPr>
        <w:t>, c</w:t>
      </w:r>
      <w:r w:rsidR="009357ED" w:rsidRPr="00150993">
        <w:rPr>
          <w:rFonts w:ascii="Arial" w:hAnsi="Arial" w:cs="Arial"/>
          <w:sz w:val="21"/>
          <w:szCs w:val="21"/>
        </w:rPr>
        <w:t>oastal provinces cover 17,237 km² (9.5</w:t>
      </w:r>
      <w:r w:rsidR="001A03C4" w:rsidRPr="00150993">
        <w:rPr>
          <w:rFonts w:ascii="Arial" w:hAnsi="Arial" w:cs="Arial"/>
          <w:sz w:val="21"/>
          <w:szCs w:val="21"/>
        </w:rPr>
        <w:t>2</w:t>
      </w:r>
      <w:r w:rsidR="009357ED" w:rsidRPr="00150993">
        <w:rPr>
          <w:rFonts w:ascii="Arial" w:hAnsi="Arial" w:cs="Arial"/>
          <w:sz w:val="21"/>
          <w:szCs w:val="21"/>
        </w:rPr>
        <w:t xml:space="preserve">% of national land), dominated by Koh Kong’s large low-density area and the much smaller but denser Kampot, Preah Sihanouk, and Kep. </w:t>
      </w:r>
      <w:r w:rsidR="001A03C4" w:rsidRPr="00150993">
        <w:rPr>
          <w:rFonts w:ascii="Arial" w:hAnsi="Arial" w:cs="Arial"/>
          <w:sz w:val="21"/>
          <w:szCs w:val="21"/>
        </w:rPr>
        <w:t>Indicates that d</w:t>
      </w:r>
      <w:r w:rsidR="009357ED" w:rsidRPr="00150993">
        <w:rPr>
          <w:rFonts w:ascii="Arial" w:hAnsi="Arial" w:cs="Arial"/>
          <w:sz w:val="21"/>
          <w:szCs w:val="21"/>
        </w:rPr>
        <w:t>ensities rose from 49 to 62 persons/km² (1998–2019), driven mainly by Preah Sihanouk’s rapid growth, moderate increases in Kampot and Kep, while Koh Kong stayed sparse. Coast-wide population growth increased from 0.8%/yr to 1.0%/yr, led by accelerating growth in Preah Sihanouk, steady but slowing rates in Kep, minimal growth in Koh Kong, and near-zero growth in Kampot.</w:t>
      </w:r>
    </w:p>
    <w:p w14:paraId="070F729C" w14:textId="38597380" w:rsidR="009357ED" w:rsidRPr="00150993" w:rsidRDefault="009357ED" w:rsidP="001A19EF">
      <w:pPr>
        <w:pStyle w:val="NormalWeb"/>
        <w:adjustRightInd w:val="0"/>
        <w:snapToGrid w:val="0"/>
        <w:spacing w:before="240" w:beforeAutospacing="0" w:after="120" w:afterAutospacing="0"/>
        <w:jc w:val="both"/>
        <w:rPr>
          <w:rFonts w:ascii="Arial" w:hAnsi="Arial" w:cs="Arial"/>
          <w:color w:val="002060"/>
          <w:sz w:val="22"/>
          <w:szCs w:val="22"/>
        </w:rPr>
      </w:pPr>
      <w:bookmarkStart w:id="25" w:name="_Ref215133627"/>
      <w:bookmarkStart w:id="26" w:name="_Toc215219058"/>
      <w:r w:rsidRPr="00150993">
        <w:rPr>
          <w:rFonts w:ascii="Arial" w:hAnsi="Arial" w:cs="Arial"/>
          <w:color w:val="002060"/>
          <w:sz w:val="22"/>
          <w:szCs w:val="22"/>
        </w:rPr>
        <w:t>Table 2-</w:t>
      </w:r>
      <w:r w:rsidRPr="00150993">
        <w:rPr>
          <w:rFonts w:ascii="Arial" w:hAnsi="Arial" w:cs="Arial"/>
          <w:color w:val="002060"/>
          <w:sz w:val="22"/>
          <w:szCs w:val="22"/>
        </w:rPr>
        <w:fldChar w:fldCharType="begin"/>
      </w:r>
      <w:r w:rsidRPr="00150993">
        <w:rPr>
          <w:rFonts w:ascii="Arial" w:hAnsi="Arial" w:cs="Arial"/>
          <w:color w:val="002060"/>
          <w:sz w:val="22"/>
          <w:szCs w:val="22"/>
        </w:rPr>
        <w:instrText xml:space="preserve"> SEQ Table_2- \* ARABIC </w:instrText>
      </w:r>
      <w:r w:rsidRPr="00150993">
        <w:rPr>
          <w:rFonts w:ascii="Arial" w:hAnsi="Arial" w:cs="Arial"/>
          <w:color w:val="002060"/>
          <w:sz w:val="22"/>
          <w:szCs w:val="22"/>
        </w:rPr>
        <w:fldChar w:fldCharType="separate"/>
      </w:r>
      <w:r w:rsidR="005A16C1">
        <w:rPr>
          <w:rFonts w:ascii="Arial" w:hAnsi="Arial" w:cs="Arial"/>
          <w:noProof/>
          <w:color w:val="002060"/>
          <w:sz w:val="22"/>
          <w:szCs w:val="22"/>
        </w:rPr>
        <w:t>1</w:t>
      </w:r>
      <w:r w:rsidRPr="00150993">
        <w:rPr>
          <w:rFonts w:ascii="Arial" w:hAnsi="Arial" w:cs="Arial"/>
          <w:color w:val="002060"/>
          <w:sz w:val="22"/>
          <w:szCs w:val="22"/>
        </w:rPr>
        <w:fldChar w:fldCharType="end"/>
      </w:r>
      <w:bookmarkEnd w:id="25"/>
      <w:r w:rsidRPr="00150993">
        <w:rPr>
          <w:rFonts w:ascii="Arial" w:hAnsi="Arial" w:cs="Arial"/>
          <w:color w:val="002060"/>
          <w:sz w:val="22"/>
          <w:szCs w:val="22"/>
        </w:rPr>
        <w:t xml:space="preserve"> Coastal provinces: area, density and growth</w:t>
      </w:r>
      <w:bookmarkEnd w:id="26"/>
    </w:p>
    <w:tbl>
      <w:tblPr>
        <w:tblStyle w:val="GridTable4-Accent5"/>
        <w:tblW w:w="0" w:type="auto"/>
        <w:tblLayout w:type="fixed"/>
        <w:tblLook w:val="04A0" w:firstRow="1" w:lastRow="0" w:firstColumn="1" w:lastColumn="0" w:noHBand="0" w:noVBand="1"/>
      </w:tblPr>
      <w:tblGrid>
        <w:gridCol w:w="1354"/>
        <w:gridCol w:w="1027"/>
        <w:gridCol w:w="1281"/>
        <w:gridCol w:w="967"/>
        <w:gridCol w:w="1036"/>
        <w:gridCol w:w="993"/>
        <w:gridCol w:w="1134"/>
        <w:gridCol w:w="1218"/>
      </w:tblGrid>
      <w:tr w:rsidR="009357ED" w:rsidRPr="00150993" w14:paraId="0BD24D05" w14:textId="77777777" w:rsidTr="009357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Merge w:val="restart"/>
            <w:vAlign w:val="center"/>
            <w:hideMark/>
          </w:tcPr>
          <w:p w14:paraId="1A58C2A9" w14:textId="77777777" w:rsidR="009357ED" w:rsidRPr="00150993" w:rsidRDefault="009357ED" w:rsidP="009357ED">
            <w:pPr>
              <w:rPr>
                <w:rFonts w:ascii="Arial" w:hAnsi="Arial" w:cs="Arial"/>
                <w:sz w:val="21"/>
                <w:szCs w:val="21"/>
              </w:rPr>
            </w:pPr>
            <w:r w:rsidRPr="00150993">
              <w:rPr>
                <w:rFonts w:ascii="Arial" w:hAnsi="Arial" w:cs="Arial"/>
                <w:sz w:val="21"/>
                <w:szCs w:val="21"/>
              </w:rPr>
              <w:t>Province</w:t>
            </w:r>
          </w:p>
        </w:tc>
        <w:tc>
          <w:tcPr>
            <w:tcW w:w="1027" w:type="dxa"/>
            <w:vMerge w:val="restart"/>
            <w:vAlign w:val="center"/>
            <w:hideMark/>
          </w:tcPr>
          <w:p w14:paraId="5A309DCB" w14:textId="77777777" w:rsidR="009357ED" w:rsidRPr="00150993" w:rsidRDefault="009357ED" w:rsidP="009357E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Area (km²)</w:t>
            </w:r>
          </w:p>
        </w:tc>
        <w:tc>
          <w:tcPr>
            <w:tcW w:w="1281" w:type="dxa"/>
            <w:vMerge w:val="restart"/>
            <w:vAlign w:val="center"/>
            <w:hideMark/>
          </w:tcPr>
          <w:p w14:paraId="16224AC4" w14:textId="77777777" w:rsidR="009357ED" w:rsidRPr="00150993" w:rsidRDefault="009357ED" w:rsidP="009357E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 of national land</w:t>
            </w:r>
          </w:p>
        </w:tc>
        <w:tc>
          <w:tcPr>
            <w:tcW w:w="2996" w:type="dxa"/>
            <w:gridSpan w:val="3"/>
            <w:vAlign w:val="center"/>
            <w:hideMark/>
          </w:tcPr>
          <w:p w14:paraId="37ABFA31" w14:textId="11807591" w:rsidR="009357ED" w:rsidRPr="00150993" w:rsidRDefault="009357ED" w:rsidP="009357E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Density  (persons/km²)</w:t>
            </w:r>
          </w:p>
        </w:tc>
        <w:tc>
          <w:tcPr>
            <w:tcW w:w="2352" w:type="dxa"/>
            <w:gridSpan w:val="2"/>
            <w:vAlign w:val="center"/>
            <w:hideMark/>
          </w:tcPr>
          <w:p w14:paraId="206989A5" w14:textId="01D0E779" w:rsidR="009357ED" w:rsidRPr="00150993" w:rsidRDefault="009357ED" w:rsidP="009357E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Growth (%/yr)</w:t>
            </w:r>
          </w:p>
        </w:tc>
      </w:tr>
      <w:tr w:rsidR="00275B0E" w:rsidRPr="00150993" w14:paraId="5ABFCB57" w14:textId="77777777" w:rsidTr="00275B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Merge/>
            <w:vAlign w:val="center"/>
          </w:tcPr>
          <w:p w14:paraId="70CE567C" w14:textId="77777777" w:rsidR="009357ED" w:rsidRPr="00150993" w:rsidRDefault="009357ED" w:rsidP="009357ED">
            <w:pPr>
              <w:jc w:val="center"/>
              <w:rPr>
                <w:rFonts w:ascii="Arial" w:hAnsi="Arial" w:cs="Arial"/>
                <w:color w:val="FFFFFF" w:themeColor="background1"/>
                <w:sz w:val="21"/>
                <w:szCs w:val="21"/>
              </w:rPr>
            </w:pPr>
          </w:p>
        </w:tc>
        <w:tc>
          <w:tcPr>
            <w:tcW w:w="1027" w:type="dxa"/>
            <w:vMerge/>
            <w:vAlign w:val="center"/>
          </w:tcPr>
          <w:p w14:paraId="36D8C563" w14:textId="77777777" w:rsidR="009357ED" w:rsidRPr="00150993" w:rsidRDefault="009357ED" w:rsidP="009357ED">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1"/>
                <w:szCs w:val="21"/>
              </w:rPr>
            </w:pPr>
          </w:p>
        </w:tc>
        <w:tc>
          <w:tcPr>
            <w:tcW w:w="1281" w:type="dxa"/>
            <w:vMerge/>
            <w:vAlign w:val="center"/>
          </w:tcPr>
          <w:p w14:paraId="351947FF" w14:textId="77777777" w:rsidR="009357ED" w:rsidRPr="00150993" w:rsidRDefault="009357ED" w:rsidP="009357ED">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1"/>
                <w:szCs w:val="21"/>
              </w:rPr>
            </w:pPr>
          </w:p>
        </w:tc>
        <w:tc>
          <w:tcPr>
            <w:tcW w:w="967" w:type="dxa"/>
            <w:shd w:val="clear" w:color="auto" w:fill="2E74B5" w:themeFill="accent5" w:themeFillShade="BF"/>
            <w:vAlign w:val="center"/>
          </w:tcPr>
          <w:p w14:paraId="25EBE418" w14:textId="1F7D47E1" w:rsidR="009357ED" w:rsidRPr="00275B0E" w:rsidRDefault="009357ED" w:rsidP="009357E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275B0E">
              <w:rPr>
                <w:rFonts w:ascii="Arial" w:hAnsi="Arial" w:cs="Arial"/>
                <w:color w:val="FFFFFF" w:themeColor="background1"/>
                <w:sz w:val="21"/>
                <w:szCs w:val="21"/>
              </w:rPr>
              <w:t>1998</w:t>
            </w:r>
          </w:p>
        </w:tc>
        <w:tc>
          <w:tcPr>
            <w:tcW w:w="1036" w:type="dxa"/>
            <w:shd w:val="clear" w:color="auto" w:fill="2E74B5" w:themeFill="accent5" w:themeFillShade="BF"/>
            <w:vAlign w:val="center"/>
          </w:tcPr>
          <w:p w14:paraId="659A3A1E" w14:textId="1FCAC87D" w:rsidR="009357ED" w:rsidRPr="00275B0E" w:rsidRDefault="009357ED" w:rsidP="009357E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275B0E">
              <w:rPr>
                <w:rFonts w:ascii="Arial" w:hAnsi="Arial" w:cs="Arial"/>
                <w:color w:val="FFFFFF" w:themeColor="background1"/>
                <w:sz w:val="21"/>
                <w:szCs w:val="21"/>
              </w:rPr>
              <w:t>2008</w:t>
            </w:r>
          </w:p>
        </w:tc>
        <w:tc>
          <w:tcPr>
            <w:tcW w:w="993" w:type="dxa"/>
            <w:shd w:val="clear" w:color="auto" w:fill="2E74B5" w:themeFill="accent5" w:themeFillShade="BF"/>
            <w:vAlign w:val="center"/>
          </w:tcPr>
          <w:p w14:paraId="68B48316" w14:textId="20197F96" w:rsidR="009357ED" w:rsidRPr="00275B0E" w:rsidRDefault="009357ED" w:rsidP="009357E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275B0E">
              <w:rPr>
                <w:rFonts w:ascii="Arial" w:hAnsi="Arial" w:cs="Arial"/>
                <w:color w:val="FFFFFF" w:themeColor="background1"/>
                <w:sz w:val="21"/>
                <w:szCs w:val="21"/>
              </w:rPr>
              <w:t>2019</w:t>
            </w:r>
          </w:p>
        </w:tc>
        <w:tc>
          <w:tcPr>
            <w:tcW w:w="1134" w:type="dxa"/>
            <w:shd w:val="clear" w:color="auto" w:fill="2E74B5" w:themeFill="accent5" w:themeFillShade="BF"/>
            <w:vAlign w:val="center"/>
          </w:tcPr>
          <w:p w14:paraId="7015DC4C" w14:textId="2E33D6E0" w:rsidR="009357ED" w:rsidRPr="00275B0E" w:rsidRDefault="009357ED" w:rsidP="009357E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275B0E">
              <w:rPr>
                <w:rFonts w:ascii="Arial" w:hAnsi="Arial" w:cs="Arial"/>
                <w:color w:val="FFFFFF" w:themeColor="background1"/>
                <w:sz w:val="21"/>
                <w:szCs w:val="21"/>
              </w:rPr>
              <w:t>1998–2008</w:t>
            </w:r>
          </w:p>
        </w:tc>
        <w:tc>
          <w:tcPr>
            <w:tcW w:w="1218" w:type="dxa"/>
            <w:shd w:val="clear" w:color="auto" w:fill="2E74B5" w:themeFill="accent5" w:themeFillShade="BF"/>
            <w:vAlign w:val="center"/>
          </w:tcPr>
          <w:p w14:paraId="11B152BD" w14:textId="7595B30E" w:rsidR="009357ED" w:rsidRPr="00275B0E" w:rsidRDefault="009357ED" w:rsidP="009357E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275B0E">
              <w:rPr>
                <w:rFonts w:ascii="Arial" w:hAnsi="Arial" w:cs="Arial"/>
                <w:color w:val="FFFFFF" w:themeColor="background1"/>
                <w:sz w:val="21"/>
                <w:szCs w:val="21"/>
              </w:rPr>
              <w:t>2008–2019</w:t>
            </w:r>
          </w:p>
        </w:tc>
      </w:tr>
      <w:tr w:rsidR="009357ED" w:rsidRPr="00150993" w14:paraId="1A165E1F" w14:textId="77777777" w:rsidTr="009357ED">
        <w:tc>
          <w:tcPr>
            <w:cnfStyle w:val="001000000000" w:firstRow="0" w:lastRow="0" w:firstColumn="1" w:lastColumn="0" w:oddVBand="0" w:evenVBand="0" w:oddHBand="0" w:evenHBand="0" w:firstRowFirstColumn="0" w:firstRowLastColumn="0" w:lastRowFirstColumn="0" w:lastRowLastColumn="0"/>
            <w:tcW w:w="1354" w:type="dxa"/>
            <w:vAlign w:val="center"/>
            <w:hideMark/>
          </w:tcPr>
          <w:p w14:paraId="1DE176A2" w14:textId="77777777" w:rsidR="009357ED" w:rsidRPr="00150993" w:rsidRDefault="009357ED" w:rsidP="009357ED">
            <w:pPr>
              <w:rPr>
                <w:rFonts w:ascii="Arial" w:hAnsi="Arial" w:cs="Arial"/>
                <w:b w:val="0"/>
                <w:bCs w:val="0"/>
                <w:sz w:val="21"/>
                <w:szCs w:val="21"/>
              </w:rPr>
            </w:pPr>
            <w:r w:rsidRPr="00150993">
              <w:rPr>
                <w:rStyle w:val="Strong"/>
                <w:rFonts w:ascii="Arial" w:eastAsiaTheme="majorEastAsia" w:hAnsi="Arial" w:cs="Arial"/>
                <w:b/>
                <w:bCs/>
                <w:sz w:val="21"/>
                <w:szCs w:val="21"/>
              </w:rPr>
              <w:t>Koh Kong</w:t>
            </w:r>
          </w:p>
        </w:tc>
        <w:tc>
          <w:tcPr>
            <w:tcW w:w="1027" w:type="dxa"/>
            <w:vAlign w:val="center"/>
            <w:hideMark/>
          </w:tcPr>
          <w:p w14:paraId="6D90F912"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10,090</w:t>
            </w:r>
          </w:p>
        </w:tc>
        <w:tc>
          <w:tcPr>
            <w:tcW w:w="1281" w:type="dxa"/>
            <w:vAlign w:val="center"/>
            <w:hideMark/>
          </w:tcPr>
          <w:p w14:paraId="6DB007AB"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5.57%</w:t>
            </w:r>
          </w:p>
        </w:tc>
        <w:tc>
          <w:tcPr>
            <w:tcW w:w="967" w:type="dxa"/>
            <w:vAlign w:val="center"/>
            <w:hideMark/>
          </w:tcPr>
          <w:p w14:paraId="15232D20"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~12</w:t>
            </w:r>
          </w:p>
        </w:tc>
        <w:tc>
          <w:tcPr>
            <w:tcW w:w="1036" w:type="dxa"/>
            <w:vAlign w:val="center"/>
            <w:hideMark/>
          </w:tcPr>
          <w:p w14:paraId="0186DDCD"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~12</w:t>
            </w:r>
          </w:p>
        </w:tc>
        <w:tc>
          <w:tcPr>
            <w:tcW w:w="993" w:type="dxa"/>
            <w:vAlign w:val="center"/>
            <w:hideMark/>
          </w:tcPr>
          <w:p w14:paraId="2DF7A54A"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~12</w:t>
            </w:r>
          </w:p>
        </w:tc>
        <w:tc>
          <w:tcPr>
            <w:tcW w:w="1134" w:type="dxa"/>
            <w:vAlign w:val="center"/>
            <w:hideMark/>
          </w:tcPr>
          <w:p w14:paraId="108CDAFC"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0.12</w:t>
            </w:r>
          </w:p>
        </w:tc>
        <w:tc>
          <w:tcPr>
            <w:tcW w:w="1218" w:type="dxa"/>
            <w:vAlign w:val="center"/>
            <w:hideMark/>
          </w:tcPr>
          <w:p w14:paraId="06B99F06"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0.60</w:t>
            </w:r>
          </w:p>
        </w:tc>
      </w:tr>
      <w:tr w:rsidR="009357ED" w:rsidRPr="00150993" w14:paraId="4C0DC60E" w14:textId="77777777" w:rsidTr="009357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14:paraId="6725782E" w14:textId="77777777" w:rsidR="009357ED" w:rsidRPr="00150993" w:rsidRDefault="009357ED" w:rsidP="009357ED">
            <w:pPr>
              <w:rPr>
                <w:rFonts w:ascii="Arial" w:hAnsi="Arial" w:cs="Arial"/>
                <w:b w:val="0"/>
                <w:bCs w:val="0"/>
                <w:sz w:val="21"/>
                <w:szCs w:val="21"/>
              </w:rPr>
            </w:pPr>
            <w:r w:rsidRPr="00150993">
              <w:rPr>
                <w:rStyle w:val="Strong"/>
                <w:rFonts w:ascii="Arial" w:eastAsiaTheme="majorEastAsia" w:hAnsi="Arial" w:cs="Arial"/>
                <w:b/>
                <w:bCs/>
                <w:sz w:val="21"/>
                <w:szCs w:val="21"/>
              </w:rPr>
              <w:t>Kampot</w:t>
            </w:r>
          </w:p>
        </w:tc>
        <w:tc>
          <w:tcPr>
            <w:tcW w:w="1027" w:type="dxa"/>
            <w:vAlign w:val="center"/>
            <w:hideMark/>
          </w:tcPr>
          <w:p w14:paraId="238065A6"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4,873</w:t>
            </w:r>
          </w:p>
        </w:tc>
        <w:tc>
          <w:tcPr>
            <w:tcW w:w="1281" w:type="dxa"/>
            <w:vAlign w:val="center"/>
            <w:hideMark/>
          </w:tcPr>
          <w:p w14:paraId="0FC866E0"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2.69%</w:t>
            </w:r>
          </w:p>
        </w:tc>
        <w:tc>
          <w:tcPr>
            <w:tcW w:w="967" w:type="dxa"/>
            <w:vAlign w:val="center"/>
            <w:hideMark/>
          </w:tcPr>
          <w:p w14:paraId="161F637D"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108</w:t>
            </w:r>
          </w:p>
        </w:tc>
        <w:tc>
          <w:tcPr>
            <w:tcW w:w="1036" w:type="dxa"/>
            <w:vAlign w:val="center"/>
            <w:hideMark/>
          </w:tcPr>
          <w:p w14:paraId="4D386A28"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120</w:t>
            </w:r>
          </w:p>
        </w:tc>
        <w:tc>
          <w:tcPr>
            <w:tcW w:w="993" w:type="dxa"/>
            <w:vAlign w:val="center"/>
            <w:hideMark/>
          </w:tcPr>
          <w:p w14:paraId="084D5FC5"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122</w:t>
            </w:r>
          </w:p>
        </w:tc>
        <w:tc>
          <w:tcPr>
            <w:tcW w:w="1134" w:type="dxa"/>
            <w:vAlign w:val="center"/>
            <w:hideMark/>
          </w:tcPr>
          <w:p w14:paraId="1B5FB6E0"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1.03</w:t>
            </w:r>
          </w:p>
        </w:tc>
        <w:tc>
          <w:tcPr>
            <w:tcW w:w="1218" w:type="dxa"/>
            <w:vAlign w:val="center"/>
            <w:hideMark/>
          </w:tcPr>
          <w:p w14:paraId="41F76C97"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0.10</w:t>
            </w:r>
          </w:p>
        </w:tc>
      </w:tr>
      <w:tr w:rsidR="009357ED" w:rsidRPr="00150993" w14:paraId="2D72F70D" w14:textId="77777777" w:rsidTr="009357ED">
        <w:tc>
          <w:tcPr>
            <w:cnfStyle w:val="001000000000" w:firstRow="0" w:lastRow="0" w:firstColumn="1" w:lastColumn="0" w:oddVBand="0" w:evenVBand="0" w:oddHBand="0" w:evenHBand="0" w:firstRowFirstColumn="0" w:firstRowLastColumn="0" w:lastRowFirstColumn="0" w:lastRowLastColumn="0"/>
            <w:tcW w:w="1354" w:type="dxa"/>
            <w:vAlign w:val="center"/>
            <w:hideMark/>
          </w:tcPr>
          <w:p w14:paraId="4773E1D3" w14:textId="77777777" w:rsidR="009357ED" w:rsidRPr="00150993" w:rsidRDefault="009357ED" w:rsidP="009357ED">
            <w:pPr>
              <w:rPr>
                <w:rFonts w:ascii="Arial" w:hAnsi="Arial" w:cs="Arial"/>
                <w:b w:val="0"/>
                <w:bCs w:val="0"/>
                <w:sz w:val="21"/>
                <w:szCs w:val="21"/>
              </w:rPr>
            </w:pPr>
            <w:r w:rsidRPr="00150993">
              <w:rPr>
                <w:rStyle w:val="Strong"/>
                <w:rFonts w:ascii="Arial" w:eastAsiaTheme="majorEastAsia" w:hAnsi="Arial" w:cs="Arial"/>
                <w:b/>
                <w:bCs/>
                <w:sz w:val="21"/>
                <w:szCs w:val="21"/>
              </w:rPr>
              <w:t>Preah Sihanouk</w:t>
            </w:r>
          </w:p>
        </w:tc>
        <w:tc>
          <w:tcPr>
            <w:tcW w:w="1027" w:type="dxa"/>
            <w:vAlign w:val="center"/>
            <w:hideMark/>
          </w:tcPr>
          <w:p w14:paraId="43AB3438"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1,938</w:t>
            </w:r>
          </w:p>
        </w:tc>
        <w:tc>
          <w:tcPr>
            <w:tcW w:w="1281" w:type="dxa"/>
            <w:vAlign w:val="center"/>
            <w:hideMark/>
          </w:tcPr>
          <w:p w14:paraId="19FF16A5"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1.07%</w:t>
            </w:r>
          </w:p>
        </w:tc>
        <w:tc>
          <w:tcPr>
            <w:tcW w:w="967" w:type="dxa"/>
            <w:vAlign w:val="center"/>
            <w:hideMark/>
          </w:tcPr>
          <w:p w14:paraId="6A148AA9"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89</w:t>
            </w:r>
          </w:p>
        </w:tc>
        <w:tc>
          <w:tcPr>
            <w:tcW w:w="1036" w:type="dxa"/>
            <w:vAlign w:val="center"/>
            <w:hideMark/>
          </w:tcPr>
          <w:p w14:paraId="3118639E"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114</w:t>
            </w:r>
          </w:p>
        </w:tc>
        <w:tc>
          <w:tcPr>
            <w:tcW w:w="993" w:type="dxa"/>
            <w:vAlign w:val="center"/>
            <w:hideMark/>
          </w:tcPr>
          <w:p w14:paraId="0FB25F4C"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160</w:t>
            </w:r>
          </w:p>
        </w:tc>
        <w:tc>
          <w:tcPr>
            <w:tcW w:w="1134" w:type="dxa"/>
            <w:vAlign w:val="center"/>
            <w:hideMark/>
          </w:tcPr>
          <w:p w14:paraId="48FE913E"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2.54</w:t>
            </w:r>
          </w:p>
        </w:tc>
        <w:tc>
          <w:tcPr>
            <w:tcW w:w="1218" w:type="dxa"/>
            <w:vAlign w:val="center"/>
            <w:hideMark/>
          </w:tcPr>
          <w:p w14:paraId="6916DEEC"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3.10</w:t>
            </w:r>
          </w:p>
        </w:tc>
      </w:tr>
      <w:tr w:rsidR="009357ED" w:rsidRPr="00150993" w14:paraId="21405F18" w14:textId="77777777" w:rsidTr="009357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14:paraId="2E7C761B" w14:textId="77777777" w:rsidR="009357ED" w:rsidRPr="00150993" w:rsidRDefault="009357ED" w:rsidP="009357ED">
            <w:pPr>
              <w:rPr>
                <w:rFonts w:ascii="Arial" w:hAnsi="Arial" w:cs="Arial"/>
                <w:b w:val="0"/>
                <w:bCs w:val="0"/>
                <w:sz w:val="21"/>
                <w:szCs w:val="21"/>
              </w:rPr>
            </w:pPr>
            <w:r w:rsidRPr="00150993">
              <w:rPr>
                <w:rStyle w:val="Strong"/>
                <w:rFonts w:ascii="Arial" w:eastAsiaTheme="majorEastAsia" w:hAnsi="Arial" w:cs="Arial"/>
                <w:b/>
                <w:bCs/>
                <w:sz w:val="21"/>
                <w:szCs w:val="21"/>
              </w:rPr>
              <w:t>Kep</w:t>
            </w:r>
          </w:p>
        </w:tc>
        <w:tc>
          <w:tcPr>
            <w:tcW w:w="1027" w:type="dxa"/>
            <w:vAlign w:val="center"/>
            <w:hideMark/>
          </w:tcPr>
          <w:p w14:paraId="77CBAF1D"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336</w:t>
            </w:r>
          </w:p>
        </w:tc>
        <w:tc>
          <w:tcPr>
            <w:tcW w:w="1281" w:type="dxa"/>
            <w:vAlign w:val="center"/>
            <w:hideMark/>
          </w:tcPr>
          <w:p w14:paraId="5C09EC69"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0.19%</w:t>
            </w:r>
          </w:p>
        </w:tc>
        <w:tc>
          <w:tcPr>
            <w:tcW w:w="967" w:type="dxa"/>
            <w:vAlign w:val="center"/>
            <w:hideMark/>
          </w:tcPr>
          <w:p w14:paraId="03BF622C"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85</w:t>
            </w:r>
          </w:p>
        </w:tc>
        <w:tc>
          <w:tcPr>
            <w:tcW w:w="1036" w:type="dxa"/>
            <w:vAlign w:val="center"/>
            <w:hideMark/>
          </w:tcPr>
          <w:p w14:paraId="6025E648"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106</w:t>
            </w:r>
          </w:p>
        </w:tc>
        <w:tc>
          <w:tcPr>
            <w:tcW w:w="993" w:type="dxa"/>
            <w:vAlign w:val="center"/>
            <w:hideMark/>
          </w:tcPr>
          <w:p w14:paraId="2900501E"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127</w:t>
            </w:r>
          </w:p>
        </w:tc>
        <w:tc>
          <w:tcPr>
            <w:tcW w:w="1134" w:type="dxa"/>
            <w:vAlign w:val="center"/>
            <w:hideMark/>
          </w:tcPr>
          <w:p w14:paraId="0C0E6153"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2.21</w:t>
            </w:r>
          </w:p>
        </w:tc>
        <w:tc>
          <w:tcPr>
            <w:tcW w:w="1218" w:type="dxa"/>
            <w:vAlign w:val="center"/>
            <w:hideMark/>
          </w:tcPr>
          <w:p w14:paraId="1EB85923" w14:textId="77777777" w:rsidR="009357ED" w:rsidRPr="00150993" w:rsidRDefault="009357ED" w:rsidP="009357ED">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1.60</w:t>
            </w:r>
          </w:p>
        </w:tc>
      </w:tr>
      <w:tr w:rsidR="009357ED" w:rsidRPr="00150993" w14:paraId="23D14B76" w14:textId="77777777" w:rsidTr="009357ED">
        <w:tc>
          <w:tcPr>
            <w:cnfStyle w:val="001000000000" w:firstRow="0" w:lastRow="0" w:firstColumn="1" w:lastColumn="0" w:oddVBand="0" w:evenVBand="0" w:oddHBand="0" w:evenHBand="0" w:firstRowFirstColumn="0" w:firstRowLastColumn="0" w:lastRowFirstColumn="0" w:lastRowLastColumn="0"/>
            <w:tcW w:w="1354" w:type="dxa"/>
            <w:vAlign w:val="center"/>
            <w:hideMark/>
          </w:tcPr>
          <w:p w14:paraId="3D8CEB38" w14:textId="77777777" w:rsidR="009357ED" w:rsidRPr="00150993" w:rsidRDefault="009357ED" w:rsidP="009357ED">
            <w:pPr>
              <w:rPr>
                <w:rFonts w:ascii="Arial" w:hAnsi="Arial" w:cs="Arial"/>
                <w:b w:val="0"/>
                <w:bCs w:val="0"/>
                <w:sz w:val="21"/>
                <w:szCs w:val="21"/>
              </w:rPr>
            </w:pPr>
            <w:r w:rsidRPr="00150993">
              <w:rPr>
                <w:rStyle w:val="Strong"/>
                <w:rFonts w:ascii="Arial" w:eastAsiaTheme="majorEastAsia" w:hAnsi="Arial" w:cs="Arial"/>
                <w:b/>
                <w:bCs/>
                <w:sz w:val="21"/>
                <w:szCs w:val="21"/>
              </w:rPr>
              <w:t>Coastal average</w:t>
            </w:r>
          </w:p>
        </w:tc>
        <w:tc>
          <w:tcPr>
            <w:tcW w:w="1027" w:type="dxa"/>
            <w:vAlign w:val="center"/>
            <w:hideMark/>
          </w:tcPr>
          <w:p w14:paraId="62289277"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17,237</w:t>
            </w:r>
          </w:p>
        </w:tc>
        <w:tc>
          <w:tcPr>
            <w:tcW w:w="1281" w:type="dxa"/>
            <w:vAlign w:val="center"/>
            <w:hideMark/>
          </w:tcPr>
          <w:p w14:paraId="4987D83D"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9.52%</w:t>
            </w:r>
          </w:p>
        </w:tc>
        <w:tc>
          <w:tcPr>
            <w:tcW w:w="967" w:type="dxa"/>
            <w:vAlign w:val="center"/>
            <w:hideMark/>
          </w:tcPr>
          <w:p w14:paraId="7B7F8368"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49</w:t>
            </w:r>
          </w:p>
        </w:tc>
        <w:tc>
          <w:tcPr>
            <w:tcW w:w="1036" w:type="dxa"/>
            <w:vAlign w:val="center"/>
            <w:hideMark/>
          </w:tcPr>
          <w:p w14:paraId="65E13885"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56</w:t>
            </w:r>
          </w:p>
        </w:tc>
        <w:tc>
          <w:tcPr>
            <w:tcW w:w="993" w:type="dxa"/>
            <w:vAlign w:val="center"/>
            <w:hideMark/>
          </w:tcPr>
          <w:p w14:paraId="0C423D62"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62</w:t>
            </w:r>
          </w:p>
        </w:tc>
        <w:tc>
          <w:tcPr>
            <w:tcW w:w="1134" w:type="dxa"/>
            <w:vAlign w:val="center"/>
            <w:hideMark/>
          </w:tcPr>
          <w:p w14:paraId="64397DC4"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0.80</w:t>
            </w:r>
          </w:p>
        </w:tc>
        <w:tc>
          <w:tcPr>
            <w:tcW w:w="1218" w:type="dxa"/>
            <w:vAlign w:val="center"/>
            <w:hideMark/>
          </w:tcPr>
          <w:p w14:paraId="0C9AA5A4" w14:textId="77777777" w:rsidR="009357ED" w:rsidRPr="00150993" w:rsidRDefault="009357ED" w:rsidP="009357ED">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1.00</w:t>
            </w:r>
          </w:p>
        </w:tc>
      </w:tr>
    </w:tbl>
    <w:p w14:paraId="68892699" w14:textId="4363C227" w:rsidR="009357ED" w:rsidRPr="001A19EF" w:rsidRDefault="001A03C4" w:rsidP="001A03C4">
      <w:pPr>
        <w:pStyle w:val="NormalWeb"/>
        <w:spacing w:before="0" w:beforeAutospacing="0" w:after="240" w:afterAutospacing="0"/>
        <w:jc w:val="both"/>
        <w:rPr>
          <w:rFonts w:ascii="Arial" w:hAnsi="Arial" w:cs="Arial"/>
          <w:i/>
          <w:iCs/>
          <w:sz w:val="18"/>
          <w:szCs w:val="18"/>
        </w:rPr>
      </w:pPr>
      <w:r w:rsidRPr="001A19EF">
        <w:rPr>
          <w:rFonts w:ascii="Arial" w:hAnsi="Arial" w:cs="Arial"/>
          <w:b/>
          <w:bCs/>
          <w:i/>
          <w:iCs/>
          <w:sz w:val="18"/>
          <w:szCs w:val="18"/>
        </w:rPr>
        <w:t>Source:</w:t>
      </w:r>
      <w:r w:rsidRPr="001A19EF">
        <w:rPr>
          <w:rFonts w:ascii="Arial" w:hAnsi="Arial" w:cs="Arial"/>
          <w:i/>
          <w:iCs/>
          <w:sz w:val="18"/>
          <w:szCs w:val="18"/>
        </w:rPr>
        <w:t xml:space="preserve"> NIS, 1998, 2008, 2019</w:t>
      </w:r>
    </w:p>
    <w:p w14:paraId="3B677ED7" w14:textId="77777777" w:rsidR="00C368AD" w:rsidRPr="00275B0E" w:rsidRDefault="00863137"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2.2.1.3. </w:t>
      </w:r>
      <w:r w:rsidR="00C368AD" w:rsidRPr="00275B0E">
        <w:rPr>
          <w:rFonts w:ascii="Arial" w:hAnsi="Arial" w:cs="Arial"/>
          <w:b/>
          <w:bCs/>
          <w:i w:val="0"/>
          <w:iCs w:val="0"/>
          <w:color w:val="0070C0"/>
          <w:sz w:val="22"/>
          <w:szCs w:val="22"/>
        </w:rPr>
        <w:t>Urbanization rate</w:t>
      </w:r>
    </w:p>
    <w:p w14:paraId="0C79D56F" w14:textId="1BABDEE5" w:rsidR="00C368AD" w:rsidRPr="00150993" w:rsidRDefault="00961CD6" w:rsidP="00275B0E">
      <w:pPr>
        <w:pStyle w:val="NormalWeb"/>
        <w:adjustRightInd w:val="0"/>
        <w:snapToGrid w:val="0"/>
        <w:spacing w:before="240" w:beforeAutospacing="0" w:after="240" w:afterAutospacing="0"/>
        <w:jc w:val="both"/>
        <w:rPr>
          <w:rFonts w:ascii="Arial" w:hAnsi="Arial" w:cs="Arial"/>
          <w:sz w:val="21"/>
          <w:szCs w:val="21"/>
        </w:rPr>
      </w:pPr>
      <w:r w:rsidRPr="00150993">
        <w:rPr>
          <w:rFonts w:ascii="Arial" w:hAnsi="Arial" w:cs="Arial"/>
          <w:sz w:val="21"/>
          <w:szCs w:val="21"/>
        </w:rPr>
        <w:fldChar w:fldCharType="begin"/>
      </w:r>
      <w:r w:rsidRPr="00150993">
        <w:rPr>
          <w:rFonts w:ascii="Arial" w:hAnsi="Arial" w:cs="Arial"/>
          <w:sz w:val="21"/>
          <w:szCs w:val="21"/>
        </w:rPr>
        <w:instrText xml:space="preserve"> REF _Ref215133181 \h </w:instrText>
      </w:r>
      <w:r w:rsidR="00150993" w:rsidRPr="00150993">
        <w:rPr>
          <w:rFonts w:ascii="Arial" w:hAnsi="Arial" w:cs="Arial"/>
          <w:sz w:val="21"/>
          <w:szCs w:val="21"/>
        </w:rPr>
        <w:instrText xml:space="preserve"> \* MERGEFORMAT </w:instrText>
      </w:r>
      <w:r w:rsidRPr="00150993">
        <w:rPr>
          <w:rFonts w:ascii="Arial" w:hAnsi="Arial" w:cs="Arial"/>
          <w:sz w:val="21"/>
          <w:szCs w:val="21"/>
        </w:rPr>
      </w:r>
      <w:r w:rsidRPr="00150993">
        <w:rPr>
          <w:rFonts w:ascii="Arial" w:hAnsi="Arial" w:cs="Arial"/>
          <w:sz w:val="21"/>
          <w:szCs w:val="21"/>
        </w:rPr>
        <w:fldChar w:fldCharType="separate"/>
      </w:r>
      <w:r w:rsidR="005A16C1" w:rsidRPr="00150993">
        <w:rPr>
          <w:rFonts w:ascii="Arial" w:hAnsi="Arial" w:cs="Arial"/>
          <w:color w:val="002060"/>
          <w:sz w:val="22"/>
          <w:szCs w:val="22"/>
        </w:rPr>
        <w:t>Table 2-</w:t>
      </w:r>
      <w:r w:rsidR="005A16C1">
        <w:rPr>
          <w:rFonts w:ascii="Arial" w:hAnsi="Arial" w:cs="Arial"/>
          <w:color w:val="002060"/>
          <w:sz w:val="22"/>
          <w:szCs w:val="22"/>
        </w:rPr>
        <w:t>2</w:t>
      </w:r>
      <w:r w:rsidRPr="00150993">
        <w:rPr>
          <w:rFonts w:ascii="Arial" w:hAnsi="Arial" w:cs="Arial"/>
          <w:sz w:val="21"/>
          <w:szCs w:val="21"/>
        </w:rPr>
        <w:fldChar w:fldCharType="end"/>
      </w:r>
      <w:r w:rsidRPr="00150993">
        <w:rPr>
          <w:rFonts w:ascii="Arial" w:hAnsi="Arial" w:cs="Arial"/>
          <w:sz w:val="21"/>
          <w:szCs w:val="21"/>
        </w:rPr>
        <w:t xml:space="preserve"> </w:t>
      </w:r>
      <w:r w:rsidR="009413E2" w:rsidRPr="009413E2">
        <w:rPr>
          <w:rFonts w:ascii="Arial" w:hAnsi="Arial" w:cs="Arial"/>
          <w:sz w:val="21"/>
          <w:szCs w:val="21"/>
        </w:rPr>
        <w:t>shows a long-term acceleration in urbanization—from roughly 10% in 1950 to 24% by 2020—with projections indicating the share will exceed 30% by the mid-2030s and could approach 40% by the mid-2040s. Growth was gradual until around 1990, then increased more rapidly after 2000, reaching 20% in 2010 and 24% in 2020</w:t>
      </w:r>
      <w:r w:rsidRPr="00150993">
        <w:rPr>
          <w:rFonts w:ascii="Arial" w:hAnsi="Arial" w:cs="Arial"/>
          <w:sz w:val="21"/>
          <w:szCs w:val="21"/>
        </w:rPr>
        <w:t xml:space="preserve">. </w:t>
      </w:r>
    </w:p>
    <w:p w14:paraId="4519DAF4" w14:textId="583CB88D" w:rsidR="001A03C4" w:rsidRPr="00150993" w:rsidRDefault="001A03C4" w:rsidP="001A19EF">
      <w:pPr>
        <w:pStyle w:val="NormalWeb"/>
        <w:adjustRightInd w:val="0"/>
        <w:snapToGrid w:val="0"/>
        <w:spacing w:before="240" w:beforeAutospacing="0" w:after="120" w:afterAutospacing="0"/>
        <w:jc w:val="both"/>
        <w:rPr>
          <w:rFonts w:ascii="Arial" w:hAnsi="Arial" w:cs="Arial"/>
          <w:color w:val="002060"/>
          <w:sz w:val="22"/>
          <w:szCs w:val="22"/>
        </w:rPr>
      </w:pPr>
      <w:bookmarkStart w:id="27" w:name="_Ref215133181"/>
      <w:bookmarkStart w:id="28" w:name="_Toc215219059"/>
      <w:r w:rsidRPr="00150993">
        <w:rPr>
          <w:rFonts w:ascii="Arial" w:hAnsi="Arial" w:cs="Arial"/>
          <w:color w:val="002060"/>
          <w:sz w:val="22"/>
          <w:szCs w:val="22"/>
        </w:rPr>
        <w:t>Table 2-</w:t>
      </w:r>
      <w:r w:rsidRPr="00150993">
        <w:rPr>
          <w:rFonts w:ascii="Arial" w:hAnsi="Arial" w:cs="Arial"/>
          <w:color w:val="002060"/>
          <w:sz w:val="22"/>
          <w:szCs w:val="22"/>
        </w:rPr>
        <w:fldChar w:fldCharType="begin"/>
      </w:r>
      <w:r w:rsidRPr="00150993">
        <w:rPr>
          <w:rFonts w:ascii="Arial" w:hAnsi="Arial" w:cs="Arial"/>
          <w:color w:val="002060"/>
          <w:sz w:val="22"/>
          <w:szCs w:val="22"/>
        </w:rPr>
        <w:instrText xml:space="preserve"> SEQ Table_2- \* ARABIC </w:instrText>
      </w:r>
      <w:r w:rsidRPr="00150993">
        <w:rPr>
          <w:rFonts w:ascii="Arial" w:hAnsi="Arial" w:cs="Arial"/>
          <w:color w:val="002060"/>
          <w:sz w:val="22"/>
          <w:szCs w:val="22"/>
        </w:rPr>
        <w:fldChar w:fldCharType="separate"/>
      </w:r>
      <w:r w:rsidR="005A16C1">
        <w:rPr>
          <w:rFonts w:ascii="Arial" w:hAnsi="Arial" w:cs="Arial"/>
          <w:noProof/>
          <w:color w:val="002060"/>
          <w:sz w:val="22"/>
          <w:szCs w:val="22"/>
        </w:rPr>
        <w:t>2</w:t>
      </w:r>
      <w:r w:rsidRPr="00150993">
        <w:rPr>
          <w:rFonts w:ascii="Arial" w:hAnsi="Arial" w:cs="Arial"/>
          <w:color w:val="002060"/>
          <w:sz w:val="22"/>
          <w:szCs w:val="22"/>
        </w:rPr>
        <w:fldChar w:fldCharType="end"/>
      </w:r>
      <w:bookmarkEnd w:id="27"/>
      <w:r w:rsidRPr="00150993">
        <w:rPr>
          <w:rFonts w:ascii="Arial" w:hAnsi="Arial" w:cs="Arial"/>
          <w:color w:val="002060"/>
          <w:sz w:val="22"/>
          <w:szCs w:val="22"/>
        </w:rPr>
        <w:t xml:space="preserve"> </w:t>
      </w:r>
      <w:r w:rsidR="00961CD6" w:rsidRPr="00150993">
        <w:rPr>
          <w:rFonts w:ascii="Arial" w:hAnsi="Arial" w:cs="Arial"/>
          <w:color w:val="002060"/>
          <w:sz w:val="22"/>
          <w:szCs w:val="22"/>
        </w:rPr>
        <w:t>National urban share – key years and projections</w:t>
      </w:r>
      <w:bookmarkEnd w:id="28"/>
    </w:p>
    <w:tbl>
      <w:tblPr>
        <w:tblStyle w:val="GridTable4-Accent5"/>
        <w:tblW w:w="0" w:type="auto"/>
        <w:jc w:val="center"/>
        <w:tblLook w:val="04A0" w:firstRow="1" w:lastRow="0" w:firstColumn="1" w:lastColumn="0" w:noHBand="0" w:noVBand="1"/>
      </w:tblPr>
      <w:tblGrid>
        <w:gridCol w:w="2005"/>
        <w:gridCol w:w="2541"/>
        <w:gridCol w:w="4394"/>
      </w:tblGrid>
      <w:tr w:rsidR="001A03C4" w:rsidRPr="00150993" w14:paraId="5E4A491C" w14:textId="77777777" w:rsidTr="00437E57">
        <w:trPr>
          <w:cnfStyle w:val="100000000000" w:firstRow="1" w:lastRow="0" w:firstColumn="0" w:lastColumn="0" w:oddVBand="0" w:evenVBand="0" w:oddHBand="0" w:evenHBand="0" w:firstRowFirstColumn="0" w:firstRowLastColumn="0" w:lastRowFirstColumn="0" w:lastRowLastColumn="0"/>
          <w:trHeight w:val="542"/>
          <w:jc w:val="center"/>
        </w:trPr>
        <w:tc>
          <w:tcPr>
            <w:cnfStyle w:val="001000000000" w:firstRow="0" w:lastRow="0" w:firstColumn="1" w:lastColumn="0" w:oddVBand="0" w:evenVBand="0" w:oddHBand="0" w:evenHBand="0" w:firstRowFirstColumn="0" w:firstRowLastColumn="0" w:lastRowFirstColumn="0" w:lastRowLastColumn="0"/>
            <w:tcW w:w="2005" w:type="dxa"/>
            <w:vAlign w:val="center"/>
            <w:hideMark/>
          </w:tcPr>
          <w:p w14:paraId="3F8B14BC" w14:textId="77777777" w:rsidR="001A03C4" w:rsidRPr="00150993" w:rsidRDefault="001A03C4" w:rsidP="00961CD6">
            <w:pPr>
              <w:jc w:val="center"/>
              <w:rPr>
                <w:rFonts w:ascii="Arial" w:hAnsi="Arial" w:cs="Arial"/>
                <w:sz w:val="21"/>
                <w:szCs w:val="21"/>
              </w:rPr>
            </w:pPr>
            <w:r w:rsidRPr="00150993">
              <w:rPr>
                <w:rFonts w:ascii="Arial" w:hAnsi="Arial" w:cs="Arial"/>
                <w:sz w:val="21"/>
                <w:szCs w:val="21"/>
              </w:rPr>
              <w:t>Year</w:t>
            </w:r>
          </w:p>
        </w:tc>
        <w:tc>
          <w:tcPr>
            <w:tcW w:w="2541" w:type="dxa"/>
            <w:vAlign w:val="center"/>
            <w:hideMark/>
          </w:tcPr>
          <w:p w14:paraId="55A73B39" w14:textId="77777777" w:rsidR="001A03C4" w:rsidRPr="00150993" w:rsidRDefault="001A03C4" w:rsidP="00961CD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Urban share of population (%)</w:t>
            </w:r>
          </w:p>
        </w:tc>
        <w:tc>
          <w:tcPr>
            <w:tcW w:w="4394" w:type="dxa"/>
            <w:vAlign w:val="center"/>
            <w:hideMark/>
          </w:tcPr>
          <w:p w14:paraId="0B97EC20" w14:textId="77777777" w:rsidR="001A03C4" w:rsidRPr="00150993" w:rsidRDefault="001A03C4" w:rsidP="00961CD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Note</w:t>
            </w:r>
          </w:p>
        </w:tc>
      </w:tr>
      <w:tr w:rsidR="001A03C4" w:rsidRPr="00150993" w14:paraId="307356EE" w14:textId="77777777" w:rsidTr="00437E57">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62E3ADEE"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1950</w:t>
            </w:r>
          </w:p>
        </w:tc>
        <w:tc>
          <w:tcPr>
            <w:tcW w:w="2541" w:type="dxa"/>
            <w:hideMark/>
          </w:tcPr>
          <w:p w14:paraId="53947FD7" w14:textId="77777777" w:rsidR="001A03C4" w:rsidRPr="00150993" w:rsidRDefault="001A03C4" w:rsidP="00961CD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10.2</w:t>
            </w:r>
          </w:p>
        </w:tc>
        <w:tc>
          <w:tcPr>
            <w:tcW w:w="4394" w:type="dxa"/>
            <w:hideMark/>
          </w:tcPr>
          <w:p w14:paraId="02F94908" w14:textId="77777777" w:rsidR="001A03C4" w:rsidRPr="00150993" w:rsidRDefault="001A03C4">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Pre-war baseline</w:t>
            </w:r>
          </w:p>
        </w:tc>
      </w:tr>
      <w:tr w:rsidR="001A03C4" w:rsidRPr="00150993" w14:paraId="18EEB868" w14:textId="77777777" w:rsidTr="00437E57">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53DAA395"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1975</w:t>
            </w:r>
          </w:p>
        </w:tc>
        <w:tc>
          <w:tcPr>
            <w:tcW w:w="2541" w:type="dxa"/>
            <w:hideMark/>
          </w:tcPr>
          <w:p w14:paraId="05C261AD" w14:textId="77777777" w:rsidR="001A03C4" w:rsidRPr="00150993" w:rsidRDefault="001A03C4" w:rsidP="00961CD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4.5</w:t>
            </w:r>
          </w:p>
        </w:tc>
        <w:tc>
          <w:tcPr>
            <w:tcW w:w="4394" w:type="dxa"/>
            <w:hideMark/>
          </w:tcPr>
          <w:p w14:paraId="0D29D576" w14:textId="77777777" w:rsidR="001A03C4" w:rsidRPr="00150993" w:rsidRDefault="001A03C4">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Conflict/forced evacuation anomaly</w:t>
            </w:r>
          </w:p>
        </w:tc>
      </w:tr>
      <w:tr w:rsidR="001A03C4" w:rsidRPr="00150993" w14:paraId="1B1F5DAC" w14:textId="77777777" w:rsidTr="00437E57">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19252B86"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2010</w:t>
            </w:r>
          </w:p>
        </w:tc>
        <w:tc>
          <w:tcPr>
            <w:tcW w:w="2541" w:type="dxa"/>
            <w:hideMark/>
          </w:tcPr>
          <w:p w14:paraId="420380EE" w14:textId="77777777" w:rsidR="001A03C4" w:rsidRPr="00150993" w:rsidRDefault="001A03C4" w:rsidP="00961CD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20.3</w:t>
            </w:r>
          </w:p>
        </w:tc>
        <w:tc>
          <w:tcPr>
            <w:tcW w:w="4394" w:type="dxa"/>
            <w:hideMark/>
          </w:tcPr>
          <w:p w14:paraId="1B760EB8" w14:textId="77777777" w:rsidR="001A03C4" w:rsidRPr="00150993" w:rsidRDefault="001A03C4">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Post-2000 acceleration</w:t>
            </w:r>
          </w:p>
        </w:tc>
      </w:tr>
      <w:tr w:rsidR="001A03C4" w:rsidRPr="00150993" w14:paraId="3DA2D049" w14:textId="77777777" w:rsidTr="00437E57">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1D594523"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2020</w:t>
            </w:r>
          </w:p>
        </w:tc>
        <w:tc>
          <w:tcPr>
            <w:tcW w:w="2541" w:type="dxa"/>
            <w:hideMark/>
          </w:tcPr>
          <w:p w14:paraId="04BE054B" w14:textId="77777777" w:rsidR="001A03C4" w:rsidRPr="00150993" w:rsidRDefault="001A03C4" w:rsidP="00961CD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24.2</w:t>
            </w:r>
          </w:p>
        </w:tc>
        <w:tc>
          <w:tcPr>
            <w:tcW w:w="4394" w:type="dxa"/>
            <w:hideMark/>
          </w:tcPr>
          <w:p w14:paraId="08DDBCDB" w14:textId="77777777" w:rsidR="001A03C4" w:rsidRPr="00150993" w:rsidRDefault="001A03C4">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Latest UN estimate</w:t>
            </w:r>
          </w:p>
        </w:tc>
      </w:tr>
      <w:tr w:rsidR="001A03C4" w:rsidRPr="00150993" w14:paraId="2FB32C5B" w14:textId="77777777" w:rsidTr="00437E57">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2A1D593C"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2025</w:t>
            </w:r>
          </w:p>
        </w:tc>
        <w:tc>
          <w:tcPr>
            <w:tcW w:w="2541" w:type="dxa"/>
            <w:hideMark/>
          </w:tcPr>
          <w:p w14:paraId="42F52F09" w14:textId="77777777" w:rsidR="001A03C4" w:rsidRPr="00150993" w:rsidRDefault="001A03C4" w:rsidP="00961CD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26.5</w:t>
            </w:r>
          </w:p>
        </w:tc>
        <w:tc>
          <w:tcPr>
            <w:tcW w:w="4394" w:type="dxa"/>
            <w:hideMark/>
          </w:tcPr>
          <w:p w14:paraId="531A36BF" w14:textId="77777777" w:rsidR="001A03C4" w:rsidRPr="00150993" w:rsidRDefault="001A03C4">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Projection</w:t>
            </w:r>
          </w:p>
        </w:tc>
      </w:tr>
      <w:tr w:rsidR="001A03C4" w:rsidRPr="00150993" w14:paraId="614FD941" w14:textId="77777777" w:rsidTr="00437E57">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07B97947"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2030</w:t>
            </w:r>
          </w:p>
        </w:tc>
        <w:tc>
          <w:tcPr>
            <w:tcW w:w="2541" w:type="dxa"/>
            <w:hideMark/>
          </w:tcPr>
          <w:p w14:paraId="716E4094" w14:textId="77777777" w:rsidR="001A03C4" w:rsidRPr="00150993" w:rsidRDefault="001A03C4" w:rsidP="00961CD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29.0</w:t>
            </w:r>
          </w:p>
        </w:tc>
        <w:tc>
          <w:tcPr>
            <w:tcW w:w="4394" w:type="dxa"/>
            <w:hideMark/>
          </w:tcPr>
          <w:p w14:paraId="2DB058EA" w14:textId="77777777" w:rsidR="001A03C4" w:rsidRPr="00150993" w:rsidRDefault="001A03C4">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Projection</w:t>
            </w:r>
          </w:p>
        </w:tc>
      </w:tr>
      <w:tr w:rsidR="001A03C4" w:rsidRPr="00150993" w14:paraId="060621A1" w14:textId="77777777" w:rsidTr="00437E57">
        <w:trPr>
          <w:cnfStyle w:val="000000100000" w:firstRow="0" w:lastRow="0" w:firstColumn="0" w:lastColumn="0" w:oddVBand="0" w:evenVBand="0" w:oddHBand="1"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4F4E810F"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2035</w:t>
            </w:r>
          </w:p>
        </w:tc>
        <w:tc>
          <w:tcPr>
            <w:tcW w:w="2541" w:type="dxa"/>
            <w:hideMark/>
          </w:tcPr>
          <w:p w14:paraId="11B9EC40" w14:textId="77777777" w:rsidR="001A03C4" w:rsidRPr="00150993" w:rsidRDefault="001A03C4" w:rsidP="00961CD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31.8</w:t>
            </w:r>
          </w:p>
        </w:tc>
        <w:tc>
          <w:tcPr>
            <w:tcW w:w="4394" w:type="dxa"/>
            <w:hideMark/>
          </w:tcPr>
          <w:p w14:paraId="24A917E3" w14:textId="77777777" w:rsidR="001A03C4" w:rsidRPr="00150993" w:rsidRDefault="001A03C4">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Projection</w:t>
            </w:r>
          </w:p>
        </w:tc>
      </w:tr>
      <w:tr w:rsidR="001A03C4" w:rsidRPr="00150993" w14:paraId="7EADA0C5" w14:textId="77777777" w:rsidTr="00437E57">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3444DFE0"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2040</w:t>
            </w:r>
          </w:p>
        </w:tc>
        <w:tc>
          <w:tcPr>
            <w:tcW w:w="2541" w:type="dxa"/>
            <w:hideMark/>
          </w:tcPr>
          <w:p w14:paraId="514D6BAA" w14:textId="77777777" w:rsidR="001A03C4" w:rsidRPr="00150993" w:rsidRDefault="001A03C4" w:rsidP="00961CD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34.8</w:t>
            </w:r>
          </w:p>
        </w:tc>
        <w:tc>
          <w:tcPr>
            <w:tcW w:w="4394" w:type="dxa"/>
            <w:hideMark/>
          </w:tcPr>
          <w:p w14:paraId="22284A0D" w14:textId="77777777" w:rsidR="001A03C4" w:rsidRPr="00150993" w:rsidRDefault="001A03C4">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Projection</w:t>
            </w:r>
          </w:p>
        </w:tc>
      </w:tr>
      <w:tr w:rsidR="001A03C4" w:rsidRPr="00150993" w14:paraId="204DCA26" w14:textId="77777777" w:rsidTr="00437E57">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65FDB3C7"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2045</w:t>
            </w:r>
          </w:p>
        </w:tc>
        <w:tc>
          <w:tcPr>
            <w:tcW w:w="2541" w:type="dxa"/>
            <w:hideMark/>
          </w:tcPr>
          <w:p w14:paraId="50E6D034" w14:textId="77777777" w:rsidR="001A03C4" w:rsidRPr="00150993" w:rsidRDefault="001A03C4" w:rsidP="00961CD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37.9</w:t>
            </w:r>
          </w:p>
        </w:tc>
        <w:tc>
          <w:tcPr>
            <w:tcW w:w="4394" w:type="dxa"/>
            <w:hideMark/>
          </w:tcPr>
          <w:p w14:paraId="41CE3ED8" w14:textId="77777777" w:rsidR="001A03C4" w:rsidRPr="00150993" w:rsidRDefault="001A03C4">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Projection</w:t>
            </w:r>
          </w:p>
        </w:tc>
      </w:tr>
      <w:tr w:rsidR="001A03C4" w:rsidRPr="00150993" w14:paraId="3803627F" w14:textId="77777777" w:rsidTr="00437E57">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14:paraId="6350D9F0" w14:textId="77777777" w:rsidR="001A03C4" w:rsidRPr="00275B0E" w:rsidRDefault="001A03C4" w:rsidP="00275B0E">
            <w:pPr>
              <w:jc w:val="center"/>
              <w:rPr>
                <w:rFonts w:ascii="Arial" w:hAnsi="Arial" w:cs="Arial"/>
                <w:sz w:val="21"/>
                <w:szCs w:val="21"/>
              </w:rPr>
            </w:pPr>
            <w:r w:rsidRPr="00275B0E">
              <w:rPr>
                <w:rFonts w:ascii="Arial" w:hAnsi="Arial" w:cs="Arial"/>
                <w:sz w:val="21"/>
                <w:szCs w:val="21"/>
              </w:rPr>
              <w:t>2050</w:t>
            </w:r>
          </w:p>
        </w:tc>
        <w:tc>
          <w:tcPr>
            <w:tcW w:w="2541" w:type="dxa"/>
            <w:hideMark/>
          </w:tcPr>
          <w:p w14:paraId="2FC5A6A1" w14:textId="77777777" w:rsidR="001A03C4" w:rsidRPr="00150993" w:rsidRDefault="001A03C4" w:rsidP="00961CD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41.2</w:t>
            </w:r>
          </w:p>
        </w:tc>
        <w:tc>
          <w:tcPr>
            <w:tcW w:w="4394" w:type="dxa"/>
            <w:hideMark/>
          </w:tcPr>
          <w:p w14:paraId="4C962B2E" w14:textId="77777777" w:rsidR="001A03C4" w:rsidRPr="00150993" w:rsidRDefault="001A03C4">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Projection</w:t>
            </w:r>
          </w:p>
        </w:tc>
      </w:tr>
    </w:tbl>
    <w:p w14:paraId="7FCD0C60" w14:textId="78949A7B" w:rsidR="002A122A" w:rsidRDefault="001A03C4" w:rsidP="00437E57">
      <w:pPr>
        <w:pStyle w:val="NormalWeb"/>
        <w:spacing w:before="0" w:beforeAutospacing="0" w:after="240" w:afterAutospacing="0"/>
        <w:rPr>
          <w:rFonts w:ascii="Arial" w:hAnsi="Arial" w:cs="Arial"/>
          <w:i/>
          <w:iCs/>
          <w:sz w:val="20"/>
          <w:szCs w:val="20"/>
        </w:rPr>
      </w:pPr>
      <w:r w:rsidRPr="00150993">
        <w:rPr>
          <w:rFonts w:ascii="Arial" w:hAnsi="Arial" w:cs="Arial"/>
          <w:b/>
          <w:bCs/>
          <w:i/>
          <w:iCs/>
          <w:sz w:val="20"/>
          <w:szCs w:val="20"/>
        </w:rPr>
        <w:t>Source:</w:t>
      </w:r>
      <w:r w:rsidRPr="00150993">
        <w:rPr>
          <w:rFonts w:ascii="Arial" w:hAnsi="Arial" w:cs="Arial"/>
          <w:i/>
          <w:iCs/>
          <w:sz w:val="20"/>
          <w:szCs w:val="20"/>
        </w:rPr>
        <w:t xml:space="preserve"> UN DESA, 2019</w:t>
      </w:r>
    </w:p>
    <w:p w14:paraId="25041CBC" w14:textId="70A1109F" w:rsidR="009413E2" w:rsidRPr="009413E2" w:rsidRDefault="009413E2" w:rsidP="009413E2">
      <w:pPr>
        <w:pStyle w:val="NormalWeb"/>
        <w:adjustRightInd w:val="0"/>
        <w:snapToGrid w:val="0"/>
        <w:spacing w:before="240" w:beforeAutospacing="0" w:after="240" w:afterAutospacing="0"/>
        <w:jc w:val="both"/>
        <w:rPr>
          <w:rFonts w:ascii="Arial" w:hAnsi="Arial" w:cs="Arial"/>
          <w:sz w:val="22"/>
          <w:szCs w:val="22"/>
        </w:rPr>
      </w:pPr>
      <w:r w:rsidRPr="009413E2">
        <w:rPr>
          <w:rFonts w:ascii="Arial" w:hAnsi="Arial" w:cs="Arial"/>
          <w:sz w:val="22"/>
          <w:szCs w:val="22"/>
        </w:rPr>
        <w:t>Consistent with this trend</w:t>
      </w:r>
      <w:r>
        <w:rPr>
          <w:rFonts w:ascii="Arial" w:hAnsi="Arial" w:cs="Arial"/>
          <w:sz w:val="22"/>
          <w:szCs w:val="22"/>
        </w:rPr>
        <w:t xml:space="preserve"> (shown in </w:t>
      </w:r>
      <w:r w:rsidRPr="00150993">
        <w:rPr>
          <w:rFonts w:ascii="Arial" w:hAnsi="Arial" w:cs="Arial"/>
          <w:sz w:val="21"/>
          <w:szCs w:val="21"/>
        </w:rPr>
        <w:fldChar w:fldCharType="begin"/>
      </w:r>
      <w:r w:rsidRPr="00150993">
        <w:rPr>
          <w:rFonts w:ascii="Arial" w:hAnsi="Arial" w:cs="Arial"/>
          <w:sz w:val="21"/>
          <w:szCs w:val="21"/>
        </w:rPr>
        <w:instrText xml:space="preserve"> REF _Ref215133181 \h  \* MERGEFORMAT </w:instrText>
      </w:r>
      <w:r w:rsidRPr="00150993">
        <w:rPr>
          <w:rFonts w:ascii="Arial" w:hAnsi="Arial" w:cs="Arial"/>
          <w:sz w:val="21"/>
          <w:szCs w:val="21"/>
        </w:rPr>
      </w:r>
      <w:r w:rsidRPr="00150993">
        <w:rPr>
          <w:rFonts w:ascii="Arial" w:hAnsi="Arial" w:cs="Arial"/>
          <w:sz w:val="21"/>
          <w:szCs w:val="21"/>
        </w:rPr>
        <w:fldChar w:fldCharType="separate"/>
      </w:r>
      <w:r w:rsidR="005A16C1" w:rsidRPr="00150993">
        <w:rPr>
          <w:rFonts w:ascii="Arial" w:hAnsi="Arial" w:cs="Arial"/>
          <w:color w:val="002060"/>
          <w:sz w:val="22"/>
          <w:szCs w:val="22"/>
        </w:rPr>
        <w:t>Table 2-</w:t>
      </w:r>
      <w:r w:rsidR="005A16C1">
        <w:rPr>
          <w:rFonts w:ascii="Arial" w:hAnsi="Arial" w:cs="Arial"/>
          <w:color w:val="002060"/>
          <w:sz w:val="22"/>
          <w:szCs w:val="22"/>
        </w:rPr>
        <w:t>2</w:t>
      </w:r>
      <w:r w:rsidRPr="00150993">
        <w:rPr>
          <w:rFonts w:ascii="Arial" w:hAnsi="Arial" w:cs="Arial"/>
          <w:sz w:val="21"/>
          <w:szCs w:val="21"/>
        </w:rPr>
        <w:fldChar w:fldCharType="end"/>
      </w:r>
      <w:r>
        <w:rPr>
          <w:rFonts w:ascii="Arial" w:hAnsi="Arial" w:cs="Arial"/>
          <w:sz w:val="21"/>
          <w:szCs w:val="21"/>
        </w:rPr>
        <w:t>)</w:t>
      </w:r>
      <w:r w:rsidRPr="009413E2">
        <w:rPr>
          <w:rFonts w:ascii="Arial" w:hAnsi="Arial" w:cs="Arial"/>
          <w:sz w:val="22"/>
          <w:szCs w:val="22"/>
        </w:rPr>
        <w:t xml:space="preserve">, </w:t>
      </w:r>
      <w:r>
        <w:rPr>
          <w:rFonts w:ascii="Arial" w:hAnsi="Arial" w:cs="Arial"/>
          <w:sz w:val="22"/>
          <w:szCs w:val="22"/>
        </w:rPr>
        <w:t xml:space="preserve">the </w:t>
      </w:r>
      <w:r w:rsidRPr="009413E2">
        <w:rPr>
          <w:rFonts w:ascii="Arial" w:hAnsi="Arial" w:cs="Arial"/>
          <w:sz w:val="22"/>
          <w:szCs w:val="22"/>
        </w:rPr>
        <w:t>national Census data (</w:t>
      </w:r>
      <w:r w:rsidRPr="009413E2">
        <w:rPr>
          <w:rFonts w:ascii="Arial" w:hAnsi="Arial" w:cs="Arial"/>
          <w:sz w:val="22"/>
          <w:szCs w:val="22"/>
        </w:rPr>
        <w:fldChar w:fldCharType="begin"/>
      </w:r>
      <w:r w:rsidRPr="009413E2">
        <w:rPr>
          <w:rFonts w:ascii="Arial" w:hAnsi="Arial" w:cs="Arial"/>
          <w:sz w:val="22"/>
          <w:szCs w:val="22"/>
        </w:rPr>
        <w:instrText xml:space="preserve"> REF _Ref215133226 \h  \* MERGEFORMAT </w:instrText>
      </w:r>
      <w:r w:rsidRPr="009413E2">
        <w:rPr>
          <w:rFonts w:ascii="Arial" w:hAnsi="Arial" w:cs="Arial"/>
          <w:sz w:val="22"/>
          <w:szCs w:val="22"/>
        </w:rPr>
      </w:r>
      <w:r w:rsidRPr="009413E2">
        <w:rPr>
          <w:rFonts w:ascii="Arial" w:hAnsi="Arial" w:cs="Arial"/>
          <w:sz w:val="22"/>
          <w:szCs w:val="22"/>
        </w:rPr>
        <w:fldChar w:fldCharType="separate"/>
      </w:r>
      <w:r w:rsidR="005A16C1" w:rsidRPr="00150993">
        <w:rPr>
          <w:rFonts w:ascii="Arial" w:hAnsi="Arial" w:cs="Arial"/>
          <w:color w:val="002060"/>
          <w:sz w:val="22"/>
          <w:szCs w:val="22"/>
        </w:rPr>
        <w:t>Figure 2-</w:t>
      </w:r>
      <w:r w:rsidR="005A16C1">
        <w:rPr>
          <w:rFonts w:ascii="Arial" w:hAnsi="Arial" w:cs="Arial"/>
          <w:color w:val="002060"/>
          <w:sz w:val="22"/>
          <w:szCs w:val="22"/>
        </w:rPr>
        <w:t>4</w:t>
      </w:r>
      <w:r w:rsidRPr="009413E2">
        <w:rPr>
          <w:rFonts w:ascii="Arial" w:hAnsi="Arial" w:cs="Arial"/>
          <w:sz w:val="22"/>
          <w:szCs w:val="22"/>
        </w:rPr>
        <w:fldChar w:fldCharType="end"/>
      </w:r>
      <w:r w:rsidRPr="009413E2">
        <w:rPr>
          <w:rFonts w:ascii="Arial" w:hAnsi="Arial" w:cs="Arial"/>
          <w:sz w:val="22"/>
          <w:szCs w:val="22"/>
        </w:rPr>
        <w:t>) also record a sharp rise from 16% in 1998 to 20% in 2008, and then to 39% in 2019, reflecting both rapid urban expansion and intensified rural-to-urban migration during the past decade.</w:t>
      </w:r>
    </w:p>
    <w:p w14:paraId="4BA5742B" w14:textId="6BD55A2E" w:rsidR="001A03C4" w:rsidRPr="00150993" w:rsidRDefault="001A03C4" w:rsidP="00961CD6">
      <w:pPr>
        <w:pStyle w:val="NormalWeb"/>
        <w:spacing w:before="0" w:beforeAutospacing="0" w:after="0" w:afterAutospacing="0"/>
        <w:jc w:val="center"/>
        <w:rPr>
          <w:rFonts w:ascii="Arial" w:hAnsi="Arial" w:cs="Arial"/>
          <w:sz w:val="21"/>
          <w:szCs w:val="21"/>
        </w:rPr>
      </w:pPr>
      <w:r w:rsidRPr="00150993">
        <w:rPr>
          <w:rFonts w:ascii="Arial" w:hAnsi="Arial" w:cs="Arial"/>
          <w:noProof/>
          <w14:ligatures w14:val="standardContextual"/>
        </w:rPr>
        <w:drawing>
          <wp:inline distT="0" distB="0" distL="0" distR="0" wp14:anchorId="72F17AE3" wp14:editId="45A7F8C3">
            <wp:extent cx="5707006" cy="2190115"/>
            <wp:effectExtent l="0" t="0" r="8255" b="6985"/>
            <wp:docPr id="134978814" name="Chart 1">
              <a:extLst xmlns:a="http://schemas.openxmlformats.org/drawingml/2006/main">
                <a:ext uri="{FF2B5EF4-FFF2-40B4-BE49-F238E27FC236}">
                  <a16:creationId xmlns:a16="http://schemas.microsoft.com/office/drawing/2014/main" id="{9C3D804A-2D34-5E0E-2066-7C45974006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570535B" w14:textId="4B307273" w:rsidR="00961CD6" w:rsidRPr="00150993" w:rsidRDefault="00961CD6" w:rsidP="00437E57">
      <w:pPr>
        <w:pStyle w:val="NormalWeb"/>
        <w:spacing w:before="0" w:beforeAutospacing="0" w:after="240" w:afterAutospacing="0"/>
        <w:rPr>
          <w:rFonts w:ascii="Arial" w:hAnsi="Arial" w:cs="Arial"/>
          <w:color w:val="002060"/>
          <w:sz w:val="22"/>
          <w:szCs w:val="22"/>
        </w:rPr>
      </w:pPr>
      <w:bookmarkStart w:id="29" w:name="_Ref215133226"/>
      <w:bookmarkStart w:id="30" w:name="_Toc215219053"/>
      <w:r w:rsidRPr="00150993">
        <w:rPr>
          <w:rFonts w:ascii="Arial" w:hAnsi="Arial" w:cs="Arial"/>
          <w:color w:val="002060"/>
          <w:sz w:val="22"/>
          <w:szCs w:val="22"/>
        </w:rPr>
        <w:t>Figure 2-</w:t>
      </w:r>
      <w:r w:rsidRPr="00150993">
        <w:rPr>
          <w:rFonts w:ascii="Arial" w:hAnsi="Arial" w:cs="Arial"/>
          <w:i/>
          <w:iCs/>
          <w:color w:val="002060"/>
          <w:sz w:val="22"/>
          <w:szCs w:val="22"/>
        </w:rPr>
        <w:fldChar w:fldCharType="begin"/>
      </w:r>
      <w:r w:rsidRPr="00150993">
        <w:rPr>
          <w:rFonts w:ascii="Arial" w:hAnsi="Arial" w:cs="Arial"/>
          <w:color w:val="002060"/>
          <w:sz w:val="22"/>
          <w:szCs w:val="22"/>
        </w:rPr>
        <w:instrText xml:space="preserve"> SEQ Figure_2- \* ARABIC </w:instrText>
      </w:r>
      <w:r w:rsidRPr="00150993">
        <w:rPr>
          <w:rFonts w:ascii="Arial" w:hAnsi="Arial" w:cs="Arial"/>
          <w:i/>
          <w:iCs/>
          <w:color w:val="002060"/>
          <w:sz w:val="22"/>
          <w:szCs w:val="22"/>
        </w:rPr>
        <w:fldChar w:fldCharType="separate"/>
      </w:r>
      <w:r w:rsidR="005A16C1">
        <w:rPr>
          <w:rFonts w:ascii="Arial" w:hAnsi="Arial" w:cs="Arial"/>
          <w:noProof/>
          <w:color w:val="002060"/>
          <w:sz w:val="22"/>
          <w:szCs w:val="22"/>
        </w:rPr>
        <w:t>4</w:t>
      </w:r>
      <w:r w:rsidRPr="00150993">
        <w:rPr>
          <w:rFonts w:ascii="Arial" w:hAnsi="Arial" w:cs="Arial"/>
          <w:i/>
          <w:iCs/>
          <w:color w:val="002060"/>
          <w:sz w:val="22"/>
          <w:szCs w:val="22"/>
        </w:rPr>
        <w:fldChar w:fldCharType="end"/>
      </w:r>
      <w:bookmarkEnd w:id="29"/>
      <w:r w:rsidRPr="00150993">
        <w:rPr>
          <w:rFonts w:ascii="Arial" w:hAnsi="Arial" w:cs="Arial"/>
          <w:color w:val="002060"/>
          <w:sz w:val="22"/>
          <w:szCs w:val="22"/>
        </w:rPr>
        <w:t xml:space="preserve"> Census-based urban and rural shares – Cambodia (1998-2019)</w:t>
      </w:r>
      <w:bookmarkEnd w:id="30"/>
    </w:p>
    <w:p w14:paraId="5EBA111D" w14:textId="461861BB" w:rsidR="00961CD6" w:rsidRPr="00150993" w:rsidRDefault="00961CD6" w:rsidP="00437E57">
      <w:pPr>
        <w:pStyle w:val="NormalWeb"/>
        <w:spacing w:before="0" w:beforeAutospacing="0" w:after="240" w:afterAutospacing="0"/>
        <w:rPr>
          <w:rFonts w:ascii="Arial" w:hAnsi="Arial" w:cs="Arial"/>
          <w:i/>
          <w:iCs/>
          <w:sz w:val="20"/>
          <w:szCs w:val="20"/>
        </w:rPr>
      </w:pPr>
      <w:r w:rsidRPr="00150993">
        <w:rPr>
          <w:rFonts w:ascii="Arial" w:hAnsi="Arial" w:cs="Arial"/>
          <w:b/>
          <w:bCs/>
          <w:i/>
          <w:iCs/>
          <w:sz w:val="20"/>
          <w:szCs w:val="20"/>
        </w:rPr>
        <w:t>Source:</w:t>
      </w:r>
      <w:r w:rsidRPr="00150993">
        <w:rPr>
          <w:rFonts w:ascii="Arial" w:hAnsi="Arial" w:cs="Arial"/>
          <w:i/>
          <w:iCs/>
          <w:sz w:val="20"/>
          <w:szCs w:val="20"/>
        </w:rPr>
        <w:t xml:space="preserve"> NIS, 1998, 2008, 2019</w:t>
      </w:r>
    </w:p>
    <w:p w14:paraId="38FDB6F3" w14:textId="77777777" w:rsidR="00C368AD" w:rsidRPr="00275B0E" w:rsidRDefault="00863137"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2.2.1.4. </w:t>
      </w:r>
      <w:r w:rsidR="00C368AD" w:rsidRPr="00275B0E">
        <w:rPr>
          <w:rFonts w:ascii="Arial" w:hAnsi="Arial" w:cs="Arial"/>
          <w:b/>
          <w:bCs/>
          <w:i w:val="0"/>
          <w:iCs w:val="0"/>
          <w:color w:val="0070C0"/>
          <w:sz w:val="22"/>
          <w:szCs w:val="22"/>
        </w:rPr>
        <w:t>Built-up surface/area</w:t>
      </w:r>
    </w:p>
    <w:p w14:paraId="786067E2" w14:textId="71DDC868" w:rsidR="00D07869" w:rsidRPr="00150993" w:rsidRDefault="009413E2" w:rsidP="00275B0E">
      <w:pPr>
        <w:pStyle w:val="NormalWeb"/>
        <w:adjustRightInd w:val="0"/>
        <w:snapToGrid w:val="0"/>
        <w:spacing w:before="240" w:beforeAutospacing="0" w:after="240" w:afterAutospacing="0"/>
        <w:jc w:val="both"/>
        <w:rPr>
          <w:rFonts w:ascii="Arial" w:hAnsi="Arial" w:cs="Arial"/>
          <w:sz w:val="21"/>
          <w:szCs w:val="21"/>
        </w:rPr>
      </w:pPr>
      <w:r w:rsidRPr="009413E2">
        <w:rPr>
          <w:rFonts w:ascii="Arial" w:hAnsi="Arial" w:cs="Arial"/>
          <w:sz w:val="21"/>
          <w:szCs w:val="21"/>
        </w:rPr>
        <w:t>Using Ouyang et al. (2016)’s 30-m urban map</w:t>
      </w:r>
      <w:r>
        <w:rPr>
          <w:rFonts w:ascii="Arial" w:hAnsi="Arial" w:cs="Arial"/>
          <w:sz w:val="21"/>
          <w:szCs w:val="21"/>
        </w:rPr>
        <w:t xml:space="preserve"> (</w:t>
      </w:r>
      <w:r w:rsidRPr="00150993">
        <w:rPr>
          <w:rFonts w:ascii="Arial" w:hAnsi="Arial" w:cs="Arial"/>
          <w:sz w:val="21"/>
          <w:szCs w:val="21"/>
        </w:rPr>
        <w:fldChar w:fldCharType="begin"/>
      </w:r>
      <w:r w:rsidRPr="00150993">
        <w:rPr>
          <w:rFonts w:ascii="Arial" w:hAnsi="Arial" w:cs="Arial"/>
          <w:sz w:val="21"/>
          <w:szCs w:val="21"/>
        </w:rPr>
        <w:instrText xml:space="preserve"> REF _Ref215138784 \h  \* MERGEFORMAT </w:instrText>
      </w:r>
      <w:r w:rsidRPr="00150993">
        <w:rPr>
          <w:rFonts w:ascii="Arial" w:hAnsi="Arial" w:cs="Arial"/>
          <w:sz w:val="21"/>
          <w:szCs w:val="21"/>
        </w:rPr>
      </w:r>
      <w:r w:rsidRPr="00150993">
        <w:rPr>
          <w:rFonts w:ascii="Arial" w:hAnsi="Arial" w:cs="Arial"/>
          <w:sz w:val="21"/>
          <w:szCs w:val="21"/>
        </w:rPr>
        <w:fldChar w:fldCharType="separate"/>
      </w:r>
      <w:r w:rsidR="005A16C1" w:rsidRPr="00150993">
        <w:rPr>
          <w:rFonts w:ascii="Arial" w:hAnsi="Arial" w:cs="Arial"/>
          <w:color w:val="002060"/>
          <w:sz w:val="22"/>
          <w:szCs w:val="22"/>
        </w:rPr>
        <w:t>Table 2-</w:t>
      </w:r>
      <w:r w:rsidR="005A16C1">
        <w:rPr>
          <w:rFonts w:ascii="Arial" w:hAnsi="Arial" w:cs="Arial"/>
          <w:color w:val="002060"/>
          <w:sz w:val="22"/>
          <w:szCs w:val="22"/>
        </w:rPr>
        <w:t>3</w:t>
      </w:r>
      <w:r w:rsidRPr="00150993">
        <w:rPr>
          <w:rFonts w:ascii="Arial" w:hAnsi="Arial" w:cs="Arial"/>
          <w:sz w:val="21"/>
          <w:szCs w:val="21"/>
        </w:rPr>
        <w:fldChar w:fldCharType="end"/>
      </w:r>
      <w:r>
        <w:rPr>
          <w:rFonts w:ascii="Arial" w:hAnsi="Arial" w:cs="Arial"/>
          <w:sz w:val="21"/>
          <w:szCs w:val="21"/>
        </w:rPr>
        <w:t>)</w:t>
      </w:r>
      <w:r w:rsidRPr="009413E2">
        <w:rPr>
          <w:rFonts w:ascii="Arial" w:hAnsi="Arial" w:cs="Arial"/>
          <w:sz w:val="21"/>
          <w:szCs w:val="21"/>
        </w:rPr>
        <w:t>, Cambodia’s built-up land in 2010 is estimated at about 212.5 km² (≈0.12% of national area), with a likely range of 210.5–224.6 km². This implies roughly 13,000 people per km² of built-up land. The map—combining Landsat, DMSP/OLS nighttime lights and MODIS NDVI—shows development concentrated around Phnom Penh, with comparatively modest nationwide urban expansion relative to regional neighbors.</w:t>
      </w:r>
    </w:p>
    <w:p w14:paraId="732C1243" w14:textId="25297692" w:rsidR="00437E57" w:rsidRPr="00150993" w:rsidRDefault="00437E57" w:rsidP="001A19EF">
      <w:pPr>
        <w:pStyle w:val="NormalWeb"/>
        <w:keepNext/>
        <w:adjustRightInd w:val="0"/>
        <w:snapToGrid w:val="0"/>
        <w:spacing w:before="240" w:beforeAutospacing="0" w:after="120" w:afterAutospacing="0"/>
        <w:jc w:val="both"/>
        <w:rPr>
          <w:rFonts w:ascii="Arial" w:hAnsi="Arial" w:cs="Arial"/>
          <w:color w:val="002060"/>
          <w:sz w:val="22"/>
          <w:szCs w:val="22"/>
        </w:rPr>
      </w:pPr>
      <w:bookmarkStart w:id="31" w:name="_Ref215138784"/>
      <w:bookmarkStart w:id="32" w:name="_Toc215219060"/>
      <w:r w:rsidRPr="00150993">
        <w:rPr>
          <w:rFonts w:ascii="Arial" w:hAnsi="Arial" w:cs="Arial"/>
          <w:color w:val="002060"/>
          <w:sz w:val="22"/>
          <w:szCs w:val="22"/>
        </w:rPr>
        <w:t>Table 2-</w:t>
      </w:r>
      <w:r w:rsidRPr="00150993">
        <w:rPr>
          <w:rFonts w:ascii="Arial" w:hAnsi="Arial" w:cs="Arial"/>
          <w:color w:val="002060"/>
          <w:sz w:val="22"/>
          <w:szCs w:val="22"/>
        </w:rPr>
        <w:fldChar w:fldCharType="begin"/>
      </w:r>
      <w:r w:rsidRPr="00150993">
        <w:rPr>
          <w:rFonts w:ascii="Arial" w:hAnsi="Arial" w:cs="Arial"/>
          <w:color w:val="002060"/>
          <w:sz w:val="22"/>
          <w:szCs w:val="22"/>
        </w:rPr>
        <w:instrText xml:space="preserve"> SEQ Table_2- \* ARABIC </w:instrText>
      </w:r>
      <w:r w:rsidRPr="00150993">
        <w:rPr>
          <w:rFonts w:ascii="Arial" w:hAnsi="Arial" w:cs="Arial"/>
          <w:color w:val="002060"/>
          <w:sz w:val="22"/>
          <w:szCs w:val="22"/>
        </w:rPr>
        <w:fldChar w:fldCharType="separate"/>
      </w:r>
      <w:r w:rsidR="005A16C1">
        <w:rPr>
          <w:rFonts w:ascii="Arial" w:hAnsi="Arial" w:cs="Arial"/>
          <w:noProof/>
          <w:color w:val="002060"/>
          <w:sz w:val="22"/>
          <w:szCs w:val="22"/>
        </w:rPr>
        <w:t>3</w:t>
      </w:r>
      <w:r w:rsidRPr="00150993">
        <w:rPr>
          <w:rFonts w:ascii="Arial" w:hAnsi="Arial" w:cs="Arial"/>
          <w:color w:val="002060"/>
          <w:sz w:val="22"/>
          <w:szCs w:val="22"/>
        </w:rPr>
        <w:fldChar w:fldCharType="end"/>
      </w:r>
      <w:bookmarkEnd w:id="31"/>
      <w:r w:rsidRPr="00150993">
        <w:rPr>
          <w:rFonts w:ascii="Arial" w:hAnsi="Arial" w:cs="Arial"/>
          <w:color w:val="002060"/>
          <w:sz w:val="22"/>
          <w:szCs w:val="22"/>
        </w:rPr>
        <w:t xml:space="preserve"> Built-up land, 2010 (national)</w:t>
      </w:r>
      <w:bookmarkEnd w:id="32"/>
    </w:p>
    <w:tbl>
      <w:tblPr>
        <w:tblStyle w:val="GridTable4-Accent5"/>
        <w:tblW w:w="8992" w:type="dxa"/>
        <w:jc w:val="center"/>
        <w:tblLook w:val="04A0" w:firstRow="1" w:lastRow="0" w:firstColumn="1" w:lastColumn="0" w:noHBand="0" w:noVBand="1"/>
      </w:tblPr>
      <w:tblGrid>
        <w:gridCol w:w="3537"/>
        <w:gridCol w:w="2087"/>
        <w:gridCol w:w="3368"/>
      </w:tblGrid>
      <w:tr w:rsidR="00437E57" w:rsidRPr="00150993" w14:paraId="27C4D2E2" w14:textId="77777777" w:rsidTr="00D960AA">
        <w:trPr>
          <w:cnfStyle w:val="100000000000" w:firstRow="1" w:lastRow="0" w:firstColumn="0" w:lastColumn="0" w:oddVBand="0" w:evenVBand="0" w:oddHBand="0"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0E0D49A4" w14:textId="77777777" w:rsidR="00437E57" w:rsidRPr="00150993" w:rsidRDefault="00437E57" w:rsidP="00437E57">
            <w:pPr>
              <w:jc w:val="center"/>
              <w:rPr>
                <w:rFonts w:ascii="Arial" w:hAnsi="Arial" w:cs="Arial"/>
                <w:sz w:val="21"/>
                <w:szCs w:val="21"/>
              </w:rPr>
            </w:pPr>
            <w:r w:rsidRPr="00150993">
              <w:rPr>
                <w:rFonts w:ascii="Arial" w:hAnsi="Arial" w:cs="Arial"/>
                <w:sz w:val="21"/>
                <w:szCs w:val="21"/>
              </w:rPr>
              <w:t>Indicator</w:t>
            </w:r>
          </w:p>
        </w:tc>
        <w:tc>
          <w:tcPr>
            <w:tcW w:w="0" w:type="auto"/>
            <w:hideMark/>
          </w:tcPr>
          <w:p w14:paraId="2ECECCBB" w14:textId="77777777" w:rsidR="00437E57" w:rsidRPr="00150993" w:rsidRDefault="00437E57" w:rsidP="00437E5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Value</w:t>
            </w:r>
          </w:p>
        </w:tc>
        <w:tc>
          <w:tcPr>
            <w:tcW w:w="0" w:type="auto"/>
            <w:hideMark/>
          </w:tcPr>
          <w:p w14:paraId="4E90E598" w14:textId="77777777" w:rsidR="00437E57" w:rsidRPr="00150993" w:rsidRDefault="00437E57" w:rsidP="00437E57">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Note</w:t>
            </w:r>
          </w:p>
        </w:tc>
      </w:tr>
      <w:tr w:rsidR="00437E57" w:rsidRPr="00150993" w14:paraId="42D11701" w14:textId="77777777" w:rsidTr="00D960AA">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4DAF9B3" w14:textId="77777777" w:rsidR="00437E57" w:rsidRPr="00150993" w:rsidRDefault="00437E57" w:rsidP="00437E57">
            <w:pPr>
              <w:rPr>
                <w:rFonts w:ascii="Arial" w:hAnsi="Arial" w:cs="Arial"/>
                <w:sz w:val="21"/>
                <w:szCs w:val="21"/>
              </w:rPr>
            </w:pPr>
            <w:r w:rsidRPr="00150993">
              <w:rPr>
                <w:rFonts w:ascii="Arial" w:hAnsi="Arial" w:cs="Arial"/>
                <w:sz w:val="21"/>
                <w:szCs w:val="21"/>
              </w:rPr>
              <w:t>Central estimate of built-up area</w:t>
            </w:r>
          </w:p>
        </w:tc>
        <w:tc>
          <w:tcPr>
            <w:tcW w:w="0" w:type="auto"/>
            <w:vAlign w:val="center"/>
            <w:hideMark/>
          </w:tcPr>
          <w:p w14:paraId="1FAA1A73" w14:textId="77777777" w:rsidR="00437E57" w:rsidRPr="00150993" w:rsidRDefault="00437E57" w:rsidP="00437E5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212.5 km²</w:t>
            </w:r>
          </w:p>
        </w:tc>
        <w:tc>
          <w:tcPr>
            <w:tcW w:w="0" w:type="auto"/>
            <w:vAlign w:val="center"/>
            <w:hideMark/>
          </w:tcPr>
          <w:p w14:paraId="5BC5801F" w14:textId="77777777" w:rsidR="00437E57" w:rsidRPr="00150993" w:rsidRDefault="00437E57" w:rsidP="00437E57">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30-m urban map, 2010</w:t>
            </w:r>
          </w:p>
        </w:tc>
      </w:tr>
      <w:tr w:rsidR="00437E57" w:rsidRPr="00150993" w14:paraId="664467A2" w14:textId="77777777" w:rsidTr="00D960AA">
        <w:trPr>
          <w:trHeight w:val="56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A6C50DC" w14:textId="77777777" w:rsidR="00437E57" w:rsidRPr="00150993" w:rsidRDefault="00437E57" w:rsidP="00437E57">
            <w:pPr>
              <w:rPr>
                <w:rFonts w:ascii="Arial" w:hAnsi="Arial" w:cs="Arial"/>
                <w:sz w:val="21"/>
                <w:szCs w:val="21"/>
              </w:rPr>
            </w:pPr>
            <w:r w:rsidRPr="00150993">
              <w:rPr>
                <w:rFonts w:ascii="Arial" w:hAnsi="Arial" w:cs="Arial"/>
                <w:sz w:val="21"/>
                <w:szCs w:val="21"/>
              </w:rPr>
              <w:t>Likely range of built-up area</w:t>
            </w:r>
          </w:p>
        </w:tc>
        <w:tc>
          <w:tcPr>
            <w:tcW w:w="0" w:type="auto"/>
            <w:vAlign w:val="center"/>
            <w:hideMark/>
          </w:tcPr>
          <w:p w14:paraId="5866FD69" w14:textId="77777777" w:rsidR="00437E57" w:rsidRPr="00150993" w:rsidRDefault="00437E57" w:rsidP="00437E5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210.5–224.6 km²</w:t>
            </w:r>
          </w:p>
        </w:tc>
        <w:tc>
          <w:tcPr>
            <w:tcW w:w="0" w:type="auto"/>
            <w:vAlign w:val="center"/>
            <w:hideMark/>
          </w:tcPr>
          <w:p w14:paraId="021477CB" w14:textId="77777777" w:rsidR="00437E57" w:rsidRPr="00150993" w:rsidRDefault="00437E57" w:rsidP="00437E57">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Allowing for classification uncertainty</w:t>
            </w:r>
          </w:p>
        </w:tc>
      </w:tr>
      <w:tr w:rsidR="00437E57" w:rsidRPr="00150993" w14:paraId="3AF679B8" w14:textId="77777777" w:rsidTr="00D960AA">
        <w:trPr>
          <w:cnfStyle w:val="000000100000" w:firstRow="0" w:lastRow="0" w:firstColumn="0" w:lastColumn="0" w:oddVBand="0" w:evenVBand="0" w:oddHBand="1" w:evenHBand="0" w:firstRowFirstColumn="0" w:firstRowLastColumn="0" w:lastRowFirstColumn="0" w:lastRowLastColumn="0"/>
          <w:trHeight w:val="58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948973B" w14:textId="77777777" w:rsidR="00437E57" w:rsidRPr="00150993" w:rsidRDefault="00437E57" w:rsidP="00437E57">
            <w:pPr>
              <w:rPr>
                <w:rFonts w:ascii="Arial" w:hAnsi="Arial" w:cs="Arial"/>
                <w:sz w:val="21"/>
                <w:szCs w:val="21"/>
              </w:rPr>
            </w:pPr>
            <w:r w:rsidRPr="00150993">
              <w:rPr>
                <w:rFonts w:ascii="Arial" w:hAnsi="Arial" w:cs="Arial"/>
                <w:sz w:val="21"/>
                <w:szCs w:val="21"/>
              </w:rPr>
              <w:t>Share of national land area (approx.)</w:t>
            </w:r>
          </w:p>
        </w:tc>
        <w:tc>
          <w:tcPr>
            <w:tcW w:w="0" w:type="auto"/>
            <w:vAlign w:val="center"/>
            <w:hideMark/>
          </w:tcPr>
          <w:p w14:paraId="20DE9A10" w14:textId="77777777" w:rsidR="00437E57" w:rsidRPr="00150993" w:rsidRDefault="00437E57" w:rsidP="00437E57">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≈0.12%</w:t>
            </w:r>
          </w:p>
        </w:tc>
        <w:tc>
          <w:tcPr>
            <w:tcW w:w="0" w:type="auto"/>
            <w:vAlign w:val="center"/>
            <w:hideMark/>
          </w:tcPr>
          <w:p w14:paraId="16C9134F" w14:textId="77777777" w:rsidR="00437E57" w:rsidRPr="00150993" w:rsidRDefault="00437E57" w:rsidP="00437E57">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Very small physical footprint</w:t>
            </w:r>
          </w:p>
        </w:tc>
      </w:tr>
      <w:tr w:rsidR="00437E57" w:rsidRPr="00150993" w14:paraId="52CFB7A7" w14:textId="77777777" w:rsidTr="00D960AA">
        <w:trPr>
          <w:trHeight w:val="56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CA84E47" w14:textId="77777777" w:rsidR="00437E57" w:rsidRPr="00150993" w:rsidRDefault="00437E57" w:rsidP="00437E57">
            <w:pPr>
              <w:rPr>
                <w:rFonts w:ascii="Arial" w:hAnsi="Arial" w:cs="Arial"/>
                <w:sz w:val="21"/>
                <w:szCs w:val="21"/>
              </w:rPr>
            </w:pPr>
            <w:r w:rsidRPr="00150993">
              <w:rPr>
                <w:rFonts w:ascii="Arial" w:hAnsi="Arial" w:cs="Arial"/>
                <w:sz w:val="21"/>
                <w:szCs w:val="21"/>
              </w:rPr>
              <w:t>Implied population density (built-up)</w:t>
            </w:r>
          </w:p>
        </w:tc>
        <w:tc>
          <w:tcPr>
            <w:tcW w:w="0" w:type="auto"/>
            <w:vAlign w:val="center"/>
            <w:hideMark/>
          </w:tcPr>
          <w:p w14:paraId="7FCFC9BD" w14:textId="77777777" w:rsidR="00437E57" w:rsidRPr="00150993" w:rsidRDefault="00437E57" w:rsidP="00437E5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≈13,000 persons/km²</w:t>
            </w:r>
          </w:p>
        </w:tc>
        <w:tc>
          <w:tcPr>
            <w:tcW w:w="0" w:type="auto"/>
            <w:vAlign w:val="center"/>
            <w:hideMark/>
          </w:tcPr>
          <w:p w14:paraId="617B5098" w14:textId="77777777" w:rsidR="00437E57" w:rsidRPr="00150993" w:rsidRDefault="00437E57" w:rsidP="00437E57">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Concentrated in urban cores</w:t>
            </w:r>
          </w:p>
        </w:tc>
      </w:tr>
    </w:tbl>
    <w:p w14:paraId="6F58B266" w14:textId="581560A6" w:rsidR="00437E57" w:rsidRPr="00150993" w:rsidRDefault="00437E57" w:rsidP="00437E57">
      <w:pPr>
        <w:pStyle w:val="NormalWeb"/>
        <w:spacing w:before="0" w:beforeAutospacing="0" w:after="240" w:afterAutospacing="0"/>
        <w:rPr>
          <w:rFonts w:ascii="Arial" w:hAnsi="Arial" w:cs="Arial"/>
          <w:i/>
          <w:iCs/>
          <w:sz w:val="20"/>
          <w:szCs w:val="20"/>
        </w:rPr>
      </w:pPr>
      <w:r w:rsidRPr="00150993">
        <w:rPr>
          <w:rFonts w:ascii="Arial" w:hAnsi="Arial" w:cs="Arial"/>
          <w:b/>
          <w:bCs/>
          <w:i/>
          <w:iCs/>
          <w:sz w:val="20"/>
          <w:szCs w:val="20"/>
        </w:rPr>
        <w:t>Source:</w:t>
      </w:r>
      <w:r w:rsidRPr="00150993">
        <w:rPr>
          <w:rFonts w:ascii="Arial" w:hAnsi="Arial" w:cs="Arial"/>
          <w:i/>
          <w:iCs/>
          <w:sz w:val="20"/>
          <w:szCs w:val="20"/>
        </w:rPr>
        <w:t xml:space="preserve"> Ouyang et al., 2016</w:t>
      </w:r>
    </w:p>
    <w:p w14:paraId="257E409D" w14:textId="77777777" w:rsidR="00737B2B"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33" w:name="_Toc213424656"/>
      <w:bookmarkStart w:id="34" w:name="_Toc217231516"/>
      <w:r w:rsidRPr="00275B0E">
        <w:rPr>
          <w:rFonts w:ascii="Arial" w:eastAsia="Times New Roman" w:hAnsi="Arial" w:cs="Arial"/>
          <w:b/>
          <w:bCs/>
          <w:color w:val="auto"/>
          <w:sz w:val="24"/>
          <w:szCs w:val="24"/>
        </w:rPr>
        <w:t>2.2.2 Human Wellbeing</w:t>
      </w:r>
      <w:bookmarkEnd w:id="33"/>
      <w:bookmarkEnd w:id="34"/>
    </w:p>
    <w:p w14:paraId="77819615" w14:textId="77777777" w:rsidR="00830E33" w:rsidRPr="00275B0E" w:rsidRDefault="00863137"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2.2.2.1. </w:t>
      </w:r>
      <w:r w:rsidR="00830E33" w:rsidRPr="00275B0E">
        <w:rPr>
          <w:rFonts w:ascii="Arial" w:hAnsi="Arial" w:cs="Arial"/>
          <w:b/>
          <w:bCs/>
          <w:i w:val="0"/>
          <w:iCs w:val="0"/>
          <w:color w:val="0070C0"/>
          <w:sz w:val="22"/>
          <w:szCs w:val="22"/>
        </w:rPr>
        <w:t>Poverty</w:t>
      </w:r>
      <w:r w:rsidR="00E769CA" w:rsidRPr="00275B0E">
        <w:rPr>
          <w:rFonts w:ascii="Arial" w:hAnsi="Arial" w:cs="Arial"/>
          <w:b/>
          <w:bCs/>
          <w:i w:val="0"/>
          <w:iCs w:val="0"/>
          <w:color w:val="0070C0"/>
          <w:sz w:val="22"/>
          <w:szCs w:val="22"/>
        </w:rPr>
        <w:t xml:space="preserve"> and coastal poor</w:t>
      </w:r>
    </w:p>
    <w:p w14:paraId="416795AC" w14:textId="7D3C3DED" w:rsidR="00EB1B67" w:rsidRPr="00150993" w:rsidRDefault="002A122A" w:rsidP="00275B0E">
      <w:pPr>
        <w:pStyle w:val="NormalWeb"/>
        <w:adjustRightInd w:val="0"/>
        <w:snapToGrid w:val="0"/>
        <w:spacing w:before="240" w:beforeAutospacing="0" w:after="240" w:afterAutospacing="0"/>
        <w:jc w:val="both"/>
        <w:rPr>
          <w:rFonts w:ascii="Arial" w:hAnsi="Arial" w:cs="Arial"/>
          <w:sz w:val="21"/>
          <w:szCs w:val="21"/>
        </w:rPr>
      </w:pPr>
      <w:bookmarkStart w:id="35" w:name="OLE_LINK2"/>
      <w:bookmarkStart w:id="36" w:name="OLE_LINK3"/>
      <w:r w:rsidRPr="00150993">
        <w:rPr>
          <w:rFonts w:ascii="Arial" w:hAnsi="Arial" w:cs="Arial"/>
          <w:sz w:val="21"/>
          <w:szCs w:val="21"/>
        </w:rPr>
        <w:t>Poverty declined substantially—from 47.8% in 2007 to 13.5% in 2014 (World Bank, 2014), and further from 33.8% in 2009 to 17.8% in 2019/20—yet COVID-19 likely added about 2.8 percentage points, underscoring the vulnerability of near-poor, informal, and tourism-reliant households, including in coastal provinces (Karamba &amp; Tong, 2022). Government cash transfers delivered through the IDPoor registry helped absorb part of this shock and are estimated to have prevented additional households from falling back into poverty (World Bank, 2022).</w:t>
      </w:r>
      <w:r w:rsidR="0044518F" w:rsidRPr="00150993">
        <w:rPr>
          <w:rFonts w:ascii="Arial" w:hAnsi="Arial" w:cs="Arial"/>
          <w:sz w:val="21"/>
          <w:szCs w:val="21"/>
        </w:rPr>
        <w:t xml:space="preserve"> </w:t>
      </w:r>
      <w:r w:rsidR="00794D29" w:rsidRPr="00150993">
        <w:rPr>
          <w:rFonts w:ascii="Arial" w:hAnsi="Arial" w:cs="Arial"/>
          <w:sz w:val="21"/>
          <w:szCs w:val="21"/>
        </w:rPr>
        <w:t>The latest IDPoor dashboard</w:t>
      </w:r>
      <w:r w:rsidR="00151C82" w:rsidRPr="00150993">
        <w:rPr>
          <w:rFonts w:ascii="Arial" w:hAnsi="Arial" w:cs="Arial"/>
          <w:sz w:val="21"/>
          <w:szCs w:val="21"/>
        </w:rPr>
        <w:t>,</w:t>
      </w:r>
      <w:r w:rsidR="00437E57" w:rsidRPr="00150993">
        <w:rPr>
          <w:rFonts w:ascii="Arial" w:hAnsi="Arial" w:cs="Arial"/>
          <w:sz w:val="21"/>
          <w:szCs w:val="21"/>
        </w:rPr>
        <w:t xml:space="preserve"> </w:t>
      </w:r>
      <w:r w:rsidR="00437E57" w:rsidRPr="00150993">
        <w:rPr>
          <w:rFonts w:ascii="Arial" w:hAnsi="Arial" w:cs="Arial"/>
          <w:sz w:val="21"/>
          <w:szCs w:val="21"/>
        </w:rPr>
        <w:fldChar w:fldCharType="begin"/>
      </w:r>
      <w:r w:rsidR="00437E57" w:rsidRPr="00150993">
        <w:rPr>
          <w:rFonts w:ascii="Arial" w:hAnsi="Arial" w:cs="Arial"/>
          <w:sz w:val="21"/>
          <w:szCs w:val="21"/>
        </w:rPr>
        <w:instrText xml:space="preserve"> REF _Ref213419260 \h </w:instrText>
      </w:r>
      <w:r w:rsidR="00821293" w:rsidRPr="00150993">
        <w:rPr>
          <w:rFonts w:ascii="Arial" w:hAnsi="Arial" w:cs="Arial"/>
          <w:sz w:val="21"/>
          <w:szCs w:val="21"/>
        </w:rPr>
        <w:instrText xml:space="preserve"> \* MERGEFORMAT </w:instrText>
      </w:r>
      <w:r w:rsidR="00437E57" w:rsidRPr="00150993">
        <w:rPr>
          <w:rFonts w:ascii="Arial" w:hAnsi="Arial" w:cs="Arial"/>
          <w:sz w:val="21"/>
          <w:szCs w:val="21"/>
        </w:rPr>
      </w:r>
      <w:r w:rsidR="00437E57" w:rsidRPr="00150993">
        <w:rPr>
          <w:rFonts w:ascii="Arial" w:hAnsi="Arial" w:cs="Arial"/>
          <w:sz w:val="21"/>
          <w:szCs w:val="21"/>
        </w:rPr>
        <w:fldChar w:fldCharType="separate"/>
      </w:r>
      <w:r w:rsidR="005A16C1" w:rsidRPr="00150993">
        <w:rPr>
          <w:rFonts w:ascii="Arial" w:hAnsi="Arial" w:cs="Arial"/>
          <w:color w:val="002060"/>
          <w:sz w:val="22"/>
          <w:szCs w:val="22"/>
        </w:rPr>
        <w:t>Figure 2-</w:t>
      </w:r>
      <w:r w:rsidR="005A16C1" w:rsidRPr="005A16C1">
        <w:rPr>
          <w:rFonts w:ascii="Arial" w:hAnsi="Arial" w:cs="Arial"/>
          <w:color w:val="002060"/>
          <w:sz w:val="22"/>
          <w:szCs w:val="22"/>
        </w:rPr>
        <w:t>5</w:t>
      </w:r>
      <w:r w:rsidR="00437E57" w:rsidRPr="00150993">
        <w:rPr>
          <w:rFonts w:ascii="Arial" w:hAnsi="Arial" w:cs="Arial"/>
          <w:sz w:val="21"/>
          <w:szCs w:val="21"/>
        </w:rPr>
        <w:fldChar w:fldCharType="end"/>
      </w:r>
      <w:r w:rsidR="00437E57" w:rsidRPr="00150993">
        <w:rPr>
          <w:rFonts w:ascii="Arial" w:hAnsi="Arial" w:cs="Arial"/>
          <w:sz w:val="21"/>
          <w:szCs w:val="21"/>
        </w:rPr>
        <w:t xml:space="preserve"> shows Koh kong with the highest number of poor persons (39%) and households (25%) and Kep with the least at 15% of individuals and 14% of households, being poor</w:t>
      </w:r>
      <w:r w:rsidR="00E769CA" w:rsidRPr="00150993">
        <w:rPr>
          <w:rFonts w:ascii="Arial" w:hAnsi="Arial" w:cs="Arial"/>
          <w:sz w:val="21"/>
          <w:szCs w:val="21"/>
        </w:rPr>
        <w:t xml:space="preserve"> </w:t>
      </w:r>
      <w:r w:rsidR="00794D29" w:rsidRPr="00150993">
        <w:rPr>
          <w:rFonts w:ascii="Arial" w:hAnsi="Arial" w:cs="Arial"/>
          <w:sz w:val="21"/>
          <w:szCs w:val="21"/>
        </w:rPr>
        <w:t xml:space="preserve"> (MoP, </w:t>
      </w:r>
      <w:r w:rsidR="007A6E6D" w:rsidRPr="00150993">
        <w:rPr>
          <w:rFonts w:ascii="Arial" w:hAnsi="Arial" w:cs="Arial"/>
          <w:sz w:val="21"/>
          <w:szCs w:val="21"/>
        </w:rPr>
        <w:t>2025</w:t>
      </w:r>
      <w:r w:rsidR="00794D29" w:rsidRPr="00150993">
        <w:rPr>
          <w:rFonts w:ascii="Arial" w:hAnsi="Arial" w:cs="Arial"/>
          <w:sz w:val="21"/>
          <w:szCs w:val="21"/>
        </w:rPr>
        <w:t>).</w:t>
      </w:r>
    </w:p>
    <w:p w14:paraId="3DE5ACA5" w14:textId="77777777" w:rsidR="00CE6B88" w:rsidRPr="00150993" w:rsidRDefault="00CE6B88" w:rsidP="00CE6B88">
      <w:pPr>
        <w:spacing w:after="120"/>
        <w:jc w:val="center"/>
        <w:rPr>
          <w:rFonts w:ascii="Arial" w:hAnsi="Arial" w:cs="Arial"/>
          <w:sz w:val="21"/>
          <w:szCs w:val="21"/>
        </w:rPr>
      </w:pPr>
      <w:r w:rsidRPr="00150993">
        <w:rPr>
          <w:rFonts w:ascii="Arial" w:hAnsi="Arial" w:cs="Arial"/>
          <w:noProof/>
          <w:sz w:val="22"/>
          <w:szCs w:val="22"/>
          <w14:ligatures w14:val="standardContextual"/>
        </w:rPr>
        <w:drawing>
          <wp:inline distT="0" distB="0" distL="0" distR="0" wp14:anchorId="5C73AC4F" wp14:editId="13547464">
            <wp:extent cx="5645785" cy="2699657"/>
            <wp:effectExtent l="0" t="0" r="18415" b="18415"/>
            <wp:docPr id="1634872708" name="Chart 1">
              <a:extLst xmlns:a="http://schemas.openxmlformats.org/drawingml/2006/main">
                <a:ext uri="{FF2B5EF4-FFF2-40B4-BE49-F238E27FC236}">
                  <a16:creationId xmlns:a16="http://schemas.microsoft.com/office/drawing/2014/main" id="{733835E3-D41D-397F-0755-B1CC5E9F50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F1D0285" w14:textId="6ACBBB61" w:rsidR="00AD7BC4" w:rsidRPr="00150993" w:rsidRDefault="00AD7BC4" w:rsidP="00151EB0">
      <w:pPr>
        <w:pStyle w:val="Caption"/>
        <w:spacing w:after="0"/>
        <w:rPr>
          <w:rFonts w:ascii="Arial" w:hAnsi="Arial" w:cs="Arial"/>
          <w:i w:val="0"/>
          <w:iCs w:val="0"/>
          <w:color w:val="002060"/>
          <w:sz w:val="22"/>
          <w:szCs w:val="22"/>
        </w:rPr>
      </w:pPr>
      <w:bookmarkStart w:id="37" w:name="_Ref213419260"/>
      <w:bookmarkStart w:id="38" w:name="_Toc213424697"/>
      <w:bookmarkStart w:id="39" w:name="_Toc215219054"/>
      <w:bookmarkEnd w:id="35"/>
      <w:bookmarkEnd w:id="36"/>
      <w:r w:rsidRPr="00150993">
        <w:rPr>
          <w:rFonts w:ascii="Arial" w:hAnsi="Arial" w:cs="Arial"/>
          <w:i w:val="0"/>
          <w:iCs w:val="0"/>
          <w:color w:val="002060"/>
          <w:sz w:val="22"/>
          <w:szCs w:val="22"/>
        </w:rPr>
        <w:t>Figure 2-</w:t>
      </w:r>
      <w:r w:rsidRPr="00150993">
        <w:rPr>
          <w:rFonts w:ascii="Arial" w:hAnsi="Arial" w:cs="Arial"/>
          <w:i w:val="0"/>
          <w:iCs w:val="0"/>
          <w:color w:val="002060"/>
          <w:sz w:val="22"/>
          <w:szCs w:val="22"/>
        </w:rPr>
        <w:fldChar w:fldCharType="begin"/>
      </w:r>
      <w:r w:rsidRPr="00150993">
        <w:rPr>
          <w:rFonts w:ascii="Arial" w:hAnsi="Arial" w:cs="Arial"/>
          <w:i w:val="0"/>
          <w:iCs w:val="0"/>
          <w:color w:val="002060"/>
          <w:sz w:val="22"/>
          <w:szCs w:val="22"/>
        </w:rPr>
        <w:instrText xml:space="preserve"> SEQ Figure_2- \* ARABIC </w:instrText>
      </w:r>
      <w:r w:rsidRPr="00150993">
        <w:rPr>
          <w:rFonts w:ascii="Arial" w:hAnsi="Arial" w:cs="Arial"/>
          <w:i w:val="0"/>
          <w:iCs w:val="0"/>
          <w:color w:val="002060"/>
          <w:sz w:val="22"/>
          <w:szCs w:val="22"/>
        </w:rPr>
        <w:fldChar w:fldCharType="separate"/>
      </w:r>
      <w:r w:rsidR="005A16C1">
        <w:rPr>
          <w:rFonts w:ascii="Arial" w:hAnsi="Arial" w:cs="Arial"/>
          <w:i w:val="0"/>
          <w:iCs w:val="0"/>
          <w:noProof/>
          <w:color w:val="002060"/>
          <w:sz w:val="22"/>
          <w:szCs w:val="22"/>
        </w:rPr>
        <w:t>5</w:t>
      </w:r>
      <w:r w:rsidRPr="00150993">
        <w:rPr>
          <w:rFonts w:ascii="Arial" w:hAnsi="Arial" w:cs="Arial"/>
          <w:i w:val="0"/>
          <w:iCs w:val="0"/>
          <w:color w:val="002060"/>
          <w:sz w:val="22"/>
          <w:szCs w:val="22"/>
        </w:rPr>
        <w:fldChar w:fldCharType="end"/>
      </w:r>
      <w:bookmarkEnd w:id="37"/>
      <w:r w:rsidRPr="00150993">
        <w:rPr>
          <w:rFonts w:ascii="Arial" w:hAnsi="Arial" w:cs="Arial"/>
          <w:i w:val="0"/>
          <w:iCs w:val="0"/>
          <w:color w:val="002060"/>
          <w:sz w:val="22"/>
          <w:szCs w:val="22"/>
        </w:rPr>
        <w:t xml:space="preserve"> Poor rate by person and household (national vs coastal provinces)</w:t>
      </w:r>
      <w:bookmarkEnd w:id="38"/>
      <w:bookmarkEnd w:id="39"/>
    </w:p>
    <w:p w14:paraId="06F67439" w14:textId="77777777" w:rsidR="00100278" w:rsidRPr="00150993" w:rsidRDefault="00100278" w:rsidP="00151EB0">
      <w:pPr>
        <w:rPr>
          <w:rFonts w:ascii="Arial" w:hAnsi="Arial" w:cs="Arial"/>
          <w:sz w:val="20"/>
          <w:szCs w:val="20"/>
        </w:rPr>
      </w:pPr>
      <w:r w:rsidRPr="00150993">
        <w:rPr>
          <w:rFonts w:ascii="Arial" w:hAnsi="Arial" w:cs="Arial"/>
          <w:b/>
          <w:bCs/>
          <w:sz w:val="20"/>
          <w:szCs w:val="20"/>
        </w:rPr>
        <w:t>Source:</w:t>
      </w:r>
      <w:r w:rsidRPr="00150993">
        <w:rPr>
          <w:rFonts w:ascii="Arial" w:hAnsi="Arial" w:cs="Arial"/>
          <w:sz w:val="20"/>
          <w:szCs w:val="20"/>
        </w:rPr>
        <w:t xml:space="preserve"> </w:t>
      </w:r>
      <w:r w:rsidRPr="00150993">
        <w:rPr>
          <w:rFonts w:ascii="Arial" w:hAnsi="Arial" w:cs="Arial"/>
          <w:i/>
          <w:iCs/>
          <w:sz w:val="20"/>
          <w:szCs w:val="20"/>
        </w:rPr>
        <w:t>Ministry of Planning (MoP), 2025. IDPoor public data query</w:t>
      </w:r>
      <w:r w:rsidR="007A6E6D" w:rsidRPr="00150993">
        <w:rPr>
          <w:rFonts w:ascii="Arial" w:hAnsi="Arial" w:cs="Arial"/>
          <w:i/>
          <w:iCs/>
          <w:sz w:val="20"/>
          <w:szCs w:val="20"/>
        </w:rPr>
        <w:t>.</w:t>
      </w:r>
    </w:p>
    <w:p w14:paraId="37D56242" w14:textId="2AA19509" w:rsidR="00EB1B67" w:rsidRPr="00150993" w:rsidRDefault="00E769CA" w:rsidP="007A6E6D">
      <w:pPr>
        <w:pStyle w:val="NormalWeb"/>
        <w:spacing w:before="240" w:beforeAutospacing="0" w:after="240" w:afterAutospacing="0"/>
        <w:jc w:val="both"/>
        <w:rPr>
          <w:rFonts w:ascii="Arial" w:hAnsi="Arial" w:cs="Arial"/>
          <w:sz w:val="21"/>
          <w:szCs w:val="21"/>
        </w:rPr>
      </w:pPr>
      <w:r w:rsidRPr="00150993">
        <w:rPr>
          <w:rFonts w:ascii="Arial" w:hAnsi="Arial" w:cs="Arial"/>
          <w:sz w:val="21"/>
          <w:szCs w:val="21"/>
        </w:rPr>
        <w:t>Furthermore, a</w:t>
      </w:r>
      <w:r w:rsidR="007A6E6D" w:rsidRPr="00150993">
        <w:rPr>
          <w:rFonts w:ascii="Arial" w:hAnsi="Arial" w:cs="Arial"/>
          <w:sz w:val="21"/>
          <w:szCs w:val="21"/>
        </w:rPr>
        <w:t xml:space="preserve"> complementary lens from the MPI</w:t>
      </w:r>
      <w:r w:rsidR="002A122A" w:rsidRPr="00150993">
        <w:rPr>
          <w:rFonts w:ascii="Arial" w:hAnsi="Arial" w:cs="Arial"/>
          <w:sz w:val="21"/>
          <w:szCs w:val="21"/>
        </w:rPr>
        <w:t xml:space="preserve"> (</w:t>
      </w:r>
      <w:r w:rsidR="002A122A" w:rsidRPr="00150993">
        <w:rPr>
          <w:rFonts w:ascii="Arial" w:hAnsi="Arial" w:cs="Arial"/>
          <w:sz w:val="21"/>
          <w:szCs w:val="21"/>
        </w:rPr>
        <w:fldChar w:fldCharType="begin"/>
      </w:r>
      <w:r w:rsidR="002A122A" w:rsidRPr="00150993">
        <w:rPr>
          <w:rFonts w:ascii="Arial" w:hAnsi="Arial" w:cs="Arial"/>
          <w:sz w:val="21"/>
          <w:szCs w:val="21"/>
        </w:rPr>
        <w:instrText xml:space="preserve"> REF _Ref215139998 \h </w:instrText>
      </w:r>
      <w:r w:rsidR="00150993" w:rsidRPr="00150993">
        <w:rPr>
          <w:rFonts w:ascii="Arial" w:hAnsi="Arial" w:cs="Arial"/>
          <w:sz w:val="21"/>
          <w:szCs w:val="21"/>
        </w:rPr>
        <w:instrText xml:space="preserve"> \* MERGEFORMAT </w:instrText>
      </w:r>
      <w:r w:rsidR="002A122A" w:rsidRPr="00150993">
        <w:rPr>
          <w:rFonts w:ascii="Arial" w:hAnsi="Arial" w:cs="Arial"/>
          <w:sz w:val="21"/>
          <w:szCs w:val="21"/>
        </w:rPr>
      </w:r>
      <w:r w:rsidR="002A122A" w:rsidRPr="00150993">
        <w:rPr>
          <w:rFonts w:ascii="Arial" w:hAnsi="Arial" w:cs="Arial"/>
          <w:sz w:val="21"/>
          <w:szCs w:val="21"/>
        </w:rPr>
        <w:fldChar w:fldCharType="separate"/>
      </w:r>
      <w:r w:rsidR="005A16C1" w:rsidRPr="005A16C1">
        <w:rPr>
          <w:rFonts w:ascii="Arial" w:hAnsi="Arial" w:cs="Arial"/>
          <w:color w:val="002060"/>
          <w:sz w:val="21"/>
          <w:szCs w:val="21"/>
        </w:rPr>
        <w:t>Table 2-4</w:t>
      </w:r>
      <w:r w:rsidR="002A122A" w:rsidRPr="00150993">
        <w:rPr>
          <w:rFonts w:ascii="Arial" w:hAnsi="Arial" w:cs="Arial"/>
          <w:sz w:val="21"/>
          <w:szCs w:val="21"/>
        </w:rPr>
        <w:fldChar w:fldCharType="end"/>
      </w:r>
      <w:r w:rsidR="002A122A" w:rsidRPr="00150993">
        <w:rPr>
          <w:rFonts w:ascii="Arial" w:hAnsi="Arial" w:cs="Arial"/>
          <w:sz w:val="21"/>
          <w:szCs w:val="21"/>
        </w:rPr>
        <w:t>)</w:t>
      </w:r>
      <w:r w:rsidR="007A6E6D" w:rsidRPr="00150993">
        <w:rPr>
          <w:rFonts w:ascii="Arial" w:hAnsi="Arial" w:cs="Arial"/>
          <w:sz w:val="21"/>
          <w:szCs w:val="21"/>
        </w:rPr>
        <w:t xml:space="preserve"> places Cambodia’s national MPI around 0.070, with pronounced provincial variation along the coast: </w:t>
      </w:r>
      <w:r w:rsidR="00794D29" w:rsidRPr="00150993">
        <w:rPr>
          <w:rFonts w:ascii="Arial" w:hAnsi="Arial" w:cs="Arial"/>
          <w:sz w:val="21"/>
          <w:szCs w:val="21"/>
        </w:rPr>
        <w:t>Koh Kong showing the highest deprivation (0.099), Kampot and Kep in the mid-range (</w:t>
      </w:r>
      <w:r w:rsidR="007A6E6D" w:rsidRPr="00150993">
        <w:rPr>
          <w:rFonts w:ascii="Arial" w:hAnsi="Arial" w:cs="Arial"/>
          <w:sz w:val="21"/>
          <w:szCs w:val="21"/>
        </w:rPr>
        <w:t>0.079 and 0.075</w:t>
      </w:r>
      <w:r w:rsidR="00794D29" w:rsidRPr="00150993">
        <w:rPr>
          <w:rFonts w:ascii="Arial" w:hAnsi="Arial" w:cs="Arial"/>
          <w:sz w:val="21"/>
          <w:szCs w:val="21"/>
        </w:rPr>
        <w:t>,</w:t>
      </w:r>
      <w:r w:rsidR="007A6E6D" w:rsidRPr="00150993">
        <w:rPr>
          <w:rFonts w:ascii="Arial" w:hAnsi="Arial" w:cs="Arial"/>
          <w:sz w:val="21"/>
          <w:szCs w:val="21"/>
        </w:rPr>
        <w:t xml:space="preserve"> respectively)</w:t>
      </w:r>
      <w:r w:rsidR="00794D29" w:rsidRPr="00150993">
        <w:rPr>
          <w:rFonts w:ascii="Arial" w:hAnsi="Arial" w:cs="Arial"/>
          <w:sz w:val="21"/>
          <w:szCs w:val="21"/>
        </w:rPr>
        <w:t xml:space="preserve"> and Preah Sihanouk the lowest</w:t>
      </w:r>
      <w:r w:rsidR="007A6E6D" w:rsidRPr="00150993">
        <w:rPr>
          <w:rFonts w:ascii="Arial" w:hAnsi="Arial" w:cs="Arial"/>
          <w:sz w:val="21"/>
          <w:szCs w:val="21"/>
        </w:rPr>
        <w:t xml:space="preserve"> (0.031), </w:t>
      </w:r>
      <w:r w:rsidR="00794D29" w:rsidRPr="00150993">
        <w:rPr>
          <w:rFonts w:ascii="Arial" w:hAnsi="Arial" w:cs="Arial"/>
          <w:sz w:val="21"/>
          <w:szCs w:val="21"/>
        </w:rPr>
        <w:t>consistent with more urban/peri-urban pockets of need rather than widespread deprivation (OPHI &amp; UNDP, 2024).</w:t>
      </w:r>
    </w:p>
    <w:p w14:paraId="1027569F" w14:textId="3E65347B" w:rsidR="0010617D" w:rsidRPr="001A19EF" w:rsidRDefault="00151C82" w:rsidP="001A19EF">
      <w:pPr>
        <w:pStyle w:val="NormalWeb"/>
        <w:keepNext/>
        <w:adjustRightInd w:val="0"/>
        <w:snapToGrid w:val="0"/>
        <w:spacing w:before="240" w:beforeAutospacing="0" w:after="120" w:afterAutospacing="0"/>
        <w:jc w:val="both"/>
        <w:rPr>
          <w:rFonts w:ascii="Arial" w:hAnsi="Arial" w:cs="Arial"/>
          <w:color w:val="002060"/>
          <w:sz w:val="22"/>
          <w:szCs w:val="22"/>
        </w:rPr>
      </w:pPr>
      <w:bookmarkStart w:id="40" w:name="_Ref215139998"/>
      <w:bookmarkStart w:id="41" w:name="_Toc213422531"/>
      <w:bookmarkStart w:id="42" w:name="_Toc215219061"/>
      <w:r w:rsidRPr="001A19EF">
        <w:rPr>
          <w:rFonts w:ascii="Arial" w:hAnsi="Arial" w:cs="Arial"/>
          <w:color w:val="002060"/>
          <w:sz w:val="22"/>
          <w:szCs w:val="22"/>
        </w:rPr>
        <w:t>Table 2-</w:t>
      </w:r>
      <w:r w:rsidRPr="001A19EF">
        <w:rPr>
          <w:rFonts w:ascii="Arial" w:hAnsi="Arial" w:cs="Arial"/>
          <w:color w:val="002060"/>
          <w:sz w:val="22"/>
          <w:szCs w:val="22"/>
        </w:rPr>
        <w:fldChar w:fldCharType="begin"/>
      </w:r>
      <w:r w:rsidRPr="001A19EF">
        <w:rPr>
          <w:rFonts w:ascii="Arial" w:hAnsi="Arial" w:cs="Arial"/>
          <w:color w:val="002060"/>
          <w:sz w:val="22"/>
          <w:szCs w:val="22"/>
        </w:rPr>
        <w:instrText xml:space="preserve"> SEQ Table_2- \* ARABIC </w:instrText>
      </w:r>
      <w:r w:rsidRPr="001A19EF">
        <w:rPr>
          <w:rFonts w:ascii="Arial" w:hAnsi="Arial" w:cs="Arial"/>
          <w:color w:val="002060"/>
          <w:sz w:val="22"/>
          <w:szCs w:val="22"/>
        </w:rPr>
        <w:fldChar w:fldCharType="separate"/>
      </w:r>
      <w:r w:rsidR="005A16C1">
        <w:rPr>
          <w:rFonts w:ascii="Arial" w:hAnsi="Arial" w:cs="Arial"/>
          <w:noProof/>
          <w:color w:val="002060"/>
          <w:sz w:val="22"/>
          <w:szCs w:val="22"/>
        </w:rPr>
        <w:t>4</w:t>
      </w:r>
      <w:r w:rsidRPr="001A19EF">
        <w:rPr>
          <w:rFonts w:ascii="Arial" w:hAnsi="Arial" w:cs="Arial"/>
          <w:color w:val="002060"/>
          <w:sz w:val="22"/>
          <w:szCs w:val="22"/>
        </w:rPr>
        <w:fldChar w:fldCharType="end"/>
      </w:r>
      <w:bookmarkEnd w:id="40"/>
      <w:r w:rsidRPr="001A19EF">
        <w:rPr>
          <w:rFonts w:ascii="Arial" w:hAnsi="Arial" w:cs="Arial"/>
          <w:color w:val="002060"/>
          <w:sz w:val="22"/>
          <w:szCs w:val="22"/>
        </w:rPr>
        <w:t xml:space="preserve"> </w:t>
      </w:r>
      <w:r w:rsidR="003E013F" w:rsidRPr="001A19EF">
        <w:rPr>
          <w:rFonts w:ascii="Arial" w:hAnsi="Arial" w:cs="Arial"/>
          <w:color w:val="002060"/>
          <w:sz w:val="22"/>
          <w:szCs w:val="22"/>
        </w:rPr>
        <w:t>Subnational</w:t>
      </w:r>
      <w:r w:rsidR="00954A4B" w:rsidRPr="001A19EF">
        <w:rPr>
          <w:rFonts w:ascii="Arial" w:hAnsi="Arial" w:cs="Arial"/>
          <w:color w:val="002060"/>
          <w:sz w:val="22"/>
          <w:szCs w:val="22"/>
        </w:rPr>
        <w:t xml:space="preserve"> (coastal province)</w:t>
      </w:r>
      <w:r w:rsidR="003E013F" w:rsidRPr="001A19EF">
        <w:rPr>
          <w:rFonts w:ascii="Arial" w:hAnsi="Arial" w:cs="Arial"/>
          <w:color w:val="002060"/>
          <w:sz w:val="22"/>
          <w:szCs w:val="22"/>
        </w:rPr>
        <w:t xml:space="preserve"> Multidimensional Poverty Index</w:t>
      </w:r>
      <w:bookmarkEnd w:id="41"/>
      <w:bookmarkEnd w:id="42"/>
    </w:p>
    <w:tbl>
      <w:tblPr>
        <w:tblW w:w="8952" w:type="dxa"/>
        <w:jc w:val="center"/>
        <w:tblLayout w:type="fixed"/>
        <w:tblLook w:val="04A0" w:firstRow="1" w:lastRow="0" w:firstColumn="1" w:lastColumn="0" w:noHBand="0" w:noVBand="1"/>
      </w:tblPr>
      <w:tblGrid>
        <w:gridCol w:w="1701"/>
        <w:gridCol w:w="1134"/>
        <w:gridCol w:w="1985"/>
        <w:gridCol w:w="1864"/>
        <w:gridCol w:w="2268"/>
      </w:tblGrid>
      <w:tr w:rsidR="0010617D" w:rsidRPr="00150993" w14:paraId="355AA16C" w14:textId="77777777" w:rsidTr="00D960AA">
        <w:trPr>
          <w:trHeight w:val="407"/>
          <w:jc w:val="center"/>
        </w:trPr>
        <w:tc>
          <w:tcPr>
            <w:tcW w:w="1701" w:type="dxa"/>
            <w:vMerge w:val="restart"/>
            <w:tcBorders>
              <w:top w:val="single" w:sz="4" w:space="0" w:color="auto"/>
              <w:left w:val="nil"/>
              <w:bottom w:val="single" w:sz="4" w:space="0" w:color="000000"/>
              <w:right w:val="nil"/>
            </w:tcBorders>
            <w:vAlign w:val="bottom"/>
            <w:hideMark/>
          </w:tcPr>
          <w:p w14:paraId="5032C0AB" w14:textId="77777777" w:rsidR="0010617D" w:rsidRPr="00150993" w:rsidRDefault="0010617D" w:rsidP="000F3E4E">
            <w:pPr>
              <w:jc w:val="center"/>
              <w:rPr>
                <w:rFonts w:ascii="Arial" w:hAnsi="Arial" w:cs="Arial"/>
                <w:b/>
                <w:bCs/>
                <w:color w:val="000000"/>
                <w:sz w:val="18"/>
                <w:szCs w:val="18"/>
              </w:rPr>
            </w:pPr>
            <w:r w:rsidRPr="00150993">
              <w:rPr>
                <w:rFonts w:ascii="Arial" w:hAnsi="Arial" w:cs="Arial"/>
                <w:b/>
                <w:bCs/>
                <w:color w:val="000000"/>
                <w:sz w:val="18"/>
                <w:szCs w:val="18"/>
              </w:rPr>
              <w:t xml:space="preserve">Subnational </w:t>
            </w:r>
            <w:r w:rsidRPr="00150993">
              <w:rPr>
                <w:rFonts w:ascii="Arial" w:hAnsi="Arial" w:cs="Arial"/>
                <w:b/>
                <w:bCs/>
                <w:color w:val="000000"/>
                <w:sz w:val="18"/>
                <w:szCs w:val="18"/>
              </w:rPr>
              <w:br/>
              <w:t>region</w:t>
            </w:r>
          </w:p>
        </w:tc>
        <w:tc>
          <w:tcPr>
            <w:tcW w:w="1134" w:type="dxa"/>
            <w:vMerge w:val="restart"/>
            <w:tcBorders>
              <w:top w:val="single" w:sz="4" w:space="0" w:color="auto"/>
              <w:left w:val="nil"/>
              <w:bottom w:val="single" w:sz="4" w:space="0" w:color="000000"/>
            </w:tcBorders>
            <w:vAlign w:val="bottom"/>
            <w:hideMark/>
          </w:tcPr>
          <w:p w14:paraId="46162EB9" w14:textId="77777777" w:rsidR="0010617D" w:rsidRPr="00150993" w:rsidRDefault="0010617D" w:rsidP="000F3E4E">
            <w:pPr>
              <w:jc w:val="center"/>
              <w:rPr>
                <w:rFonts w:ascii="Arial" w:hAnsi="Arial" w:cs="Arial"/>
                <w:b/>
                <w:bCs/>
                <w:color w:val="000000"/>
                <w:sz w:val="18"/>
                <w:szCs w:val="18"/>
              </w:rPr>
            </w:pPr>
            <w:r w:rsidRPr="00150993">
              <w:rPr>
                <w:rFonts w:ascii="Arial" w:hAnsi="Arial" w:cs="Arial"/>
                <w:b/>
                <w:bCs/>
                <w:color w:val="000000"/>
                <w:sz w:val="18"/>
                <w:szCs w:val="18"/>
              </w:rPr>
              <w:t>MPI of the country</w:t>
            </w:r>
          </w:p>
        </w:tc>
        <w:tc>
          <w:tcPr>
            <w:tcW w:w="6117" w:type="dxa"/>
            <w:gridSpan w:val="3"/>
            <w:tcBorders>
              <w:top w:val="single" w:sz="4" w:space="0" w:color="auto"/>
              <w:bottom w:val="single" w:sz="4" w:space="0" w:color="auto"/>
            </w:tcBorders>
            <w:noWrap/>
            <w:vAlign w:val="center"/>
            <w:hideMark/>
          </w:tcPr>
          <w:p w14:paraId="5C0B3770" w14:textId="77777777" w:rsidR="0010617D" w:rsidRPr="00150993" w:rsidRDefault="0010617D" w:rsidP="00D960AA">
            <w:pPr>
              <w:jc w:val="center"/>
              <w:rPr>
                <w:rFonts w:ascii="Arial" w:hAnsi="Arial" w:cs="Arial"/>
                <w:b/>
                <w:bCs/>
                <w:color w:val="000000"/>
                <w:sz w:val="18"/>
                <w:szCs w:val="18"/>
              </w:rPr>
            </w:pPr>
            <w:r w:rsidRPr="00150993">
              <w:rPr>
                <w:rFonts w:ascii="Arial" w:hAnsi="Arial" w:cs="Arial"/>
                <w:b/>
                <w:bCs/>
                <w:color w:val="000000"/>
                <w:sz w:val="18"/>
                <w:szCs w:val="18"/>
              </w:rPr>
              <w:t>Multidimensional poverty by region</w:t>
            </w:r>
          </w:p>
        </w:tc>
      </w:tr>
      <w:tr w:rsidR="003E013F" w:rsidRPr="00150993" w14:paraId="705089AA" w14:textId="77777777" w:rsidTr="003E013F">
        <w:trPr>
          <w:trHeight w:val="840"/>
          <w:jc w:val="center"/>
        </w:trPr>
        <w:tc>
          <w:tcPr>
            <w:tcW w:w="1701" w:type="dxa"/>
            <w:vMerge/>
            <w:tcBorders>
              <w:top w:val="single" w:sz="4" w:space="0" w:color="auto"/>
              <w:left w:val="nil"/>
              <w:bottom w:val="single" w:sz="4" w:space="0" w:color="000000"/>
              <w:right w:val="nil"/>
            </w:tcBorders>
            <w:vAlign w:val="center"/>
            <w:hideMark/>
          </w:tcPr>
          <w:p w14:paraId="70EF8EFD" w14:textId="77777777" w:rsidR="0010617D" w:rsidRPr="00150993" w:rsidRDefault="0010617D" w:rsidP="000F3E4E">
            <w:pPr>
              <w:rPr>
                <w:rFonts w:ascii="Arial" w:hAnsi="Arial" w:cs="Arial"/>
                <w:b/>
                <w:bCs/>
                <w:color w:val="000000"/>
                <w:sz w:val="18"/>
                <w:szCs w:val="18"/>
              </w:rPr>
            </w:pPr>
          </w:p>
        </w:tc>
        <w:tc>
          <w:tcPr>
            <w:tcW w:w="1134" w:type="dxa"/>
            <w:vMerge/>
            <w:tcBorders>
              <w:top w:val="single" w:sz="4" w:space="0" w:color="auto"/>
              <w:left w:val="nil"/>
              <w:bottom w:val="single" w:sz="4" w:space="0" w:color="000000"/>
              <w:right w:val="nil"/>
            </w:tcBorders>
            <w:vAlign w:val="center"/>
            <w:hideMark/>
          </w:tcPr>
          <w:p w14:paraId="314D6930" w14:textId="77777777" w:rsidR="0010617D" w:rsidRPr="00150993" w:rsidRDefault="0010617D" w:rsidP="000F3E4E">
            <w:pPr>
              <w:rPr>
                <w:rFonts w:ascii="Arial" w:hAnsi="Arial" w:cs="Arial"/>
                <w:b/>
                <w:bCs/>
                <w:color w:val="000000"/>
                <w:sz w:val="18"/>
                <w:szCs w:val="18"/>
              </w:rPr>
            </w:pPr>
          </w:p>
        </w:tc>
        <w:tc>
          <w:tcPr>
            <w:tcW w:w="1985" w:type="dxa"/>
            <w:vMerge w:val="restart"/>
            <w:tcBorders>
              <w:top w:val="single" w:sz="4" w:space="0" w:color="auto"/>
              <w:left w:val="nil"/>
              <w:bottom w:val="single" w:sz="4" w:space="0" w:color="000000"/>
              <w:right w:val="nil"/>
            </w:tcBorders>
            <w:vAlign w:val="bottom"/>
            <w:hideMark/>
          </w:tcPr>
          <w:p w14:paraId="01C911DC" w14:textId="77777777" w:rsidR="0010617D" w:rsidRPr="00150993" w:rsidRDefault="0010617D" w:rsidP="000F3E4E">
            <w:pPr>
              <w:jc w:val="center"/>
              <w:rPr>
                <w:rFonts w:ascii="Arial" w:hAnsi="Arial" w:cs="Arial"/>
                <w:b/>
                <w:bCs/>
                <w:color w:val="000000"/>
                <w:sz w:val="18"/>
                <w:szCs w:val="18"/>
              </w:rPr>
            </w:pPr>
            <w:r w:rsidRPr="00150993">
              <w:rPr>
                <w:rFonts w:ascii="Arial" w:hAnsi="Arial" w:cs="Arial"/>
                <w:b/>
                <w:bCs/>
                <w:color w:val="000000"/>
                <w:sz w:val="18"/>
                <w:szCs w:val="18"/>
              </w:rPr>
              <w:t>Multidimensional Poverty Index</w:t>
            </w:r>
            <w:r w:rsidRPr="00150993">
              <w:rPr>
                <w:rFonts w:ascii="Arial" w:hAnsi="Arial" w:cs="Arial"/>
                <w:b/>
                <w:bCs/>
                <w:color w:val="000000"/>
                <w:sz w:val="18"/>
                <w:szCs w:val="18"/>
              </w:rPr>
              <w:br/>
              <w:t>(MPI = H*A)</w:t>
            </w:r>
          </w:p>
        </w:tc>
        <w:tc>
          <w:tcPr>
            <w:tcW w:w="1864" w:type="dxa"/>
            <w:vMerge w:val="restart"/>
            <w:tcBorders>
              <w:top w:val="single" w:sz="4" w:space="0" w:color="auto"/>
              <w:left w:val="nil"/>
              <w:bottom w:val="single" w:sz="4" w:space="0" w:color="auto"/>
              <w:right w:val="nil"/>
            </w:tcBorders>
            <w:vAlign w:val="bottom"/>
            <w:hideMark/>
          </w:tcPr>
          <w:p w14:paraId="19BED9F9" w14:textId="77777777" w:rsidR="0010617D" w:rsidRPr="00150993" w:rsidRDefault="0010617D" w:rsidP="000F3E4E">
            <w:pPr>
              <w:jc w:val="center"/>
              <w:rPr>
                <w:rFonts w:ascii="Arial" w:hAnsi="Arial" w:cs="Arial"/>
                <w:b/>
                <w:bCs/>
                <w:color w:val="000000"/>
                <w:sz w:val="18"/>
                <w:szCs w:val="18"/>
              </w:rPr>
            </w:pPr>
            <w:r w:rsidRPr="00150993">
              <w:rPr>
                <w:rFonts w:ascii="Arial" w:hAnsi="Arial" w:cs="Arial"/>
                <w:b/>
                <w:bCs/>
                <w:color w:val="000000"/>
                <w:sz w:val="18"/>
                <w:szCs w:val="18"/>
              </w:rPr>
              <w:t>Headcount ratio: Population in multidimensional poverty (H)</w:t>
            </w:r>
          </w:p>
        </w:tc>
        <w:tc>
          <w:tcPr>
            <w:tcW w:w="2268" w:type="dxa"/>
            <w:vMerge w:val="restart"/>
            <w:tcBorders>
              <w:top w:val="single" w:sz="4" w:space="0" w:color="auto"/>
              <w:left w:val="nil"/>
              <w:bottom w:val="single" w:sz="4" w:space="0" w:color="auto"/>
            </w:tcBorders>
            <w:vAlign w:val="bottom"/>
            <w:hideMark/>
          </w:tcPr>
          <w:p w14:paraId="49BCF003" w14:textId="77777777" w:rsidR="0010617D" w:rsidRPr="00150993" w:rsidRDefault="0010617D" w:rsidP="000F3E4E">
            <w:pPr>
              <w:jc w:val="center"/>
              <w:rPr>
                <w:rFonts w:ascii="Arial" w:hAnsi="Arial" w:cs="Arial"/>
                <w:b/>
                <w:bCs/>
                <w:color w:val="000000"/>
                <w:sz w:val="18"/>
                <w:szCs w:val="18"/>
              </w:rPr>
            </w:pPr>
            <w:r w:rsidRPr="00150993">
              <w:rPr>
                <w:rFonts w:ascii="Arial" w:hAnsi="Arial" w:cs="Arial"/>
                <w:b/>
                <w:bCs/>
                <w:color w:val="000000"/>
                <w:sz w:val="18"/>
                <w:szCs w:val="18"/>
              </w:rPr>
              <w:t xml:space="preserve">Intensity of deprivation among the poor (A) </w:t>
            </w:r>
          </w:p>
        </w:tc>
      </w:tr>
      <w:tr w:rsidR="003E013F" w:rsidRPr="00150993" w14:paraId="549E35BF" w14:textId="77777777" w:rsidTr="000425D6">
        <w:trPr>
          <w:trHeight w:val="276"/>
          <w:jc w:val="center"/>
        </w:trPr>
        <w:tc>
          <w:tcPr>
            <w:tcW w:w="1701" w:type="dxa"/>
            <w:vMerge/>
            <w:tcBorders>
              <w:top w:val="single" w:sz="4" w:space="0" w:color="auto"/>
              <w:left w:val="nil"/>
              <w:bottom w:val="single" w:sz="4" w:space="0" w:color="000000"/>
              <w:right w:val="nil"/>
            </w:tcBorders>
            <w:vAlign w:val="center"/>
            <w:hideMark/>
          </w:tcPr>
          <w:p w14:paraId="5CBE3225" w14:textId="77777777" w:rsidR="0010617D" w:rsidRPr="00150993" w:rsidRDefault="0010617D" w:rsidP="000F3E4E">
            <w:pPr>
              <w:rPr>
                <w:rFonts w:ascii="Arial" w:hAnsi="Arial" w:cs="Arial"/>
                <w:b/>
                <w:bCs/>
                <w:color w:val="000000"/>
                <w:sz w:val="18"/>
                <w:szCs w:val="18"/>
              </w:rPr>
            </w:pPr>
          </w:p>
        </w:tc>
        <w:tc>
          <w:tcPr>
            <w:tcW w:w="1134" w:type="dxa"/>
            <w:vMerge/>
            <w:tcBorders>
              <w:top w:val="single" w:sz="4" w:space="0" w:color="auto"/>
              <w:left w:val="nil"/>
              <w:bottom w:val="single" w:sz="4" w:space="0" w:color="auto"/>
              <w:right w:val="nil"/>
            </w:tcBorders>
            <w:vAlign w:val="center"/>
            <w:hideMark/>
          </w:tcPr>
          <w:p w14:paraId="0796AB28" w14:textId="77777777" w:rsidR="0010617D" w:rsidRPr="00150993" w:rsidRDefault="0010617D" w:rsidP="000F3E4E">
            <w:pPr>
              <w:rPr>
                <w:rFonts w:ascii="Arial" w:hAnsi="Arial" w:cs="Arial"/>
                <w:b/>
                <w:bCs/>
                <w:color w:val="000000"/>
                <w:sz w:val="18"/>
                <w:szCs w:val="18"/>
              </w:rPr>
            </w:pPr>
          </w:p>
        </w:tc>
        <w:tc>
          <w:tcPr>
            <w:tcW w:w="1985" w:type="dxa"/>
            <w:vMerge/>
            <w:tcBorders>
              <w:top w:val="nil"/>
              <w:left w:val="nil"/>
              <w:bottom w:val="single" w:sz="4" w:space="0" w:color="auto"/>
              <w:right w:val="nil"/>
            </w:tcBorders>
            <w:vAlign w:val="center"/>
            <w:hideMark/>
          </w:tcPr>
          <w:p w14:paraId="3A30DEB8" w14:textId="77777777" w:rsidR="0010617D" w:rsidRPr="00150993" w:rsidRDefault="0010617D" w:rsidP="000F3E4E">
            <w:pPr>
              <w:rPr>
                <w:rFonts w:ascii="Arial" w:hAnsi="Arial" w:cs="Arial"/>
                <w:b/>
                <w:bCs/>
                <w:color w:val="000000"/>
                <w:sz w:val="18"/>
                <w:szCs w:val="18"/>
              </w:rPr>
            </w:pPr>
          </w:p>
        </w:tc>
        <w:tc>
          <w:tcPr>
            <w:tcW w:w="1864" w:type="dxa"/>
            <w:vMerge/>
            <w:tcBorders>
              <w:top w:val="nil"/>
              <w:left w:val="nil"/>
              <w:bottom w:val="single" w:sz="4" w:space="0" w:color="auto"/>
              <w:right w:val="nil"/>
            </w:tcBorders>
            <w:vAlign w:val="center"/>
            <w:hideMark/>
          </w:tcPr>
          <w:p w14:paraId="7FDD13BA" w14:textId="77777777" w:rsidR="0010617D" w:rsidRPr="00150993" w:rsidRDefault="0010617D" w:rsidP="000F3E4E">
            <w:pPr>
              <w:rPr>
                <w:rFonts w:ascii="Arial" w:hAnsi="Arial" w:cs="Arial"/>
                <w:b/>
                <w:bCs/>
                <w:color w:val="000000"/>
                <w:sz w:val="18"/>
                <w:szCs w:val="18"/>
              </w:rPr>
            </w:pPr>
          </w:p>
        </w:tc>
        <w:tc>
          <w:tcPr>
            <w:tcW w:w="2268" w:type="dxa"/>
            <w:vMerge/>
            <w:tcBorders>
              <w:top w:val="nil"/>
              <w:left w:val="nil"/>
              <w:bottom w:val="single" w:sz="4" w:space="0" w:color="auto"/>
            </w:tcBorders>
            <w:vAlign w:val="center"/>
            <w:hideMark/>
          </w:tcPr>
          <w:p w14:paraId="5F4AD36F" w14:textId="77777777" w:rsidR="0010617D" w:rsidRPr="00150993" w:rsidRDefault="0010617D" w:rsidP="000F3E4E">
            <w:pPr>
              <w:rPr>
                <w:rFonts w:ascii="Arial" w:hAnsi="Arial" w:cs="Arial"/>
                <w:b/>
                <w:bCs/>
                <w:color w:val="000000"/>
                <w:sz w:val="18"/>
                <w:szCs w:val="18"/>
              </w:rPr>
            </w:pPr>
          </w:p>
        </w:tc>
      </w:tr>
      <w:tr w:rsidR="003E013F" w:rsidRPr="00150993" w14:paraId="64C2BDA7" w14:textId="77777777" w:rsidTr="000425D6">
        <w:trPr>
          <w:trHeight w:val="569"/>
          <w:jc w:val="center"/>
        </w:trPr>
        <w:tc>
          <w:tcPr>
            <w:tcW w:w="1701" w:type="dxa"/>
            <w:vMerge/>
            <w:tcBorders>
              <w:top w:val="single" w:sz="4" w:space="0" w:color="auto"/>
              <w:left w:val="nil"/>
              <w:bottom w:val="single" w:sz="4" w:space="0" w:color="000000"/>
              <w:right w:val="nil"/>
            </w:tcBorders>
            <w:vAlign w:val="center"/>
            <w:hideMark/>
          </w:tcPr>
          <w:p w14:paraId="5480B3DB" w14:textId="77777777" w:rsidR="0010617D" w:rsidRPr="00150993" w:rsidRDefault="0010617D" w:rsidP="000F3E4E">
            <w:pPr>
              <w:rPr>
                <w:rFonts w:ascii="Arial" w:hAnsi="Arial" w:cs="Arial"/>
                <w:b/>
                <w:bCs/>
                <w:color w:val="000000"/>
                <w:sz w:val="18"/>
                <w:szCs w:val="18"/>
              </w:rPr>
            </w:pPr>
          </w:p>
        </w:tc>
        <w:tc>
          <w:tcPr>
            <w:tcW w:w="1134" w:type="dxa"/>
            <w:tcBorders>
              <w:top w:val="single" w:sz="4" w:space="0" w:color="auto"/>
              <w:left w:val="nil"/>
              <w:bottom w:val="single" w:sz="4" w:space="0" w:color="auto"/>
              <w:right w:val="nil"/>
            </w:tcBorders>
            <w:vAlign w:val="bottom"/>
            <w:hideMark/>
          </w:tcPr>
          <w:p w14:paraId="6880BFBC" w14:textId="77777777" w:rsidR="0010617D" w:rsidRPr="00150993" w:rsidRDefault="0010617D" w:rsidP="000F3E4E">
            <w:pPr>
              <w:jc w:val="center"/>
              <w:rPr>
                <w:rFonts w:ascii="Arial" w:hAnsi="Arial" w:cs="Arial"/>
                <w:color w:val="000000"/>
                <w:sz w:val="18"/>
                <w:szCs w:val="18"/>
              </w:rPr>
            </w:pPr>
            <w:r w:rsidRPr="00150993">
              <w:rPr>
                <w:rFonts w:ascii="Arial" w:hAnsi="Arial" w:cs="Arial"/>
                <w:color w:val="000000"/>
                <w:sz w:val="18"/>
                <w:szCs w:val="18"/>
              </w:rPr>
              <w:t>Range 0 to 1</w:t>
            </w:r>
          </w:p>
        </w:tc>
        <w:tc>
          <w:tcPr>
            <w:tcW w:w="1985" w:type="dxa"/>
            <w:tcBorders>
              <w:top w:val="single" w:sz="4" w:space="0" w:color="auto"/>
              <w:left w:val="nil"/>
              <w:bottom w:val="single" w:sz="4" w:space="0" w:color="auto"/>
              <w:right w:val="nil"/>
            </w:tcBorders>
            <w:vAlign w:val="bottom"/>
            <w:hideMark/>
          </w:tcPr>
          <w:p w14:paraId="2E486DB5" w14:textId="77777777" w:rsidR="0010617D" w:rsidRPr="00150993" w:rsidRDefault="0010617D" w:rsidP="000F3E4E">
            <w:pPr>
              <w:jc w:val="center"/>
              <w:rPr>
                <w:rFonts w:ascii="Arial" w:hAnsi="Arial" w:cs="Arial"/>
                <w:color w:val="000000"/>
                <w:sz w:val="18"/>
                <w:szCs w:val="18"/>
              </w:rPr>
            </w:pPr>
            <w:r w:rsidRPr="00150993">
              <w:rPr>
                <w:rFonts w:ascii="Arial" w:hAnsi="Arial" w:cs="Arial"/>
                <w:color w:val="000000"/>
                <w:sz w:val="18"/>
                <w:szCs w:val="18"/>
              </w:rPr>
              <w:t>Range 0 to 1</w:t>
            </w:r>
          </w:p>
        </w:tc>
        <w:tc>
          <w:tcPr>
            <w:tcW w:w="1864" w:type="dxa"/>
            <w:tcBorders>
              <w:top w:val="single" w:sz="4" w:space="0" w:color="auto"/>
              <w:left w:val="nil"/>
              <w:bottom w:val="single" w:sz="4" w:space="0" w:color="auto"/>
              <w:right w:val="nil"/>
            </w:tcBorders>
            <w:vAlign w:val="bottom"/>
            <w:hideMark/>
          </w:tcPr>
          <w:p w14:paraId="2BA58D80" w14:textId="77777777" w:rsidR="0010617D" w:rsidRPr="00150993" w:rsidRDefault="0010617D" w:rsidP="000F3E4E">
            <w:pPr>
              <w:jc w:val="center"/>
              <w:rPr>
                <w:rFonts w:ascii="Arial" w:hAnsi="Arial" w:cs="Arial"/>
                <w:color w:val="000000"/>
                <w:sz w:val="18"/>
                <w:szCs w:val="18"/>
              </w:rPr>
            </w:pPr>
            <w:r w:rsidRPr="00150993">
              <w:rPr>
                <w:rFonts w:ascii="Arial" w:hAnsi="Arial" w:cs="Arial"/>
                <w:color w:val="000000"/>
                <w:sz w:val="18"/>
                <w:szCs w:val="18"/>
              </w:rPr>
              <w:t>% Population</w:t>
            </w:r>
          </w:p>
        </w:tc>
        <w:tc>
          <w:tcPr>
            <w:tcW w:w="2268" w:type="dxa"/>
            <w:tcBorders>
              <w:top w:val="single" w:sz="4" w:space="0" w:color="auto"/>
              <w:left w:val="nil"/>
              <w:bottom w:val="single" w:sz="4" w:space="0" w:color="auto"/>
            </w:tcBorders>
            <w:vAlign w:val="bottom"/>
            <w:hideMark/>
          </w:tcPr>
          <w:p w14:paraId="09322BB0" w14:textId="77777777" w:rsidR="0010617D" w:rsidRPr="00150993" w:rsidRDefault="0010617D" w:rsidP="000F3E4E">
            <w:pPr>
              <w:jc w:val="center"/>
              <w:rPr>
                <w:rFonts w:ascii="Arial" w:hAnsi="Arial" w:cs="Arial"/>
                <w:color w:val="000000"/>
                <w:sz w:val="18"/>
                <w:szCs w:val="18"/>
              </w:rPr>
            </w:pPr>
            <w:r w:rsidRPr="00150993">
              <w:rPr>
                <w:rFonts w:ascii="Arial" w:hAnsi="Arial" w:cs="Arial"/>
                <w:color w:val="000000"/>
                <w:sz w:val="18"/>
                <w:szCs w:val="18"/>
              </w:rPr>
              <w:t>Average % of weighted deprivations</w:t>
            </w:r>
          </w:p>
        </w:tc>
      </w:tr>
      <w:tr w:rsidR="0010617D" w:rsidRPr="00150993" w14:paraId="5793FF8C" w14:textId="77777777" w:rsidTr="003E013F">
        <w:trPr>
          <w:trHeight w:val="311"/>
          <w:jc w:val="center"/>
        </w:trPr>
        <w:tc>
          <w:tcPr>
            <w:tcW w:w="1701" w:type="dxa"/>
            <w:tcBorders>
              <w:top w:val="nil"/>
              <w:left w:val="nil"/>
              <w:bottom w:val="nil"/>
              <w:right w:val="nil"/>
            </w:tcBorders>
            <w:noWrap/>
            <w:vAlign w:val="bottom"/>
            <w:hideMark/>
          </w:tcPr>
          <w:p w14:paraId="1DF28AC8" w14:textId="77777777" w:rsidR="0010617D" w:rsidRPr="00150993" w:rsidRDefault="0010617D" w:rsidP="000F3E4E">
            <w:pPr>
              <w:rPr>
                <w:rFonts w:ascii="Arial" w:hAnsi="Arial" w:cs="Arial"/>
                <w:sz w:val="18"/>
                <w:szCs w:val="18"/>
              </w:rPr>
            </w:pPr>
            <w:r w:rsidRPr="00150993">
              <w:rPr>
                <w:rFonts w:ascii="Arial" w:hAnsi="Arial" w:cs="Arial"/>
                <w:sz w:val="18"/>
                <w:szCs w:val="18"/>
              </w:rPr>
              <w:t>Kampot</w:t>
            </w:r>
          </w:p>
        </w:tc>
        <w:tc>
          <w:tcPr>
            <w:tcW w:w="1134" w:type="dxa"/>
            <w:tcBorders>
              <w:top w:val="nil"/>
              <w:left w:val="nil"/>
              <w:bottom w:val="nil"/>
              <w:right w:val="nil"/>
            </w:tcBorders>
            <w:noWrap/>
            <w:vAlign w:val="bottom"/>
            <w:hideMark/>
          </w:tcPr>
          <w:p w14:paraId="7CC2EFB2"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0.070</w:t>
            </w:r>
          </w:p>
        </w:tc>
        <w:tc>
          <w:tcPr>
            <w:tcW w:w="1985" w:type="dxa"/>
            <w:tcBorders>
              <w:top w:val="nil"/>
              <w:left w:val="nil"/>
              <w:bottom w:val="nil"/>
              <w:right w:val="nil"/>
            </w:tcBorders>
            <w:noWrap/>
            <w:vAlign w:val="bottom"/>
            <w:hideMark/>
          </w:tcPr>
          <w:p w14:paraId="5D728615"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0.079</w:t>
            </w:r>
          </w:p>
        </w:tc>
        <w:tc>
          <w:tcPr>
            <w:tcW w:w="1864" w:type="dxa"/>
            <w:tcBorders>
              <w:top w:val="nil"/>
              <w:left w:val="nil"/>
              <w:bottom w:val="nil"/>
              <w:right w:val="nil"/>
            </w:tcBorders>
            <w:noWrap/>
            <w:vAlign w:val="bottom"/>
            <w:hideMark/>
          </w:tcPr>
          <w:p w14:paraId="0D8ECEBD"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19.35</w:t>
            </w:r>
          </w:p>
        </w:tc>
        <w:tc>
          <w:tcPr>
            <w:tcW w:w="2268" w:type="dxa"/>
            <w:tcBorders>
              <w:top w:val="nil"/>
              <w:left w:val="nil"/>
            </w:tcBorders>
            <w:noWrap/>
            <w:vAlign w:val="bottom"/>
            <w:hideMark/>
          </w:tcPr>
          <w:p w14:paraId="3A9DECD8"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40.59</w:t>
            </w:r>
          </w:p>
        </w:tc>
      </w:tr>
      <w:tr w:rsidR="0010617D" w:rsidRPr="00150993" w14:paraId="6EF9AB20" w14:textId="77777777" w:rsidTr="003E013F">
        <w:trPr>
          <w:trHeight w:val="311"/>
          <w:jc w:val="center"/>
        </w:trPr>
        <w:tc>
          <w:tcPr>
            <w:tcW w:w="1701" w:type="dxa"/>
            <w:tcBorders>
              <w:top w:val="nil"/>
              <w:left w:val="nil"/>
              <w:bottom w:val="nil"/>
              <w:right w:val="nil"/>
            </w:tcBorders>
            <w:noWrap/>
            <w:vAlign w:val="bottom"/>
            <w:hideMark/>
          </w:tcPr>
          <w:p w14:paraId="63BF78F8" w14:textId="77777777" w:rsidR="0010617D" w:rsidRPr="00150993" w:rsidRDefault="0010617D" w:rsidP="000F3E4E">
            <w:pPr>
              <w:rPr>
                <w:rFonts w:ascii="Arial" w:hAnsi="Arial" w:cs="Arial"/>
                <w:sz w:val="18"/>
                <w:szCs w:val="18"/>
              </w:rPr>
            </w:pPr>
            <w:r w:rsidRPr="00150993">
              <w:rPr>
                <w:rFonts w:ascii="Arial" w:hAnsi="Arial" w:cs="Arial"/>
                <w:sz w:val="18"/>
                <w:szCs w:val="18"/>
              </w:rPr>
              <w:t>Kep</w:t>
            </w:r>
          </w:p>
        </w:tc>
        <w:tc>
          <w:tcPr>
            <w:tcW w:w="1134" w:type="dxa"/>
            <w:tcBorders>
              <w:top w:val="nil"/>
              <w:left w:val="nil"/>
              <w:bottom w:val="nil"/>
              <w:right w:val="nil"/>
            </w:tcBorders>
            <w:noWrap/>
            <w:vAlign w:val="bottom"/>
            <w:hideMark/>
          </w:tcPr>
          <w:p w14:paraId="4390BD80"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0.070</w:t>
            </w:r>
          </w:p>
        </w:tc>
        <w:tc>
          <w:tcPr>
            <w:tcW w:w="1985" w:type="dxa"/>
            <w:tcBorders>
              <w:top w:val="nil"/>
              <w:left w:val="nil"/>
              <w:bottom w:val="nil"/>
              <w:right w:val="nil"/>
            </w:tcBorders>
            <w:noWrap/>
            <w:vAlign w:val="bottom"/>
            <w:hideMark/>
          </w:tcPr>
          <w:p w14:paraId="22C2B78F"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0.075</w:t>
            </w:r>
          </w:p>
        </w:tc>
        <w:tc>
          <w:tcPr>
            <w:tcW w:w="1864" w:type="dxa"/>
            <w:tcBorders>
              <w:top w:val="nil"/>
              <w:left w:val="nil"/>
              <w:bottom w:val="nil"/>
              <w:right w:val="nil"/>
            </w:tcBorders>
            <w:noWrap/>
            <w:vAlign w:val="bottom"/>
            <w:hideMark/>
          </w:tcPr>
          <w:p w14:paraId="2308BD8C"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19.20</w:t>
            </w:r>
          </w:p>
        </w:tc>
        <w:tc>
          <w:tcPr>
            <w:tcW w:w="2268" w:type="dxa"/>
            <w:tcBorders>
              <w:top w:val="nil"/>
              <w:left w:val="nil"/>
              <w:bottom w:val="nil"/>
            </w:tcBorders>
            <w:noWrap/>
            <w:vAlign w:val="bottom"/>
            <w:hideMark/>
          </w:tcPr>
          <w:p w14:paraId="215C5A1C"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39.08</w:t>
            </w:r>
          </w:p>
        </w:tc>
      </w:tr>
      <w:tr w:rsidR="0010617D" w:rsidRPr="00150993" w14:paraId="7048DE8E" w14:textId="77777777" w:rsidTr="003E013F">
        <w:trPr>
          <w:trHeight w:val="311"/>
          <w:jc w:val="center"/>
        </w:trPr>
        <w:tc>
          <w:tcPr>
            <w:tcW w:w="1701" w:type="dxa"/>
            <w:tcBorders>
              <w:top w:val="nil"/>
              <w:left w:val="nil"/>
              <w:right w:val="nil"/>
            </w:tcBorders>
            <w:noWrap/>
            <w:vAlign w:val="bottom"/>
            <w:hideMark/>
          </w:tcPr>
          <w:p w14:paraId="7B26EB59" w14:textId="77777777" w:rsidR="0010617D" w:rsidRPr="00150993" w:rsidRDefault="0010617D" w:rsidP="000F3E4E">
            <w:pPr>
              <w:rPr>
                <w:rFonts w:ascii="Arial" w:hAnsi="Arial" w:cs="Arial"/>
                <w:sz w:val="18"/>
                <w:szCs w:val="18"/>
              </w:rPr>
            </w:pPr>
            <w:r w:rsidRPr="00150993">
              <w:rPr>
                <w:rFonts w:ascii="Arial" w:hAnsi="Arial" w:cs="Arial"/>
                <w:sz w:val="18"/>
                <w:szCs w:val="18"/>
              </w:rPr>
              <w:t>Koh Kong</w:t>
            </w:r>
          </w:p>
        </w:tc>
        <w:tc>
          <w:tcPr>
            <w:tcW w:w="1134" w:type="dxa"/>
            <w:tcBorders>
              <w:top w:val="nil"/>
              <w:left w:val="nil"/>
              <w:right w:val="nil"/>
            </w:tcBorders>
            <w:noWrap/>
            <w:vAlign w:val="bottom"/>
            <w:hideMark/>
          </w:tcPr>
          <w:p w14:paraId="1F1FB7EF"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0.070</w:t>
            </w:r>
          </w:p>
        </w:tc>
        <w:tc>
          <w:tcPr>
            <w:tcW w:w="1985" w:type="dxa"/>
            <w:tcBorders>
              <w:top w:val="nil"/>
              <w:left w:val="nil"/>
              <w:right w:val="nil"/>
            </w:tcBorders>
            <w:noWrap/>
            <w:vAlign w:val="bottom"/>
            <w:hideMark/>
          </w:tcPr>
          <w:p w14:paraId="1EE01661"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0.099</w:t>
            </w:r>
          </w:p>
        </w:tc>
        <w:tc>
          <w:tcPr>
            <w:tcW w:w="1864" w:type="dxa"/>
            <w:tcBorders>
              <w:top w:val="nil"/>
              <w:left w:val="nil"/>
              <w:right w:val="nil"/>
            </w:tcBorders>
            <w:noWrap/>
            <w:vAlign w:val="bottom"/>
            <w:hideMark/>
          </w:tcPr>
          <w:p w14:paraId="15C756D1"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22.56</w:t>
            </w:r>
          </w:p>
        </w:tc>
        <w:tc>
          <w:tcPr>
            <w:tcW w:w="2268" w:type="dxa"/>
            <w:tcBorders>
              <w:top w:val="nil"/>
              <w:left w:val="nil"/>
            </w:tcBorders>
            <w:noWrap/>
            <w:vAlign w:val="bottom"/>
            <w:hideMark/>
          </w:tcPr>
          <w:p w14:paraId="1B5A3FA8"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43.99</w:t>
            </w:r>
          </w:p>
        </w:tc>
      </w:tr>
      <w:tr w:rsidR="0010617D" w:rsidRPr="00150993" w14:paraId="03358F13" w14:textId="77777777" w:rsidTr="003E013F">
        <w:trPr>
          <w:trHeight w:val="311"/>
          <w:jc w:val="center"/>
        </w:trPr>
        <w:tc>
          <w:tcPr>
            <w:tcW w:w="1701" w:type="dxa"/>
            <w:tcBorders>
              <w:top w:val="nil"/>
              <w:left w:val="nil"/>
              <w:bottom w:val="single" w:sz="4" w:space="0" w:color="auto"/>
              <w:right w:val="nil"/>
            </w:tcBorders>
            <w:noWrap/>
            <w:vAlign w:val="bottom"/>
            <w:hideMark/>
          </w:tcPr>
          <w:p w14:paraId="368ED536" w14:textId="77777777" w:rsidR="0010617D" w:rsidRPr="00150993" w:rsidRDefault="0010617D" w:rsidP="000F3E4E">
            <w:pPr>
              <w:rPr>
                <w:rFonts w:ascii="Arial" w:hAnsi="Arial" w:cs="Arial"/>
                <w:sz w:val="18"/>
                <w:szCs w:val="18"/>
              </w:rPr>
            </w:pPr>
            <w:r w:rsidRPr="00150993">
              <w:rPr>
                <w:rFonts w:ascii="Arial" w:hAnsi="Arial" w:cs="Arial"/>
                <w:sz w:val="18"/>
                <w:szCs w:val="18"/>
              </w:rPr>
              <w:t>Preah Sihanouk</w:t>
            </w:r>
          </w:p>
        </w:tc>
        <w:tc>
          <w:tcPr>
            <w:tcW w:w="1134" w:type="dxa"/>
            <w:tcBorders>
              <w:top w:val="nil"/>
              <w:left w:val="nil"/>
              <w:bottom w:val="single" w:sz="4" w:space="0" w:color="auto"/>
              <w:right w:val="nil"/>
            </w:tcBorders>
            <w:noWrap/>
            <w:vAlign w:val="bottom"/>
            <w:hideMark/>
          </w:tcPr>
          <w:p w14:paraId="20965A8D"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0.070</w:t>
            </w:r>
          </w:p>
        </w:tc>
        <w:tc>
          <w:tcPr>
            <w:tcW w:w="1985" w:type="dxa"/>
            <w:tcBorders>
              <w:top w:val="nil"/>
              <w:left w:val="nil"/>
              <w:bottom w:val="single" w:sz="4" w:space="0" w:color="auto"/>
              <w:right w:val="nil"/>
            </w:tcBorders>
            <w:noWrap/>
            <w:vAlign w:val="bottom"/>
            <w:hideMark/>
          </w:tcPr>
          <w:p w14:paraId="431C9635"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0.031</w:t>
            </w:r>
          </w:p>
        </w:tc>
        <w:tc>
          <w:tcPr>
            <w:tcW w:w="1864" w:type="dxa"/>
            <w:tcBorders>
              <w:top w:val="nil"/>
              <w:left w:val="nil"/>
              <w:bottom w:val="single" w:sz="4" w:space="0" w:color="auto"/>
              <w:right w:val="nil"/>
            </w:tcBorders>
            <w:noWrap/>
            <w:vAlign w:val="bottom"/>
            <w:hideMark/>
          </w:tcPr>
          <w:p w14:paraId="3ABB57EE"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7.24</w:t>
            </w:r>
          </w:p>
        </w:tc>
        <w:tc>
          <w:tcPr>
            <w:tcW w:w="2268" w:type="dxa"/>
            <w:tcBorders>
              <w:top w:val="nil"/>
              <w:left w:val="nil"/>
              <w:bottom w:val="single" w:sz="4" w:space="0" w:color="auto"/>
            </w:tcBorders>
            <w:noWrap/>
            <w:vAlign w:val="bottom"/>
            <w:hideMark/>
          </w:tcPr>
          <w:p w14:paraId="402915C9" w14:textId="77777777" w:rsidR="0010617D" w:rsidRPr="00150993" w:rsidRDefault="0010617D" w:rsidP="000F3E4E">
            <w:pPr>
              <w:jc w:val="center"/>
              <w:rPr>
                <w:rFonts w:ascii="Arial" w:hAnsi="Arial" w:cs="Arial"/>
                <w:sz w:val="18"/>
                <w:szCs w:val="18"/>
              </w:rPr>
            </w:pPr>
            <w:r w:rsidRPr="00150993">
              <w:rPr>
                <w:rFonts w:ascii="Arial" w:hAnsi="Arial" w:cs="Arial"/>
                <w:sz w:val="18"/>
                <w:szCs w:val="18"/>
              </w:rPr>
              <w:t>42.45</w:t>
            </w:r>
          </w:p>
        </w:tc>
      </w:tr>
    </w:tbl>
    <w:p w14:paraId="7D0A365A" w14:textId="28BE243B" w:rsidR="00EB1B67" w:rsidRPr="00150993" w:rsidRDefault="003E013F" w:rsidP="009D4ADA">
      <w:pPr>
        <w:adjustRightInd w:val="0"/>
        <w:spacing w:before="120" w:after="240"/>
        <w:rPr>
          <w:rFonts w:ascii="Arial" w:hAnsi="Arial" w:cs="Arial"/>
          <w:sz w:val="20"/>
          <w:szCs w:val="20"/>
        </w:rPr>
      </w:pPr>
      <w:r w:rsidRPr="00150993">
        <w:rPr>
          <w:rFonts w:ascii="Arial" w:hAnsi="Arial" w:cs="Arial"/>
          <w:b/>
          <w:bCs/>
          <w:sz w:val="20"/>
          <w:szCs w:val="20"/>
        </w:rPr>
        <w:t>Source:</w:t>
      </w:r>
      <w:r w:rsidRPr="00150993">
        <w:rPr>
          <w:rFonts w:ascii="Arial" w:hAnsi="Arial" w:cs="Arial"/>
          <w:sz w:val="20"/>
          <w:szCs w:val="20"/>
        </w:rPr>
        <w:t xml:space="preserve"> </w:t>
      </w:r>
      <w:r w:rsidR="007A6E6D" w:rsidRPr="00150993">
        <w:rPr>
          <w:rFonts w:ascii="Arial" w:hAnsi="Arial" w:cs="Arial"/>
          <w:i/>
          <w:iCs/>
          <w:sz w:val="20"/>
          <w:szCs w:val="20"/>
        </w:rPr>
        <w:t>OPHI &amp; UNDP, 2024</w:t>
      </w:r>
    </w:p>
    <w:p w14:paraId="0BD416B5" w14:textId="77777777" w:rsidR="007A6E6D" w:rsidRPr="00275B0E" w:rsidRDefault="007A6E6D"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2.2.2.1. </w:t>
      </w:r>
      <w:r w:rsidR="002664E3" w:rsidRPr="00275B0E">
        <w:rPr>
          <w:rFonts w:ascii="Arial" w:hAnsi="Arial" w:cs="Arial"/>
          <w:b/>
          <w:bCs/>
          <w:i w:val="0"/>
          <w:iCs w:val="0"/>
          <w:color w:val="0070C0"/>
          <w:sz w:val="22"/>
          <w:szCs w:val="22"/>
        </w:rPr>
        <w:t>Human Development Index</w:t>
      </w:r>
    </w:p>
    <w:p w14:paraId="6277C28B" w14:textId="59287452" w:rsidR="009E70D4" w:rsidRPr="00150993" w:rsidRDefault="00C35613" w:rsidP="002664E3">
      <w:pPr>
        <w:spacing w:after="120"/>
        <w:jc w:val="both"/>
        <w:rPr>
          <w:rFonts w:ascii="Arial" w:hAnsi="Arial" w:cs="Arial"/>
          <w:b/>
          <w:bCs/>
          <w:i/>
          <w:iCs/>
          <w:color w:val="0070C0"/>
          <w:sz w:val="21"/>
          <w:szCs w:val="21"/>
        </w:rPr>
      </w:pPr>
      <w:r w:rsidRPr="00150993">
        <w:rPr>
          <w:rFonts w:ascii="Arial" w:hAnsi="Arial" w:cs="Arial"/>
          <w:b/>
          <w:bCs/>
          <w:i/>
          <w:iCs/>
          <w:color w:val="0070C0"/>
          <w:sz w:val="21"/>
          <w:szCs w:val="21"/>
        </w:rPr>
        <w:t xml:space="preserve">a) </w:t>
      </w:r>
      <w:r w:rsidR="009E70D4" w:rsidRPr="00150993">
        <w:rPr>
          <w:rFonts w:ascii="Arial" w:hAnsi="Arial" w:cs="Arial"/>
          <w:b/>
          <w:bCs/>
          <w:i/>
          <w:iCs/>
          <w:color w:val="0070C0"/>
          <w:sz w:val="21"/>
          <w:szCs w:val="21"/>
        </w:rPr>
        <w:t>National HDI</w:t>
      </w:r>
    </w:p>
    <w:p w14:paraId="61656BD7" w14:textId="250AC0BA" w:rsidR="001B1A73" w:rsidRPr="00150993" w:rsidRDefault="001B1A73" w:rsidP="002664E3">
      <w:pPr>
        <w:spacing w:after="120"/>
        <w:jc w:val="both"/>
        <w:rPr>
          <w:rFonts w:ascii="Arial" w:hAnsi="Arial" w:cs="Arial"/>
          <w:sz w:val="21"/>
          <w:szCs w:val="21"/>
        </w:rPr>
      </w:pPr>
      <w:r w:rsidRPr="00150993">
        <w:rPr>
          <w:rFonts w:ascii="Arial" w:hAnsi="Arial" w:cs="Arial"/>
          <w:sz w:val="21"/>
          <w:szCs w:val="21"/>
        </w:rPr>
        <w:fldChar w:fldCharType="begin"/>
      </w:r>
      <w:r w:rsidRPr="00150993">
        <w:rPr>
          <w:rFonts w:ascii="Arial" w:hAnsi="Arial" w:cs="Arial"/>
          <w:sz w:val="21"/>
          <w:szCs w:val="21"/>
        </w:rPr>
        <w:instrText xml:space="preserve"> REF _Ref213419241 \h </w:instrText>
      </w:r>
      <w:r w:rsidR="00150993" w:rsidRPr="00150993">
        <w:rPr>
          <w:rFonts w:ascii="Arial" w:hAnsi="Arial" w:cs="Arial"/>
          <w:sz w:val="21"/>
          <w:szCs w:val="21"/>
        </w:rPr>
        <w:instrText xml:space="preserve"> \* MERGEFORMAT </w:instrText>
      </w:r>
      <w:r w:rsidRPr="00150993">
        <w:rPr>
          <w:rFonts w:ascii="Arial" w:hAnsi="Arial" w:cs="Arial"/>
          <w:sz w:val="21"/>
          <w:szCs w:val="21"/>
        </w:rPr>
      </w:r>
      <w:r w:rsidRPr="00150993">
        <w:rPr>
          <w:rFonts w:ascii="Arial" w:hAnsi="Arial" w:cs="Arial"/>
          <w:sz w:val="21"/>
          <w:szCs w:val="21"/>
        </w:rPr>
        <w:fldChar w:fldCharType="separate"/>
      </w:r>
      <w:r w:rsidR="005A16C1" w:rsidRPr="00150993">
        <w:rPr>
          <w:rFonts w:ascii="Arial" w:hAnsi="Arial" w:cs="Arial"/>
          <w:color w:val="002060"/>
          <w:sz w:val="22"/>
          <w:szCs w:val="22"/>
        </w:rPr>
        <w:t>Figure 2-</w:t>
      </w:r>
      <w:r w:rsidR="005A16C1" w:rsidRPr="005A16C1">
        <w:rPr>
          <w:rFonts w:ascii="Arial" w:hAnsi="Arial" w:cs="Arial"/>
          <w:color w:val="002060"/>
          <w:sz w:val="22"/>
          <w:szCs w:val="22"/>
        </w:rPr>
        <w:t>6</w:t>
      </w:r>
      <w:r w:rsidRPr="00150993">
        <w:rPr>
          <w:rFonts w:ascii="Arial" w:hAnsi="Arial" w:cs="Arial"/>
          <w:sz w:val="21"/>
          <w:szCs w:val="21"/>
        </w:rPr>
        <w:fldChar w:fldCharType="end"/>
      </w:r>
      <w:r w:rsidRPr="00150993">
        <w:rPr>
          <w:rFonts w:ascii="Arial" w:hAnsi="Arial" w:cs="Arial"/>
          <w:sz w:val="21"/>
          <w:szCs w:val="21"/>
        </w:rPr>
        <w:t xml:space="preserve"> indicates that Cambodia’s HDI reached 0.606 in 2023, placing it in the medium human-development group and ranking 151st of 193 countries, down from 147th–148th in 2021–2022 (UNDP, 2024). The HDI has risen steadily from 0.387 in 1990 to 0.438 (2000), 0.543 (2010), 0.562 (2015) and 0.595 (2020), dipped slightly during COVID-19, and recovered to 0.602 in 2022 and 0.606 in 2023—showing long-term progress with only a brief pandemic setback.</w:t>
      </w:r>
    </w:p>
    <w:p w14:paraId="6F7C50A0" w14:textId="77777777" w:rsidR="00F27BD7" w:rsidRPr="00150993" w:rsidRDefault="00C35E4E" w:rsidP="00151EB0">
      <w:pPr>
        <w:keepNext/>
        <w:spacing w:after="120"/>
        <w:jc w:val="center"/>
        <w:rPr>
          <w:rFonts w:ascii="Arial" w:hAnsi="Arial" w:cs="Arial"/>
          <w:sz w:val="22"/>
          <w:szCs w:val="22"/>
        </w:rPr>
      </w:pPr>
      <w:r w:rsidRPr="00150993">
        <w:rPr>
          <w:rFonts w:ascii="Arial" w:hAnsi="Arial" w:cs="Arial"/>
          <w:noProof/>
          <w:sz w:val="22"/>
          <w:szCs w:val="22"/>
          <w14:ligatures w14:val="standardContextual"/>
        </w:rPr>
        <w:drawing>
          <wp:inline distT="0" distB="0" distL="0" distR="0" wp14:anchorId="71885374" wp14:editId="6E81B78E">
            <wp:extent cx="5685155" cy="2297723"/>
            <wp:effectExtent l="0" t="0" r="17145" b="13970"/>
            <wp:docPr id="851365686" name="Chart 1">
              <a:extLst xmlns:a="http://schemas.openxmlformats.org/drawingml/2006/main">
                <a:ext uri="{FF2B5EF4-FFF2-40B4-BE49-F238E27FC236}">
                  <a16:creationId xmlns:a16="http://schemas.microsoft.com/office/drawing/2014/main" id="{C3376E9B-29A8-6817-F504-1BBD0BB855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2E0203" w14:textId="7B4DC70B" w:rsidR="00AD7BC4" w:rsidRPr="00150993" w:rsidRDefault="00AD7BC4" w:rsidP="00151EB0">
      <w:pPr>
        <w:pStyle w:val="Caption"/>
        <w:keepNext/>
        <w:spacing w:after="0"/>
        <w:rPr>
          <w:rFonts w:ascii="Arial" w:hAnsi="Arial" w:cs="Arial"/>
          <w:i w:val="0"/>
          <w:iCs w:val="0"/>
          <w:color w:val="002060"/>
          <w:sz w:val="22"/>
          <w:szCs w:val="22"/>
        </w:rPr>
      </w:pPr>
      <w:bookmarkStart w:id="43" w:name="_Ref213419241"/>
      <w:bookmarkStart w:id="44" w:name="_Toc213424698"/>
      <w:bookmarkStart w:id="45" w:name="_Toc215219055"/>
      <w:r w:rsidRPr="00150993">
        <w:rPr>
          <w:rFonts w:ascii="Arial" w:hAnsi="Arial" w:cs="Arial"/>
          <w:i w:val="0"/>
          <w:iCs w:val="0"/>
          <w:color w:val="002060"/>
          <w:sz w:val="22"/>
          <w:szCs w:val="22"/>
        </w:rPr>
        <w:t>Figure 2-</w:t>
      </w:r>
      <w:r w:rsidRPr="00150993">
        <w:rPr>
          <w:rFonts w:ascii="Arial" w:hAnsi="Arial" w:cs="Arial"/>
          <w:i w:val="0"/>
          <w:iCs w:val="0"/>
          <w:color w:val="002060"/>
          <w:sz w:val="22"/>
          <w:szCs w:val="22"/>
        </w:rPr>
        <w:fldChar w:fldCharType="begin"/>
      </w:r>
      <w:r w:rsidRPr="00150993">
        <w:rPr>
          <w:rFonts w:ascii="Arial" w:hAnsi="Arial" w:cs="Arial"/>
          <w:i w:val="0"/>
          <w:iCs w:val="0"/>
          <w:color w:val="002060"/>
          <w:sz w:val="22"/>
          <w:szCs w:val="22"/>
        </w:rPr>
        <w:instrText xml:space="preserve"> SEQ Figure_2- \* ARABIC </w:instrText>
      </w:r>
      <w:r w:rsidRPr="00150993">
        <w:rPr>
          <w:rFonts w:ascii="Arial" w:hAnsi="Arial" w:cs="Arial"/>
          <w:i w:val="0"/>
          <w:iCs w:val="0"/>
          <w:color w:val="002060"/>
          <w:sz w:val="22"/>
          <w:szCs w:val="22"/>
        </w:rPr>
        <w:fldChar w:fldCharType="separate"/>
      </w:r>
      <w:r w:rsidR="005A16C1">
        <w:rPr>
          <w:rFonts w:ascii="Arial" w:hAnsi="Arial" w:cs="Arial"/>
          <w:i w:val="0"/>
          <w:iCs w:val="0"/>
          <w:noProof/>
          <w:color w:val="002060"/>
          <w:sz w:val="22"/>
          <w:szCs w:val="22"/>
        </w:rPr>
        <w:t>6</w:t>
      </w:r>
      <w:r w:rsidRPr="00150993">
        <w:rPr>
          <w:rFonts w:ascii="Arial" w:hAnsi="Arial" w:cs="Arial"/>
          <w:i w:val="0"/>
          <w:iCs w:val="0"/>
          <w:color w:val="002060"/>
          <w:sz w:val="22"/>
          <w:szCs w:val="22"/>
        </w:rPr>
        <w:fldChar w:fldCharType="end"/>
      </w:r>
      <w:bookmarkEnd w:id="43"/>
      <w:r w:rsidRPr="00150993">
        <w:rPr>
          <w:rFonts w:ascii="Arial" w:hAnsi="Arial" w:cs="Arial"/>
          <w:i w:val="0"/>
          <w:iCs w:val="0"/>
          <w:color w:val="002060"/>
          <w:sz w:val="22"/>
          <w:szCs w:val="22"/>
        </w:rPr>
        <w:t xml:space="preserve"> Cambodia Human Development Index (HDI) 1990-2023</w:t>
      </w:r>
      <w:bookmarkEnd w:id="44"/>
      <w:bookmarkEnd w:id="45"/>
    </w:p>
    <w:p w14:paraId="730FF88A" w14:textId="77777777" w:rsidR="00AD7BC4" w:rsidRPr="00150993" w:rsidRDefault="00B2226B" w:rsidP="00151EB0">
      <w:pPr>
        <w:rPr>
          <w:rFonts w:ascii="Arial" w:hAnsi="Arial" w:cs="Arial"/>
          <w:i/>
          <w:iCs/>
          <w:sz w:val="20"/>
          <w:szCs w:val="20"/>
        </w:rPr>
      </w:pPr>
      <w:r w:rsidRPr="00150993">
        <w:rPr>
          <w:rFonts w:ascii="Arial" w:hAnsi="Arial" w:cs="Arial"/>
          <w:b/>
          <w:bCs/>
          <w:sz w:val="20"/>
          <w:szCs w:val="20"/>
        </w:rPr>
        <w:t>Source:</w:t>
      </w:r>
      <w:r w:rsidRPr="00150993">
        <w:rPr>
          <w:rFonts w:ascii="Arial" w:hAnsi="Arial" w:cs="Arial"/>
          <w:sz w:val="20"/>
          <w:szCs w:val="20"/>
        </w:rPr>
        <w:t xml:space="preserve"> </w:t>
      </w:r>
      <w:r w:rsidRPr="00150993">
        <w:rPr>
          <w:rFonts w:ascii="Arial" w:hAnsi="Arial" w:cs="Arial"/>
          <w:i/>
          <w:iCs/>
          <w:sz w:val="20"/>
          <w:szCs w:val="20"/>
        </w:rPr>
        <w:t>UNDP</w:t>
      </w:r>
      <w:r w:rsidR="00F27BD7" w:rsidRPr="00150993">
        <w:rPr>
          <w:rFonts w:ascii="Arial" w:hAnsi="Arial" w:cs="Arial"/>
          <w:i/>
          <w:iCs/>
          <w:sz w:val="20"/>
          <w:szCs w:val="20"/>
        </w:rPr>
        <w:t xml:space="preserve">, </w:t>
      </w:r>
      <w:r w:rsidRPr="00150993">
        <w:rPr>
          <w:rFonts w:ascii="Arial" w:hAnsi="Arial" w:cs="Arial"/>
          <w:i/>
          <w:iCs/>
          <w:sz w:val="20"/>
          <w:szCs w:val="20"/>
        </w:rPr>
        <w:t>2024. Human Development Report 2023/24 – Statistical Annex. Data Center</w:t>
      </w:r>
    </w:p>
    <w:p w14:paraId="7E5F7C27" w14:textId="5403E3CD" w:rsidR="005E040C" w:rsidRDefault="003B73CC" w:rsidP="003B73CC">
      <w:pPr>
        <w:pStyle w:val="NormalWeb"/>
        <w:jc w:val="both"/>
        <w:rPr>
          <w:rFonts w:ascii="Arial" w:hAnsi="Arial" w:cs="Arial"/>
          <w:sz w:val="22"/>
          <w:szCs w:val="22"/>
        </w:rPr>
      </w:pPr>
      <w:r w:rsidRPr="00150993">
        <w:rPr>
          <w:rFonts w:ascii="Arial" w:hAnsi="Arial" w:cs="Arial"/>
          <w:sz w:val="22"/>
          <w:szCs w:val="22"/>
        </w:rPr>
        <w:t xml:space="preserve">Human development indicators show sustained long-term improvement, though several components have begun to level off (UNDP, 2024. </w:t>
      </w:r>
      <w:r w:rsidRPr="00150993">
        <w:rPr>
          <w:rStyle w:val="Emphasis"/>
          <w:rFonts w:ascii="Arial" w:eastAsiaTheme="majorEastAsia" w:hAnsi="Arial" w:cs="Arial"/>
          <w:i w:val="0"/>
          <w:iCs w:val="0"/>
          <w:sz w:val="22"/>
          <w:szCs w:val="22"/>
        </w:rPr>
        <w:t>Human Development Report 2023/24</w:t>
      </w:r>
      <w:r w:rsidRPr="00150993">
        <w:rPr>
          <w:rFonts w:ascii="Arial" w:hAnsi="Arial" w:cs="Arial"/>
          <w:sz w:val="22"/>
          <w:szCs w:val="22"/>
        </w:rPr>
        <w:t xml:space="preserve">; see </w:t>
      </w:r>
      <w:r w:rsidR="00F72346">
        <w:rPr>
          <w:rFonts w:ascii="Arial" w:hAnsi="Arial" w:cs="Arial"/>
          <w:sz w:val="22"/>
          <w:szCs w:val="22"/>
        </w:rPr>
        <w:fldChar w:fldCharType="begin"/>
      </w:r>
      <w:r w:rsidR="00F72346">
        <w:rPr>
          <w:rFonts w:ascii="Arial" w:hAnsi="Arial" w:cs="Arial"/>
          <w:sz w:val="22"/>
          <w:szCs w:val="22"/>
        </w:rPr>
        <w:instrText xml:space="preserve"> REF _Ref215216883 \h </w:instrText>
      </w:r>
      <w:r w:rsidR="00F72346">
        <w:rPr>
          <w:rFonts w:ascii="Arial" w:hAnsi="Arial" w:cs="Arial"/>
          <w:sz w:val="22"/>
          <w:szCs w:val="22"/>
        </w:rPr>
      </w:r>
      <w:r w:rsidR="00F72346">
        <w:rPr>
          <w:rFonts w:ascii="Arial" w:hAnsi="Arial" w:cs="Arial"/>
          <w:sz w:val="22"/>
          <w:szCs w:val="22"/>
        </w:rPr>
        <w:fldChar w:fldCharType="separate"/>
      </w:r>
      <w:r w:rsidR="005A16C1" w:rsidRPr="00150993">
        <w:rPr>
          <w:rFonts w:ascii="Arial" w:eastAsiaTheme="minorHAnsi" w:hAnsi="Arial" w:cs="Arial"/>
          <w:color w:val="002060"/>
          <w:kern w:val="2"/>
          <w:sz w:val="22"/>
          <w:szCs w:val="22"/>
          <w14:ligatures w14:val="standardContextual"/>
        </w:rPr>
        <w:t>Annex Table 2-</w:t>
      </w:r>
      <w:r w:rsidR="005A16C1">
        <w:rPr>
          <w:rFonts w:ascii="Arial" w:eastAsiaTheme="minorHAnsi" w:hAnsi="Arial" w:cs="Arial"/>
          <w:noProof/>
          <w:color w:val="002060"/>
          <w:kern w:val="2"/>
          <w:sz w:val="22"/>
          <w:szCs w:val="22"/>
          <w14:ligatures w14:val="standardContextual"/>
        </w:rPr>
        <w:t>6</w:t>
      </w:r>
      <w:r w:rsidR="00F72346">
        <w:rPr>
          <w:rFonts w:ascii="Arial" w:hAnsi="Arial" w:cs="Arial"/>
          <w:sz w:val="22"/>
          <w:szCs w:val="22"/>
        </w:rPr>
        <w:fldChar w:fldCharType="end"/>
      </w:r>
      <w:r w:rsidRPr="00150993">
        <w:rPr>
          <w:rFonts w:ascii="Arial" w:hAnsi="Arial" w:cs="Arial"/>
          <w:sz w:val="22"/>
          <w:szCs w:val="22"/>
        </w:rPr>
        <w:t xml:space="preserve"> for full series and more detail).</w:t>
      </w:r>
      <w:r w:rsidR="00C35613" w:rsidRPr="00150993">
        <w:rPr>
          <w:rFonts w:ascii="Arial" w:hAnsi="Arial" w:cs="Arial"/>
          <w:sz w:val="22"/>
          <w:szCs w:val="22"/>
        </w:rPr>
        <w:t xml:space="preserve"> </w:t>
      </w:r>
    </w:p>
    <w:p w14:paraId="1DAB0A7B" w14:textId="3B43FAEC" w:rsidR="003B73CC" w:rsidRPr="00150993" w:rsidRDefault="00C35613" w:rsidP="005E040C">
      <w:pPr>
        <w:pStyle w:val="NormalWeb"/>
        <w:jc w:val="both"/>
        <w:rPr>
          <w:rFonts w:ascii="Arial" w:hAnsi="Arial" w:cs="Arial"/>
          <w:sz w:val="22"/>
          <w:szCs w:val="22"/>
        </w:rPr>
      </w:pPr>
      <w:r w:rsidRPr="00150993">
        <w:rPr>
          <w:rFonts w:ascii="Arial" w:hAnsi="Arial" w:cs="Arial"/>
          <w:sz w:val="22"/>
          <w:szCs w:val="22"/>
        </w:rPr>
        <w:t>The data shows</w:t>
      </w:r>
      <w:r w:rsidR="005E040C">
        <w:rPr>
          <w:rFonts w:ascii="Arial" w:hAnsi="Arial" w:cs="Arial"/>
          <w:sz w:val="22"/>
          <w:szCs w:val="22"/>
        </w:rPr>
        <w:t xml:space="preserve"> that </w:t>
      </w:r>
      <w:r w:rsidR="005E040C">
        <w:rPr>
          <w:rStyle w:val="Strong"/>
          <w:rFonts w:ascii="Arial" w:hAnsi="Arial" w:cs="Arial"/>
          <w:sz w:val="22"/>
          <w:szCs w:val="22"/>
        </w:rPr>
        <w:t>l</w:t>
      </w:r>
      <w:r w:rsidR="003B73CC" w:rsidRPr="00150993">
        <w:rPr>
          <w:rStyle w:val="Strong"/>
          <w:rFonts w:ascii="Arial" w:hAnsi="Arial" w:cs="Arial"/>
          <w:sz w:val="22"/>
          <w:szCs w:val="22"/>
        </w:rPr>
        <w:t>ife expectancy</w:t>
      </w:r>
      <w:r w:rsidR="003B73CC" w:rsidRPr="00150993">
        <w:rPr>
          <w:rFonts w:ascii="Arial" w:hAnsi="Arial" w:cs="Arial"/>
          <w:sz w:val="22"/>
          <w:szCs w:val="22"/>
        </w:rPr>
        <w:t xml:space="preserve"> increased</w:t>
      </w:r>
      <w:r w:rsidR="003B73CC" w:rsidRPr="00150993">
        <w:rPr>
          <w:rFonts w:ascii="Arial" w:hAnsi="Arial" w:cs="Arial"/>
        </w:rPr>
        <w:t xml:space="preserve"> </w:t>
      </w:r>
      <w:r w:rsidR="003B73CC" w:rsidRPr="00150993">
        <w:rPr>
          <w:rFonts w:ascii="Arial" w:hAnsi="Arial" w:cs="Arial"/>
          <w:sz w:val="22"/>
          <w:szCs w:val="22"/>
        </w:rPr>
        <w:t>from its lowest level of 55.2 years in 1990 to a pre-pandemic high of 70.1 years in 2020, dipped slightly during COVID-19 (69.3 in 2021), and reached 70.7 years in 2023, the highest on record.</w:t>
      </w:r>
      <w:r w:rsidR="005E040C">
        <w:rPr>
          <w:rFonts w:ascii="Arial" w:hAnsi="Arial" w:cs="Arial"/>
          <w:sz w:val="22"/>
          <w:szCs w:val="22"/>
        </w:rPr>
        <w:t xml:space="preserve"> </w:t>
      </w:r>
      <w:r w:rsidR="003B73CC" w:rsidRPr="00150993">
        <w:rPr>
          <w:rStyle w:val="Strong"/>
          <w:rFonts w:ascii="Arial" w:hAnsi="Arial" w:cs="Arial"/>
          <w:sz w:val="22"/>
          <w:szCs w:val="22"/>
        </w:rPr>
        <w:t>Education indicators</w:t>
      </w:r>
      <w:r w:rsidR="003B73CC" w:rsidRPr="00150993">
        <w:rPr>
          <w:rFonts w:ascii="Arial" w:hAnsi="Arial" w:cs="Arial"/>
          <w:sz w:val="22"/>
          <w:szCs w:val="22"/>
        </w:rPr>
        <w:t xml:space="preserve"> also strengthened: </w:t>
      </w:r>
      <w:r w:rsidR="003B73CC" w:rsidRPr="00150993">
        <w:rPr>
          <w:rFonts w:ascii="Arial" w:hAnsi="Arial" w:cs="Arial"/>
          <w:b/>
          <w:bCs/>
          <w:sz w:val="22"/>
          <w:szCs w:val="22"/>
        </w:rPr>
        <w:t>expected years of schooling</w:t>
      </w:r>
      <w:r w:rsidR="003B73CC" w:rsidRPr="00150993">
        <w:rPr>
          <w:rFonts w:ascii="Arial" w:hAnsi="Arial" w:cs="Arial"/>
          <w:sz w:val="22"/>
          <w:szCs w:val="22"/>
        </w:rPr>
        <w:t xml:space="preserve"> rose </w:t>
      </w:r>
      <w:r w:rsidRPr="00150993">
        <w:rPr>
          <w:rFonts w:ascii="Arial" w:hAnsi="Arial" w:cs="Arial"/>
          <w:sz w:val="22"/>
          <w:szCs w:val="22"/>
        </w:rPr>
        <w:t xml:space="preserve">from a low of 6.9 years in 1990 to a peak of 11.8 years around 2014, before stabilizing at 11.2 years in 2023; </w:t>
      </w:r>
      <w:r w:rsidRPr="00150993">
        <w:rPr>
          <w:rFonts w:ascii="Arial" w:hAnsi="Arial" w:cs="Arial"/>
          <w:b/>
          <w:bCs/>
          <w:sz w:val="22"/>
          <w:szCs w:val="22"/>
        </w:rPr>
        <w:t>mean years of schooling</w:t>
      </w:r>
      <w:r w:rsidRPr="00150993">
        <w:rPr>
          <w:rFonts w:ascii="Arial" w:hAnsi="Arial" w:cs="Arial"/>
          <w:sz w:val="22"/>
          <w:szCs w:val="22"/>
        </w:rPr>
        <w:t xml:space="preserve"> increased steadily from 2.8 years (1990) to a current high of 5.2 years (2021–2023), showing continued gains in attained education but slower progress since 2021.</w:t>
      </w:r>
      <w:r w:rsidR="005E040C">
        <w:rPr>
          <w:rFonts w:ascii="Arial" w:hAnsi="Arial" w:cs="Arial"/>
          <w:sz w:val="22"/>
          <w:szCs w:val="22"/>
        </w:rPr>
        <w:t xml:space="preserve"> </w:t>
      </w:r>
      <w:r w:rsidR="003B73CC" w:rsidRPr="00150993">
        <w:rPr>
          <w:rStyle w:val="Strong"/>
          <w:rFonts w:ascii="Arial" w:hAnsi="Arial" w:cs="Arial"/>
          <w:sz w:val="22"/>
          <w:szCs w:val="22"/>
        </w:rPr>
        <w:t>Income</w:t>
      </w:r>
      <w:r w:rsidR="003B73CC" w:rsidRPr="00150993">
        <w:rPr>
          <w:rFonts w:ascii="Arial" w:hAnsi="Arial" w:cs="Arial"/>
          <w:sz w:val="22"/>
          <w:szCs w:val="22"/>
        </w:rPr>
        <w:t xml:space="preserve"> growth has been especially strong, with GNI per </w:t>
      </w:r>
      <w:r w:rsidR="006A231D" w:rsidRPr="006A231D">
        <w:rPr>
          <w:rFonts w:ascii="Arial" w:hAnsi="Arial" w:cs="Arial"/>
          <w:sz w:val="22"/>
          <w:szCs w:val="22"/>
        </w:rPr>
        <w:t>capita (2021 PPP$) rising from US$1,210 in 1990 to a pre-COVID high of US$4,415 in 2020, recovering after a mild pandemic dip to reach US$4,931 in 2023, the highest recorded level.</w:t>
      </w:r>
    </w:p>
    <w:p w14:paraId="0BDF05F1" w14:textId="04DB6040" w:rsidR="002664E3" w:rsidRPr="00150993" w:rsidRDefault="003B73CC" w:rsidP="005E040C">
      <w:pPr>
        <w:pStyle w:val="NormalWeb"/>
        <w:spacing w:before="120" w:beforeAutospacing="0" w:after="120" w:afterAutospacing="0"/>
        <w:jc w:val="both"/>
        <w:rPr>
          <w:rFonts w:ascii="Arial" w:hAnsi="Arial" w:cs="Arial"/>
          <w:sz w:val="22"/>
          <w:szCs w:val="22"/>
        </w:rPr>
      </w:pPr>
      <w:r w:rsidRPr="00150993">
        <w:rPr>
          <w:rFonts w:ascii="Arial" w:hAnsi="Arial" w:cs="Arial"/>
          <w:sz w:val="22"/>
          <w:szCs w:val="22"/>
        </w:rPr>
        <w:t>Despite these advances, inequality still reduces</w:t>
      </w:r>
      <w:r w:rsidR="006A231D">
        <w:rPr>
          <w:rFonts w:ascii="Arial" w:hAnsi="Arial" w:cs="Arial"/>
          <w:sz w:val="22"/>
          <w:szCs w:val="22"/>
        </w:rPr>
        <w:t xml:space="preserve"> </w:t>
      </w:r>
      <w:r w:rsidR="006A231D" w:rsidRPr="006A231D">
        <w:rPr>
          <w:rFonts w:ascii="Arial" w:hAnsi="Arial" w:cs="Arial"/>
          <w:sz w:val="22"/>
          <w:szCs w:val="22"/>
        </w:rPr>
        <w:t>overall achievements: Cambodia’s inequality-adjusted HDI (IHDI) shows a 27–29% loss relative to the headline HDI across the 2010–2023 period. The gap narrowed modestly—from a maximum loss of 28.8% in 2010 to 26.8% in 2023—indicating gradual yet incomplete progress in distributing health, education, and income gains more evenly</w:t>
      </w:r>
      <w:r w:rsidRPr="00150993">
        <w:rPr>
          <w:rFonts w:ascii="Arial" w:hAnsi="Arial" w:cs="Arial"/>
          <w:sz w:val="22"/>
          <w:szCs w:val="22"/>
        </w:rPr>
        <w:t>.</w:t>
      </w:r>
    </w:p>
    <w:p w14:paraId="05F399CA" w14:textId="53BB123D" w:rsidR="009E70D4" w:rsidRPr="00150993" w:rsidRDefault="00C35613" w:rsidP="009E70D4">
      <w:pPr>
        <w:spacing w:after="120"/>
        <w:jc w:val="both"/>
        <w:rPr>
          <w:rFonts w:ascii="Arial" w:hAnsi="Arial" w:cs="Arial"/>
          <w:b/>
          <w:bCs/>
          <w:i/>
          <w:iCs/>
          <w:color w:val="0070C0"/>
          <w:sz w:val="21"/>
          <w:szCs w:val="21"/>
        </w:rPr>
      </w:pPr>
      <w:r w:rsidRPr="00150993">
        <w:rPr>
          <w:rFonts w:ascii="Arial" w:hAnsi="Arial" w:cs="Arial"/>
          <w:b/>
          <w:bCs/>
          <w:i/>
          <w:iCs/>
          <w:color w:val="0070C0"/>
          <w:sz w:val="21"/>
          <w:szCs w:val="21"/>
        </w:rPr>
        <w:t xml:space="preserve">b) </w:t>
      </w:r>
      <w:r w:rsidR="009E70D4" w:rsidRPr="00150993">
        <w:rPr>
          <w:rFonts w:ascii="Arial" w:hAnsi="Arial" w:cs="Arial"/>
          <w:b/>
          <w:bCs/>
          <w:i/>
          <w:iCs/>
          <w:color w:val="0070C0"/>
          <w:sz w:val="21"/>
          <w:szCs w:val="21"/>
        </w:rPr>
        <w:t xml:space="preserve">Subnational </w:t>
      </w:r>
      <w:r w:rsidR="00587CD1" w:rsidRPr="00150993">
        <w:rPr>
          <w:rFonts w:ascii="Arial" w:hAnsi="Arial" w:cs="Arial"/>
          <w:b/>
          <w:bCs/>
          <w:i/>
          <w:iCs/>
          <w:color w:val="0070C0"/>
          <w:sz w:val="21"/>
          <w:szCs w:val="21"/>
        </w:rPr>
        <w:t xml:space="preserve">Coastal </w:t>
      </w:r>
      <w:r w:rsidR="009E70D4" w:rsidRPr="00150993">
        <w:rPr>
          <w:rFonts w:ascii="Arial" w:hAnsi="Arial" w:cs="Arial"/>
          <w:b/>
          <w:bCs/>
          <w:i/>
          <w:iCs/>
          <w:color w:val="0070C0"/>
          <w:sz w:val="21"/>
          <w:szCs w:val="21"/>
        </w:rPr>
        <w:t>HDI</w:t>
      </w:r>
    </w:p>
    <w:p w14:paraId="4F61EAAD" w14:textId="104FFE6F" w:rsidR="001B1A73" w:rsidRPr="00943034" w:rsidRDefault="001B1A73" w:rsidP="00943034">
      <w:pPr>
        <w:pStyle w:val="NormalWeb"/>
        <w:jc w:val="both"/>
        <w:rPr>
          <w:rFonts w:ascii="Arial" w:hAnsi="Arial" w:cs="Arial"/>
          <w:b/>
          <w:bCs/>
          <w:sz w:val="22"/>
          <w:szCs w:val="22"/>
        </w:rPr>
      </w:pPr>
      <w:r w:rsidRPr="00FB508E">
        <w:rPr>
          <w:rStyle w:val="Strong"/>
          <w:rFonts w:ascii="Arial" w:eastAsiaTheme="majorEastAsia" w:hAnsi="Arial" w:cs="Arial"/>
          <w:b w:val="0"/>
          <w:bCs w:val="0"/>
          <w:sz w:val="22"/>
          <w:szCs w:val="22"/>
        </w:rPr>
        <w:t>Subnational HDI data (</w:t>
      </w:r>
      <w:r w:rsidRPr="00FB508E">
        <w:rPr>
          <w:rStyle w:val="Strong"/>
          <w:rFonts w:ascii="Arial" w:eastAsiaTheme="majorEastAsia" w:hAnsi="Arial" w:cs="Arial"/>
          <w:b w:val="0"/>
          <w:bCs w:val="0"/>
          <w:sz w:val="22"/>
          <w:szCs w:val="22"/>
        </w:rPr>
        <w:fldChar w:fldCharType="begin"/>
      </w:r>
      <w:r w:rsidRPr="00FB508E">
        <w:rPr>
          <w:rStyle w:val="Strong"/>
          <w:rFonts w:ascii="Arial" w:eastAsiaTheme="majorEastAsia" w:hAnsi="Arial" w:cs="Arial"/>
          <w:b w:val="0"/>
          <w:bCs w:val="0"/>
          <w:sz w:val="22"/>
          <w:szCs w:val="22"/>
        </w:rPr>
        <w:instrText xml:space="preserve"> REF _Ref215140402 \h  \* MERGEFORMAT </w:instrText>
      </w:r>
      <w:r w:rsidRPr="00FB508E">
        <w:rPr>
          <w:rStyle w:val="Strong"/>
          <w:rFonts w:ascii="Arial" w:eastAsiaTheme="majorEastAsia" w:hAnsi="Arial" w:cs="Arial"/>
          <w:b w:val="0"/>
          <w:bCs w:val="0"/>
          <w:sz w:val="22"/>
          <w:szCs w:val="22"/>
        </w:rPr>
      </w:r>
      <w:r w:rsidRPr="00FB508E">
        <w:rPr>
          <w:rStyle w:val="Strong"/>
          <w:rFonts w:ascii="Arial" w:eastAsiaTheme="majorEastAsia" w:hAnsi="Arial" w:cs="Arial"/>
          <w:b w:val="0"/>
          <w:bCs w:val="0"/>
          <w:sz w:val="22"/>
          <w:szCs w:val="22"/>
        </w:rPr>
        <w:fldChar w:fldCharType="separate"/>
      </w:r>
      <w:r w:rsidR="005A16C1" w:rsidRPr="009413E2">
        <w:rPr>
          <w:rFonts w:ascii="Arial" w:hAnsi="Arial" w:cs="Arial"/>
          <w:color w:val="002060"/>
          <w:sz w:val="22"/>
          <w:szCs w:val="22"/>
        </w:rPr>
        <w:t>Figure 2-</w:t>
      </w:r>
      <w:r w:rsidR="005A16C1" w:rsidRPr="005A16C1">
        <w:rPr>
          <w:rFonts w:ascii="Arial" w:hAnsi="Arial" w:cs="Arial"/>
          <w:color w:val="002060"/>
          <w:sz w:val="22"/>
          <w:szCs w:val="22"/>
        </w:rPr>
        <w:t>7</w:t>
      </w:r>
      <w:r w:rsidRPr="00FB508E">
        <w:rPr>
          <w:rStyle w:val="Strong"/>
          <w:rFonts w:ascii="Arial" w:eastAsiaTheme="majorEastAsia" w:hAnsi="Arial" w:cs="Arial"/>
          <w:b w:val="0"/>
          <w:bCs w:val="0"/>
          <w:sz w:val="22"/>
          <w:szCs w:val="22"/>
        </w:rPr>
        <w:fldChar w:fldCharType="end"/>
      </w:r>
      <w:r w:rsidRPr="00FB508E">
        <w:rPr>
          <w:rStyle w:val="Strong"/>
          <w:rFonts w:ascii="Arial" w:eastAsiaTheme="majorEastAsia" w:hAnsi="Arial" w:cs="Arial"/>
          <w:b w:val="0"/>
          <w:bCs w:val="0"/>
          <w:sz w:val="22"/>
          <w:szCs w:val="22"/>
        </w:rPr>
        <w:t>) show long-term coastal gains but a post-2015 plateau (Global Data Lab, 2025)</w:t>
      </w:r>
      <w:r w:rsidR="00F72346" w:rsidRPr="00FB508E">
        <w:rPr>
          <w:rStyle w:val="Strong"/>
          <w:rFonts w:ascii="Arial" w:eastAsiaTheme="majorEastAsia" w:hAnsi="Arial" w:cs="Arial"/>
          <w:b w:val="0"/>
          <w:bCs w:val="0"/>
          <w:sz w:val="22"/>
          <w:szCs w:val="22"/>
        </w:rPr>
        <w:t xml:space="preserve">. See </w:t>
      </w:r>
      <w:r w:rsidR="00F72346" w:rsidRPr="00FB508E">
        <w:rPr>
          <w:rStyle w:val="Strong"/>
          <w:rFonts w:ascii="Arial" w:eastAsiaTheme="majorEastAsia" w:hAnsi="Arial" w:cs="Arial"/>
          <w:b w:val="0"/>
          <w:bCs w:val="0"/>
          <w:sz w:val="22"/>
          <w:szCs w:val="22"/>
        </w:rPr>
        <w:fldChar w:fldCharType="begin"/>
      </w:r>
      <w:r w:rsidR="00F72346" w:rsidRPr="00FB508E">
        <w:rPr>
          <w:rStyle w:val="Strong"/>
          <w:rFonts w:ascii="Arial" w:eastAsiaTheme="majorEastAsia" w:hAnsi="Arial" w:cs="Arial"/>
          <w:b w:val="0"/>
          <w:bCs w:val="0"/>
          <w:sz w:val="22"/>
          <w:szCs w:val="22"/>
        </w:rPr>
        <w:instrText xml:space="preserve"> REF _Ref215216926 \h </w:instrText>
      </w:r>
      <w:r w:rsidR="00FB508E">
        <w:rPr>
          <w:rStyle w:val="Strong"/>
          <w:rFonts w:ascii="Arial" w:eastAsiaTheme="majorEastAsia" w:hAnsi="Arial" w:cs="Arial"/>
          <w:b w:val="0"/>
          <w:bCs w:val="0"/>
          <w:sz w:val="22"/>
          <w:szCs w:val="22"/>
        </w:rPr>
        <w:instrText xml:space="preserve"> \* MERGEFORMAT </w:instrText>
      </w:r>
      <w:r w:rsidR="00F72346" w:rsidRPr="00FB508E">
        <w:rPr>
          <w:rStyle w:val="Strong"/>
          <w:rFonts w:ascii="Arial" w:eastAsiaTheme="majorEastAsia" w:hAnsi="Arial" w:cs="Arial"/>
          <w:b w:val="0"/>
          <w:bCs w:val="0"/>
          <w:sz w:val="22"/>
          <w:szCs w:val="22"/>
        </w:rPr>
      </w:r>
      <w:r w:rsidR="00F72346" w:rsidRPr="00FB508E">
        <w:rPr>
          <w:rStyle w:val="Strong"/>
          <w:rFonts w:ascii="Arial" w:eastAsiaTheme="majorEastAsia" w:hAnsi="Arial" w:cs="Arial"/>
          <w:b w:val="0"/>
          <w:bCs w:val="0"/>
          <w:sz w:val="22"/>
          <w:szCs w:val="22"/>
        </w:rPr>
        <w:fldChar w:fldCharType="separate"/>
      </w:r>
      <w:r w:rsidR="005A16C1" w:rsidRPr="00150993">
        <w:rPr>
          <w:rFonts w:ascii="Arial" w:eastAsiaTheme="minorHAnsi" w:hAnsi="Arial" w:cs="Arial"/>
          <w:color w:val="002060"/>
          <w:kern w:val="2"/>
          <w:sz w:val="22"/>
          <w:szCs w:val="22"/>
          <w14:ligatures w14:val="standardContextual"/>
        </w:rPr>
        <w:t>Annex Table 2-</w:t>
      </w:r>
      <w:r w:rsidR="005A16C1">
        <w:rPr>
          <w:rFonts w:ascii="Arial" w:eastAsiaTheme="minorHAnsi" w:hAnsi="Arial" w:cs="Arial"/>
          <w:color w:val="002060"/>
          <w:kern w:val="2"/>
          <w:sz w:val="22"/>
          <w:szCs w:val="22"/>
          <w14:ligatures w14:val="standardContextual"/>
        </w:rPr>
        <w:t>7</w:t>
      </w:r>
      <w:r w:rsidR="00F72346" w:rsidRPr="00FB508E">
        <w:rPr>
          <w:rStyle w:val="Strong"/>
          <w:rFonts w:ascii="Arial" w:eastAsiaTheme="majorEastAsia" w:hAnsi="Arial" w:cs="Arial"/>
          <w:b w:val="0"/>
          <w:bCs w:val="0"/>
          <w:sz w:val="22"/>
          <w:szCs w:val="22"/>
        </w:rPr>
        <w:fldChar w:fldCharType="end"/>
      </w:r>
      <w:r w:rsidR="00F72346" w:rsidRPr="00FB508E">
        <w:rPr>
          <w:rStyle w:val="Strong"/>
          <w:rFonts w:ascii="Arial" w:eastAsiaTheme="majorEastAsia" w:hAnsi="Arial" w:cs="Arial"/>
          <w:b w:val="0"/>
          <w:bCs w:val="0"/>
          <w:sz w:val="22"/>
          <w:szCs w:val="22"/>
        </w:rPr>
        <w:t xml:space="preserve"> for mor </w:t>
      </w:r>
      <w:r w:rsidR="00F72346" w:rsidRPr="00FB508E">
        <w:rPr>
          <w:rFonts w:ascii="Arial" w:hAnsi="Arial" w:cs="Arial"/>
          <w:sz w:val="22"/>
          <w:szCs w:val="22"/>
        </w:rPr>
        <w:t xml:space="preserve">full series and more detail of the </w:t>
      </w:r>
      <w:r w:rsidR="00F72346" w:rsidRPr="00FB508E">
        <w:rPr>
          <w:rStyle w:val="Strong"/>
          <w:rFonts w:ascii="Arial" w:eastAsiaTheme="majorEastAsia" w:hAnsi="Arial" w:cs="Arial"/>
          <w:b w:val="0"/>
          <w:bCs w:val="0"/>
          <w:sz w:val="22"/>
          <w:szCs w:val="22"/>
        </w:rPr>
        <w:t>subnational HDI.</w:t>
      </w:r>
      <w:r w:rsidR="00943034">
        <w:rPr>
          <w:rFonts w:ascii="Arial" w:hAnsi="Arial" w:cs="Arial"/>
          <w:b/>
          <w:bCs/>
          <w:sz w:val="22"/>
          <w:szCs w:val="22"/>
        </w:rPr>
        <w:t xml:space="preserve"> </w:t>
      </w:r>
      <w:r w:rsidR="00943034" w:rsidRPr="00943034">
        <w:rPr>
          <w:rFonts w:ascii="Arial" w:hAnsi="Arial" w:cs="Arial"/>
          <w:sz w:val="22"/>
          <w:szCs w:val="22"/>
        </w:rPr>
        <w:t xml:space="preserve">For </w:t>
      </w:r>
      <w:r w:rsidRPr="00150993">
        <w:rPr>
          <w:rStyle w:val="Strong"/>
          <w:rFonts w:ascii="Arial" w:eastAsiaTheme="majorEastAsia" w:hAnsi="Arial" w:cs="Arial"/>
          <w:sz w:val="22"/>
          <w:szCs w:val="22"/>
        </w:rPr>
        <w:t>Preah Sihanouk–Kampot–Kep</w:t>
      </w:r>
      <w:r w:rsidR="00943034">
        <w:rPr>
          <w:rStyle w:val="Strong"/>
          <w:rFonts w:ascii="Arial" w:eastAsiaTheme="majorEastAsia" w:hAnsi="Arial" w:cs="Arial"/>
          <w:sz w:val="22"/>
          <w:szCs w:val="22"/>
        </w:rPr>
        <w:t xml:space="preserve">, </w:t>
      </w:r>
      <w:r w:rsidRPr="00150993">
        <w:rPr>
          <w:rFonts w:ascii="Arial" w:hAnsi="Arial" w:cs="Arial"/>
          <w:sz w:val="22"/>
          <w:szCs w:val="22"/>
        </w:rPr>
        <w:t xml:space="preserve">SHDI </w:t>
      </w:r>
      <w:r w:rsidR="006A231D" w:rsidRPr="006A231D">
        <w:rPr>
          <w:rFonts w:ascii="Arial" w:hAnsi="Arial" w:cs="Arial"/>
          <w:sz w:val="22"/>
          <w:szCs w:val="22"/>
        </w:rPr>
        <w:t>rose from 0.378 (1990) to 0.573 (2022), driven by higher life expectancy (55.2 to 68.4 years) and rising education levels. Expected years of schooling peaked in 2014 (11.8) before dropping to ~10, and life expectancy slipped during COVID-19, flattening SHDI near its recent high.</w:t>
      </w:r>
      <w:r w:rsidR="00943034">
        <w:rPr>
          <w:rFonts w:ascii="Arial" w:hAnsi="Arial" w:cs="Arial"/>
          <w:b/>
          <w:bCs/>
          <w:sz w:val="22"/>
          <w:szCs w:val="22"/>
        </w:rPr>
        <w:t xml:space="preserve"> </w:t>
      </w:r>
      <w:r w:rsidR="00943034" w:rsidRPr="00943034">
        <w:rPr>
          <w:rFonts w:ascii="Arial" w:hAnsi="Arial" w:cs="Arial"/>
          <w:sz w:val="22"/>
          <w:szCs w:val="22"/>
        </w:rPr>
        <w:t xml:space="preserve">For </w:t>
      </w:r>
      <w:r w:rsidRPr="00150993">
        <w:rPr>
          <w:rStyle w:val="Strong"/>
          <w:rFonts w:ascii="Arial" w:eastAsiaTheme="majorEastAsia" w:hAnsi="Arial" w:cs="Arial"/>
          <w:sz w:val="22"/>
          <w:szCs w:val="22"/>
        </w:rPr>
        <w:t>Koh Kong</w:t>
      </w:r>
      <w:r w:rsidR="00943034" w:rsidRPr="00943034">
        <w:rPr>
          <w:rStyle w:val="Strong"/>
          <w:rFonts w:ascii="Arial" w:eastAsiaTheme="majorEastAsia" w:hAnsi="Arial" w:cs="Arial"/>
          <w:b w:val="0"/>
          <w:bCs w:val="0"/>
          <w:sz w:val="22"/>
          <w:szCs w:val="22"/>
        </w:rPr>
        <w:t>,</w:t>
      </w:r>
      <w:r w:rsidR="00943034">
        <w:rPr>
          <w:rStyle w:val="Strong"/>
          <w:rFonts w:ascii="Arial" w:eastAsiaTheme="majorEastAsia" w:hAnsi="Arial" w:cs="Arial"/>
          <w:sz w:val="22"/>
          <w:szCs w:val="22"/>
        </w:rPr>
        <w:t xml:space="preserve"> </w:t>
      </w:r>
      <w:r w:rsidRPr="00150993">
        <w:rPr>
          <w:rFonts w:ascii="Arial" w:hAnsi="Arial" w:cs="Arial"/>
          <w:sz w:val="22"/>
          <w:szCs w:val="22"/>
        </w:rPr>
        <w:t xml:space="preserve">SHDI increased </w:t>
      </w:r>
      <w:r w:rsidR="006A231D" w:rsidRPr="006A231D">
        <w:rPr>
          <w:rFonts w:ascii="Arial" w:hAnsi="Arial" w:cs="Arial"/>
          <w:sz w:val="22"/>
          <w:szCs w:val="22"/>
        </w:rPr>
        <w:t>from 0.368 (1990) to 0.548 (2022), with life expectancy improving (58.8 to 70.5 years) and mean years of schooling rising. Expected schooling fell sharply after its 2014 peak (12.46 to 8.35), pulling SHDI down from 0.585 (2014) to ~0.548, reflecting shorter schooling trajectories for younger cohorts and modest COVID-period mortality effects.</w:t>
      </w:r>
    </w:p>
    <w:p w14:paraId="3F7F6782" w14:textId="77777777" w:rsidR="00F27BD7" w:rsidRPr="00150993" w:rsidRDefault="00F27BD7" w:rsidP="00F27BD7">
      <w:pPr>
        <w:spacing w:after="120"/>
        <w:jc w:val="center"/>
        <w:rPr>
          <w:rFonts w:ascii="Arial" w:hAnsi="Arial" w:cs="Arial"/>
          <w:sz w:val="21"/>
          <w:szCs w:val="21"/>
        </w:rPr>
      </w:pPr>
      <w:r w:rsidRPr="00150993">
        <w:rPr>
          <w:rFonts w:ascii="Arial" w:hAnsi="Arial" w:cs="Arial"/>
          <w:noProof/>
          <w14:ligatures w14:val="standardContextual"/>
        </w:rPr>
        <w:drawing>
          <wp:inline distT="0" distB="0" distL="0" distR="0" wp14:anchorId="2AF7A9A3" wp14:editId="44073965">
            <wp:extent cx="5697415" cy="2454910"/>
            <wp:effectExtent l="0" t="0" r="17780" b="8890"/>
            <wp:docPr id="1156955800" name="Chart 1">
              <a:extLst xmlns:a="http://schemas.openxmlformats.org/drawingml/2006/main">
                <a:ext uri="{FF2B5EF4-FFF2-40B4-BE49-F238E27FC236}">
                  <a16:creationId xmlns:a16="http://schemas.microsoft.com/office/drawing/2014/main" id="{440DF1B3-1E23-895B-589B-909957077B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5B2BCB2" w14:textId="7E6C9521" w:rsidR="00F27BD7" w:rsidRPr="009413E2" w:rsidRDefault="00F27BD7" w:rsidP="009413E2">
      <w:pPr>
        <w:pStyle w:val="Caption"/>
        <w:keepNext/>
        <w:spacing w:after="0"/>
        <w:rPr>
          <w:rFonts w:ascii="Arial" w:hAnsi="Arial" w:cs="Arial"/>
          <w:i w:val="0"/>
          <w:iCs w:val="0"/>
          <w:color w:val="002060"/>
          <w:sz w:val="22"/>
          <w:szCs w:val="22"/>
        </w:rPr>
      </w:pPr>
      <w:bookmarkStart w:id="46" w:name="_Ref215140402"/>
      <w:bookmarkStart w:id="47" w:name="_Toc213424699"/>
      <w:bookmarkStart w:id="48" w:name="_Toc215219056"/>
      <w:r w:rsidRPr="009413E2">
        <w:rPr>
          <w:rFonts w:ascii="Arial" w:hAnsi="Arial" w:cs="Arial"/>
          <w:i w:val="0"/>
          <w:iCs w:val="0"/>
          <w:color w:val="002060"/>
          <w:sz w:val="22"/>
          <w:szCs w:val="22"/>
        </w:rPr>
        <w:t>Figure 2-</w:t>
      </w:r>
      <w:r w:rsidRPr="009413E2">
        <w:rPr>
          <w:rFonts w:ascii="Arial" w:hAnsi="Arial" w:cs="Arial"/>
          <w:i w:val="0"/>
          <w:iCs w:val="0"/>
          <w:color w:val="002060"/>
          <w:sz w:val="22"/>
          <w:szCs w:val="22"/>
        </w:rPr>
        <w:fldChar w:fldCharType="begin"/>
      </w:r>
      <w:r w:rsidRPr="009413E2">
        <w:rPr>
          <w:rFonts w:ascii="Arial" w:hAnsi="Arial" w:cs="Arial"/>
          <w:i w:val="0"/>
          <w:iCs w:val="0"/>
          <w:color w:val="002060"/>
          <w:sz w:val="22"/>
          <w:szCs w:val="22"/>
        </w:rPr>
        <w:instrText xml:space="preserve"> SEQ Figure_2- \* ARABIC </w:instrText>
      </w:r>
      <w:r w:rsidRPr="009413E2">
        <w:rPr>
          <w:rFonts w:ascii="Arial" w:hAnsi="Arial" w:cs="Arial"/>
          <w:i w:val="0"/>
          <w:iCs w:val="0"/>
          <w:color w:val="002060"/>
          <w:sz w:val="22"/>
          <w:szCs w:val="22"/>
        </w:rPr>
        <w:fldChar w:fldCharType="separate"/>
      </w:r>
      <w:r w:rsidR="005A16C1">
        <w:rPr>
          <w:rFonts w:ascii="Arial" w:hAnsi="Arial" w:cs="Arial"/>
          <w:i w:val="0"/>
          <w:iCs w:val="0"/>
          <w:noProof/>
          <w:color w:val="002060"/>
          <w:sz w:val="22"/>
          <w:szCs w:val="22"/>
        </w:rPr>
        <w:t>7</w:t>
      </w:r>
      <w:r w:rsidRPr="009413E2">
        <w:rPr>
          <w:rFonts w:ascii="Arial" w:hAnsi="Arial" w:cs="Arial"/>
          <w:i w:val="0"/>
          <w:iCs w:val="0"/>
          <w:color w:val="002060"/>
          <w:sz w:val="22"/>
          <w:szCs w:val="22"/>
        </w:rPr>
        <w:fldChar w:fldCharType="end"/>
      </w:r>
      <w:bookmarkEnd w:id="46"/>
      <w:r w:rsidRPr="009413E2">
        <w:rPr>
          <w:rFonts w:ascii="Arial" w:hAnsi="Arial" w:cs="Arial"/>
          <w:i w:val="0"/>
          <w:iCs w:val="0"/>
          <w:color w:val="002060"/>
          <w:sz w:val="22"/>
          <w:szCs w:val="22"/>
        </w:rPr>
        <w:t xml:space="preserve"> Subnational Human Development Index (HDI)</w:t>
      </w:r>
      <w:r w:rsidR="002C25D9" w:rsidRPr="009413E2">
        <w:rPr>
          <w:rFonts w:ascii="Arial" w:hAnsi="Arial" w:cs="Arial"/>
          <w:i w:val="0"/>
          <w:iCs w:val="0"/>
          <w:color w:val="002060"/>
          <w:sz w:val="22"/>
          <w:szCs w:val="22"/>
        </w:rPr>
        <w:t>-Cambodia</w:t>
      </w:r>
      <w:r w:rsidRPr="009413E2">
        <w:rPr>
          <w:rFonts w:ascii="Arial" w:hAnsi="Arial" w:cs="Arial"/>
          <w:i w:val="0"/>
          <w:iCs w:val="0"/>
          <w:color w:val="002060"/>
          <w:sz w:val="22"/>
          <w:szCs w:val="22"/>
        </w:rPr>
        <w:t xml:space="preserve"> 1990-2023</w:t>
      </w:r>
      <w:bookmarkEnd w:id="47"/>
      <w:bookmarkEnd w:id="48"/>
    </w:p>
    <w:p w14:paraId="04FDC3AC" w14:textId="211392BB" w:rsidR="009E70D4" w:rsidRPr="00150993" w:rsidRDefault="00F27BD7" w:rsidP="009413E2">
      <w:pPr>
        <w:rPr>
          <w:rFonts w:ascii="Arial" w:hAnsi="Arial" w:cs="Arial"/>
          <w:i/>
          <w:iCs/>
          <w:sz w:val="20"/>
          <w:szCs w:val="20"/>
        </w:rPr>
      </w:pPr>
      <w:r w:rsidRPr="00150993">
        <w:rPr>
          <w:rFonts w:ascii="Arial" w:hAnsi="Arial" w:cs="Arial"/>
          <w:b/>
          <w:bCs/>
          <w:i/>
          <w:iCs/>
          <w:sz w:val="20"/>
          <w:szCs w:val="20"/>
        </w:rPr>
        <w:t>Source:</w:t>
      </w:r>
      <w:r w:rsidRPr="00150993">
        <w:rPr>
          <w:rFonts w:ascii="Arial" w:hAnsi="Arial" w:cs="Arial"/>
          <w:i/>
          <w:iCs/>
          <w:sz w:val="20"/>
          <w:szCs w:val="20"/>
        </w:rPr>
        <w:t xml:space="preserve"> Global Data Lab, 2025.</w:t>
      </w:r>
    </w:p>
    <w:p w14:paraId="16484A25" w14:textId="77777777" w:rsidR="00737B2B"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49" w:name="_Toc213424657"/>
      <w:bookmarkStart w:id="50" w:name="_Toc217231517"/>
      <w:r w:rsidRPr="00275B0E">
        <w:rPr>
          <w:rFonts w:ascii="Arial" w:eastAsia="Times New Roman" w:hAnsi="Arial" w:cs="Arial"/>
          <w:b/>
          <w:bCs/>
          <w:color w:val="auto"/>
          <w:sz w:val="24"/>
          <w:szCs w:val="24"/>
        </w:rPr>
        <w:t>2.2.3 Economic Activities</w:t>
      </w:r>
      <w:bookmarkEnd w:id="49"/>
      <w:bookmarkEnd w:id="50"/>
    </w:p>
    <w:p w14:paraId="6E512ACE" w14:textId="77777777" w:rsidR="00551621" w:rsidRPr="00275B0E" w:rsidRDefault="0044518F"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2.2.3.1 </w:t>
      </w:r>
      <w:r w:rsidR="00551621" w:rsidRPr="00275B0E">
        <w:rPr>
          <w:rFonts w:ascii="Arial" w:hAnsi="Arial" w:cs="Arial"/>
          <w:b/>
          <w:bCs/>
          <w:i w:val="0"/>
          <w:iCs w:val="0"/>
          <w:color w:val="0070C0"/>
          <w:sz w:val="22"/>
          <w:szCs w:val="22"/>
        </w:rPr>
        <w:t>Gross Domestic Product (</w:t>
      </w:r>
      <w:r w:rsidR="00737B2B" w:rsidRPr="00275B0E">
        <w:rPr>
          <w:rFonts w:ascii="Arial" w:hAnsi="Arial" w:cs="Arial"/>
          <w:b/>
          <w:bCs/>
          <w:i w:val="0"/>
          <w:iCs w:val="0"/>
          <w:color w:val="0070C0"/>
          <w:sz w:val="22"/>
          <w:szCs w:val="22"/>
        </w:rPr>
        <w:t>GDP</w:t>
      </w:r>
      <w:r w:rsidR="00551621" w:rsidRPr="00275B0E">
        <w:rPr>
          <w:rFonts w:ascii="Arial" w:hAnsi="Arial" w:cs="Arial"/>
          <w:b/>
          <w:bCs/>
          <w:i w:val="0"/>
          <w:iCs w:val="0"/>
          <w:color w:val="0070C0"/>
          <w:sz w:val="22"/>
          <w:szCs w:val="22"/>
        </w:rPr>
        <w:t>)</w:t>
      </w:r>
    </w:p>
    <w:p w14:paraId="7E608457" w14:textId="77777777" w:rsidR="00C35613" w:rsidRPr="006A231D" w:rsidRDefault="008D5487" w:rsidP="00344353">
      <w:pPr>
        <w:spacing w:after="120"/>
        <w:jc w:val="both"/>
        <w:rPr>
          <w:rFonts w:ascii="Arial" w:hAnsi="Arial" w:cs="Arial"/>
          <w:sz w:val="22"/>
          <w:szCs w:val="22"/>
        </w:rPr>
      </w:pPr>
      <w:r w:rsidRPr="006A231D">
        <w:rPr>
          <w:rFonts w:ascii="Arial" w:hAnsi="Arial" w:cs="Arial"/>
          <w:sz w:val="22"/>
          <w:szCs w:val="22"/>
        </w:rPr>
        <w:t xml:space="preserve">Cambodia’s economy expanded strongly, with Gross Domestic Product (GDP) rising from US$3.69 billion </w:t>
      </w:r>
      <w:r w:rsidR="007B509D" w:rsidRPr="006A231D">
        <w:rPr>
          <w:rFonts w:ascii="Arial" w:hAnsi="Arial" w:cs="Arial"/>
          <w:sz w:val="22"/>
          <w:szCs w:val="22"/>
        </w:rPr>
        <w:t xml:space="preserve">in </w:t>
      </w:r>
      <w:r w:rsidRPr="006A231D">
        <w:rPr>
          <w:rFonts w:ascii="Arial" w:hAnsi="Arial" w:cs="Arial"/>
          <w:sz w:val="22"/>
          <w:szCs w:val="22"/>
        </w:rPr>
        <w:t xml:space="preserve">2000 to US$46.35 billion </w:t>
      </w:r>
      <w:r w:rsidR="007B509D" w:rsidRPr="006A231D">
        <w:rPr>
          <w:rFonts w:ascii="Arial" w:hAnsi="Arial" w:cs="Arial"/>
          <w:sz w:val="22"/>
          <w:szCs w:val="22"/>
        </w:rPr>
        <w:t xml:space="preserve">in </w:t>
      </w:r>
      <w:r w:rsidRPr="006A231D">
        <w:rPr>
          <w:rFonts w:ascii="Arial" w:hAnsi="Arial" w:cs="Arial"/>
          <w:sz w:val="22"/>
          <w:szCs w:val="22"/>
        </w:rPr>
        <w:t>2024 (current US$)</w:t>
      </w:r>
      <w:r w:rsidR="007B509D" w:rsidRPr="006A231D">
        <w:rPr>
          <w:rFonts w:ascii="Arial" w:hAnsi="Arial" w:cs="Arial"/>
          <w:sz w:val="22"/>
          <w:szCs w:val="22"/>
        </w:rPr>
        <w:t>, with average annual growth at 7%.</w:t>
      </w:r>
      <w:r w:rsidRPr="006A231D">
        <w:rPr>
          <w:rFonts w:ascii="Arial" w:hAnsi="Arial" w:cs="Arial"/>
          <w:sz w:val="22"/>
          <w:szCs w:val="22"/>
        </w:rPr>
        <w:t xml:space="preserve"> Annual growth was in double digits during the mid-2000s (9.5%–13.3% in 2004–2007), eased to high single digits through 2011–2019 (7.3%–8.8%), contracted -3.56% in 2020 during COVID-19, and then recovered at 3.09% (2021), 5.13% (2022), 5.01% (2023), and 6.02% (2024), with a 2025 projection of 4.0%. (WB–WDI</w:t>
      </w:r>
      <w:r w:rsidR="007B509D" w:rsidRPr="006A231D">
        <w:rPr>
          <w:rFonts w:ascii="Arial" w:hAnsi="Arial" w:cs="Arial"/>
          <w:sz w:val="22"/>
          <w:szCs w:val="22"/>
        </w:rPr>
        <w:t>, 2025</w:t>
      </w:r>
      <w:r w:rsidRPr="006A231D">
        <w:rPr>
          <w:rFonts w:ascii="Arial" w:hAnsi="Arial" w:cs="Arial"/>
          <w:sz w:val="22"/>
          <w:szCs w:val="22"/>
        </w:rPr>
        <w:t>).</w:t>
      </w:r>
      <w:r w:rsidR="007B509D" w:rsidRPr="006A231D">
        <w:rPr>
          <w:rFonts w:ascii="Arial" w:hAnsi="Arial" w:cs="Arial"/>
          <w:sz w:val="22"/>
          <w:szCs w:val="22"/>
        </w:rPr>
        <w:t xml:space="preserve"> </w:t>
      </w:r>
    </w:p>
    <w:p w14:paraId="3AE417F9" w14:textId="67BBA22C" w:rsidR="00737B2B" w:rsidRPr="006A231D" w:rsidRDefault="00C35613" w:rsidP="00344353">
      <w:pPr>
        <w:spacing w:after="120"/>
        <w:jc w:val="both"/>
        <w:rPr>
          <w:rFonts w:ascii="Arial" w:hAnsi="Arial" w:cs="Arial"/>
          <w:sz w:val="22"/>
          <w:szCs w:val="22"/>
        </w:rPr>
      </w:pPr>
      <w:r w:rsidRPr="006A231D">
        <w:rPr>
          <w:rFonts w:ascii="Arial" w:hAnsi="Arial" w:cs="Arial"/>
          <w:sz w:val="22"/>
          <w:szCs w:val="22"/>
        </w:rPr>
        <w:fldChar w:fldCharType="begin"/>
      </w:r>
      <w:r w:rsidRPr="006A231D">
        <w:rPr>
          <w:rFonts w:ascii="Arial" w:hAnsi="Arial" w:cs="Arial"/>
          <w:sz w:val="22"/>
          <w:szCs w:val="22"/>
        </w:rPr>
        <w:instrText xml:space="preserve"> REF _Ref215141562 \h </w:instrText>
      </w:r>
      <w:r w:rsidR="00150993" w:rsidRPr="006A231D">
        <w:rPr>
          <w:rFonts w:ascii="Arial" w:hAnsi="Arial" w:cs="Arial"/>
          <w:sz w:val="22"/>
          <w:szCs w:val="22"/>
        </w:rPr>
        <w:instrText xml:space="preserve"> \* MERGEFORMAT </w:instrText>
      </w:r>
      <w:r w:rsidRPr="006A231D">
        <w:rPr>
          <w:rFonts w:ascii="Arial" w:hAnsi="Arial" w:cs="Arial"/>
          <w:sz w:val="22"/>
          <w:szCs w:val="22"/>
        </w:rPr>
      </w:r>
      <w:r w:rsidRPr="006A231D">
        <w:rPr>
          <w:rFonts w:ascii="Arial" w:hAnsi="Arial" w:cs="Arial"/>
          <w:sz w:val="22"/>
          <w:szCs w:val="22"/>
        </w:rPr>
        <w:fldChar w:fldCharType="separate"/>
      </w:r>
      <w:r w:rsidR="005A16C1" w:rsidRPr="005A16C1">
        <w:rPr>
          <w:rFonts w:ascii="Arial" w:hAnsi="Arial" w:cs="Arial"/>
          <w:color w:val="002060"/>
          <w:sz w:val="22"/>
          <w:szCs w:val="22"/>
        </w:rPr>
        <w:t>Figure 2-8</w:t>
      </w:r>
      <w:r w:rsidRPr="006A231D">
        <w:rPr>
          <w:rFonts w:ascii="Arial" w:hAnsi="Arial" w:cs="Arial"/>
          <w:sz w:val="22"/>
          <w:szCs w:val="22"/>
        </w:rPr>
        <w:fldChar w:fldCharType="end"/>
      </w:r>
      <w:r w:rsidRPr="006A231D">
        <w:rPr>
          <w:rFonts w:ascii="Arial" w:hAnsi="Arial" w:cs="Arial"/>
          <w:sz w:val="22"/>
          <w:szCs w:val="22"/>
        </w:rPr>
        <w:t xml:space="preserve"> shows Cambodia’s GDP per capita in current and 2015 US$. GDP per capita rose from US$296 in 2000 to about US$2,628 in 2024, with three clear phases: a rapid rise from 2000–2007 (US$296→732), steady growth through 2011–2019 to roughly US$2,226, a COVID-19 dip to about US$2,082 in 2020, and a strong rebound to new highs by 2024. Key milestones include passing US$1,000 around 2011 and US$2,000 by 2018, reflecting sustained structural shifts toward industry and services and a resilient post-pandemic recovery (WB-WDI, 2025).</w:t>
      </w:r>
    </w:p>
    <w:p w14:paraId="5B787E1A" w14:textId="77777777" w:rsidR="002C25D9" w:rsidRPr="00150993" w:rsidRDefault="002C25D9" w:rsidP="00344353">
      <w:pPr>
        <w:spacing w:after="120"/>
        <w:jc w:val="both"/>
        <w:rPr>
          <w:rFonts w:ascii="Arial" w:hAnsi="Arial" w:cs="Arial"/>
          <w:sz w:val="21"/>
          <w:szCs w:val="21"/>
        </w:rPr>
      </w:pPr>
      <w:r w:rsidRPr="00150993">
        <w:rPr>
          <w:rFonts w:ascii="Arial" w:hAnsi="Arial" w:cs="Arial"/>
          <w:noProof/>
          <w14:ligatures w14:val="standardContextual"/>
        </w:rPr>
        <w:drawing>
          <wp:inline distT="0" distB="0" distL="0" distR="0" wp14:anchorId="269C7D77" wp14:editId="5547FC8F">
            <wp:extent cx="5682343" cy="2455545"/>
            <wp:effectExtent l="0" t="0" r="7620" b="8255"/>
            <wp:docPr id="568620957" name="Chart 1">
              <a:extLst xmlns:a="http://schemas.openxmlformats.org/drawingml/2006/main">
                <a:ext uri="{FF2B5EF4-FFF2-40B4-BE49-F238E27FC236}">
                  <a16:creationId xmlns:a16="http://schemas.microsoft.com/office/drawing/2014/main" id="{317EF309-40B0-1617-BDE7-7A7E4E6567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88A92B3" w14:textId="29BADB2D" w:rsidR="002C25D9" w:rsidRPr="00150993" w:rsidRDefault="002C25D9" w:rsidP="00344353">
      <w:pPr>
        <w:spacing w:after="120"/>
        <w:jc w:val="both"/>
        <w:rPr>
          <w:rFonts w:ascii="Arial" w:hAnsi="Arial" w:cs="Arial"/>
          <w:color w:val="002060"/>
          <w:sz w:val="21"/>
          <w:szCs w:val="21"/>
        </w:rPr>
      </w:pPr>
      <w:bookmarkStart w:id="51" w:name="_Ref215141562"/>
      <w:bookmarkStart w:id="52" w:name="_Toc213424700"/>
      <w:bookmarkStart w:id="53" w:name="_Toc215219057"/>
      <w:r w:rsidRPr="00150993">
        <w:rPr>
          <w:rFonts w:ascii="Arial" w:hAnsi="Arial" w:cs="Arial"/>
          <w:color w:val="002060"/>
          <w:sz w:val="21"/>
          <w:szCs w:val="21"/>
        </w:rPr>
        <w:t>Figure 2-</w:t>
      </w:r>
      <w:r w:rsidRPr="00150993">
        <w:rPr>
          <w:rFonts w:ascii="Arial" w:hAnsi="Arial" w:cs="Arial"/>
          <w:i/>
          <w:iCs/>
          <w:color w:val="002060"/>
          <w:sz w:val="21"/>
          <w:szCs w:val="21"/>
        </w:rPr>
        <w:fldChar w:fldCharType="begin"/>
      </w:r>
      <w:r w:rsidRPr="00150993">
        <w:rPr>
          <w:rFonts w:ascii="Arial" w:hAnsi="Arial" w:cs="Arial"/>
          <w:color w:val="002060"/>
          <w:sz w:val="21"/>
          <w:szCs w:val="21"/>
        </w:rPr>
        <w:instrText xml:space="preserve"> SEQ Figure_2- \* ARABIC </w:instrText>
      </w:r>
      <w:r w:rsidRPr="00150993">
        <w:rPr>
          <w:rFonts w:ascii="Arial" w:hAnsi="Arial" w:cs="Arial"/>
          <w:i/>
          <w:iCs/>
          <w:color w:val="002060"/>
          <w:sz w:val="21"/>
          <w:szCs w:val="21"/>
        </w:rPr>
        <w:fldChar w:fldCharType="separate"/>
      </w:r>
      <w:r w:rsidR="005A16C1">
        <w:rPr>
          <w:rFonts w:ascii="Arial" w:hAnsi="Arial" w:cs="Arial"/>
          <w:noProof/>
          <w:color w:val="002060"/>
          <w:sz w:val="21"/>
          <w:szCs w:val="21"/>
        </w:rPr>
        <w:t>8</w:t>
      </w:r>
      <w:r w:rsidRPr="00150993">
        <w:rPr>
          <w:rFonts w:ascii="Arial" w:hAnsi="Arial" w:cs="Arial"/>
          <w:i/>
          <w:iCs/>
          <w:color w:val="002060"/>
          <w:sz w:val="21"/>
          <w:szCs w:val="21"/>
        </w:rPr>
        <w:fldChar w:fldCharType="end"/>
      </w:r>
      <w:bookmarkEnd w:id="51"/>
      <w:r w:rsidRPr="00150993">
        <w:rPr>
          <w:rFonts w:ascii="Arial" w:hAnsi="Arial" w:cs="Arial"/>
          <w:color w:val="002060"/>
          <w:sz w:val="21"/>
          <w:szCs w:val="21"/>
        </w:rPr>
        <w:t xml:space="preserve"> Cambodia GDP per Capita (Current US$ vs Constant 2015 US$) 1995-2024</w:t>
      </w:r>
      <w:bookmarkEnd w:id="52"/>
      <w:bookmarkEnd w:id="53"/>
    </w:p>
    <w:p w14:paraId="372A9C0B" w14:textId="318BAAE0" w:rsidR="002C25D9" w:rsidRPr="00275B0E" w:rsidRDefault="002C25D9" w:rsidP="002C25D9">
      <w:pPr>
        <w:spacing w:after="120"/>
        <w:rPr>
          <w:rFonts w:ascii="Arial" w:hAnsi="Arial" w:cs="Arial"/>
          <w:i/>
          <w:iCs/>
          <w:sz w:val="18"/>
          <w:szCs w:val="18"/>
        </w:rPr>
      </w:pPr>
      <w:r w:rsidRPr="00275B0E">
        <w:rPr>
          <w:rFonts w:ascii="Arial" w:hAnsi="Arial" w:cs="Arial"/>
          <w:b/>
          <w:bCs/>
          <w:i/>
          <w:iCs/>
          <w:sz w:val="18"/>
          <w:szCs w:val="18"/>
        </w:rPr>
        <w:t>Source:</w:t>
      </w:r>
      <w:r w:rsidRPr="00275B0E">
        <w:rPr>
          <w:rFonts w:ascii="Arial" w:hAnsi="Arial" w:cs="Arial"/>
          <w:i/>
          <w:iCs/>
          <w:sz w:val="18"/>
          <w:szCs w:val="18"/>
        </w:rPr>
        <w:t xml:space="preserve"> World Bank, 2025. World Development Indicators (WDI)</w:t>
      </w:r>
    </w:p>
    <w:p w14:paraId="78B1229E" w14:textId="77777777" w:rsidR="0044518F" w:rsidRPr="00275B0E" w:rsidRDefault="0044518F"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2.2.3.2 Agriculture, </w:t>
      </w:r>
      <w:r w:rsidR="003B5216" w:rsidRPr="00275B0E">
        <w:rPr>
          <w:rFonts w:ascii="Arial" w:hAnsi="Arial" w:cs="Arial"/>
          <w:b/>
          <w:bCs/>
          <w:i w:val="0"/>
          <w:iCs w:val="0"/>
          <w:color w:val="0070C0"/>
          <w:sz w:val="22"/>
          <w:szCs w:val="22"/>
        </w:rPr>
        <w:t>forestry,</w:t>
      </w:r>
      <w:r w:rsidRPr="00275B0E">
        <w:rPr>
          <w:rFonts w:ascii="Arial" w:hAnsi="Arial" w:cs="Arial"/>
          <w:b/>
          <w:bCs/>
          <w:i w:val="0"/>
          <w:iCs w:val="0"/>
          <w:color w:val="0070C0"/>
          <w:sz w:val="22"/>
          <w:szCs w:val="22"/>
        </w:rPr>
        <w:t xml:space="preserve"> and fishing revenue</w:t>
      </w:r>
    </w:p>
    <w:p w14:paraId="3E89F252" w14:textId="1B9155D6" w:rsidR="000D7C3C" w:rsidRPr="006A231D" w:rsidRDefault="008D5487" w:rsidP="00AE7ED9">
      <w:pPr>
        <w:spacing w:after="120"/>
        <w:jc w:val="both"/>
        <w:rPr>
          <w:rFonts w:ascii="Arial" w:hAnsi="Arial" w:cs="Arial"/>
          <w:sz w:val="22"/>
          <w:szCs w:val="22"/>
        </w:rPr>
      </w:pPr>
      <w:r w:rsidRPr="006A231D">
        <w:rPr>
          <w:rFonts w:ascii="Arial" w:hAnsi="Arial" w:cs="Arial"/>
          <w:sz w:val="22"/>
          <w:szCs w:val="22"/>
        </w:rPr>
        <w:t xml:space="preserve">Agriculture </w:t>
      </w:r>
      <w:r w:rsidR="00A44649" w:rsidRPr="006A231D">
        <w:rPr>
          <w:rFonts w:ascii="Arial" w:hAnsi="Arial" w:cs="Arial"/>
          <w:sz w:val="22"/>
          <w:szCs w:val="22"/>
        </w:rPr>
        <w:t>continues to</w:t>
      </w:r>
      <w:r w:rsidRPr="006A231D">
        <w:rPr>
          <w:rFonts w:ascii="Arial" w:hAnsi="Arial" w:cs="Arial"/>
          <w:sz w:val="22"/>
          <w:szCs w:val="22"/>
        </w:rPr>
        <w:t xml:space="preserve"> employ a large share of workers and remains climate-sensitive, while industry (especially garments/footwear) and services (tourism, logistics) continue to anchor growth</w:t>
      </w:r>
      <w:r w:rsidR="00A44649" w:rsidRPr="006A231D">
        <w:rPr>
          <w:rFonts w:ascii="Arial" w:hAnsi="Arial" w:cs="Arial"/>
          <w:sz w:val="22"/>
          <w:szCs w:val="22"/>
        </w:rPr>
        <w:t>.</w:t>
      </w:r>
      <w:r w:rsidRPr="006A231D">
        <w:rPr>
          <w:rFonts w:ascii="Arial" w:hAnsi="Arial" w:cs="Arial"/>
          <w:sz w:val="22"/>
          <w:szCs w:val="22"/>
        </w:rPr>
        <w:t xml:space="preserve"> </w:t>
      </w:r>
      <w:r w:rsidR="00AE7ED9" w:rsidRPr="006A231D">
        <w:rPr>
          <w:rFonts w:ascii="Arial" w:hAnsi="Arial" w:cs="Arial"/>
          <w:sz w:val="22"/>
          <w:szCs w:val="22"/>
        </w:rPr>
        <w:t xml:space="preserve">Agriculture, forestry and fishing’s share of GDP fell from 47.7% (1995) to 16.6% (2024), but real value added still climbed from </w:t>
      </w:r>
      <w:r w:rsidR="00A44649" w:rsidRPr="006A231D">
        <w:rPr>
          <w:rFonts w:ascii="Arial" w:hAnsi="Arial" w:cs="Arial"/>
          <w:sz w:val="22"/>
          <w:szCs w:val="22"/>
        </w:rPr>
        <w:t>US</w:t>
      </w:r>
      <w:r w:rsidR="00AE7ED9" w:rsidRPr="006A231D">
        <w:rPr>
          <w:rFonts w:ascii="Arial" w:hAnsi="Arial" w:cs="Arial"/>
          <w:sz w:val="22"/>
          <w:szCs w:val="22"/>
        </w:rPr>
        <w:t>$2.26</w:t>
      </w:r>
      <w:r w:rsidR="00A44649" w:rsidRPr="006A231D">
        <w:rPr>
          <w:rFonts w:ascii="Arial" w:hAnsi="Arial" w:cs="Arial"/>
          <w:sz w:val="22"/>
          <w:szCs w:val="22"/>
        </w:rPr>
        <w:t xml:space="preserve"> billion</w:t>
      </w:r>
      <w:r w:rsidR="00AE7ED9" w:rsidRPr="006A231D">
        <w:rPr>
          <w:rFonts w:ascii="Arial" w:hAnsi="Arial" w:cs="Arial"/>
          <w:sz w:val="22"/>
          <w:szCs w:val="22"/>
        </w:rPr>
        <w:t xml:space="preserve"> </w:t>
      </w:r>
      <w:r w:rsidR="00551621" w:rsidRPr="006A231D">
        <w:rPr>
          <w:rFonts w:ascii="Arial" w:hAnsi="Arial" w:cs="Arial"/>
          <w:sz w:val="22"/>
          <w:szCs w:val="22"/>
        </w:rPr>
        <w:t>to</w:t>
      </w:r>
      <w:r w:rsidR="00AE7ED9" w:rsidRPr="006A231D">
        <w:rPr>
          <w:rFonts w:ascii="Arial" w:hAnsi="Arial" w:cs="Arial"/>
          <w:sz w:val="22"/>
          <w:szCs w:val="22"/>
        </w:rPr>
        <w:t xml:space="preserve"> </w:t>
      </w:r>
      <w:r w:rsidR="00A44649" w:rsidRPr="006A231D">
        <w:rPr>
          <w:rFonts w:ascii="Arial" w:hAnsi="Arial" w:cs="Arial"/>
          <w:sz w:val="22"/>
          <w:szCs w:val="22"/>
        </w:rPr>
        <w:t>US</w:t>
      </w:r>
      <w:r w:rsidR="00AE7ED9" w:rsidRPr="006A231D">
        <w:rPr>
          <w:rFonts w:ascii="Arial" w:hAnsi="Arial" w:cs="Arial"/>
          <w:sz w:val="22"/>
          <w:szCs w:val="22"/>
        </w:rPr>
        <w:t>$5.30</w:t>
      </w:r>
      <w:r w:rsidR="00A44649" w:rsidRPr="006A231D">
        <w:rPr>
          <w:rFonts w:ascii="Arial" w:hAnsi="Arial" w:cs="Arial"/>
          <w:sz w:val="22"/>
          <w:szCs w:val="22"/>
        </w:rPr>
        <w:t xml:space="preserve"> billion</w:t>
      </w:r>
      <w:r w:rsidR="00D21CB7" w:rsidRPr="006A231D">
        <w:rPr>
          <w:rFonts w:ascii="Arial" w:hAnsi="Arial" w:cs="Arial"/>
          <w:sz w:val="22"/>
          <w:szCs w:val="22"/>
        </w:rPr>
        <w:t xml:space="preserve"> </w:t>
      </w:r>
      <w:r w:rsidR="00C222A0" w:rsidRPr="006A231D">
        <w:rPr>
          <w:rFonts w:ascii="Arial" w:hAnsi="Arial" w:cs="Arial"/>
          <w:sz w:val="22"/>
          <w:szCs w:val="22"/>
        </w:rPr>
        <w:t>(WB</w:t>
      </w:r>
      <w:r w:rsidR="00C222A0" w:rsidRPr="006A231D">
        <w:rPr>
          <w:rFonts w:ascii="Cambria Math" w:hAnsi="Cambria Math" w:cs="Cambria Math"/>
          <w:sz w:val="22"/>
          <w:szCs w:val="22"/>
        </w:rPr>
        <w:t>‑</w:t>
      </w:r>
      <w:r w:rsidR="00C222A0" w:rsidRPr="006A231D">
        <w:rPr>
          <w:rFonts w:ascii="Arial" w:hAnsi="Arial" w:cs="Arial"/>
          <w:sz w:val="22"/>
          <w:szCs w:val="22"/>
        </w:rPr>
        <w:t xml:space="preserve">WDI, 2025). </w:t>
      </w:r>
      <w:r w:rsidR="00AE7ED9" w:rsidRPr="006A231D">
        <w:rPr>
          <w:rFonts w:ascii="Arial" w:hAnsi="Arial" w:cs="Arial"/>
          <w:sz w:val="22"/>
          <w:szCs w:val="22"/>
        </w:rPr>
        <w:t xml:space="preserve"> In other words, the sector grew in absolute size even as the broader economy diversified.</w:t>
      </w:r>
      <w:r w:rsidR="006A231D" w:rsidRPr="006A231D">
        <w:rPr>
          <w:rFonts w:ascii="Arial" w:hAnsi="Arial" w:cs="Arial"/>
          <w:sz w:val="22"/>
          <w:szCs w:val="22"/>
        </w:rPr>
        <w:t xml:space="preserve"> See </w:t>
      </w:r>
      <w:r w:rsidR="006A231D" w:rsidRPr="006A231D">
        <w:rPr>
          <w:rFonts w:ascii="Arial" w:hAnsi="Arial" w:cs="Arial"/>
          <w:sz w:val="22"/>
          <w:szCs w:val="22"/>
        </w:rPr>
        <w:fldChar w:fldCharType="begin"/>
      </w:r>
      <w:r w:rsidR="006A231D" w:rsidRPr="006A231D">
        <w:rPr>
          <w:rFonts w:ascii="Arial" w:hAnsi="Arial" w:cs="Arial"/>
          <w:sz w:val="22"/>
          <w:szCs w:val="22"/>
        </w:rPr>
        <w:instrText xml:space="preserve"> REF _Ref215218876 \h  \* MERGEFORMAT </w:instrText>
      </w:r>
      <w:r w:rsidR="006A231D" w:rsidRPr="006A231D">
        <w:rPr>
          <w:rFonts w:ascii="Arial" w:hAnsi="Arial" w:cs="Arial"/>
          <w:sz w:val="22"/>
          <w:szCs w:val="22"/>
        </w:rPr>
      </w:r>
      <w:r w:rsidR="006A231D" w:rsidRPr="006A231D">
        <w:rPr>
          <w:rFonts w:ascii="Arial" w:hAnsi="Arial" w:cs="Arial"/>
          <w:sz w:val="22"/>
          <w:szCs w:val="22"/>
        </w:rPr>
        <w:fldChar w:fldCharType="separate"/>
      </w:r>
      <w:r w:rsidR="005A16C1" w:rsidRPr="00150993">
        <w:rPr>
          <w:rFonts w:ascii="Arial" w:eastAsiaTheme="minorHAnsi" w:hAnsi="Arial" w:cs="Arial"/>
          <w:color w:val="002060"/>
          <w:kern w:val="2"/>
          <w:sz w:val="22"/>
          <w:szCs w:val="22"/>
          <w14:ligatures w14:val="standardContextual"/>
        </w:rPr>
        <w:t>Annex Table 2-</w:t>
      </w:r>
      <w:r w:rsidR="005A16C1">
        <w:rPr>
          <w:rFonts w:ascii="Arial" w:eastAsiaTheme="minorHAnsi" w:hAnsi="Arial" w:cs="Arial"/>
          <w:color w:val="002060"/>
          <w:kern w:val="2"/>
          <w:sz w:val="22"/>
          <w:szCs w:val="22"/>
          <w14:ligatures w14:val="standardContextual"/>
        </w:rPr>
        <w:t>9</w:t>
      </w:r>
      <w:r w:rsidR="006A231D" w:rsidRPr="006A231D">
        <w:rPr>
          <w:rFonts w:ascii="Arial" w:hAnsi="Arial" w:cs="Arial"/>
          <w:sz w:val="22"/>
          <w:szCs w:val="22"/>
        </w:rPr>
        <w:fldChar w:fldCharType="end"/>
      </w:r>
      <w:r w:rsidR="006A231D" w:rsidRPr="006A231D">
        <w:rPr>
          <w:rFonts w:ascii="Arial" w:hAnsi="Arial" w:cs="Arial"/>
          <w:sz w:val="22"/>
          <w:szCs w:val="22"/>
        </w:rPr>
        <w:t xml:space="preserve"> for more detail.</w:t>
      </w:r>
      <w:r w:rsidR="00AE7ED9" w:rsidRPr="006A231D">
        <w:rPr>
          <w:rFonts w:ascii="Arial" w:hAnsi="Arial" w:cs="Arial"/>
          <w:sz w:val="22"/>
          <w:szCs w:val="22"/>
        </w:rPr>
        <w:t xml:space="preserve"> </w:t>
      </w:r>
    </w:p>
    <w:p w14:paraId="4D22156C" w14:textId="77777777" w:rsidR="00AE7ED9" w:rsidRPr="006A231D" w:rsidRDefault="00AE7ED9" w:rsidP="00AE7ED9">
      <w:pPr>
        <w:spacing w:after="120"/>
        <w:jc w:val="both"/>
        <w:rPr>
          <w:rFonts w:ascii="Arial" w:hAnsi="Arial" w:cs="Arial"/>
          <w:sz w:val="22"/>
          <w:szCs w:val="22"/>
        </w:rPr>
      </w:pPr>
      <w:r w:rsidRPr="006A231D">
        <w:rPr>
          <w:rFonts w:ascii="Arial" w:hAnsi="Arial" w:cs="Arial"/>
          <w:sz w:val="22"/>
          <w:szCs w:val="22"/>
        </w:rPr>
        <w:t>Poin</w:t>
      </w:r>
      <w:r w:rsidR="00121582" w:rsidRPr="006A231D">
        <w:rPr>
          <w:rFonts w:ascii="Arial" w:hAnsi="Arial" w:cs="Arial"/>
          <w:sz w:val="22"/>
          <w:szCs w:val="22"/>
        </w:rPr>
        <w:t xml:space="preserve">t </w:t>
      </w:r>
      <w:r w:rsidRPr="006A231D">
        <w:rPr>
          <w:rFonts w:ascii="Arial" w:hAnsi="Arial" w:cs="Arial"/>
          <w:sz w:val="22"/>
          <w:szCs w:val="22"/>
        </w:rPr>
        <w:t xml:space="preserve">estimates for fisheries &amp; aquaculture span about 1.14% of GDP </w:t>
      </w:r>
      <w:r w:rsidR="00174296" w:rsidRPr="006A231D">
        <w:rPr>
          <w:rFonts w:ascii="Arial" w:hAnsi="Arial" w:cs="Arial"/>
          <w:sz w:val="22"/>
          <w:szCs w:val="22"/>
        </w:rPr>
        <w:t xml:space="preserve">in </w:t>
      </w:r>
      <w:r w:rsidRPr="006A231D">
        <w:rPr>
          <w:rFonts w:ascii="Arial" w:hAnsi="Arial" w:cs="Arial"/>
          <w:sz w:val="22"/>
          <w:szCs w:val="22"/>
        </w:rPr>
        <w:t xml:space="preserve">2014 </w:t>
      </w:r>
      <w:r w:rsidR="00174296" w:rsidRPr="006A231D">
        <w:rPr>
          <w:rFonts w:ascii="Arial" w:hAnsi="Arial" w:cs="Arial"/>
          <w:sz w:val="22"/>
          <w:szCs w:val="22"/>
        </w:rPr>
        <w:t xml:space="preserve">(World Bank, 2023a) </w:t>
      </w:r>
      <w:r w:rsidRPr="006A231D">
        <w:rPr>
          <w:rFonts w:ascii="Arial" w:hAnsi="Arial" w:cs="Arial"/>
          <w:sz w:val="22"/>
          <w:szCs w:val="22"/>
        </w:rPr>
        <w:t xml:space="preserve">to ~5% </w:t>
      </w:r>
      <w:r w:rsidR="00174296" w:rsidRPr="006A231D">
        <w:rPr>
          <w:rFonts w:ascii="Arial" w:hAnsi="Arial" w:cs="Arial"/>
          <w:sz w:val="22"/>
          <w:szCs w:val="22"/>
        </w:rPr>
        <w:t xml:space="preserve">in </w:t>
      </w:r>
      <w:r w:rsidRPr="006A231D">
        <w:rPr>
          <w:rFonts w:ascii="Arial" w:hAnsi="Arial" w:cs="Arial"/>
          <w:sz w:val="22"/>
          <w:szCs w:val="22"/>
        </w:rPr>
        <w:t>2019</w:t>
      </w:r>
      <w:r w:rsidR="00174296" w:rsidRPr="006A231D">
        <w:rPr>
          <w:rFonts w:ascii="Arial" w:hAnsi="Arial" w:cs="Arial"/>
          <w:sz w:val="22"/>
          <w:szCs w:val="22"/>
        </w:rPr>
        <w:t xml:space="preserve"> (PEMSEA &amp; MoE, 2019)</w:t>
      </w:r>
      <w:r w:rsidR="005418B8" w:rsidRPr="006A231D">
        <w:rPr>
          <w:rFonts w:ascii="Arial" w:hAnsi="Arial" w:cs="Arial"/>
          <w:sz w:val="22"/>
          <w:szCs w:val="22"/>
        </w:rPr>
        <w:t xml:space="preserve">. Moreover, </w:t>
      </w:r>
      <w:r w:rsidR="00121582" w:rsidRPr="006A231D">
        <w:rPr>
          <w:rFonts w:ascii="Arial" w:hAnsi="Arial" w:cs="Arial"/>
          <w:sz w:val="22"/>
          <w:szCs w:val="22"/>
        </w:rPr>
        <w:t>a</w:t>
      </w:r>
      <w:r w:rsidR="005418B8" w:rsidRPr="006A231D">
        <w:rPr>
          <w:rFonts w:ascii="Arial" w:hAnsi="Arial" w:cs="Arial"/>
          <w:sz w:val="22"/>
          <w:szCs w:val="22"/>
        </w:rPr>
        <w:t>ccording to the Fisheries Administration</w:t>
      </w:r>
      <w:r w:rsidR="00121582" w:rsidRPr="006A231D">
        <w:rPr>
          <w:rFonts w:ascii="Arial" w:hAnsi="Arial" w:cs="Arial"/>
          <w:sz w:val="22"/>
          <w:szCs w:val="22"/>
        </w:rPr>
        <w:t xml:space="preserve"> (FiA)</w:t>
      </w:r>
      <w:r w:rsidR="005418B8" w:rsidRPr="006A231D">
        <w:rPr>
          <w:rFonts w:ascii="Arial" w:hAnsi="Arial" w:cs="Arial"/>
          <w:sz w:val="22"/>
          <w:szCs w:val="22"/>
        </w:rPr>
        <w:t>, Cambodia produced roughly 900,000 tonnes of fish (including aquaculture) in 2018, worth about USD 1.8 billion and contributing 8–10% of GDP (</w:t>
      </w:r>
      <w:r w:rsidR="00121582" w:rsidRPr="006A231D">
        <w:rPr>
          <w:rFonts w:ascii="Arial" w:hAnsi="Arial" w:cs="Arial"/>
          <w:sz w:val="22"/>
          <w:szCs w:val="22"/>
        </w:rPr>
        <w:t>FiA, MAFF, 2020)</w:t>
      </w:r>
      <w:r w:rsidR="005418B8" w:rsidRPr="006A231D">
        <w:rPr>
          <w:rFonts w:ascii="Arial" w:hAnsi="Arial" w:cs="Arial"/>
          <w:sz w:val="22"/>
          <w:szCs w:val="22"/>
        </w:rPr>
        <w:t>.</w:t>
      </w:r>
      <w:r w:rsidR="00121582" w:rsidRPr="006A231D">
        <w:rPr>
          <w:rFonts w:ascii="Arial" w:hAnsi="Arial" w:cs="Arial"/>
          <w:sz w:val="22"/>
          <w:szCs w:val="22"/>
        </w:rPr>
        <w:t xml:space="preserve"> </w:t>
      </w:r>
      <w:r w:rsidR="00437830" w:rsidRPr="006A231D">
        <w:rPr>
          <w:rFonts w:ascii="Arial" w:hAnsi="Arial" w:cs="Arial"/>
          <w:sz w:val="22"/>
          <w:szCs w:val="22"/>
        </w:rPr>
        <w:t xml:space="preserve">In recent years, Cambodia’s marine fisheries production value has stabilized around USD 190–200 million, contributing roughly one quarter of total national fisheries value, underscoring the sector’s continued economic importance despite signs of ecological pressure and resource decline (FAO FishStatJ, 2024). </w:t>
      </w:r>
      <w:r w:rsidR="00121582" w:rsidRPr="006A231D">
        <w:rPr>
          <w:rFonts w:ascii="Arial" w:hAnsi="Arial" w:cs="Arial"/>
          <w:sz w:val="22"/>
          <w:szCs w:val="22"/>
        </w:rPr>
        <w:t>Beyond recorded trade, a sizable volume of high-value marine products, notably finfish, shrimp, and squid, reportedly moves informally across the borders with Thailand and Viet Nam and is not captured in official statistics (UNIDO/MAFF, 2015)</w:t>
      </w:r>
      <w:r w:rsidR="000D7C3C" w:rsidRPr="006A231D">
        <w:rPr>
          <w:rFonts w:ascii="Arial" w:hAnsi="Arial" w:cs="Arial"/>
          <w:sz w:val="22"/>
          <w:szCs w:val="22"/>
        </w:rPr>
        <w:t>.</w:t>
      </w:r>
    </w:p>
    <w:p w14:paraId="2F9C9DB6" w14:textId="77777777" w:rsidR="0044518F" w:rsidRPr="00275B0E" w:rsidRDefault="0044518F"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2.2.3.2 Service and tourism revenue</w:t>
      </w:r>
    </w:p>
    <w:p w14:paraId="265B21EA" w14:textId="2B4F1169" w:rsidR="00C222A0" w:rsidRPr="006A231D" w:rsidRDefault="00AE7ED9" w:rsidP="00AE7ED9">
      <w:pPr>
        <w:spacing w:after="120"/>
        <w:jc w:val="both"/>
        <w:rPr>
          <w:rFonts w:ascii="Arial" w:hAnsi="Arial" w:cs="Arial"/>
          <w:sz w:val="22"/>
          <w:szCs w:val="22"/>
        </w:rPr>
      </w:pPr>
      <w:r w:rsidRPr="006A231D">
        <w:rPr>
          <w:rFonts w:ascii="Arial" w:hAnsi="Arial" w:cs="Arial"/>
          <w:sz w:val="22"/>
          <w:szCs w:val="22"/>
        </w:rPr>
        <w:t xml:space="preserve">Services expanded from </w:t>
      </w:r>
      <w:r w:rsidR="00066F4E" w:rsidRPr="006A231D">
        <w:rPr>
          <w:rFonts w:ascii="Arial" w:hAnsi="Arial" w:cs="Arial"/>
          <w:sz w:val="22"/>
          <w:szCs w:val="22"/>
        </w:rPr>
        <w:t>US</w:t>
      </w:r>
      <w:r w:rsidRPr="006A231D">
        <w:rPr>
          <w:rFonts w:ascii="Arial" w:hAnsi="Arial" w:cs="Arial"/>
          <w:sz w:val="22"/>
          <w:szCs w:val="22"/>
        </w:rPr>
        <w:t>$1.95</w:t>
      </w:r>
      <w:r w:rsidR="00B8070E" w:rsidRPr="006A231D">
        <w:rPr>
          <w:rFonts w:ascii="Arial" w:hAnsi="Arial" w:cs="Arial"/>
          <w:sz w:val="22"/>
          <w:szCs w:val="22"/>
        </w:rPr>
        <w:t xml:space="preserve"> billion</w:t>
      </w:r>
      <w:r w:rsidRPr="006A231D">
        <w:rPr>
          <w:rFonts w:ascii="Arial" w:hAnsi="Arial" w:cs="Arial"/>
          <w:sz w:val="22"/>
          <w:szCs w:val="22"/>
        </w:rPr>
        <w:t xml:space="preserve"> </w:t>
      </w:r>
      <w:r w:rsidR="00B8070E" w:rsidRPr="006A231D">
        <w:rPr>
          <w:rFonts w:ascii="Arial" w:hAnsi="Arial" w:cs="Arial"/>
          <w:sz w:val="22"/>
          <w:szCs w:val="22"/>
        </w:rPr>
        <w:t xml:space="preserve">in </w:t>
      </w:r>
      <w:r w:rsidRPr="006A231D">
        <w:rPr>
          <w:rFonts w:ascii="Arial" w:hAnsi="Arial" w:cs="Arial"/>
          <w:sz w:val="22"/>
          <w:szCs w:val="22"/>
        </w:rPr>
        <w:t xml:space="preserve">1995 to </w:t>
      </w:r>
      <w:r w:rsidR="00066F4E" w:rsidRPr="006A231D">
        <w:rPr>
          <w:rFonts w:ascii="Arial" w:hAnsi="Arial" w:cs="Arial"/>
          <w:sz w:val="22"/>
          <w:szCs w:val="22"/>
        </w:rPr>
        <w:t>US</w:t>
      </w:r>
      <w:r w:rsidRPr="006A231D">
        <w:rPr>
          <w:rFonts w:ascii="Arial" w:hAnsi="Arial" w:cs="Arial"/>
          <w:sz w:val="22"/>
          <w:szCs w:val="22"/>
        </w:rPr>
        <w:t>$13.97</w:t>
      </w:r>
      <w:r w:rsidR="00B8070E" w:rsidRPr="006A231D">
        <w:rPr>
          <w:rFonts w:ascii="Arial" w:hAnsi="Arial" w:cs="Arial"/>
          <w:sz w:val="22"/>
          <w:szCs w:val="22"/>
        </w:rPr>
        <w:t xml:space="preserve"> billion</w:t>
      </w:r>
      <w:r w:rsidRPr="006A231D">
        <w:rPr>
          <w:rFonts w:ascii="Arial" w:hAnsi="Arial" w:cs="Arial"/>
          <w:sz w:val="22"/>
          <w:szCs w:val="22"/>
        </w:rPr>
        <w:t xml:space="preserve"> </w:t>
      </w:r>
      <w:r w:rsidR="00B8070E" w:rsidRPr="006A231D">
        <w:rPr>
          <w:rFonts w:ascii="Arial" w:hAnsi="Arial" w:cs="Arial"/>
          <w:sz w:val="22"/>
          <w:szCs w:val="22"/>
        </w:rPr>
        <w:t xml:space="preserve">in </w:t>
      </w:r>
      <w:r w:rsidRPr="006A231D">
        <w:rPr>
          <w:rFonts w:ascii="Arial" w:hAnsi="Arial" w:cs="Arial"/>
          <w:sz w:val="22"/>
          <w:szCs w:val="22"/>
        </w:rPr>
        <w:t>2024 in constant prices</w:t>
      </w:r>
      <w:r w:rsidR="003B5216" w:rsidRPr="006A231D">
        <w:rPr>
          <w:rFonts w:ascii="Arial" w:hAnsi="Arial" w:cs="Arial"/>
          <w:sz w:val="22"/>
          <w:szCs w:val="22"/>
        </w:rPr>
        <w:t xml:space="preserve">, </w:t>
      </w:r>
      <w:r w:rsidRPr="006A231D">
        <w:rPr>
          <w:rFonts w:ascii="Arial" w:hAnsi="Arial" w:cs="Arial"/>
          <w:sz w:val="22"/>
          <w:szCs w:val="22"/>
        </w:rPr>
        <w:t>around 7% real CAGR. The services share hovered near 39–42% through 2019, slipped during 2020–2021 (</w:t>
      </w:r>
      <w:r w:rsidR="00174296" w:rsidRPr="006A231D">
        <w:rPr>
          <w:rFonts w:ascii="Arial" w:hAnsi="Arial" w:cs="Arial"/>
          <w:sz w:val="22"/>
          <w:szCs w:val="22"/>
        </w:rPr>
        <w:t xml:space="preserve">around </w:t>
      </w:r>
      <w:r w:rsidRPr="006A231D">
        <w:rPr>
          <w:rFonts w:ascii="Arial" w:hAnsi="Arial" w:cs="Arial"/>
          <w:sz w:val="22"/>
          <w:szCs w:val="22"/>
        </w:rPr>
        <w:t>36–39%), and, despite output growth, remained lower at 35.6% in 2024, indicating the composition has</w:t>
      </w:r>
      <w:r w:rsidR="007B3AE5" w:rsidRPr="006A231D">
        <w:rPr>
          <w:rFonts w:ascii="Arial" w:hAnsi="Arial" w:cs="Arial"/>
          <w:sz w:val="22"/>
          <w:szCs w:val="22"/>
        </w:rPr>
        <w:t xml:space="preserve"> not</w:t>
      </w:r>
      <w:r w:rsidRPr="006A231D">
        <w:rPr>
          <w:rFonts w:ascii="Arial" w:hAnsi="Arial" w:cs="Arial"/>
          <w:sz w:val="22"/>
          <w:szCs w:val="22"/>
        </w:rPr>
        <w:t xml:space="preserve"> fully normalized post-pandemic</w:t>
      </w:r>
      <w:r w:rsidR="00C222A0" w:rsidRPr="006A231D">
        <w:rPr>
          <w:rFonts w:ascii="Arial" w:hAnsi="Arial" w:cs="Arial"/>
          <w:sz w:val="22"/>
          <w:szCs w:val="22"/>
        </w:rPr>
        <w:t xml:space="preserve"> (WB</w:t>
      </w:r>
      <w:r w:rsidR="00C222A0" w:rsidRPr="006A231D">
        <w:rPr>
          <w:rFonts w:ascii="Cambria Math" w:hAnsi="Cambria Math" w:cs="Cambria Math"/>
          <w:sz w:val="22"/>
          <w:szCs w:val="22"/>
        </w:rPr>
        <w:t>‑</w:t>
      </w:r>
      <w:r w:rsidR="00C222A0" w:rsidRPr="006A231D">
        <w:rPr>
          <w:rFonts w:ascii="Arial" w:hAnsi="Arial" w:cs="Arial"/>
          <w:sz w:val="22"/>
          <w:szCs w:val="22"/>
        </w:rPr>
        <w:t>WDI, 2025)</w:t>
      </w:r>
      <w:r w:rsidRPr="006A231D">
        <w:rPr>
          <w:rFonts w:ascii="Arial" w:hAnsi="Arial" w:cs="Arial"/>
          <w:sz w:val="22"/>
          <w:szCs w:val="22"/>
        </w:rPr>
        <w:t xml:space="preserve">. </w:t>
      </w:r>
      <w:r w:rsidR="006A231D" w:rsidRPr="006A231D">
        <w:rPr>
          <w:rFonts w:ascii="Arial" w:hAnsi="Arial" w:cs="Arial"/>
          <w:sz w:val="22"/>
          <w:szCs w:val="22"/>
        </w:rPr>
        <w:t xml:space="preserve">See </w:t>
      </w:r>
      <w:r w:rsidR="006A231D" w:rsidRPr="006A231D">
        <w:rPr>
          <w:rFonts w:ascii="Arial" w:hAnsi="Arial" w:cs="Arial"/>
          <w:sz w:val="22"/>
          <w:szCs w:val="22"/>
        </w:rPr>
        <w:fldChar w:fldCharType="begin"/>
      </w:r>
      <w:r w:rsidR="006A231D" w:rsidRPr="006A231D">
        <w:rPr>
          <w:rFonts w:ascii="Arial" w:hAnsi="Arial" w:cs="Arial"/>
          <w:sz w:val="22"/>
          <w:szCs w:val="22"/>
        </w:rPr>
        <w:instrText xml:space="preserve"> REF _Ref215218876 \h </w:instrText>
      </w:r>
      <w:r w:rsidR="006A231D">
        <w:rPr>
          <w:rFonts w:ascii="Arial" w:hAnsi="Arial" w:cs="Arial"/>
          <w:sz w:val="22"/>
          <w:szCs w:val="22"/>
        </w:rPr>
        <w:instrText xml:space="preserve"> \* MERGEFORMAT </w:instrText>
      </w:r>
      <w:r w:rsidR="006A231D" w:rsidRPr="006A231D">
        <w:rPr>
          <w:rFonts w:ascii="Arial" w:hAnsi="Arial" w:cs="Arial"/>
          <w:sz w:val="22"/>
          <w:szCs w:val="22"/>
        </w:rPr>
      </w:r>
      <w:r w:rsidR="006A231D" w:rsidRPr="006A231D">
        <w:rPr>
          <w:rFonts w:ascii="Arial" w:hAnsi="Arial" w:cs="Arial"/>
          <w:sz w:val="22"/>
          <w:szCs w:val="22"/>
        </w:rPr>
        <w:fldChar w:fldCharType="separate"/>
      </w:r>
      <w:r w:rsidR="005A16C1" w:rsidRPr="00150993">
        <w:rPr>
          <w:rFonts w:ascii="Arial" w:eastAsiaTheme="minorHAnsi" w:hAnsi="Arial" w:cs="Arial"/>
          <w:color w:val="002060"/>
          <w:kern w:val="2"/>
          <w:sz w:val="22"/>
          <w:szCs w:val="22"/>
          <w14:ligatures w14:val="standardContextual"/>
        </w:rPr>
        <w:t>Annex Table 2-</w:t>
      </w:r>
      <w:r w:rsidR="005A16C1">
        <w:rPr>
          <w:rFonts w:ascii="Arial" w:eastAsiaTheme="minorHAnsi" w:hAnsi="Arial" w:cs="Arial"/>
          <w:color w:val="002060"/>
          <w:kern w:val="2"/>
          <w:sz w:val="22"/>
          <w:szCs w:val="22"/>
          <w14:ligatures w14:val="standardContextual"/>
        </w:rPr>
        <w:t>9</w:t>
      </w:r>
      <w:r w:rsidR="006A231D" w:rsidRPr="006A231D">
        <w:rPr>
          <w:rFonts w:ascii="Arial" w:hAnsi="Arial" w:cs="Arial"/>
          <w:sz w:val="22"/>
          <w:szCs w:val="22"/>
        </w:rPr>
        <w:fldChar w:fldCharType="end"/>
      </w:r>
      <w:r w:rsidR="006A231D" w:rsidRPr="006A231D">
        <w:rPr>
          <w:rFonts w:ascii="Arial" w:hAnsi="Arial" w:cs="Arial"/>
          <w:sz w:val="22"/>
          <w:szCs w:val="22"/>
        </w:rPr>
        <w:t xml:space="preserve"> for more detail. </w:t>
      </w:r>
    </w:p>
    <w:p w14:paraId="1130DCD6" w14:textId="77777777" w:rsidR="00174296" w:rsidRPr="006A231D" w:rsidRDefault="00BB2A0E" w:rsidP="00174296">
      <w:pPr>
        <w:spacing w:after="120"/>
        <w:jc w:val="both"/>
        <w:rPr>
          <w:rFonts w:ascii="Arial" w:hAnsi="Arial" w:cs="Arial"/>
          <w:sz w:val="22"/>
          <w:szCs w:val="22"/>
        </w:rPr>
      </w:pPr>
      <w:r w:rsidRPr="006A231D">
        <w:rPr>
          <w:rFonts w:ascii="Arial" w:hAnsi="Arial" w:cs="Arial"/>
          <w:sz w:val="22"/>
          <w:szCs w:val="22"/>
        </w:rPr>
        <w:t>Tourism is becoming an increasingly significant part of Cambodia’s economy, with beaches and offshore islands serving as major visitor magnets, mainly activity concentrated in Kampot and Preah Sihanouk. Sustained growth depends on the health of coastal ecosystems—especially coral reefs, beaches, and seagrass beds</w:t>
      </w:r>
      <w:r w:rsidR="00174296" w:rsidRPr="006A231D">
        <w:rPr>
          <w:rFonts w:ascii="Arial" w:hAnsi="Arial" w:cs="Arial"/>
          <w:sz w:val="22"/>
          <w:szCs w:val="22"/>
        </w:rPr>
        <w:t xml:space="preserve"> </w:t>
      </w:r>
      <w:r w:rsidRPr="006A231D">
        <w:rPr>
          <w:rFonts w:ascii="Arial" w:hAnsi="Arial" w:cs="Arial"/>
          <w:sz w:val="22"/>
          <w:szCs w:val="22"/>
        </w:rPr>
        <w:t xml:space="preserve">(MoE &amp; NCSD, 2022). </w:t>
      </w:r>
      <w:r w:rsidR="00737B2B" w:rsidRPr="006A231D">
        <w:rPr>
          <w:rFonts w:ascii="Arial" w:hAnsi="Arial" w:cs="Arial"/>
          <w:sz w:val="22"/>
          <w:szCs w:val="22"/>
        </w:rPr>
        <w:t>Preah Sihanouk hosts the main deep</w:t>
      </w:r>
      <w:r w:rsidR="00737B2B" w:rsidRPr="006A231D">
        <w:rPr>
          <w:rFonts w:ascii="Cambria Math" w:hAnsi="Cambria Math" w:cs="Cambria Math"/>
          <w:sz w:val="22"/>
          <w:szCs w:val="22"/>
        </w:rPr>
        <w:t>‑</w:t>
      </w:r>
      <w:r w:rsidR="00737B2B" w:rsidRPr="006A231D">
        <w:rPr>
          <w:rFonts w:ascii="Arial" w:hAnsi="Arial" w:cs="Arial"/>
          <w:sz w:val="22"/>
          <w:szCs w:val="22"/>
        </w:rPr>
        <w:t>sea port and a tourism hub; Kampot and Kep combine agro</w:t>
      </w:r>
      <w:r w:rsidR="00737B2B" w:rsidRPr="006A231D">
        <w:rPr>
          <w:rFonts w:ascii="Cambria Math" w:hAnsi="Cambria Math" w:cs="Cambria Math"/>
          <w:sz w:val="22"/>
          <w:szCs w:val="22"/>
        </w:rPr>
        <w:t>‑</w:t>
      </w:r>
      <w:r w:rsidR="00737B2B" w:rsidRPr="006A231D">
        <w:rPr>
          <w:rFonts w:ascii="Arial" w:hAnsi="Arial" w:cs="Arial"/>
          <w:sz w:val="22"/>
          <w:szCs w:val="22"/>
        </w:rPr>
        <w:t>processing and cultural/ecotourism; Koh Kong anchors mangrove/coastal tourism and fisheries. Ministry of Tourism reporting shows a strong rebound in coastal arrivals since 2023, led by Preah Sihanouk</w:t>
      </w:r>
      <w:r w:rsidRPr="006A231D">
        <w:rPr>
          <w:rFonts w:ascii="Arial" w:hAnsi="Arial" w:cs="Arial"/>
          <w:sz w:val="22"/>
          <w:szCs w:val="22"/>
        </w:rPr>
        <w:t xml:space="preserve"> (</w:t>
      </w:r>
      <w:r w:rsidR="00737B2B" w:rsidRPr="006A231D">
        <w:rPr>
          <w:rFonts w:ascii="Arial" w:hAnsi="Arial" w:cs="Arial"/>
          <w:sz w:val="22"/>
          <w:szCs w:val="22"/>
        </w:rPr>
        <w:t>M</w:t>
      </w:r>
      <w:r w:rsidR="008237A9" w:rsidRPr="006A231D">
        <w:rPr>
          <w:rFonts w:ascii="Arial" w:hAnsi="Arial" w:cs="Arial"/>
          <w:sz w:val="22"/>
          <w:szCs w:val="22"/>
        </w:rPr>
        <w:t>o</w:t>
      </w:r>
      <w:r w:rsidR="00737B2B" w:rsidRPr="006A231D">
        <w:rPr>
          <w:rFonts w:ascii="Arial" w:hAnsi="Arial" w:cs="Arial"/>
          <w:sz w:val="22"/>
          <w:szCs w:val="22"/>
        </w:rPr>
        <w:t>T; WTTC</w:t>
      </w:r>
      <w:r w:rsidRPr="006A231D">
        <w:rPr>
          <w:rFonts w:ascii="Arial" w:hAnsi="Arial" w:cs="Arial"/>
          <w:sz w:val="22"/>
          <w:szCs w:val="22"/>
        </w:rPr>
        <w:t xml:space="preserve">). </w:t>
      </w:r>
      <w:r w:rsidR="00C222A0" w:rsidRPr="006A231D">
        <w:rPr>
          <w:rFonts w:ascii="Arial" w:hAnsi="Arial" w:cs="Arial"/>
          <w:sz w:val="22"/>
          <w:szCs w:val="22"/>
        </w:rPr>
        <w:t>In 2016, Preah Sihanouk Province alone welcomed nearly 2.4 million tourists, which generated US$96 million in revenue (</w:t>
      </w:r>
      <w:r w:rsidR="00E2185E" w:rsidRPr="006A231D">
        <w:rPr>
          <w:rFonts w:ascii="Arial" w:hAnsi="Arial" w:cs="Arial"/>
          <w:sz w:val="22"/>
          <w:szCs w:val="22"/>
        </w:rPr>
        <w:t>PEMSEA &amp; MoE, 2019</w:t>
      </w:r>
      <w:r w:rsidR="003B5216" w:rsidRPr="006A231D">
        <w:rPr>
          <w:rFonts w:ascii="Arial" w:hAnsi="Arial" w:cs="Arial"/>
          <w:sz w:val="22"/>
          <w:szCs w:val="22"/>
        </w:rPr>
        <w:t>).</w:t>
      </w:r>
      <w:r w:rsidR="00174296" w:rsidRPr="006A231D">
        <w:rPr>
          <w:rFonts w:ascii="Arial" w:hAnsi="Arial" w:cs="Arial"/>
          <w:sz w:val="22"/>
          <w:szCs w:val="22"/>
        </w:rPr>
        <w:t xml:space="preserve"> Pre-COVID, tourism averaged approximately 17% of GDP (2010–2019), reinforcing that shocks and rebounds in tourism heavily influence national cycles (World Bank, 2023). </w:t>
      </w:r>
    </w:p>
    <w:p w14:paraId="4819D277" w14:textId="216994CD" w:rsidR="00F72346" w:rsidRPr="006A231D" w:rsidRDefault="00F72346" w:rsidP="00737B2B">
      <w:pPr>
        <w:spacing w:after="120"/>
        <w:jc w:val="both"/>
        <w:rPr>
          <w:rFonts w:ascii="Arial" w:hAnsi="Arial" w:cs="Arial"/>
          <w:sz w:val="22"/>
          <w:szCs w:val="22"/>
        </w:rPr>
      </w:pPr>
      <w:r w:rsidRPr="006A231D">
        <w:rPr>
          <w:rFonts w:ascii="Arial" w:hAnsi="Arial" w:cs="Arial"/>
          <w:sz w:val="22"/>
          <w:szCs w:val="22"/>
        </w:rPr>
        <w:t xml:space="preserve">Spalding et al. (2017) </w:t>
      </w:r>
      <w:r w:rsidR="006A231D" w:rsidRPr="006A231D">
        <w:rPr>
          <w:rFonts w:ascii="Arial" w:hAnsi="Arial" w:cs="Arial"/>
          <w:sz w:val="22"/>
          <w:szCs w:val="22"/>
        </w:rPr>
        <w:t>estimate Cambodia’s reef-related visitor expenditure at US$18.3 million/year, compared with US$2.104 billion in total visitor spending—about 0.87% of national tourism spending. Using the same reference year for tourism GDP, reef tourism therefore contributes roughly 0.87% of tourism GDP and about 0.13% of national GDP. Although modest in national terms, the average value of ~US$158,000 per km² of reef highlights the high local importance of reef sites for snorkeling, diving, beaches and reef-sheltered coastal destinations (Spalding et al., 2017, Table A1).</w:t>
      </w:r>
    </w:p>
    <w:p w14:paraId="55DDFD53" w14:textId="77777777" w:rsidR="00737B2B"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54" w:name="_Toc213424658"/>
      <w:bookmarkStart w:id="55" w:name="_Toc217231518"/>
      <w:r w:rsidRPr="00275B0E">
        <w:rPr>
          <w:rFonts w:ascii="Arial" w:eastAsia="Times New Roman" w:hAnsi="Arial" w:cs="Arial"/>
          <w:b/>
          <w:bCs/>
          <w:color w:val="auto"/>
          <w:sz w:val="24"/>
          <w:szCs w:val="24"/>
        </w:rPr>
        <w:t>2.2.4 Climate-related Threats</w:t>
      </w:r>
      <w:bookmarkEnd w:id="54"/>
      <w:bookmarkEnd w:id="55"/>
    </w:p>
    <w:p w14:paraId="404C3D08" w14:textId="58AC40E6" w:rsidR="00222D7E" w:rsidRPr="006A231D" w:rsidRDefault="00731E73" w:rsidP="00620A5B">
      <w:pPr>
        <w:spacing w:after="120"/>
        <w:jc w:val="both"/>
        <w:rPr>
          <w:rFonts w:ascii="Arial" w:hAnsi="Arial" w:cs="Arial"/>
          <w:sz w:val="22"/>
          <w:szCs w:val="22"/>
        </w:rPr>
      </w:pPr>
      <w:r w:rsidRPr="006A231D">
        <w:rPr>
          <w:rFonts w:ascii="Arial" w:hAnsi="Arial" w:cs="Arial"/>
          <w:sz w:val="22"/>
          <w:szCs w:val="22"/>
        </w:rPr>
        <w:t>Cambodia is highly exposed to floods, droughts and typhoons, which are becoming more frequent and damaging to people, infrastructure and food security (CFE-DMHA, 2024). Mortality peaks in large riverine floods, people-affected peaks in drought years, and both hazards generate major economic losses, with storms adding concentrated coastal damage. Floods mainly hit lowland basins, while droughts are geographically widespread (MoE &amp; NCSD, 2022). Coastal provinces appear in all three hazard types, underscoring the need for an integrated portfolio of basin floodplain management, urban drainage, nature-based defenses, drought-water security and storm-resilient infrastructure and evacuation.</w:t>
      </w:r>
      <w:r w:rsidR="00E90FC0" w:rsidRPr="006A231D">
        <w:rPr>
          <w:rFonts w:ascii="Arial" w:hAnsi="Arial" w:cs="Arial"/>
          <w:sz w:val="22"/>
          <w:szCs w:val="22"/>
        </w:rPr>
        <w:t xml:space="preserve"> </w:t>
      </w:r>
      <w:r w:rsidR="00C35613" w:rsidRPr="006A231D">
        <w:rPr>
          <w:rFonts w:ascii="Arial" w:hAnsi="Arial" w:cs="Arial"/>
          <w:sz w:val="22"/>
          <w:szCs w:val="22"/>
        </w:rPr>
        <w:t xml:space="preserve">See </w:t>
      </w:r>
      <w:r w:rsidR="00810FDE">
        <w:rPr>
          <w:rFonts w:ascii="Arial" w:hAnsi="Arial" w:cs="Arial"/>
          <w:sz w:val="22"/>
          <w:szCs w:val="22"/>
        </w:rPr>
        <w:fldChar w:fldCharType="begin"/>
      </w:r>
      <w:r w:rsidR="00810FDE">
        <w:rPr>
          <w:rFonts w:ascii="Arial" w:hAnsi="Arial" w:cs="Arial"/>
          <w:sz w:val="22"/>
          <w:szCs w:val="22"/>
        </w:rPr>
        <w:instrText xml:space="preserve"> REF _Ref215217014 \h </w:instrText>
      </w:r>
      <w:r w:rsidR="00810FDE">
        <w:rPr>
          <w:rFonts w:ascii="Arial" w:hAnsi="Arial" w:cs="Arial"/>
          <w:sz w:val="22"/>
          <w:szCs w:val="22"/>
        </w:rPr>
      </w:r>
      <w:r w:rsidR="00810FDE">
        <w:rPr>
          <w:rFonts w:ascii="Arial" w:hAnsi="Arial" w:cs="Arial"/>
          <w:sz w:val="22"/>
          <w:szCs w:val="22"/>
        </w:rPr>
        <w:fldChar w:fldCharType="separate"/>
      </w:r>
      <w:r w:rsidR="005A16C1" w:rsidRPr="00D905C9">
        <w:rPr>
          <w:rFonts w:ascii="Arial" w:eastAsiaTheme="minorHAnsi" w:hAnsi="Arial" w:cs="Arial"/>
          <w:color w:val="002060"/>
          <w:kern w:val="2"/>
          <w:sz w:val="22"/>
          <w:szCs w:val="22"/>
          <w14:ligatures w14:val="standardContextual"/>
        </w:rPr>
        <w:t>Annex Table 2-</w:t>
      </w:r>
      <w:r w:rsidR="005A16C1">
        <w:rPr>
          <w:rFonts w:ascii="Arial" w:eastAsiaTheme="minorHAnsi" w:hAnsi="Arial" w:cs="Arial"/>
          <w:noProof/>
          <w:color w:val="002060"/>
          <w:kern w:val="2"/>
          <w:sz w:val="22"/>
          <w:szCs w:val="22"/>
          <w14:ligatures w14:val="standardContextual"/>
        </w:rPr>
        <w:t>11</w:t>
      </w:r>
      <w:r w:rsidR="00810FDE">
        <w:rPr>
          <w:rFonts w:ascii="Arial" w:hAnsi="Arial" w:cs="Arial"/>
          <w:sz w:val="22"/>
          <w:szCs w:val="22"/>
        </w:rPr>
        <w:fldChar w:fldCharType="end"/>
      </w:r>
      <w:r w:rsidR="00C35613" w:rsidRPr="006A231D">
        <w:rPr>
          <w:rFonts w:ascii="Arial" w:hAnsi="Arial" w:cs="Arial"/>
          <w:sz w:val="22"/>
          <w:szCs w:val="22"/>
        </w:rPr>
        <w:t xml:space="preserve"> for summary of major climate- and weather-related disasters in cambodia, 2000–2023.</w:t>
      </w:r>
    </w:p>
    <w:p w14:paraId="47CE3A9E" w14:textId="77777777" w:rsidR="00CD7F2A" w:rsidRPr="00275B0E" w:rsidRDefault="008237A9"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2.2.4.1 </w:t>
      </w:r>
      <w:r w:rsidR="009C78CA" w:rsidRPr="00275B0E">
        <w:rPr>
          <w:rFonts w:ascii="Arial" w:hAnsi="Arial" w:cs="Arial"/>
          <w:b/>
          <w:bCs/>
          <w:i w:val="0"/>
          <w:iCs w:val="0"/>
          <w:color w:val="0070C0"/>
          <w:sz w:val="22"/>
          <w:szCs w:val="22"/>
        </w:rPr>
        <w:t>Floods</w:t>
      </w:r>
    </w:p>
    <w:p w14:paraId="4DAB89A7" w14:textId="77777777" w:rsidR="00452AF6" w:rsidRPr="006A231D" w:rsidRDefault="00CD7F2A" w:rsidP="0018585D">
      <w:pPr>
        <w:spacing w:after="120"/>
        <w:jc w:val="both"/>
        <w:rPr>
          <w:rFonts w:ascii="Arial" w:hAnsi="Arial" w:cs="Arial"/>
          <w:sz w:val="22"/>
          <w:szCs w:val="22"/>
        </w:rPr>
      </w:pPr>
      <w:r w:rsidRPr="006A231D">
        <w:rPr>
          <w:rFonts w:ascii="Arial" w:hAnsi="Arial" w:cs="Arial"/>
          <w:b/>
          <w:bCs/>
          <w:sz w:val="22"/>
          <w:szCs w:val="22"/>
        </w:rPr>
        <w:t>Floods remain Cambodia’s most lethal climate hazard</w:t>
      </w:r>
      <w:r w:rsidR="00174296" w:rsidRPr="006A231D">
        <w:rPr>
          <w:rFonts w:ascii="Arial" w:hAnsi="Arial" w:cs="Arial"/>
          <w:b/>
          <w:bCs/>
          <w:sz w:val="22"/>
          <w:szCs w:val="22"/>
        </w:rPr>
        <w:t>, and the frequency of severe floods has increased over the last decade.</w:t>
      </w:r>
      <w:r w:rsidRPr="006A231D">
        <w:rPr>
          <w:rFonts w:ascii="Arial" w:hAnsi="Arial" w:cs="Arial"/>
          <w:sz w:val="22"/>
          <w:szCs w:val="22"/>
        </w:rPr>
        <w:t xml:space="preserve"> The largest riverine floods, especially 2000, 2011, and 2013, caused extreme mortality and widespread disruption. EM-DAT records for 2000 indicate 347 deaths and 3.45 million people affected; for 2011, 247 deaths, 1.64 million affected, and about US$521 million in damages (about $726.561 million adjusted); and for 2013, 200 deaths and 1.50 million affected, and $500 million damages ($673.276million adjusted) (CRED, UCLouvain, 2025). </w:t>
      </w:r>
    </w:p>
    <w:p w14:paraId="48CCA5BB" w14:textId="77777777" w:rsidR="00CD7F2A" w:rsidRPr="006A231D" w:rsidRDefault="00CD7F2A" w:rsidP="0018585D">
      <w:pPr>
        <w:spacing w:after="120"/>
        <w:jc w:val="both"/>
        <w:rPr>
          <w:rFonts w:ascii="Arial" w:hAnsi="Arial" w:cs="Arial"/>
          <w:sz w:val="22"/>
          <w:szCs w:val="22"/>
        </w:rPr>
      </w:pPr>
      <w:r w:rsidRPr="006A231D">
        <w:rPr>
          <w:rFonts w:ascii="Arial" w:hAnsi="Arial" w:cs="Arial"/>
          <w:sz w:val="22"/>
          <w:szCs w:val="22"/>
        </w:rPr>
        <w:t xml:space="preserve">The 2011 event aligns with the CFE-DM history: heavy Mekong flooding affected 18 provinces, caused ~250 deaths, displaced ~52,000 households, and produced an estimated US$630 million in damages (CFE-DMHA, 2024). The 2013 floods impacted 20 provinces, affected more than 1.7 million people, and caused 188 deaths, with over 144,000 evacuees (CFE-DMHA, 2024). In October 2020, flash floods again underscored systemic exposure, affecting ~176,000 households across 14 provinces and damaging homes, public infrastructure, and farmland (CFE-DMHA, 2024). Although post-2015 floods have generally been less deadly, events such as 2019 and 2022 show continuing high exposure across the Mekong–Tonle Sap–Bassac system and into coastal provinces including Koh Kong, Preah Sihanouk, and Kampot (CRED, UCLouvain, 2025). </w:t>
      </w:r>
    </w:p>
    <w:p w14:paraId="6DFEDD82" w14:textId="77777777" w:rsidR="00222D7E" w:rsidRPr="00275B0E" w:rsidRDefault="008237A9"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2.2.4.2 </w:t>
      </w:r>
      <w:r w:rsidR="009C78CA" w:rsidRPr="00275B0E">
        <w:rPr>
          <w:rFonts w:ascii="Arial" w:hAnsi="Arial" w:cs="Arial"/>
          <w:b/>
          <w:bCs/>
          <w:i w:val="0"/>
          <w:iCs w:val="0"/>
          <w:color w:val="0070C0"/>
          <w:sz w:val="22"/>
          <w:szCs w:val="22"/>
        </w:rPr>
        <w:t>Drought</w:t>
      </w:r>
    </w:p>
    <w:p w14:paraId="6584B79D" w14:textId="77777777" w:rsidR="00452AF6" w:rsidRPr="006A231D" w:rsidRDefault="009C78CA" w:rsidP="004D1279">
      <w:pPr>
        <w:spacing w:after="120"/>
        <w:jc w:val="both"/>
        <w:rPr>
          <w:rFonts w:ascii="Arial" w:hAnsi="Arial" w:cs="Arial"/>
          <w:sz w:val="22"/>
          <w:szCs w:val="22"/>
        </w:rPr>
      </w:pPr>
      <w:r w:rsidRPr="006A231D">
        <w:rPr>
          <w:rFonts w:ascii="Arial" w:hAnsi="Arial" w:cs="Arial"/>
          <w:b/>
          <w:bCs/>
          <w:sz w:val="22"/>
          <w:szCs w:val="22"/>
        </w:rPr>
        <w:t>Drought produces the largest single-year populations affected and recurring livelihood shocks</w:t>
      </w:r>
      <w:r w:rsidRPr="006A231D">
        <w:rPr>
          <w:rFonts w:ascii="Arial" w:hAnsi="Arial" w:cs="Arial"/>
          <w:sz w:val="22"/>
          <w:szCs w:val="22"/>
        </w:rPr>
        <w:t xml:space="preserve">. </w:t>
      </w:r>
      <w:r w:rsidR="004D1279" w:rsidRPr="006A231D">
        <w:rPr>
          <w:rFonts w:ascii="Arial" w:hAnsi="Arial" w:cs="Arial"/>
          <w:sz w:val="22"/>
          <w:szCs w:val="22"/>
        </w:rPr>
        <w:t>According to EM-DAT dataset, m</w:t>
      </w:r>
      <w:r w:rsidRPr="006A231D">
        <w:rPr>
          <w:rFonts w:ascii="Arial" w:hAnsi="Arial" w:cs="Arial"/>
          <w:sz w:val="22"/>
          <w:szCs w:val="22"/>
        </w:rPr>
        <w:t>ajor episodes include 2001 (</w:t>
      </w:r>
      <w:r w:rsidR="001430CC" w:rsidRPr="006A231D">
        <w:rPr>
          <w:rFonts w:ascii="Arial" w:hAnsi="Arial" w:cs="Arial"/>
          <w:sz w:val="22"/>
          <w:szCs w:val="22"/>
        </w:rPr>
        <w:t xml:space="preserve">approximately </w:t>
      </w:r>
      <w:r w:rsidRPr="006A231D">
        <w:rPr>
          <w:rFonts w:ascii="Arial" w:hAnsi="Arial" w:cs="Arial"/>
          <w:sz w:val="22"/>
          <w:szCs w:val="22"/>
        </w:rPr>
        <w:t>300,000 affected), 2002 (</w:t>
      </w:r>
      <w:r w:rsidR="00CD7F2A" w:rsidRPr="006A231D">
        <w:rPr>
          <w:rFonts w:ascii="Arial" w:hAnsi="Arial" w:cs="Arial"/>
          <w:sz w:val="22"/>
          <w:szCs w:val="22"/>
        </w:rPr>
        <w:t xml:space="preserve">about </w:t>
      </w:r>
      <w:r w:rsidRPr="006A231D">
        <w:rPr>
          <w:rFonts w:ascii="Arial" w:hAnsi="Arial" w:cs="Arial"/>
          <w:sz w:val="22"/>
          <w:szCs w:val="22"/>
        </w:rPr>
        <w:t>650,000 affected; $38</w:t>
      </w:r>
      <w:r w:rsidR="002F0BAF" w:rsidRPr="006A231D">
        <w:rPr>
          <w:rFonts w:ascii="Arial" w:hAnsi="Arial" w:cs="Arial"/>
          <w:sz w:val="22"/>
          <w:szCs w:val="22"/>
        </w:rPr>
        <w:t xml:space="preserve"> million, about</w:t>
      </w:r>
      <w:r w:rsidRPr="006A231D">
        <w:rPr>
          <w:rFonts w:ascii="Arial" w:hAnsi="Arial" w:cs="Arial"/>
          <w:sz w:val="22"/>
          <w:szCs w:val="22"/>
        </w:rPr>
        <w:t xml:space="preserve"> $66</w:t>
      </w:r>
      <w:r w:rsidR="002F0BAF" w:rsidRPr="006A231D">
        <w:rPr>
          <w:rFonts w:ascii="Arial" w:hAnsi="Arial" w:cs="Arial"/>
          <w:sz w:val="22"/>
          <w:szCs w:val="22"/>
        </w:rPr>
        <w:t>.3 million</w:t>
      </w:r>
      <w:r w:rsidRPr="006A231D">
        <w:rPr>
          <w:rFonts w:ascii="Arial" w:hAnsi="Arial" w:cs="Arial"/>
          <w:sz w:val="22"/>
          <w:szCs w:val="22"/>
        </w:rPr>
        <w:t xml:space="preserve"> adjusted), 2005 (</w:t>
      </w:r>
      <w:r w:rsidR="001430CC" w:rsidRPr="006A231D">
        <w:rPr>
          <w:rFonts w:ascii="Arial" w:hAnsi="Arial" w:cs="Arial"/>
          <w:sz w:val="22"/>
          <w:szCs w:val="22"/>
        </w:rPr>
        <w:t xml:space="preserve">approximately </w:t>
      </w:r>
      <w:r w:rsidRPr="006A231D">
        <w:rPr>
          <w:rFonts w:ascii="Arial" w:hAnsi="Arial" w:cs="Arial"/>
          <w:sz w:val="22"/>
          <w:szCs w:val="22"/>
        </w:rPr>
        <w:t>600,000 affected), and a pronounced 2016 event (</w:t>
      </w:r>
      <w:r w:rsidR="0018585D" w:rsidRPr="006A231D">
        <w:rPr>
          <w:rFonts w:ascii="Arial" w:hAnsi="Arial" w:cs="Arial"/>
          <w:sz w:val="22"/>
          <w:szCs w:val="22"/>
        </w:rPr>
        <w:t xml:space="preserve">about </w:t>
      </w:r>
      <w:r w:rsidRPr="006A231D">
        <w:rPr>
          <w:rFonts w:ascii="Arial" w:hAnsi="Arial" w:cs="Arial"/>
          <w:sz w:val="22"/>
          <w:szCs w:val="22"/>
        </w:rPr>
        <w:t>2.5 million people affected)</w:t>
      </w:r>
      <w:r w:rsidR="00CD7F2A" w:rsidRPr="006A231D">
        <w:rPr>
          <w:rFonts w:ascii="Arial" w:hAnsi="Arial" w:cs="Arial"/>
          <w:sz w:val="22"/>
          <w:szCs w:val="22"/>
        </w:rPr>
        <w:t xml:space="preserve"> </w:t>
      </w:r>
      <w:r w:rsidR="00A35CCA" w:rsidRPr="006A231D">
        <w:rPr>
          <w:rFonts w:ascii="Arial" w:hAnsi="Arial" w:cs="Arial"/>
          <w:sz w:val="22"/>
          <w:szCs w:val="22"/>
        </w:rPr>
        <w:t>(CRED, UCLouvain, 2025)</w:t>
      </w:r>
      <w:r w:rsidRPr="006A231D">
        <w:rPr>
          <w:rFonts w:ascii="Arial" w:hAnsi="Arial" w:cs="Arial"/>
          <w:sz w:val="22"/>
          <w:szCs w:val="22"/>
        </w:rPr>
        <w:t>.</w:t>
      </w:r>
      <w:r w:rsidR="0018585D" w:rsidRPr="006A231D">
        <w:rPr>
          <w:rFonts w:ascii="Arial" w:hAnsi="Arial" w:cs="Arial"/>
          <w:sz w:val="22"/>
          <w:szCs w:val="22"/>
        </w:rPr>
        <w:t xml:space="preserve"> </w:t>
      </w:r>
    </w:p>
    <w:p w14:paraId="2F84F7C0" w14:textId="77777777" w:rsidR="00CD7F2A" w:rsidRPr="006A231D" w:rsidRDefault="00CD7F2A" w:rsidP="004D1279">
      <w:pPr>
        <w:spacing w:after="120"/>
        <w:jc w:val="both"/>
        <w:rPr>
          <w:rFonts w:ascii="Arial" w:hAnsi="Arial" w:cs="Arial"/>
          <w:sz w:val="22"/>
          <w:szCs w:val="22"/>
        </w:rPr>
      </w:pPr>
      <w:r w:rsidRPr="006A231D">
        <w:rPr>
          <w:rFonts w:ascii="Arial" w:hAnsi="Arial" w:cs="Arial"/>
          <w:sz w:val="22"/>
          <w:szCs w:val="22"/>
        </w:rPr>
        <w:t>The CFE-DM history similarly documents 2011–2012 agricultural drought (damage to rice fields across 11 provinces) and the 2015–2016 El Niño drought affecting at least half of districts and 18 provinces, with 2.5 million people impacted and significant crop and water-supply losses</w:t>
      </w:r>
      <w:r w:rsidR="000B6F61" w:rsidRPr="006A231D">
        <w:rPr>
          <w:rFonts w:ascii="Arial" w:hAnsi="Arial" w:cs="Arial"/>
          <w:sz w:val="22"/>
          <w:szCs w:val="22"/>
        </w:rPr>
        <w:t xml:space="preserve"> (CFE-DMHA, 2024)</w:t>
      </w:r>
      <w:r w:rsidRPr="006A231D">
        <w:rPr>
          <w:rFonts w:ascii="Arial" w:hAnsi="Arial" w:cs="Arial"/>
          <w:sz w:val="22"/>
          <w:szCs w:val="22"/>
        </w:rPr>
        <w:t>. While primarily inland, these droughts repeatedly touch coastal provinces and supply chains, underscoring needs for resilient water storage, drought-tolerant inputs, and shock-responsive safety nets.</w:t>
      </w:r>
    </w:p>
    <w:p w14:paraId="1B2141F1" w14:textId="77777777" w:rsidR="00222D7E" w:rsidRPr="00275B0E" w:rsidRDefault="008237A9"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2.2.4.3 </w:t>
      </w:r>
      <w:r w:rsidR="009C78CA" w:rsidRPr="00275B0E">
        <w:rPr>
          <w:rFonts w:ascii="Arial" w:hAnsi="Arial" w:cs="Arial"/>
          <w:b/>
          <w:bCs/>
          <w:i w:val="0"/>
          <w:iCs w:val="0"/>
          <w:color w:val="0070C0"/>
          <w:sz w:val="22"/>
          <w:szCs w:val="22"/>
        </w:rPr>
        <w:t>Storms</w:t>
      </w:r>
      <w:r w:rsidRPr="00275B0E">
        <w:rPr>
          <w:rFonts w:ascii="Arial" w:hAnsi="Arial" w:cs="Arial"/>
          <w:b/>
          <w:bCs/>
          <w:i w:val="0"/>
          <w:iCs w:val="0"/>
          <w:color w:val="0070C0"/>
          <w:sz w:val="22"/>
          <w:szCs w:val="22"/>
        </w:rPr>
        <w:t xml:space="preserve"> &amp; Tropical cyclones</w:t>
      </w:r>
    </w:p>
    <w:p w14:paraId="54D81B8F" w14:textId="4B0D7545" w:rsidR="00731E73" w:rsidRPr="00150993" w:rsidRDefault="00731E73" w:rsidP="00731E73">
      <w:pPr>
        <w:spacing w:after="120"/>
        <w:jc w:val="both"/>
        <w:rPr>
          <w:rFonts w:ascii="Arial" w:hAnsi="Arial" w:cs="Arial"/>
          <w:sz w:val="22"/>
          <w:szCs w:val="22"/>
        </w:rPr>
      </w:pPr>
      <w:r w:rsidRPr="00F72346">
        <w:rPr>
          <w:rFonts w:ascii="Arial" w:hAnsi="Arial" w:cs="Arial"/>
          <w:b/>
          <w:bCs/>
          <w:sz w:val="22"/>
          <w:szCs w:val="22"/>
        </w:rPr>
        <w:t>Storms are episodic but increasingly costly.</w:t>
      </w:r>
      <w:r w:rsidRPr="00150993">
        <w:rPr>
          <w:rFonts w:ascii="Arial" w:hAnsi="Arial" w:cs="Arial"/>
          <w:sz w:val="22"/>
          <w:szCs w:val="22"/>
        </w:rPr>
        <w:t xml:space="preserve"> Cambodia </w:t>
      </w:r>
      <w:r w:rsidR="00F72346" w:rsidRPr="00F72346">
        <w:rPr>
          <w:rFonts w:ascii="Arial" w:hAnsi="Arial" w:cs="Arial"/>
          <w:sz w:val="22"/>
          <w:szCs w:val="22"/>
        </w:rPr>
        <w:t>experiences tropical cyclones or their remnants about six times per year between April and November (World Bank, 2023b). Even when landfall is indirect, associated floods, storm surge and lightning create compound risks for low-lying ports, estuaries and tourism towns (CRED, UCLouvain, 2025). EM-DAT notes, for example, a 2009 cyclone season with 17 deaths and 178,000 people affected, and 2020 storms causing 44 deaths, more than 750,000 affected and around US$100 million in damage, including in Koh Kong and Preah Sihanouk (CRED, UCLouvain, 2025).</w:t>
      </w:r>
    </w:p>
    <w:p w14:paraId="14111268" w14:textId="61EAC1B2" w:rsidR="00CD7F2A" w:rsidRPr="00150993" w:rsidRDefault="00731E73" w:rsidP="00731E73">
      <w:pPr>
        <w:spacing w:after="120"/>
        <w:jc w:val="both"/>
        <w:rPr>
          <w:rFonts w:ascii="Arial" w:hAnsi="Arial" w:cs="Arial"/>
          <w:sz w:val="20"/>
          <w:szCs w:val="20"/>
        </w:rPr>
      </w:pPr>
      <w:r w:rsidRPr="00150993">
        <w:rPr>
          <w:rFonts w:ascii="Arial" w:hAnsi="Arial" w:cs="Arial"/>
          <w:sz w:val="22"/>
          <w:szCs w:val="22"/>
        </w:rPr>
        <w:t xml:space="preserve">Typhoon </w:t>
      </w:r>
      <w:r w:rsidRPr="00150993">
        <w:rPr>
          <w:rStyle w:val="Strong"/>
          <w:rFonts w:ascii="Arial" w:eastAsiaTheme="majorEastAsia" w:hAnsi="Arial" w:cs="Arial"/>
          <w:sz w:val="22"/>
          <w:szCs w:val="22"/>
        </w:rPr>
        <w:t>Ketsana (2009)</w:t>
      </w:r>
      <w:r w:rsidRPr="00150993">
        <w:rPr>
          <w:rFonts w:ascii="Arial" w:hAnsi="Arial" w:cs="Arial"/>
          <w:sz w:val="22"/>
          <w:szCs w:val="22"/>
        </w:rPr>
        <w:t xml:space="preserve"> alone caused about 43 </w:t>
      </w:r>
      <w:r w:rsidR="00F72346" w:rsidRPr="00F72346">
        <w:rPr>
          <w:rFonts w:ascii="Arial" w:hAnsi="Arial" w:cs="Arial"/>
          <w:sz w:val="22"/>
          <w:szCs w:val="22"/>
        </w:rPr>
        <w:t>deaths, major damage to houses, rice crops and infrastructure, with recovery needs estimated near US$191 million (CFE-DMHA, 2024; MoE &amp; NCSD, 2022). Transboundary events such as the 2018 Xe-Pian Xe-Namnoy dam failure in Lao PDR led to evacuations and deaths in northern Cambodia without a shared early-warning system (CFE-DMHA, 2024). Recent years add storm surge and extreme lightning (e.g. 16 deaths from storm surge in 2022; over 14,000 people affected by lightning in 2023), underlining high compound risk from wind, surge, flash flooding and lightning in both inland and coastal areas (CRED, UCLouvain, 2025; AHA Centre, 2022).</w:t>
      </w:r>
    </w:p>
    <w:p w14:paraId="6DFBE5D6" w14:textId="77777777" w:rsidR="007615F1" w:rsidRPr="00275B0E" w:rsidRDefault="007615F1"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2.2.4.4 Sea-Level Rise (SLR)</w:t>
      </w:r>
    </w:p>
    <w:p w14:paraId="73AD3C93" w14:textId="77777777" w:rsidR="008237A9" w:rsidRPr="006A231D" w:rsidRDefault="00AE4D62" w:rsidP="00AE4D62">
      <w:pPr>
        <w:spacing w:after="120"/>
        <w:jc w:val="both"/>
        <w:rPr>
          <w:rFonts w:ascii="Arial" w:hAnsi="Arial" w:cs="Arial"/>
          <w:sz w:val="22"/>
          <w:szCs w:val="22"/>
        </w:rPr>
      </w:pPr>
      <w:r w:rsidRPr="006A231D">
        <w:rPr>
          <w:rFonts w:ascii="Arial" w:hAnsi="Arial" w:cs="Arial"/>
          <w:b/>
          <w:bCs/>
          <w:sz w:val="22"/>
          <w:szCs w:val="22"/>
        </w:rPr>
        <w:t>Cambodia's coastal zone is vulnerable to Sea-Level Rise (SLR)</w:t>
      </w:r>
      <w:r w:rsidRPr="006A231D">
        <w:rPr>
          <w:rFonts w:ascii="Arial" w:hAnsi="Arial" w:cs="Arial"/>
          <w:sz w:val="22"/>
          <w:szCs w:val="22"/>
        </w:rPr>
        <w:t xml:space="preserve">, seawater intrusion, storms, floods, pests in agriculture production, and contaminated drinking water </w:t>
      </w:r>
      <w:r w:rsidR="007615F1" w:rsidRPr="006A231D">
        <w:rPr>
          <w:rFonts w:ascii="Arial" w:hAnsi="Arial" w:cs="Arial"/>
          <w:sz w:val="22"/>
          <w:szCs w:val="22"/>
        </w:rPr>
        <w:t>(MoE &amp; NCSD, 2022)</w:t>
      </w:r>
      <w:r w:rsidRPr="006A231D">
        <w:rPr>
          <w:rFonts w:ascii="Arial" w:hAnsi="Arial" w:cs="Arial"/>
          <w:sz w:val="22"/>
          <w:szCs w:val="22"/>
        </w:rPr>
        <w:t xml:space="preserve">. </w:t>
      </w:r>
      <w:r w:rsidR="008237A9" w:rsidRPr="006A231D">
        <w:rPr>
          <w:rFonts w:ascii="Arial" w:hAnsi="Arial" w:cs="Arial"/>
          <w:sz w:val="22"/>
          <w:szCs w:val="22"/>
        </w:rPr>
        <w:t>Sea-level rise and warming seas intensify coastal risks. The handbook notes rising temperatures and changes in sea level and hydrological cycles that threaten productivity in fisheries and other climate-sensitive sectors—directly relevant to Cambodia’s Gulf of Thailand coastline and coastal livelihoods</w:t>
      </w:r>
      <w:r w:rsidR="00452AF6" w:rsidRPr="006A231D">
        <w:rPr>
          <w:rFonts w:ascii="Arial" w:hAnsi="Arial" w:cs="Arial"/>
          <w:sz w:val="22"/>
          <w:szCs w:val="22"/>
        </w:rPr>
        <w:t xml:space="preserve"> </w:t>
      </w:r>
      <w:r w:rsidR="00BB2A0E" w:rsidRPr="006A231D">
        <w:rPr>
          <w:rFonts w:ascii="Arial" w:hAnsi="Arial" w:cs="Arial"/>
          <w:sz w:val="22"/>
          <w:szCs w:val="22"/>
        </w:rPr>
        <w:t>(CFE-DMHA, 2024)</w:t>
      </w:r>
      <w:r w:rsidR="008237A9" w:rsidRPr="006A231D">
        <w:rPr>
          <w:rFonts w:ascii="Arial" w:hAnsi="Arial" w:cs="Arial"/>
          <w:sz w:val="22"/>
          <w:szCs w:val="22"/>
        </w:rPr>
        <w:t>.</w:t>
      </w:r>
    </w:p>
    <w:p w14:paraId="57F9BABA" w14:textId="77777777" w:rsidR="000073BA" w:rsidRPr="00275B0E" w:rsidRDefault="00797BE5" w:rsidP="00275B0E">
      <w:pPr>
        <w:pStyle w:val="Heading4"/>
        <w:adjustRightInd w:val="0"/>
        <w:snapToGrid w:val="0"/>
        <w:spacing w:before="240" w:after="240"/>
        <w:rPr>
          <w:rFonts w:ascii="Arial" w:hAnsi="Arial" w:cs="Arial"/>
          <w:b/>
          <w:bCs/>
          <w:i w:val="0"/>
          <w:iCs w:val="0"/>
          <w:color w:val="0070C0"/>
          <w:sz w:val="22"/>
          <w:szCs w:val="22"/>
        </w:rPr>
      </w:pPr>
      <w:r w:rsidRPr="00275B0E">
        <w:rPr>
          <w:rFonts w:ascii="Arial" w:hAnsi="Arial" w:cs="Arial"/>
          <w:b/>
          <w:bCs/>
          <w:i w:val="0"/>
          <w:iCs w:val="0"/>
          <w:color w:val="0070C0"/>
          <w:sz w:val="22"/>
          <w:szCs w:val="22"/>
        </w:rPr>
        <w:t xml:space="preserve">2.2.4.2 </w:t>
      </w:r>
      <w:r w:rsidR="000073BA" w:rsidRPr="00275B0E">
        <w:rPr>
          <w:rFonts w:ascii="Arial" w:hAnsi="Arial" w:cs="Arial"/>
          <w:b/>
          <w:bCs/>
          <w:i w:val="0"/>
          <w:iCs w:val="0"/>
          <w:color w:val="0070C0"/>
          <w:sz w:val="22"/>
          <w:szCs w:val="22"/>
        </w:rPr>
        <w:t>INFORM Risk Index (mid-2025)</w:t>
      </w:r>
    </w:p>
    <w:p w14:paraId="227D5DFE" w14:textId="4C95FD80" w:rsidR="000073BA" w:rsidRPr="00150993" w:rsidRDefault="00731E73" w:rsidP="000073BA">
      <w:pPr>
        <w:spacing w:after="120"/>
        <w:jc w:val="both"/>
        <w:rPr>
          <w:rFonts w:ascii="Arial" w:hAnsi="Arial" w:cs="Arial"/>
          <w:sz w:val="22"/>
          <w:szCs w:val="22"/>
        </w:rPr>
      </w:pPr>
      <w:r w:rsidRPr="00150993">
        <w:rPr>
          <w:rFonts w:ascii="Arial" w:hAnsi="Arial" w:cs="Arial"/>
          <w:sz w:val="22"/>
          <w:szCs w:val="22"/>
        </w:rPr>
        <w:t xml:space="preserve">Cambodia’s disaster risk is assessed as </w:t>
      </w:r>
      <w:r w:rsidRPr="006D15D1">
        <w:rPr>
          <w:rFonts w:ascii="Arial" w:hAnsi="Arial" w:cs="Arial"/>
          <w:b/>
          <w:bCs/>
          <w:i/>
          <w:iCs/>
          <w:sz w:val="22"/>
          <w:szCs w:val="22"/>
        </w:rPr>
        <w:t>“medium,”</w:t>
      </w:r>
      <w:r w:rsidRPr="00150993">
        <w:rPr>
          <w:rFonts w:ascii="Arial" w:hAnsi="Arial" w:cs="Arial"/>
          <w:sz w:val="22"/>
          <w:szCs w:val="22"/>
        </w:rPr>
        <w:t xml:space="preserve"> ranking </w:t>
      </w:r>
      <w:r w:rsidRPr="006D15D1">
        <w:rPr>
          <w:rFonts w:ascii="Arial" w:hAnsi="Arial" w:cs="Arial"/>
          <w:b/>
          <w:bCs/>
          <w:sz w:val="22"/>
          <w:szCs w:val="22"/>
        </w:rPr>
        <w:t>59</w:t>
      </w:r>
      <w:r w:rsidRPr="006D15D1">
        <w:rPr>
          <w:rFonts w:ascii="Arial" w:hAnsi="Arial" w:cs="Arial"/>
          <w:b/>
          <w:bCs/>
          <w:sz w:val="22"/>
          <w:szCs w:val="22"/>
          <w:vertAlign w:val="superscript"/>
        </w:rPr>
        <w:t>th</w:t>
      </w:r>
      <w:r w:rsidRPr="006D15D1">
        <w:rPr>
          <w:rFonts w:ascii="Arial" w:hAnsi="Arial" w:cs="Arial"/>
          <w:b/>
          <w:bCs/>
          <w:sz w:val="22"/>
          <w:szCs w:val="22"/>
        </w:rPr>
        <w:t xml:space="preserve"> of 191</w:t>
      </w:r>
      <w:r w:rsidRPr="00150993">
        <w:rPr>
          <w:rFonts w:ascii="Arial" w:hAnsi="Arial" w:cs="Arial"/>
          <w:sz w:val="22"/>
          <w:szCs w:val="22"/>
        </w:rPr>
        <w:t xml:space="preserve"> countries with an overall INFORM score of 4.4/10 (mid-2025). As shown in </w:t>
      </w:r>
      <w:r w:rsidRPr="00150993">
        <w:rPr>
          <w:rFonts w:ascii="Arial" w:hAnsi="Arial" w:cs="Arial"/>
          <w:sz w:val="22"/>
          <w:szCs w:val="22"/>
        </w:rPr>
        <w:fldChar w:fldCharType="begin"/>
      </w:r>
      <w:r w:rsidRPr="00150993">
        <w:rPr>
          <w:rFonts w:ascii="Arial" w:hAnsi="Arial" w:cs="Arial"/>
          <w:sz w:val="22"/>
          <w:szCs w:val="22"/>
        </w:rPr>
        <w:instrText xml:space="preserve"> REF _Ref215142391 \h  \* MERGEFORMAT </w:instrText>
      </w:r>
      <w:r w:rsidRPr="00150993">
        <w:rPr>
          <w:rFonts w:ascii="Arial" w:hAnsi="Arial" w:cs="Arial"/>
          <w:sz w:val="22"/>
          <w:szCs w:val="22"/>
        </w:rPr>
      </w:r>
      <w:r w:rsidRPr="00150993">
        <w:rPr>
          <w:rFonts w:ascii="Arial" w:hAnsi="Arial" w:cs="Arial"/>
          <w:sz w:val="22"/>
          <w:szCs w:val="22"/>
        </w:rPr>
        <w:fldChar w:fldCharType="separate"/>
      </w:r>
      <w:r w:rsidR="005A16C1" w:rsidRPr="00150993">
        <w:rPr>
          <w:rFonts w:ascii="Arial" w:hAnsi="Arial" w:cs="Arial"/>
          <w:color w:val="002060"/>
          <w:sz w:val="22"/>
          <w:szCs w:val="22"/>
        </w:rPr>
        <w:t>Table 2-</w:t>
      </w:r>
      <w:r w:rsidR="005A16C1">
        <w:rPr>
          <w:rFonts w:ascii="Arial" w:hAnsi="Arial" w:cs="Arial"/>
          <w:color w:val="002060"/>
          <w:sz w:val="22"/>
          <w:szCs w:val="22"/>
        </w:rPr>
        <w:t>5</w:t>
      </w:r>
      <w:r w:rsidRPr="00150993">
        <w:rPr>
          <w:rFonts w:ascii="Arial" w:hAnsi="Arial" w:cs="Arial"/>
          <w:sz w:val="22"/>
          <w:szCs w:val="22"/>
        </w:rPr>
        <w:fldChar w:fldCharType="end"/>
      </w:r>
      <w:r w:rsidRPr="00150993">
        <w:rPr>
          <w:rFonts w:ascii="Arial" w:hAnsi="Arial" w:cs="Arial"/>
          <w:sz w:val="22"/>
          <w:szCs w:val="22"/>
        </w:rPr>
        <w:t xml:space="preserve"> the Hazard &amp; Exposure score is moderate (3.2/10), but river-flood risk is very high at 8.6/10—the dominant driver—reflecting intense monsoon rainfall, upstream releases, and extensive floodplain settlement that ultimately connects to coastal drainage systems. Drought risk is moderate (4.2/10), while tropical-cyclone exposure remains low (1.8/10) because Cambodia typically experiences only peripheral storm effects. Coastal-flood risk is lower in the index (3.7/10) yet still consequential for ports, estuaries, and tourism towns under rising seas. Cambodia’s overall rating is elevated mainly by limited coping capacity (5.6/10) and population vulnerability (4.8/10) (European Commission</w:t>
      </w:r>
      <w:r w:rsidR="00600E6C" w:rsidRPr="00150993">
        <w:rPr>
          <w:rFonts w:ascii="Arial" w:hAnsi="Arial" w:cs="Arial"/>
          <w:sz w:val="22"/>
          <w:szCs w:val="22"/>
        </w:rPr>
        <w:t xml:space="preserve">, </w:t>
      </w:r>
      <w:r w:rsidRPr="00150993">
        <w:rPr>
          <w:rFonts w:ascii="Arial" w:hAnsi="Arial" w:cs="Arial"/>
          <w:sz w:val="22"/>
          <w:szCs w:val="22"/>
        </w:rPr>
        <w:t>JRC &amp; IASC, 2025).</w:t>
      </w:r>
    </w:p>
    <w:p w14:paraId="3E8BACBE" w14:textId="65755AFF" w:rsidR="000073BA" w:rsidRPr="001A19EF" w:rsidRDefault="001272C6" w:rsidP="001A19EF">
      <w:pPr>
        <w:pStyle w:val="NormalWeb"/>
        <w:keepNext/>
        <w:adjustRightInd w:val="0"/>
        <w:snapToGrid w:val="0"/>
        <w:spacing w:before="240" w:beforeAutospacing="0" w:after="120" w:afterAutospacing="0"/>
        <w:jc w:val="both"/>
        <w:rPr>
          <w:rFonts w:ascii="Arial" w:hAnsi="Arial" w:cs="Arial"/>
          <w:color w:val="002060"/>
          <w:sz w:val="22"/>
          <w:szCs w:val="22"/>
        </w:rPr>
      </w:pPr>
      <w:bookmarkStart w:id="56" w:name="_Ref215142391"/>
      <w:bookmarkStart w:id="57" w:name="_Toc213422532"/>
      <w:bookmarkStart w:id="58" w:name="_Toc215219062"/>
      <w:r w:rsidRPr="00150993">
        <w:rPr>
          <w:rFonts w:ascii="Arial" w:hAnsi="Arial" w:cs="Arial"/>
          <w:color w:val="002060"/>
          <w:sz w:val="22"/>
          <w:szCs w:val="22"/>
        </w:rPr>
        <w:t>Table 2-</w:t>
      </w:r>
      <w:r w:rsidRPr="001A19EF">
        <w:rPr>
          <w:rFonts w:ascii="Arial" w:hAnsi="Arial" w:cs="Arial"/>
          <w:color w:val="002060"/>
          <w:sz w:val="22"/>
          <w:szCs w:val="22"/>
        </w:rPr>
        <w:fldChar w:fldCharType="begin"/>
      </w:r>
      <w:r w:rsidRPr="00150993">
        <w:rPr>
          <w:rFonts w:ascii="Arial" w:hAnsi="Arial" w:cs="Arial"/>
          <w:color w:val="002060"/>
          <w:sz w:val="22"/>
          <w:szCs w:val="22"/>
        </w:rPr>
        <w:instrText xml:space="preserve"> SEQ Table_2- \* ARABIC </w:instrText>
      </w:r>
      <w:r w:rsidRPr="001A19EF">
        <w:rPr>
          <w:rFonts w:ascii="Arial" w:hAnsi="Arial" w:cs="Arial"/>
          <w:color w:val="002060"/>
          <w:sz w:val="22"/>
          <w:szCs w:val="22"/>
        </w:rPr>
        <w:fldChar w:fldCharType="separate"/>
      </w:r>
      <w:r w:rsidR="005A16C1">
        <w:rPr>
          <w:rFonts w:ascii="Arial" w:hAnsi="Arial" w:cs="Arial"/>
          <w:noProof/>
          <w:color w:val="002060"/>
          <w:sz w:val="22"/>
          <w:szCs w:val="22"/>
        </w:rPr>
        <w:t>5</w:t>
      </w:r>
      <w:r w:rsidRPr="001A19EF">
        <w:rPr>
          <w:rFonts w:ascii="Arial" w:hAnsi="Arial" w:cs="Arial"/>
          <w:color w:val="002060"/>
          <w:sz w:val="22"/>
          <w:szCs w:val="22"/>
        </w:rPr>
        <w:fldChar w:fldCharType="end"/>
      </w:r>
      <w:bookmarkEnd w:id="56"/>
      <w:r w:rsidRPr="00150993">
        <w:rPr>
          <w:rFonts w:ascii="Arial" w:hAnsi="Arial" w:cs="Arial"/>
          <w:color w:val="002060"/>
          <w:sz w:val="22"/>
          <w:szCs w:val="22"/>
        </w:rPr>
        <w:t xml:space="preserve"> </w:t>
      </w:r>
      <w:r w:rsidR="000073BA" w:rsidRPr="00150993">
        <w:rPr>
          <w:rFonts w:ascii="Arial" w:hAnsi="Arial" w:cs="Arial"/>
          <w:color w:val="002060"/>
          <w:sz w:val="22"/>
          <w:szCs w:val="22"/>
        </w:rPr>
        <w:t>Selected indicators from the INFORM Risk Index (mid-2025)</w:t>
      </w:r>
      <w:r w:rsidRPr="00150993">
        <w:rPr>
          <w:rFonts w:ascii="Arial" w:hAnsi="Arial" w:cs="Arial"/>
          <w:color w:val="002060"/>
          <w:sz w:val="22"/>
          <w:szCs w:val="22"/>
        </w:rPr>
        <w:t xml:space="preserve"> – Cambodia</w:t>
      </w:r>
      <w:bookmarkEnd w:id="57"/>
      <w:bookmarkEnd w:id="58"/>
      <w:r w:rsidRPr="00150993">
        <w:rPr>
          <w:rFonts w:ascii="Arial" w:hAnsi="Arial" w:cs="Arial"/>
          <w:color w:val="002060"/>
          <w:sz w:val="22"/>
          <w:szCs w:val="22"/>
        </w:rPr>
        <w:t xml:space="preserve"> </w:t>
      </w:r>
    </w:p>
    <w:tbl>
      <w:tblPr>
        <w:tblW w:w="8933" w:type="dxa"/>
        <w:tblLook w:val="04A0" w:firstRow="1" w:lastRow="0" w:firstColumn="1" w:lastColumn="0" w:noHBand="0" w:noVBand="1"/>
      </w:tblPr>
      <w:tblGrid>
        <w:gridCol w:w="902"/>
        <w:gridCol w:w="872"/>
        <w:gridCol w:w="633"/>
        <w:gridCol w:w="1192"/>
        <w:gridCol w:w="670"/>
        <w:gridCol w:w="842"/>
        <w:gridCol w:w="803"/>
        <w:gridCol w:w="832"/>
        <w:gridCol w:w="1075"/>
        <w:gridCol w:w="1112"/>
      </w:tblGrid>
      <w:tr w:rsidR="000073BA" w:rsidRPr="00150993" w14:paraId="6F5DCD92" w14:textId="77777777" w:rsidTr="00BD5327">
        <w:trPr>
          <w:trHeight w:val="393"/>
        </w:trPr>
        <w:tc>
          <w:tcPr>
            <w:tcW w:w="902" w:type="dxa"/>
            <w:tcBorders>
              <w:top w:val="nil"/>
              <w:left w:val="single" w:sz="12" w:space="0" w:color="FFFFFF"/>
              <w:bottom w:val="single" w:sz="12" w:space="0" w:color="FFFFFF"/>
              <w:right w:val="single" w:sz="12" w:space="0" w:color="FFFFFF"/>
            </w:tcBorders>
            <w:shd w:val="clear" w:color="000000" w:fill="F8AFB0"/>
            <w:vAlign w:val="center"/>
            <w:hideMark/>
          </w:tcPr>
          <w:p w14:paraId="0F6EDC34" w14:textId="77777777" w:rsidR="000073BA" w:rsidRPr="00150993" w:rsidRDefault="000073BA" w:rsidP="00BD5327">
            <w:pPr>
              <w:jc w:val="center"/>
              <w:rPr>
                <w:rFonts w:ascii="Arial" w:hAnsi="Arial" w:cs="Arial"/>
                <w:b/>
                <w:bCs/>
                <w:color w:val="691C32"/>
                <w:sz w:val="15"/>
                <w:szCs w:val="15"/>
              </w:rPr>
            </w:pPr>
            <w:r w:rsidRPr="00150993">
              <w:rPr>
                <w:rFonts w:ascii="Arial" w:hAnsi="Arial" w:cs="Arial"/>
                <w:b/>
                <w:bCs/>
                <w:color w:val="691C32"/>
                <w:sz w:val="15"/>
                <w:szCs w:val="15"/>
              </w:rPr>
              <w:t>INFORM RISK</w:t>
            </w:r>
          </w:p>
        </w:tc>
        <w:tc>
          <w:tcPr>
            <w:tcW w:w="872" w:type="dxa"/>
            <w:tcBorders>
              <w:top w:val="nil"/>
              <w:left w:val="nil"/>
              <w:bottom w:val="single" w:sz="12" w:space="0" w:color="FFFFFF"/>
              <w:right w:val="single" w:sz="12" w:space="0" w:color="FFFFFF"/>
            </w:tcBorders>
            <w:shd w:val="clear" w:color="000000" w:fill="F8AFB0"/>
            <w:vAlign w:val="center"/>
            <w:hideMark/>
          </w:tcPr>
          <w:p w14:paraId="2B026EF0" w14:textId="77777777" w:rsidR="000073BA" w:rsidRPr="00150993" w:rsidRDefault="000073BA" w:rsidP="00BD5327">
            <w:pPr>
              <w:jc w:val="center"/>
              <w:rPr>
                <w:rFonts w:ascii="Arial" w:hAnsi="Arial" w:cs="Arial"/>
                <w:b/>
                <w:bCs/>
                <w:color w:val="691C32"/>
                <w:sz w:val="15"/>
                <w:szCs w:val="15"/>
              </w:rPr>
            </w:pPr>
            <w:r w:rsidRPr="00150993">
              <w:rPr>
                <w:rFonts w:ascii="Arial" w:hAnsi="Arial" w:cs="Arial"/>
                <w:b/>
                <w:bCs/>
                <w:color w:val="691C32"/>
                <w:sz w:val="15"/>
                <w:szCs w:val="15"/>
              </w:rPr>
              <w:t>RISK CLASS</w:t>
            </w:r>
          </w:p>
        </w:tc>
        <w:tc>
          <w:tcPr>
            <w:tcW w:w="633" w:type="dxa"/>
            <w:tcBorders>
              <w:top w:val="nil"/>
              <w:left w:val="nil"/>
              <w:bottom w:val="nil"/>
              <w:right w:val="nil"/>
            </w:tcBorders>
            <w:shd w:val="clear" w:color="000000" w:fill="FFFFFF"/>
            <w:noWrap/>
            <w:vAlign w:val="center"/>
            <w:hideMark/>
          </w:tcPr>
          <w:p w14:paraId="1766C1EF" w14:textId="77777777" w:rsidR="000073BA" w:rsidRPr="00150993" w:rsidRDefault="000073BA" w:rsidP="00BD5327">
            <w:pPr>
              <w:jc w:val="center"/>
              <w:rPr>
                <w:rFonts w:ascii="Arial" w:hAnsi="Arial" w:cs="Arial"/>
                <w:b/>
                <w:bCs/>
                <w:sz w:val="15"/>
                <w:szCs w:val="15"/>
              </w:rPr>
            </w:pPr>
            <w:r w:rsidRPr="00150993">
              <w:rPr>
                <w:rFonts w:ascii="Arial" w:hAnsi="Arial" w:cs="Arial"/>
                <w:b/>
                <w:bCs/>
                <w:sz w:val="15"/>
                <w:szCs w:val="15"/>
              </w:rPr>
              <w:t>Rank</w:t>
            </w:r>
          </w:p>
        </w:tc>
        <w:tc>
          <w:tcPr>
            <w:tcW w:w="1192" w:type="dxa"/>
            <w:tcBorders>
              <w:top w:val="nil"/>
              <w:left w:val="single" w:sz="12" w:space="0" w:color="FFFFFF"/>
              <w:bottom w:val="single" w:sz="12" w:space="0" w:color="FFFFFF"/>
              <w:right w:val="nil"/>
            </w:tcBorders>
            <w:shd w:val="clear" w:color="000000" w:fill="F9FFC9"/>
            <w:vAlign w:val="center"/>
            <w:hideMark/>
          </w:tcPr>
          <w:p w14:paraId="5C2AB202" w14:textId="77777777" w:rsidR="000073BA" w:rsidRPr="00150993" w:rsidRDefault="000073BA" w:rsidP="00BD5327">
            <w:pPr>
              <w:jc w:val="center"/>
              <w:rPr>
                <w:rFonts w:ascii="Arial" w:hAnsi="Arial" w:cs="Arial"/>
                <w:b/>
                <w:bCs/>
                <w:color w:val="A04121"/>
                <w:sz w:val="15"/>
                <w:szCs w:val="15"/>
              </w:rPr>
            </w:pPr>
            <w:r w:rsidRPr="00150993">
              <w:rPr>
                <w:rFonts w:ascii="Arial" w:hAnsi="Arial" w:cs="Arial"/>
                <w:b/>
                <w:bCs/>
                <w:color w:val="A04121"/>
                <w:sz w:val="15"/>
                <w:szCs w:val="15"/>
              </w:rPr>
              <w:t>HAZARD &amp; EXPOSURE</w:t>
            </w:r>
          </w:p>
        </w:tc>
        <w:tc>
          <w:tcPr>
            <w:tcW w:w="670" w:type="dxa"/>
            <w:tcBorders>
              <w:top w:val="nil"/>
              <w:left w:val="single" w:sz="12" w:space="0" w:color="FFFFFF"/>
              <w:bottom w:val="single" w:sz="12" w:space="0" w:color="FFFFFF"/>
              <w:right w:val="single" w:sz="12" w:space="0" w:color="FFFFFF"/>
            </w:tcBorders>
            <w:shd w:val="clear" w:color="000000" w:fill="FFFFFF"/>
            <w:vAlign w:val="center"/>
            <w:hideMark/>
          </w:tcPr>
          <w:p w14:paraId="6CFBDBCD" w14:textId="77777777" w:rsidR="000073BA" w:rsidRPr="00150993" w:rsidRDefault="000073BA" w:rsidP="00BD5327">
            <w:pPr>
              <w:jc w:val="center"/>
              <w:rPr>
                <w:rFonts w:ascii="Arial" w:hAnsi="Arial" w:cs="Arial"/>
                <w:b/>
                <w:bCs/>
                <w:color w:val="D6724E"/>
                <w:sz w:val="15"/>
                <w:szCs w:val="15"/>
              </w:rPr>
            </w:pPr>
            <w:r w:rsidRPr="00150993">
              <w:rPr>
                <w:rFonts w:ascii="Arial" w:hAnsi="Arial" w:cs="Arial"/>
                <w:b/>
                <w:bCs/>
                <w:color w:val="D6724E"/>
                <w:sz w:val="15"/>
                <w:szCs w:val="15"/>
              </w:rPr>
              <w:t>River Flood</w:t>
            </w:r>
          </w:p>
        </w:tc>
        <w:tc>
          <w:tcPr>
            <w:tcW w:w="842" w:type="dxa"/>
            <w:tcBorders>
              <w:top w:val="nil"/>
              <w:left w:val="nil"/>
              <w:bottom w:val="single" w:sz="12" w:space="0" w:color="FFFFFF"/>
              <w:right w:val="single" w:sz="12" w:space="0" w:color="FFFFFF"/>
            </w:tcBorders>
            <w:shd w:val="clear" w:color="000000" w:fill="FFFFFF"/>
            <w:vAlign w:val="center"/>
            <w:hideMark/>
          </w:tcPr>
          <w:p w14:paraId="152C48F4" w14:textId="77777777" w:rsidR="000073BA" w:rsidRPr="00150993" w:rsidRDefault="000073BA" w:rsidP="00BD5327">
            <w:pPr>
              <w:jc w:val="center"/>
              <w:rPr>
                <w:rFonts w:ascii="Arial" w:hAnsi="Arial" w:cs="Arial"/>
                <w:b/>
                <w:bCs/>
                <w:color w:val="D6724E"/>
                <w:sz w:val="15"/>
                <w:szCs w:val="15"/>
              </w:rPr>
            </w:pPr>
            <w:r w:rsidRPr="00150993">
              <w:rPr>
                <w:rFonts w:ascii="Arial" w:hAnsi="Arial" w:cs="Arial"/>
                <w:b/>
                <w:bCs/>
                <w:color w:val="D6724E"/>
                <w:sz w:val="15"/>
                <w:szCs w:val="15"/>
              </w:rPr>
              <w:t>Tropical Cyclone</w:t>
            </w:r>
          </w:p>
        </w:tc>
        <w:tc>
          <w:tcPr>
            <w:tcW w:w="803" w:type="dxa"/>
            <w:tcBorders>
              <w:top w:val="nil"/>
              <w:left w:val="nil"/>
              <w:bottom w:val="single" w:sz="12" w:space="0" w:color="FFFFFF"/>
              <w:right w:val="single" w:sz="12" w:space="0" w:color="FFFFFF"/>
            </w:tcBorders>
            <w:shd w:val="clear" w:color="000000" w:fill="FFFFFF"/>
            <w:vAlign w:val="center"/>
            <w:hideMark/>
          </w:tcPr>
          <w:p w14:paraId="5EF76752" w14:textId="77777777" w:rsidR="000073BA" w:rsidRPr="00150993" w:rsidRDefault="000073BA" w:rsidP="00BD5327">
            <w:pPr>
              <w:jc w:val="center"/>
              <w:rPr>
                <w:rFonts w:ascii="Arial" w:hAnsi="Arial" w:cs="Arial"/>
                <w:b/>
                <w:bCs/>
                <w:color w:val="D6724E"/>
                <w:sz w:val="15"/>
                <w:szCs w:val="15"/>
              </w:rPr>
            </w:pPr>
            <w:r w:rsidRPr="00150993">
              <w:rPr>
                <w:rFonts w:ascii="Arial" w:hAnsi="Arial" w:cs="Arial"/>
                <w:b/>
                <w:bCs/>
                <w:color w:val="D6724E"/>
                <w:sz w:val="15"/>
                <w:szCs w:val="15"/>
              </w:rPr>
              <w:t>Coastal flood</w:t>
            </w:r>
          </w:p>
        </w:tc>
        <w:tc>
          <w:tcPr>
            <w:tcW w:w="832" w:type="dxa"/>
            <w:tcBorders>
              <w:top w:val="nil"/>
              <w:left w:val="nil"/>
              <w:bottom w:val="single" w:sz="12" w:space="0" w:color="FFFFFF"/>
              <w:right w:val="single" w:sz="12" w:space="0" w:color="FFFFFF"/>
            </w:tcBorders>
            <w:shd w:val="clear" w:color="000000" w:fill="FFFFFF"/>
            <w:vAlign w:val="center"/>
            <w:hideMark/>
          </w:tcPr>
          <w:p w14:paraId="544394D9" w14:textId="77777777" w:rsidR="000073BA" w:rsidRPr="00150993" w:rsidRDefault="000073BA" w:rsidP="00BD5327">
            <w:pPr>
              <w:jc w:val="center"/>
              <w:rPr>
                <w:rFonts w:ascii="Arial" w:hAnsi="Arial" w:cs="Arial"/>
                <w:b/>
                <w:bCs/>
                <w:color w:val="D6724E"/>
                <w:sz w:val="15"/>
                <w:szCs w:val="15"/>
              </w:rPr>
            </w:pPr>
            <w:r w:rsidRPr="00150993">
              <w:rPr>
                <w:rFonts w:ascii="Arial" w:hAnsi="Arial" w:cs="Arial"/>
                <w:b/>
                <w:bCs/>
                <w:color w:val="D6724E"/>
                <w:sz w:val="15"/>
                <w:szCs w:val="15"/>
              </w:rPr>
              <w:t>Drought</w:t>
            </w:r>
          </w:p>
        </w:tc>
        <w:tc>
          <w:tcPr>
            <w:tcW w:w="1075" w:type="dxa"/>
            <w:tcBorders>
              <w:top w:val="nil"/>
              <w:left w:val="nil"/>
              <w:bottom w:val="single" w:sz="12" w:space="0" w:color="FFFFFF"/>
              <w:right w:val="single" w:sz="12" w:space="0" w:color="FFFFFF"/>
            </w:tcBorders>
            <w:shd w:val="clear" w:color="000000" w:fill="CFECF5"/>
            <w:vAlign w:val="center"/>
            <w:hideMark/>
          </w:tcPr>
          <w:p w14:paraId="3FB21D6D" w14:textId="77777777" w:rsidR="000073BA" w:rsidRPr="00150993" w:rsidRDefault="000073BA" w:rsidP="00BD5327">
            <w:pPr>
              <w:jc w:val="center"/>
              <w:rPr>
                <w:rFonts w:ascii="Arial" w:hAnsi="Arial" w:cs="Arial"/>
                <w:b/>
                <w:bCs/>
                <w:color w:val="133D73"/>
                <w:sz w:val="15"/>
                <w:szCs w:val="15"/>
              </w:rPr>
            </w:pPr>
            <w:r w:rsidRPr="00150993">
              <w:rPr>
                <w:rFonts w:ascii="Arial" w:hAnsi="Arial" w:cs="Arial"/>
                <w:b/>
                <w:bCs/>
                <w:color w:val="133D73"/>
                <w:sz w:val="15"/>
                <w:szCs w:val="15"/>
              </w:rPr>
              <w:t>VULNE-RABILITY</w:t>
            </w:r>
          </w:p>
        </w:tc>
        <w:tc>
          <w:tcPr>
            <w:tcW w:w="1112" w:type="dxa"/>
            <w:tcBorders>
              <w:top w:val="nil"/>
              <w:left w:val="nil"/>
              <w:bottom w:val="single" w:sz="12" w:space="0" w:color="FFFFFF"/>
              <w:right w:val="single" w:sz="12" w:space="0" w:color="FFFFFF"/>
            </w:tcBorders>
            <w:shd w:val="clear" w:color="000000" w:fill="DFEDE0"/>
            <w:vAlign w:val="center"/>
            <w:hideMark/>
          </w:tcPr>
          <w:p w14:paraId="2F1FBB36" w14:textId="77777777" w:rsidR="000073BA" w:rsidRPr="00150993" w:rsidRDefault="000073BA" w:rsidP="00BD5327">
            <w:pPr>
              <w:jc w:val="center"/>
              <w:rPr>
                <w:rFonts w:ascii="Arial" w:hAnsi="Arial" w:cs="Arial"/>
                <w:b/>
                <w:bCs/>
                <w:color w:val="006853"/>
                <w:sz w:val="15"/>
                <w:szCs w:val="15"/>
              </w:rPr>
            </w:pPr>
            <w:r w:rsidRPr="00150993">
              <w:rPr>
                <w:rFonts w:ascii="Arial" w:hAnsi="Arial" w:cs="Arial"/>
                <w:b/>
                <w:bCs/>
                <w:color w:val="006853"/>
                <w:sz w:val="15"/>
                <w:szCs w:val="15"/>
              </w:rPr>
              <w:t>LACK OF COPING CAPACITY</w:t>
            </w:r>
          </w:p>
        </w:tc>
      </w:tr>
      <w:tr w:rsidR="000073BA" w:rsidRPr="00150993" w14:paraId="5701160F" w14:textId="77777777" w:rsidTr="00BD5327">
        <w:trPr>
          <w:trHeight w:val="48"/>
        </w:trPr>
        <w:tc>
          <w:tcPr>
            <w:tcW w:w="902" w:type="dxa"/>
            <w:tcBorders>
              <w:top w:val="nil"/>
              <w:left w:val="nil"/>
              <w:bottom w:val="nil"/>
              <w:right w:val="nil"/>
            </w:tcBorders>
            <w:shd w:val="clear" w:color="000000" w:fill="FFFFFF"/>
            <w:noWrap/>
            <w:vAlign w:val="center"/>
            <w:hideMark/>
          </w:tcPr>
          <w:p w14:paraId="7CA45AC3" w14:textId="77777777" w:rsidR="000073BA" w:rsidRPr="00150993" w:rsidRDefault="000073BA" w:rsidP="00BD5327">
            <w:pPr>
              <w:jc w:val="center"/>
              <w:rPr>
                <w:rFonts w:ascii="Arial" w:hAnsi="Arial" w:cs="Arial"/>
                <w:b/>
                <w:bCs/>
                <w:color w:val="323232"/>
                <w:sz w:val="15"/>
                <w:szCs w:val="15"/>
              </w:rPr>
            </w:pPr>
            <w:r w:rsidRPr="00150993">
              <w:rPr>
                <w:rFonts w:ascii="Arial" w:hAnsi="Arial" w:cs="Arial"/>
                <w:b/>
                <w:bCs/>
                <w:color w:val="323232"/>
                <w:sz w:val="15"/>
                <w:szCs w:val="15"/>
              </w:rPr>
              <w:t>(0-10)</w:t>
            </w:r>
          </w:p>
        </w:tc>
        <w:tc>
          <w:tcPr>
            <w:tcW w:w="872" w:type="dxa"/>
            <w:tcBorders>
              <w:top w:val="nil"/>
              <w:left w:val="nil"/>
              <w:bottom w:val="nil"/>
              <w:right w:val="nil"/>
            </w:tcBorders>
            <w:shd w:val="clear" w:color="000000" w:fill="FFFFFF"/>
            <w:noWrap/>
            <w:vAlign w:val="center"/>
            <w:hideMark/>
          </w:tcPr>
          <w:p w14:paraId="483AED71" w14:textId="77777777" w:rsidR="000073BA" w:rsidRPr="00150993" w:rsidRDefault="000073BA" w:rsidP="00BD5327">
            <w:pPr>
              <w:jc w:val="center"/>
              <w:rPr>
                <w:rFonts w:ascii="Arial" w:hAnsi="Arial" w:cs="Arial"/>
                <w:b/>
                <w:bCs/>
                <w:color w:val="323232"/>
                <w:sz w:val="15"/>
                <w:szCs w:val="15"/>
              </w:rPr>
            </w:pPr>
            <w:r w:rsidRPr="00150993">
              <w:rPr>
                <w:rFonts w:ascii="Arial" w:hAnsi="Arial" w:cs="Arial"/>
                <w:b/>
                <w:bCs/>
                <w:color w:val="323232"/>
                <w:sz w:val="15"/>
                <w:szCs w:val="15"/>
              </w:rPr>
              <w:t>(Very Low-Very High)</w:t>
            </w:r>
          </w:p>
        </w:tc>
        <w:tc>
          <w:tcPr>
            <w:tcW w:w="633" w:type="dxa"/>
            <w:tcBorders>
              <w:top w:val="nil"/>
              <w:left w:val="nil"/>
              <w:bottom w:val="nil"/>
              <w:right w:val="nil"/>
            </w:tcBorders>
            <w:shd w:val="clear" w:color="000000" w:fill="FFFFFF"/>
            <w:noWrap/>
            <w:vAlign w:val="center"/>
            <w:hideMark/>
          </w:tcPr>
          <w:p w14:paraId="17B3D29B"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(1-191)</w:t>
            </w:r>
          </w:p>
        </w:tc>
        <w:tc>
          <w:tcPr>
            <w:tcW w:w="1192" w:type="dxa"/>
            <w:tcBorders>
              <w:top w:val="nil"/>
              <w:left w:val="nil"/>
              <w:bottom w:val="nil"/>
              <w:right w:val="nil"/>
            </w:tcBorders>
            <w:shd w:val="clear" w:color="000000" w:fill="FFFFFF"/>
            <w:noWrap/>
            <w:vAlign w:val="center"/>
            <w:hideMark/>
          </w:tcPr>
          <w:p w14:paraId="68A353E1"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(0-10)</w:t>
            </w:r>
          </w:p>
        </w:tc>
        <w:tc>
          <w:tcPr>
            <w:tcW w:w="670" w:type="dxa"/>
            <w:tcBorders>
              <w:top w:val="nil"/>
              <w:left w:val="nil"/>
              <w:bottom w:val="nil"/>
              <w:right w:val="nil"/>
            </w:tcBorders>
            <w:shd w:val="clear" w:color="000000" w:fill="FFFFFF"/>
            <w:noWrap/>
            <w:vAlign w:val="center"/>
            <w:hideMark/>
          </w:tcPr>
          <w:p w14:paraId="5CD5DB31"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(0-10)</w:t>
            </w:r>
          </w:p>
        </w:tc>
        <w:tc>
          <w:tcPr>
            <w:tcW w:w="842" w:type="dxa"/>
            <w:tcBorders>
              <w:top w:val="nil"/>
              <w:left w:val="nil"/>
              <w:bottom w:val="nil"/>
              <w:right w:val="nil"/>
            </w:tcBorders>
            <w:shd w:val="clear" w:color="000000" w:fill="FFFFFF"/>
            <w:noWrap/>
            <w:vAlign w:val="center"/>
            <w:hideMark/>
          </w:tcPr>
          <w:p w14:paraId="1346DBB1"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(0-10)</w:t>
            </w:r>
          </w:p>
        </w:tc>
        <w:tc>
          <w:tcPr>
            <w:tcW w:w="803" w:type="dxa"/>
            <w:tcBorders>
              <w:top w:val="nil"/>
              <w:left w:val="nil"/>
              <w:bottom w:val="nil"/>
              <w:right w:val="nil"/>
            </w:tcBorders>
            <w:shd w:val="clear" w:color="000000" w:fill="FFFFFF"/>
            <w:noWrap/>
            <w:vAlign w:val="center"/>
            <w:hideMark/>
          </w:tcPr>
          <w:p w14:paraId="2066D691"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 </w:t>
            </w:r>
          </w:p>
        </w:tc>
        <w:tc>
          <w:tcPr>
            <w:tcW w:w="832" w:type="dxa"/>
            <w:tcBorders>
              <w:top w:val="nil"/>
              <w:left w:val="nil"/>
              <w:bottom w:val="nil"/>
              <w:right w:val="nil"/>
            </w:tcBorders>
            <w:shd w:val="clear" w:color="000000" w:fill="FFFFFF"/>
            <w:noWrap/>
            <w:vAlign w:val="center"/>
            <w:hideMark/>
          </w:tcPr>
          <w:p w14:paraId="2442342C"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(0-10)</w:t>
            </w:r>
          </w:p>
        </w:tc>
        <w:tc>
          <w:tcPr>
            <w:tcW w:w="1075" w:type="dxa"/>
            <w:tcBorders>
              <w:top w:val="nil"/>
              <w:left w:val="nil"/>
              <w:bottom w:val="nil"/>
              <w:right w:val="nil"/>
            </w:tcBorders>
            <w:shd w:val="clear" w:color="000000" w:fill="FFFFFF"/>
            <w:noWrap/>
            <w:vAlign w:val="center"/>
            <w:hideMark/>
          </w:tcPr>
          <w:p w14:paraId="1AD83801"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(0-10)</w:t>
            </w:r>
          </w:p>
        </w:tc>
        <w:tc>
          <w:tcPr>
            <w:tcW w:w="1112" w:type="dxa"/>
            <w:tcBorders>
              <w:top w:val="nil"/>
              <w:left w:val="nil"/>
              <w:bottom w:val="nil"/>
              <w:right w:val="nil"/>
            </w:tcBorders>
            <w:shd w:val="clear" w:color="000000" w:fill="FFFFFF"/>
            <w:noWrap/>
            <w:vAlign w:val="center"/>
            <w:hideMark/>
          </w:tcPr>
          <w:p w14:paraId="73E944CB" w14:textId="77777777" w:rsidR="000073BA" w:rsidRPr="006A231D" w:rsidRDefault="000073BA" w:rsidP="00BD5327">
            <w:pPr>
              <w:jc w:val="center"/>
              <w:rPr>
                <w:rFonts w:ascii="Arial" w:hAnsi="Arial" w:cs="Arial"/>
                <w:b/>
                <w:bCs/>
                <w:color w:val="323232"/>
                <w:sz w:val="16"/>
                <w:szCs w:val="16"/>
              </w:rPr>
            </w:pPr>
            <w:r w:rsidRPr="006A231D">
              <w:rPr>
                <w:rFonts w:ascii="Arial" w:hAnsi="Arial" w:cs="Arial"/>
                <w:b/>
                <w:bCs/>
                <w:color w:val="323232"/>
                <w:sz w:val="16"/>
                <w:szCs w:val="16"/>
              </w:rPr>
              <w:t>(0-10)</w:t>
            </w:r>
          </w:p>
        </w:tc>
      </w:tr>
      <w:tr w:rsidR="000073BA" w:rsidRPr="00150993" w14:paraId="2E0CC4B8" w14:textId="77777777" w:rsidTr="00BD5327">
        <w:trPr>
          <w:trHeight w:val="264"/>
        </w:trPr>
        <w:tc>
          <w:tcPr>
            <w:tcW w:w="902" w:type="dxa"/>
            <w:tcBorders>
              <w:top w:val="single" w:sz="4" w:space="0" w:color="D9D9D9"/>
              <w:left w:val="single" w:sz="4" w:space="0" w:color="D9D9D9"/>
              <w:bottom w:val="single" w:sz="4" w:space="0" w:color="D9D9D9"/>
              <w:right w:val="single" w:sz="4" w:space="0" w:color="D9D9D9"/>
            </w:tcBorders>
            <w:shd w:val="clear" w:color="000000" w:fill="EA0029"/>
            <w:noWrap/>
            <w:vAlign w:val="center"/>
            <w:hideMark/>
          </w:tcPr>
          <w:p w14:paraId="5FB81018" w14:textId="77777777" w:rsidR="000073BA" w:rsidRPr="00150993" w:rsidRDefault="000073BA" w:rsidP="00BD5327">
            <w:pPr>
              <w:jc w:val="center"/>
              <w:rPr>
                <w:rFonts w:ascii="Arial" w:hAnsi="Arial" w:cs="Arial"/>
                <w:b/>
                <w:bCs/>
                <w:color w:val="FFFFFF"/>
                <w:sz w:val="15"/>
                <w:szCs w:val="15"/>
              </w:rPr>
            </w:pPr>
            <w:r w:rsidRPr="006A231D">
              <w:rPr>
                <w:rFonts w:ascii="Arial" w:hAnsi="Arial" w:cs="Arial"/>
                <w:b/>
                <w:bCs/>
                <w:color w:val="FFFFFF"/>
                <w:sz w:val="20"/>
                <w:szCs w:val="20"/>
              </w:rPr>
              <w:t>4.4</w:t>
            </w:r>
          </w:p>
        </w:tc>
        <w:tc>
          <w:tcPr>
            <w:tcW w:w="872" w:type="dxa"/>
            <w:tcBorders>
              <w:top w:val="single" w:sz="4" w:space="0" w:color="D9D9D9"/>
              <w:left w:val="single" w:sz="4" w:space="0" w:color="D9D9D9"/>
              <w:bottom w:val="single" w:sz="4" w:space="0" w:color="D9D9D9"/>
              <w:right w:val="single" w:sz="4" w:space="0" w:color="D9D9D9"/>
            </w:tcBorders>
            <w:shd w:val="clear" w:color="000000" w:fill="EA0029"/>
            <w:noWrap/>
            <w:vAlign w:val="center"/>
            <w:hideMark/>
          </w:tcPr>
          <w:p w14:paraId="334E4FF9" w14:textId="77777777" w:rsidR="000073BA" w:rsidRPr="00150993" w:rsidRDefault="000073BA" w:rsidP="00BD5327">
            <w:pPr>
              <w:jc w:val="center"/>
              <w:rPr>
                <w:rFonts w:ascii="Arial" w:hAnsi="Arial" w:cs="Arial"/>
                <w:b/>
                <w:bCs/>
                <w:color w:val="FFFFFF"/>
                <w:sz w:val="15"/>
                <w:szCs w:val="15"/>
              </w:rPr>
            </w:pPr>
            <w:r w:rsidRPr="00150993">
              <w:rPr>
                <w:rFonts w:ascii="Arial" w:hAnsi="Arial" w:cs="Arial"/>
                <w:b/>
                <w:bCs/>
                <w:color w:val="FFFFFF"/>
                <w:sz w:val="15"/>
                <w:szCs w:val="15"/>
              </w:rPr>
              <w:t>Medium</w:t>
            </w:r>
          </w:p>
        </w:tc>
        <w:tc>
          <w:tcPr>
            <w:tcW w:w="633" w:type="dxa"/>
            <w:tcBorders>
              <w:top w:val="single" w:sz="4" w:space="0" w:color="D9D9D9"/>
              <w:left w:val="nil"/>
              <w:bottom w:val="single" w:sz="4" w:space="0" w:color="D9D9D9"/>
              <w:right w:val="single" w:sz="4" w:space="0" w:color="D9D9D9"/>
            </w:tcBorders>
            <w:shd w:val="clear" w:color="000000" w:fill="FFFFFF"/>
            <w:noWrap/>
            <w:vAlign w:val="center"/>
            <w:hideMark/>
          </w:tcPr>
          <w:p w14:paraId="5E5EC278" w14:textId="77777777" w:rsidR="000073BA" w:rsidRPr="006A231D" w:rsidRDefault="000073BA" w:rsidP="00BD5327">
            <w:pPr>
              <w:jc w:val="center"/>
              <w:rPr>
                <w:rFonts w:ascii="Arial" w:hAnsi="Arial" w:cs="Arial"/>
                <w:i/>
                <w:iCs/>
                <w:color w:val="000000"/>
                <w:sz w:val="18"/>
                <w:szCs w:val="18"/>
              </w:rPr>
            </w:pPr>
            <w:r w:rsidRPr="006A231D">
              <w:rPr>
                <w:rFonts w:ascii="Arial" w:hAnsi="Arial" w:cs="Arial"/>
                <w:i/>
                <w:iCs/>
                <w:color w:val="000000"/>
                <w:sz w:val="18"/>
                <w:szCs w:val="18"/>
              </w:rPr>
              <w:t>59</w:t>
            </w:r>
          </w:p>
        </w:tc>
        <w:tc>
          <w:tcPr>
            <w:tcW w:w="1192" w:type="dxa"/>
            <w:tcBorders>
              <w:top w:val="single" w:sz="4" w:space="0" w:color="D9D9D9"/>
              <w:left w:val="single" w:sz="4" w:space="0" w:color="D9D9D9"/>
              <w:bottom w:val="single" w:sz="4" w:space="0" w:color="D9D9D9"/>
              <w:right w:val="single" w:sz="4" w:space="0" w:color="D9D9D9"/>
            </w:tcBorders>
            <w:shd w:val="clear" w:color="000000" w:fill="FF7900"/>
            <w:noWrap/>
            <w:vAlign w:val="center"/>
            <w:hideMark/>
          </w:tcPr>
          <w:p w14:paraId="74576C94" w14:textId="77777777" w:rsidR="000073BA" w:rsidRPr="006A231D" w:rsidRDefault="000073BA" w:rsidP="00BD5327">
            <w:pPr>
              <w:jc w:val="center"/>
              <w:rPr>
                <w:rFonts w:ascii="Arial" w:hAnsi="Arial" w:cs="Arial"/>
                <w:b/>
                <w:bCs/>
                <w:color w:val="000000"/>
                <w:sz w:val="18"/>
                <w:szCs w:val="18"/>
              </w:rPr>
            </w:pPr>
            <w:r w:rsidRPr="006A231D">
              <w:rPr>
                <w:rFonts w:ascii="Arial" w:hAnsi="Arial" w:cs="Arial"/>
                <w:b/>
                <w:bCs/>
                <w:color w:val="000000"/>
                <w:sz w:val="18"/>
                <w:szCs w:val="18"/>
              </w:rPr>
              <w:t>3.2</w:t>
            </w:r>
          </w:p>
        </w:tc>
        <w:tc>
          <w:tcPr>
            <w:tcW w:w="670" w:type="dxa"/>
            <w:tcBorders>
              <w:top w:val="single" w:sz="4" w:space="0" w:color="D9D9D9"/>
              <w:left w:val="nil"/>
              <w:bottom w:val="single" w:sz="4" w:space="0" w:color="D9D9D9"/>
              <w:right w:val="single" w:sz="4" w:space="0" w:color="D9D9D9"/>
            </w:tcBorders>
            <w:shd w:val="clear" w:color="000000" w:fill="FBBF9A"/>
            <w:noWrap/>
            <w:vAlign w:val="center"/>
            <w:hideMark/>
          </w:tcPr>
          <w:p w14:paraId="58ED54B0" w14:textId="77777777" w:rsidR="000073BA" w:rsidRPr="006A231D" w:rsidRDefault="000073BA" w:rsidP="00BD5327">
            <w:pPr>
              <w:jc w:val="center"/>
              <w:rPr>
                <w:rFonts w:ascii="Arial" w:hAnsi="Arial" w:cs="Arial"/>
                <w:color w:val="000000"/>
                <w:sz w:val="18"/>
                <w:szCs w:val="18"/>
              </w:rPr>
            </w:pPr>
            <w:r w:rsidRPr="006A231D">
              <w:rPr>
                <w:rFonts w:ascii="Arial" w:hAnsi="Arial" w:cs="Arial"/>
                <w:color w:val="000000"/>
                <w:sz w:val="18"/>
                <w:szCs w:val="18"/>
              </w:rPr>
              <w:t>8.6</w:t>
            </w:r>
          </w:p>
        </w:tc>
        <w:tc>
          <w:tcPr>
            <w:tcW w:w="842" w:type="dxa"/>
            <w:tcBorders>
              <w:top w:val="single" w:sz="4" w:space="0" w:color="D9D9D9"/>
              <w:left w:val="nil"/>
              <w:bottom w:val="single" w:sz="4" w:space="0" w:color="D9D9D9"/>
              <w:right w:val="single" w:sz="4" w:space="0" w:color="D9D9D9"/>
            </w:tcBorders>
            <w:shd w:val="clear" w:color="000000" w:fill="FBBF9A"/>
            <w:noWrap/>
            <w:vAlign w:val="center"/>
            <w:hideMark/>
          </w:tcPr>
          <w:p w14:paraId="23D6C592" w14:textId="77777777" w:rsidR="000073BA" w:rsidRPr="006A231D" w:rsidRDefault="000073BA" w:rsidP="00BD5327">
            <w:pPr>
              <w:jc w:val="center"/>
              <w:rPr>
                <w:rFonts w:ascii="Arial" w:hAnsi="Arial" w:cs="Arial"/>
                <w:color w:val="000000"/>
                <w:sz w:val="18"/>
                <w:szCs w:val="18"/>
              </w:rPr>
            </w:pPr>
            <w:r w:rsidRPr="006A231D">
              <w:rPr>
                <w:rFonts w:ascii="Arial" w:hAnsi="Arial" w:cs="Arial"/>
                <w:color w:val="000000"/>
                <w:sz w:val="18"/>
                <w:szCs w:val="18"/>
              </w:rPr>
              <w:t>1.8</w:t>
            </w:r>
          </w:p>
        </w:tc>
        <w:tc>
          <w:tcPr>
            <w:tcW w:w="803" w:type="dxa"/>
            <w:tcBorders>
              <w:top w:val="single" w:sz="4" w:space="0" w:color="D9D9D9"/>
              <w:left w:val="nil"/>
              <w:bottom w:val="single" w:sz="4" w:space="0" w:color="D9D9D9"/>
              <w:right w:val="single" w:sz="4" w:space="0" w:color="D9D9D9"/>
            </w:tcBorders>
            <w:shd w:val="clear" w:color="000000" w:fill="FBBF9A"/>
            <w:noWrap/>
            <w:vAlign w:val="center"/>
            <w:hideMark/>
          </w:tcPr>
          <w:p w14:paraId="01663F85" w14:textId="77777777" w:rsidR="000073BA" w:rsidRPr="006A231D" w:rsidRDefault="000073BA" w:rsidP="00BD5327">
            <w:pPr>
              <w:jc w:val="center"/>
              <w:rPr>
                <w:rFonts w:ascii="Arial" w:hAnsi="Arial" w:cs="Arial"/>
                <w:color w:val="000000"/>
                <w:sz w:val="18"/>
                <w:szCs w:val="18"/>
              </w:rPr>
            </w:pPr>
            <w:r w:rsidRPr="006A231D">
              <w:rPr>
                <w:rFonts w:ascii="Arial" w:hAnsi="Arial" w:cs="Arial"/>
                <w:color w:val="000000"/>
                <w:sz w:val="18"/>
                <w:szCs w:val="18"/>
              </w:rPr>
              <w:t>3.7</w:t>
            </w:r>
          </w:p>
        </w:tc>
        <w:tc>
          <w:tcPr>
            <w:tcW w:w="832" w:type="dxa"/>
            <w:tcBorders>
              <w:top w:val="single" w:sz="4" w:space="0" w:color="D9D9D9"/>
              <w:left w:val="nil"/>
              <w:bottom w:val="single" w:sz="4" w:space="0" w:color="D9D9D9"/>
              <w:right w:val="single" w:sz="4" w:space="0" w:color="D9D9D9"/>
            </w:tcBorders>
            <w:shd w:val="clear" w:color="000000" w:fill="FBBF9A"/>
            <w:noWrap/>
            <w:vAlign w:val="center"/>
            <w:hideMark/>
          </w:tcPr>
          <w:p w14:paraId="4A9F7DC0" w14:textId="77777777" w:rsidR="000073BA" w:rsidRPr="006A231D" w:rsidRDefault="000073BA" w:rsidP="00BD5327">
            <w:pPr>
              <w:jc w:val="center"/>
              <w:rPr>
                <w:rFonts w:ascii="Arial" w:hAnsi="Arial" w:cs="Arial"/>
                <w:color w:val="000000"/>
                <w:sz w:val="18"/>
                <w:szCs w:val="18"/>
              </w:rPr>
            </w:pPr>
            <w:r w:rsidRPr="006A231D">
              <w:rPr>
                <w:rFonts w:ascii="Arial" w:hAnsi="Arial" w:cs="Arial"/>
                <w:color w:val="000000"/>
                <w:sz w:val="18"/>
                <w:szCs w:val="18"/>
              </w:rPr>
              <w:t>4.2</w:t>
            </w:r>
          </w:p>
        </w:tc>
        <w:tc>
          <w:tcPr>
            <w:tcW w:w="1075" w:type="dxa"/>
            <w:tcBorders>
              <w:top w:val="single" w:sz="4" w:space="0" w:color="D9D9D9"/>
              <w:left w:val="single" w:sz="4" w:space="0" w:color="D9D9D9"/>
              <w:bottom w:val="single" w:sz="4" w:space="0" w:color="D9D9D9"/>
              <w:right w:val="single" w:sz="4" w:space="0" w:color="D9D9D9"/>
            </w:tcBorders>
            <w:shd w:val="clear" w:color="000000" w:fill="4AC0DF"/>
            <w:noWrap/>
            <w:vAlign w:val="center"/>
            <w:hideMark/>
          </w:tcPr>
          <w:p w14:paraId="63A7FD93" w14:textId="77777777" w:rsidR="000073BA" w:rsidRPr="006A231D" w:rsidRDefault="000073BA" w:rsidP="00BD5327">
            <w:pPr>
              <w:jc w:val="center"/>
              <w:rPr>
                <w:rFonts w:ascii="Arial" w:hAnsi="Arial" w:cs="Arial"/>
                <w:b/>
                <w:bCs/>
                <w:color w:val="000000"/>
                <w:sz w:val="18"/>
                <w:szCs w:val="18"/>
              </w:rPr>
            </w:pPr>
            <w:r w:rsidRPr="006A231D">
              <w:rPr>
                <w:rFonts w:ascii="Arial" w:hAnsi="Arial" w:cs="Arial"/>
                <w:b/>
                <w:bCs/>
                <w:color w:val="000000"/>
                <w:sz w:val="18"/>
                <w:szCs w:val="18"/>
              </w:rPr>
              <w:t>4.8</w:t>
            </w:r>
          </w:p>
        </w:tc>
        <w:tc>
          <w:tcPr>
            <w:tcW w:w="1112" w:type="dxa"/>
            <w:tcBorders>
              <w:top w:val="single" w:sz="4" w:space="0" w:color="D9D9D9"/>
              <w:left w:val="single" w:sz="4" w:space="0" w:color="D9D9D9"/>
              <w:bottom w:val="single" w:sz="4" w:space="0" w:color="D9D9D9"/>
              <w:right w:val="single" w:sz="4" w:space="0" w:color="D9D9D9"/>
            </w:tcBorders>
            <w:shd w:val="clear" w:color="000000" w:fill="00AB69"/>
            <w:noWrap/>
            <w:vAlign w:val="center"/>
            <w:hideMark/>
          </w:tcPr>
          <w:p w14:paraId="3EB7D901" w14:textId="77777777" w:rsidR="000073BA" w:rsidRPr="006A231D" w:rsidRDefault="000073BA" w:rsidP="00BD5327">
            <w:pPr>
              <w:jc w:val="center"/>
              <w:rPr>
                <w:rFonts w:ascii="Arial" w:hAnsi="Arial" w:cs="Arial"/>
                <w:b/>
                <w:bCs/>
                <w:color w:val="FFFFFF"/>
                <w:sz w:val="18"/>
                <w:szCs w:val="18"/>
              </w:rPr>
            </w:pPr>
            <w:r w:rsidRPr="006A231D">
              <w:rPr>
                <w:rFonts w:ascii="Arial" w:hAnsi="Arial" w:cs="Arial"/>
                <w:b/>
                <w:bCs/>
                <w:color w:val="FFFFFF"/>
                <w:sz w:val="18"/>
                <w:szCs w:val="18"/>
              </w:rPr>
              <w:t>5.6</w:t>
            </w:r>
          </w:p>
        </w:tc>
      </w:tr>
    </w:tbl>
    <w:p w14:paraId="3AE39A04" w14:textId="77777777" w:rsidR="000073BA" w:rsidRPr="00150993" w:rsidRDefault="000073BA" w:rsidP="000073BA">
      <w:pPr>
        <w:spacing w:before="120" w:after="120"/>
        <w:jc w:val="both"/>
        <w:rPr>
          <w:rFonts w:ascii="Arial" w:hAnsi="Arial" w:cs="Arial"/>
          <w:sz w:val="18"/>
          <w:szCs w:val="18"/>
        </w:rPr>
      </w:pPr>
      <w:r w:rsidRPr="00150993">
        <w:rPr>
          <w:rFonts w:ascii="Arial" w:hAnsi="Arial" w:cs="Arial"/>
          <w:b/>
          <w:bCs/>
          <w:sz w:val="18"/>
          <w:szCs w:val="18"/>
        </w:rPr>
        <w:t>Source:</w:t>
      </w:r>
      <w:r w:rsidRPr="00150993">
        <w:rPr>
          <w:rFonts w:ascii="Arial" w:hAnsi="Arial" w:cs="Arial"/>
          <w:sz w:val="18"/>
          <w:szCs w:val="18"/>
        </w:rPr>
        <w:t xml:space="preserve"> </w:t>
      </w:r>
      <w:r w:rsidRPr="00150993">
        <w:rPr>
          <w:rFonts w:ascii="Arial" w:hAnsi="Arial" w:cs="Arial"/>
          <w:i/>
          <w:iCs/>
          <w:sz w:val="18"/>
          <w:szCs w:val="18"/>
        </w:rPr>
        <w:t>European Commission, Joint Research Centre (JRC), &amp; Inter-Agency Standing Committee (IASC). (2025). INFORM Risk Index: Results and data (Mid-2025 update)</w:t>
      </w:r>
    </w:p>
    <w:bookmarkEnd w:id="8"/>
    <w:bookmarkEnd w:id="9"/>
    <w:p w14:paraId="489856C2" w14:textId="77777777" w:rsidR="00737B2B" w:rsidRPr="00150993" w:rsidRDefault="00737B2B" w:rsidP="00737B2B">
      <w:pPr>
        <w:spacing w:after="120"/>
        <w:jc w:val="both"/>
        <w:rPr>
          <w:rFonts w:ascii="Arial" w:hAnsi="Arial" w:cs="Arial"/>
          <w:sz w:val="21"/>
          <w:szCs w:val="21"/>
        </w:rPr>
      </w:pPr>
    </w:p>
    <w:p w14:paraId="17451903" w14:textId="77777777" w:rsidR="00737B2B" w:rsidRPr="00275B0E" w:rsidRDefault="00737B2B" w:rsidP="00275B0E">
      <w:pPr>
        <w:pStyle w:val="Heading2"/>
        <w:keepLines w:val="0"/>
        <w:spacing w:before="100" w:beforeAutospacing="1" w:after="100" w:afterAutospacing="1" w:line="240" w:lineRule="auto"/>
        <w:rPr>
          <w:rFonts w:ascii="Arial" w:eastAsia="Times New Roman" w:hAnsi="Arial" w:cs="Arial"/>
          <w:b/>
          <w:bCs/>
          <w:color w:val="auto"/>
          <w:sz w:val="28"/>
          <w:szCs w:val="28"/>
        </w:rPr>
      </w:pPr>
      <w:bookmarkStart w:id="59" w:name="_Toc213424659"/>
      <w:bookmarkStart w:id="60" w:name="_Toc217231519"/>
      <w:r w:rsidRPr="00275B0E">
        <w:rPr>
          <w:rFonts w:ascii="Arial" w:eastAsia="Times New Roman" w:hAnsi="Arial" w:cs="Arial"/>
          <w:b/>
          <w:bCs/>
          <w:color w:val="auto"/>
          <w:sz w:val="28"/>
          <w:szCs w:val="28"/>
        </w:rPr>
        <w:t>2.3 Discussion and Conclusions</w:t>
      </w:r>
      <w:bookmarkEnd w:id="59"/>
      <w:bookmarkEnd w:id="60"/>
    </w:p>
    <w:p w14:paraId="50DD34F9" w14:textId="77777777" w:rsidR="00737B2B"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61" w:name="_Toc213424660"/>
      <w:bookmarkStart w:id="62" w:name="_Toc217231520"/>
      <w:r w:rsidRPr="00275B0E">
        <w:rPr>
          <w:rFonts w:ascii="Arial" w:eastAsia="Times New Roman" w:hAnsi="Arial" w:cs="Arial"/>
          <w:b/>
          <w:bCs/>
          <w:color w:val="auto"/>
          <w:sz w:val="24"/>
          <w:szCs w:val="24"/>
        </w:rPr>
        <w:t>2.3.1 Risk assessment from socioeconomic trends</w:t>
      </w:r>
      <w:bookmarkEnd w:id="61"/>
      <w:bookmarkEnd w:id="62"/>
    </w:p>
    <w:p w14:paraId="514606BA" w14:textId="77777777" w:rsidR="00B27D9F" w:rsidRPr="00150993" w:rsidRDefault="00B27D9F" w:rsidP="00B27D9F">
      <w:pPr>
        <w:jc w:val="both"/>
        <w:rPr>
          <w:rFonts w:ascii="Arial" w:hAnsi="Arial" w:cs="Arial"/>
          <w:sz w:val="22"/>
          <w:szCs w:val="22"/>
        </w:rPr>
      </w:pPr>
      <w:r w:rsidRPr="00F72346">
        <w:rPr>
          <w:rFonts w:ascii="Arial" w:hAnsi="Arial" w:cs="Arial"/>
          <w:b/>
          <w:bCs/>
          <w:sz w:val="22"/>
          <w:szCs w:val="22"/>
        </w:rPr>
        <w:t>Coastal Cambodia is undergoing rapid but uneven demographic and economic change, which shapes who is at risk and where</w:t>
      </w:r>
      <w:r w:rsidRPr="00150993">
        <w:rPr>
          <w:rFonts w:ascii="Arial" w:hAnsi="Arial" w:cs="Arial"/>
          <w:sz w:val="22"/>
          <w:szCs w:val="22"/>
        </w:rPr>
        <w:t>. Population in Preah Sihanouk, Koh Kong, Kampot, and Kep rose by about 27% between 1998 and 2019, while households grew ~40%, a pattern that signals smaller family size and sustained in-migration to coastal hubs (NIS, 1998; NIS, 2008; NIS, 2019). Within this growth, Preah Sihanouk concentrates the largest bundle of exposed assets, a deep-sea port, logistics platforms, and tourism infrastructure, amid a distinctly male-skewed sex ratio linked to construction and service inflows (NIS, 2019). By contrast, Koh Kong remains ecologically extensive and low-density, where scattered settlements face long response times and reliance on river/road crossings during floods (NIS, 2019; CFE-DMHA, 2024).</w:t>
      </w:r>
    </w:p>
    <w:p w14:paraId="067CF859" w14:textId="77777777" w:rsidR="00B27D9F" w:rsidRPr="00150993" w:rsidRDefault="00B27D9F" w:rsidP="00B27D9F">
      <w:pPr>
        <w:jc w:val="both"/>
        <w:rPr>
          <w:rFonts w:ascii="Arial" w:hAnsi="Arial" w:cs="Arial"/>
          <w:sz w:val="22"/>
          <w:szCs w:val="22"/>
        </w:rPr>
      </w:pPr>
    </w:p>
    <w:p w14:paraId="03501B98" w14:textId="77777777" w:rsidR="00B27D9F" w:rsidRPr="00150993" w:rsidRDefault="00B27D9F" w:rsidP="00B27D9F">
      <w:pPr>
        <w:jc w:val="both"/>
        <w:rPr>
          <w:rFonts w:ascii="Arial" w:hAnsi="Arial" w:cs="Arial"/>
          <w:sz w:val="22"/>
          <w:szCs w:val="22"/>
        </w:rPr>
      </w:pPr>
      <w:r w:rsidRPr="00F72346">
        <w:rPr>
          <w:rFonts w:ascii="Arial" w:hAnsi="Arial" w:cs="Arial"/>
          <w:b/>
          <w:bCs/>
          <w:sz w:val="22"/>
          <w:szCs w:val="22"/>
        </w:rPr>
        <w:t>Human development has improved steadily—Cambodia’s HDI rose to 0.606 in 2023 after a brief pandemic dip—but inequality still trims</w:t>
      </w:r>
      <w:r w:rsidRPr="00150993">
        <w:rPr>
          <w:rFonts w:ascii="Arial" w:hAnsi="Arial" w:cs="Arial"/>
          <w:sz w:val="22"/>
          <w:szCs w:val="22"/>
        </w:rPr>
        <w:t xml:space="preserve"> ~27–29% off the headline HDI when adjusted for distribution, indicating that shocks (floods, droughts, price spikes) can push near-poor households back into poverty (UNDP, 2024). Monetary poverty fell from 33.8% (2009) to 17.8% (2019/20), before COVID-19 raised poverty by ~2.8 percentage points, especially among informal and tourism-reliant workers (Karamba &amp; Tong, 2022). Administratively targeted IDPoor data show coastal incidence close to the national average—about 21.0% persons vs 21.5% nationally—but with sharp intra-coastal contrasts: Koh Kong has the highest intensity, Kampot the largest caseload, Preah Sihanouk the lowest rates, and Kep small but non-trivial pockets (MoP, 2025). A complementary MPI lens confirms this spread (national MPI ≈ 0.070; Koh Kong 0.099, Kampot 0.079, Kep 0.075, Preah Sihanouk 0.031), implying different policy mixes are needed across provinces (OPHI &amp; UNDP, 2024).</w:t>
      </w:r>
    </w:p>
    <w:p w14:paraId="333F3E9B" w14:textId="77777777" w:rsidR="00B27D9F" w:rsidRPr="00150993" w:rsidRDefault="00B27D9F" w:rsidP="00B27D9F">
      <w:pPr>
        <w:jc w:val="both"/>
        <w:rPr>
          <w:rFonts w:ascii="Arial" w:hAnsi="Arial" w:cs="Arial"/>
          <w:sz w:val="22"/>
          <w:szCs w:val="22"/>
        </w:rPr>
      </w:pPr>
    </w:p>
    <w:p w14:paraId="174D4F4B" w14:textId="332C6C43" w:rsidR="00AC6A35" w:rsidRPr="00150993" w:rsidRDefault="00B27D9F" w:rsidP="00B27D9F">
      <w:pPr>
        <w:jc w:val="both"/>
        <w:rPr>
          <w:rFonts w:ascii="Arial" w:hAnsi="Arial" w:cs="Arial"/>
          <w:sz w:val="22"/>
          <w:szCs w:val="22"/>
        </w:rPr>
      </w:pPr>
      <w:r w:rsidRPr="00F72346">
        <w:rPr>
          <w:rFonts w:ascii="Arial" w:hAnsi="Arial" w:cs="Arial"/>
          <w:b/>
          <w:bCs/>
          <w:sz w:val="22"/>
          <w:szCs w:val="22"/>
        </w:rPr>
        <w:t>Urbanization is rising (projected ~30% by mid-2030s and ~40% by mid-2040s), but drainage, zoning, and worker housing have not fully kept pace in fast-growing nodes</w:t>
      </w:r>
      <w:r w:rsidRPr="00150993">
        <w:rPr>
          <w:rFonts w:ascii="Arial" w:hAnsi="Arial" w:cs="Arial"/>
          <w:sz w:val="22"/>
          <w:szCs w:val="22"/>
        </w:rPr>
        <w:t>, increasing exposure to pluvial and coastal flooding (UN DESA, 2018). Economically, the national shift from agriculture to industry/services has lifted incomes—GDP per capita rose from US$296 (2000) to US$2,628 (2024)—but it also concentrates risk where tourism, ports, and logistics cluster along the shore (World Bank, 2025). In short, coastal risk is amplified by where growth occurs (asset concentration) and who participates (informal workers, migrants, and near-poor households).</w:t>
      </w:r>
    </w:p>
    <w:p w14:paraId="0106B2D2" w14:textId="77777777" w:rsidR="005A76D9" w:rsidRPr="00150993" w:rsidRDefault="005A76D9" w:rsidP="005A76D9">
      <w:pPr>
        <w:rPr>
          <w:rFonts w:ascii="Arial" w:hAnsi="Arial" w:cs="Arial"/>
          <w:sz w:val="22"/>
          <w:szCs w:val="22"/>
        </w:rPr>
      </w:pPr>
    </w:p>
    <w:p w14:paraId="7906D65C" w14:textId="77777777" w:rsidR="00551621"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63" w:name="_Toc213424661"/>
      <w:bookmarkStart w:id="64" w:name="_Toc217231521"/>
      <w:r w:rsidRPr="00275B0E">
        <w:rPr>
          <w:rFonts w:ascii="Arial" w:eastAsia="Times New Roman" w:hAnsi="Arial" w:cs="Arial"/>
          <w:b/>
          <w:bCs/>
          <w:color w:val="auto"/>
          <w:sz w:val="24"/>
          <w:szCs w:val="24"/>
        </w:rPr>
        <w:t>2.3.2 Risk assessment from climate- and environment-related threats</w:t>
      </w:r>
      <w:bookmarkEnd w:id="63"/>
      <w:bookmarkEnd w:id="64"/>
    </w:p>
    <w:p w14:paraId="165A90D8" w14:textId="77777777" w:rsidR="00B27D9F" w:rsidRPr="00150993" w:rsidRDefault="00B27D9F" w:rsidP="00B27D9F">
      <w:pPr>
        <w:spacing w:before="240" w:after="240"/>
        <w:jc w:val="both"/>
        <w:rPr>
          <w:rFonts w:ascii="Arial" w:hAnsi="Arial" w:cs="Arial"/>
          <w:sz w:val="22"/>
          <w:szCs w:val="22"/>
        </w:rPr>
      </w:pPr>
      <w:r w:rsidRPr="00150993">
        <w:rPr>
          <w:rFonts w:ascii="Arial" w:hAnsi="Arial" w:cs="Arial"/>
          <w:b/>
          <w:bCs/>
          <w:sz w:val="22"/>
          <w:szCs w:val="22"/>
        </w:rPr>
        <w:t>Cambodia’s economic growth relies on climate-sensitive sectors</w:t>
      </w:r>
      <w:r w:rsidRPr="00150993">
        <w:rPr>
          <w:rFonts w:ascii="Arial" w:hAnsi="Arial" w:cs="Arial"/>
          <w:sz w:val="22"/>
          <w:szCs w:val="22"/>
        </w:rPr>
        <w:t>, agriculture, tourism, forestry, fisheries, and water resources. Combined with population and infrastructure vulnerabilities, this dependence makes the country highly exposed to climate change impacts, especially the natural disasters and hazards. Floods are the dominant lethal hazard. Benchmark riverine events in 2000, 2011, and 2013 caused heavy mortality and millions affected; 2011 alone led to ~247 deaths and US$521 million in losses, while 2013 affected ~1.5 million people (CRED, UCLouvain, 2025). The CFE-DMHA history documents 2011 flooding across 18 provinces with ~US$630 million in damages and 2013 flooding across 20 provinces with 188 deaths (CFE-DMHA, 2024). Even in recent years, 2019 and 2020 flash floods affected large populations and infrastructure, underscoring basin-to-coast connectivity (CFE-DMHA, 2024).</w:t>
      </w:r>
    </w:p>
    <w:p w14:paraId="2B73726E" w14:textId="77777777" w:rsidR="00B27D9F" w:rsidRPr="00150993" w:rsidRDefault="00B27D9F" w:rsidP="00B27D9F">
      <w:pPr>
        <w:spacing w:before="240" w:after="240"/>
        <w:jc w:val="both"/>
        <w:rPr>
          <w:rFonts w:ascii="Arial" w:hAnsi="Arial" w:cs="Arial"/>
          <w:sz w:val="22"/>
          <w:szCs w:val="22"/>
        </w:rPr>
      </w:pPr>
      <w:r w:rsidRPr="00150993">
        <w:rPr>
          <w:rFonts w:ascii="Arial" w:hAnsi="Arial" w:cs="Arial"/>
          <w:b/>
          <w:bCs/>
          <w:sz w:val="22"/>
          <w:szCs w:val="22"/>
        </w:rPr>
        <w:t>Drought is the largest “people-affected” hazard</w:t>
      </w:r>
      <w:r w:rsidRPr="00150993">
        <w:rPr>
          <w:rFonts w:ascii="Arial" w:hAnsi="Arial" w:cs="Arial"/>
          <w:sz w:val="22"/>
          <w:szCs w:val="22"/>
        </w:rPr>
        <w:t>. EM-DAT records multi-hundred-thousand to multi-million persons affected (e.g., ~2.5 million in 2016 during an El Niño episode) across nearly all agro-ecological zones—impairing farm output, rural water supply, and inland fisheries that feed coastal markets (CRED, UCLouvain, 2025). CFE-DMHA similarly notes 2011–2012 agricultural drought and 2015–2016 nationwide drought affecting at least half of districts, with significant rice and water-supply losses (CFE-DMHA, 2024).</w:t>
      </w:r>
    </w:p>
    <w:p w14:paraId="06F9B623" w14:textId="77777777" w:rsidR="00B27D9F" w:rsidRPr="00150993" w:rsidRDefault="00B27D9F" w:rsidP="00B27D9F">
      <w:pPr>
        <w:spacing w:before="240" w:after="240"/>
        <w:jc w:val="both"/>
        <w:rPr>
          <w:rFonts w:ascii="Arial" w:hAnsi="Arial" w:cs="Arial"/>
          <w:sz w:val="22"/>
          <w:szCs w:val="22"/>
        </w:rPr>
      </w:pPr>
      <w:r w:rsidRPr="00150993">
        <w:rPr>
          <w:rFonts w:ascii="Arial" w:hAnsi="Arial" w:cs="Arial"/>
          <w:b/>
          <w:bCs/>
          <w:sz w:val="22"/>
          <w:szCs w:val="22"/>
        </w:rPr>
        <w:t>Storms, tropical cyclones, and lightning create compound risks</w:t>
      </w:r>
      <w:r w:rsidRPr="00150993">
        <w:rPr>
          <w:rFonts w:ascii="Arial" w:hAnsi="Arial" w:cs="Arial"/>
          <w:sz w:val="22"/>
          <w:szCs w:val="22"/>
        </w:rPr>
        <w:t>, especially for ports, estuaries, and tourism towns. Cambodia typically receives fringe effects rather than direct landfalls, but six tropical cyclones on average each year pass through the broader season; in 2020, storms caused 44 deaths and ~US$100 million in losses, and Noru (Sept 2022) caused 16 fatalities via Mekong flooding (World Bank, 2023; AHA Centre, 2022; CRED, UCLouvain, 2025). Cambodia’s lightning death rate (≈7.8 per million) is among the world’s highest, with severe single-month clusters (CFE-DMHA, 2024).</w:t>
      </w:r>
    </w:p>
    <w:p w14:paraId="34CD1DD4" w14:textId="77777777" w:rsidR="00B27D9F" w:rsidRPr="00150993" w:rsidRDefault="00B27D9F" w:rsidP="00B27D9F">
      <w:pPr>
        <w:spacing w:before="240" w:after="240"/>
        <w:jc w:val="both"/>
        <w:rPr>
          <w:rFonts w:ascii="Arial" w:hAnsi="Arial" w:cs="Arial"/>
          <w:sz w:val="22"/>
          <w:szCs w:val="22"/>
        </w:rPr>
      </w:pPr>
      <w:r w:rsidRPr="00150993">
        <w:rPr>
          <w:rFonts w:ascii="Arial" w:hAnsi="Arial" w:cs="Arial"/>
          <w:b/>
          <w:bCs/>
          <w:sz w:val="22"/>
          <w:szCs w:val="22"/>
        </w:rPr>
        <w:t>Sea-level rise (SLR) and warming seas</w:t>
      </w:r>
      <w:r w:rsidRPr="00150993">
        <w:rPr>
          <w:rFonts w:ascii="Arial" w:hAnsi="Arial" w:cs="Arial"/>
          <w:sz w:val="22"/>
          <w:szCs w:val="22"/>
        </w:rPr>
        <w:t xml:space="preserve"> are slow-onset, system-wide threats, raising coastal flood baselines, intensifying salinity intrusion in dry seasons, and stressing coral, seagrass, and fisheries that underpin coastal livelihoods and tourism (MoE &amp; NCSD, 2022). The INFORM Risk Index (mid-2025) integrates these drivers into a country profile of 4.4/10 (rank 59/191, medium), with very high river-flood exposure (8.6/10), moderate drought (≈3.7–4.2/10), and lower tropical-cyclone and coastal-flood exposure, while overall risk is pulled up by limited coping capacity (5.6/10) (European Commission JRC &amp; IASC, 2025).</w:t>
      </w:r>
    </w:p>
    <w:p w14:paraId="3BFE21F0" w14:textId="77777777" w:rsidR="00797BE5"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65" w:name="_Toc213424662"/>
      <w:bookmarkStart w:id="66" w:name="_Toc217231522"/>
      <w:r w:rsidRPr="00275B0E">
        <w:rPr>
          <w:rFonts w:ascii="Arial" w:eastAsia="Times New Roman" w:hAnsi="Arial" w:cs="Arial"/>
          <w:b/>
          <w:bCs/>
          <w:color w:val="auto"/>
          <w:sz w:val="24"/>
          <w:szCs w:val="24"/>
        </w:rPr>
        <w:t>2.3.3 Mitigating socioeconomic vulnerability from climate</w:t>
      </w:r>
      <w:r w:rsidRPr="00275B0E">
        <w:rPr>
          <w:rFonts w:ascii="Cambria Math" w:eastAsia="Times New Roman" w:hAnsi="Cambria Math" w:cs="Cambria Math"/>
          <w:b/>
          <w:bCs/>
          <w:color w:val="auto"/>
          <w:sz w:val="24"/>
          <w:szCs w:val="24"/>
        </w:rPr>
        <w:t>‑</w:t>
      </w:r>
      <w:r w:rsidRPr="00275B0E">
        <w:rPr>
          <w:rFonts w:ascii="Arial" w:eastAsia="Times New Roman" w:hAnsi="Arial" w:cs="Arial"/>
          <w:b/>
          <w:bCs/>
          <w:color w:val="auto"/>
          <w:sz w:val="24"/>
          <w:szCs w:val="24"/>
        </w:rPr>
        <w:t>mediated environmental change</w:t>
      </w:r>
      <w:r w:rsidR="00F44812" w:rsidRPr="00275B0E">
        <w:rPr>
          <w:rFonts w:ascii="Arial" w:eastAsia="Times New Roman" w:hAnsi="Arial" w:cs="Arial"/>
          <w:b/>
          <w:bCs/>
          <w:color w:val="auto"/>
          <w:sz w:val="24"/>
          <w:szCs w:val="24"/>
        </w:rPr>
        <w:t xml:space="preserve"> – </w:t>
      </w:r>
      <w:r w:rsidRPr="00275B0E">
        <w:rPr>
          <w:rFonts w:ascii="Arial" w:eastAsia="Times New Roman" w:hAnsi="Arial" w:cs="Arial"/>
          <w:b/>
          <w:bCs/>
          <w:color w:val="auto"/>
          <w:sz w:val="24"/>
          <w:szCs w:val="24"/>
        </w:rPr>
        <w:t>current actions and gaps</w:t>
      </w:r>
      <w:bookmarkEnd w:id="65"/>
      <w:bookmarkEnd w:id="66"/>
    </w:p>
    <w:p w14:paraId="1F68B873" w14:textId="77777777" w:rsidR="00B27D9F" w:rsidRPr="00150993" w:rsidRDefault="00B27D9F" w:rsidP="00B27D9F">
      <w:pPr>
        <w:jc w:val="both"/>
        <w:rPr>
          <w:rFonts w:ascii="Arial" w:hAnsi="Arial" w:cs="Arial"/>
          <w:sz w:val="22"/>
          <w:szCs w:val="22"/>
        </w:rPr>
      </w:pPr>
      <w:r w:rsidRPr="00150993">
        <w:rPr>
          <w:rFonts w:ascii="Arial" w:hAnsi="Arial" w:cs="Arial"/>
          <w:sz w:val="22"/>
          <w:szCs w:val="22"/>
        </w:rPr>
        <w:t xml:space="preserve">In response to the overlapping risks, </w:t>
      </w:r>
      <w:r w:rsidRPr="00F72346">
        <w:rPr>
          <w:rFonts w:ascii="Arial" w:hAnsi="Arial" w:cs="Arial"/>
          <w:b/>
          <w:bCs/>
          <w:sz w:val="22"/>
          <w:szCs w:val="22"/>
        </w:rPr>
        <w:t>Cambodia has begun to build a more shock-responsive social protection and disaster-risk management system</w:t>
      </w:r>
      <w:r w:rsidRPr="00150993">
        <w:rPr>
          <w:rFonts w:ascii="Arial" w:hAnsi="Arial" w:cs="Arial"/>
          <w:sz w:val="22"/>
          <w:szCs w:val="22"/>
        </w:rPr>
        <w:t>. During COVID-19, the government rapidly expanded social assistance using the IDPoor registry, delivering cash transfers to hundreds of thousands of poor and newly poor households. This helped cushion pandemic-related poverty reversals, while upgrading the social registry, payment systems, and local delivery mechanisms that can now be repurposed for future climate- and disaster-related shocks (World Bank, 2022; Karamba &amp; Tong, 2022). These foundations are particularly relevant in coastal provinces where tourism, fisheries, and construction workers—many informal or migrant—face high income volatility during floods, storms, and economic downturns (MoP, 2025; OPHI &amp; UNDP, 2024).</w:t>
      </w:r>
    </w:p>
    <w:p w14:paraId="0F78D977" w14:textId="77777777" w:rsidR="00B27D9F" w:rsidRPr="00150993" w:rsidRDefault="00B27D9F" w:rsidP="00B27D9F">
      <w:pPr>
        <w:jc w:val="both"/>
        <w:rPr>
          <w:rFonts w:ascii="Arial" w:hAnsi="Arial" w:cs="Arial"/>
          <w:sz w:val="22"/>
          <w:szCs w:val="22"/>
        </w:rPr>
      </w:pPr>
    </w:p>
    <w:p w14:paraId="2A3B5ADC" w14:textId="77777777" w:rsidR="00B27D9F" w:rsidRPr="00150993" w:rsidRDefault="00B27D9F" w:rsidP="00B27D9F">
      <w:pPr>
        <w:jc w:val="both"/>
        <w:rPr>
          <w:rFonts w:ascii="Arial" w:hAnsi="Arial" w:cs="Arial"/>
          <w:sz w:val="22"/>
          <w:szCs w:val="22"/>
        </w:rPr>
      </w:pPr>
      <w:r w:rsidRPr="00F72346">
        <w:rPr>
          <w:rFonts w:ascii="Arial" w:hAnsi="Arial" w:cs="Arial"/>
          <w:b/>
          <w:bCs/>
          <w:sz w:val="22"/>
          <w:szCs w:val="22"/>
        </w:rPr>
        <w:t>On risk governance, institutional frameworks for disaster risk reduction (DRR) have strengthened</w:t>
      </w:r>
      <w:r w:rsidRPr="00150993">
        <w:rPr>
          <w:rFonts w:ascii="Arial" w:hAnsi="Arial" w:cs="Arial"/>
          <w:sz w:val="22"/>
          <w:szCs w:val="22"/>
        </w:rPr>
        <w:t xml:space="preserve">, notably through the </w:t>
      </w:r>
      <w:r w:rsidRPr="00F72346">
        <w:rPr>
          <w:rFonts w:ascii="Arial" w:hAnsi="Arial" w:cs="Arial"/>
          <w:b/>
          <w:bCs/>
          <w:sz w:val="22"/>
          <w:szCs w:val="22"/>
        </w:rPr>
        <w:t>Law on Disaster Management</w:t>
      </w:r>
      <w:r w:rsidRPr="00150993">
        <w:rPr>
          <w:rFonts w:ascii="Arial" w:hAnsi="Arial" w:cs="Arial"/>
          <w:sz w:val="22"/>
          <w:szCs w:val="22"/>
        </w:rPr>
        <w:t xml:space="preserve"> and the </w:t>
      </w:r>
      <w:r w:rsidRPr="00F72346">
        <w:rPr>
          <w:rFonts w:ascii="Arial" w:hAnsi="Arial" w:cs="Arial"/>
          <w:b/>
          <w:bCs/>
          <w:sz w:val="22"/>
          <w:szCs w:val="22"/>
        </w:rPr>
        <w:t>National DRR Strategy 2019–2030</w:t>
      </w:r>
      <w:r w:rsidRPr="00150993">
        <w:rPr>
          <w:rFonts w:ascii="Arial" w:hAnsi="Arial" w:cs="Arial"/>
          <w:sz w:val="22"/>
          <w:szCs w:val="22"/>
        </w:rPr>
        <w:t>, which clarify mandates for the National Committee for Disaster Management and sub-national committees (CFE-DMHA, 2024). The INFORM Risk Index reflects this with relatively lower institutional sub-scores compared with hazard exposure, indicating improving, though still constrained, coping capacity (European Commission JRC &amp; IASC, 2025). Cambodia is also piloting impact-based forecasting and early warning with regional partners, which, if scaled, can better link hydro-meteorological information to anticipatory action in flood- and storm-prone basins (CFE-DMHA, 2024).</w:t>
      </w:r>
    </w:p>
    <w:p w14:paraId="42197F57" w14:textId="77777777" w:rsidR="00B27D9F" w:rsidRPr="00150993" w:rsidRDefault="00B27D9F" w:rsidP="00B27D9F">
      <w:pPr>
        <w:jc w:val="both"/>
        <w:rPr>
          <w:rFonts w:ascii="Arial" w:hAnsi="Arial" w:cs="Arial"/>
          <w:sz w:val="22"/>
          <w:szCs w:val="22"/>
        </w:rPr>
      </w:pPr>
    </w:p>
    <w:p w14:paraId="67370924" w14:textId="77777777" w:rsidR="00B27D9F" w:rsidRPr="00150993" w:rsidRDefault="00B27D9F" w:rsidP="00B27D9F">
      <w:pPr>
        <w:jc w:val="both"/>
        <w:rPr>
          <w:rFonts w:ascii="Arial" w:hAnsi="Arial" w:cs="Arial"/>
          <w:sz w:val="22"/>
          <w:szCs w:val="22"/>
        </w:rPr>
      </w:pPr>
      <w:r w:rsidRPr="00F72346">
        <w:rPr>
          <w:rFonts w:ascii="Arial" w:hAnsi="Arial" w:cs="Arial"/>
          <w:b/>
          <w:bCs/>
          <w:sz w:val="22"/>
          <w:szCs w:val="22"/>
        </w:rPr>
        <w:t>Ecosystem-based adaptation is another emerging pillar</w:t>
      </w:r>
      <w:r w:rsidRPr="00150993">
        <w:rPr>
          <w:rFonts w:ascii="Arial" w:hAnsi="Arial" w:cs="Arial"/>
          <w:sz w:val="22"/>
          <w:szCs w:val="22"/>
        </w:rPr>
        <w:t>. Expansion and consolidation of protected areas and community-managed zones have reinforced mangrove, seagrass, and estuarine conservation, particularly in Koh Kong’s Peam Krasop Wildlife Sanctuary and Koh Kapik Ramsar Site, where mangroves provide critical blue-carbon storage and natural shoreline protection (MoE &amp; NCSD, 2022). These measures, alongside community-based ecotourism and sustainable fisheries initiatives, can simultaneously buffer hazards and diversify livelihoods if backed by long-term financing and enforcement.</w:t>
      </w:r>
    </w:p>
    <w:p w14:paraId="4566906E" w14:textId="77777777" w:rsidR="00B27D9F" w:rsidRPr="00150993" w:rsidRDefault="00B27D9F" w:rsidP="00B27D9F">
      <w:pPr>
        <w:jc w:val="both"/>
        <w:rPr>
          <w:rFonts w:ascii="Arial" w:hAnsi="Arial" w:cs="Arial"/>
          <w:sz w:val="22"/>
          <w:szCs w:val="22"/>
        </w:rPr>
      </w:pPr>
    </w:p>
    <w:p w14:paraId="0ABFAA73" w14:textId="77777777" w:rsidR="00B27D9F" w:rsidRPr="00150993" w:rsidRDefault="00B27D9F" w:rsidP="00B27D9F">
      <w:pPr>
        <w:jc w:val="both"/>
        <w:rPr>
          <w:rFonts w:ascii="Arial" w:hAnsi="Arial" w:cs="Arial"/>
          <w:sz w:val="22"/>
          <w:szCs w:val="22"/>
        </w:rPr>
      </w:pPr>
      <w:r w:rsidRPr="00F72346">
        <w:rPr>
          <w:rFonts w:ascii="Arial" w:hAnsi="Arial" w:cs="Arial"/>
          <w:b/>
          <w:bCs/>
          <w:sz w:val="22"/>
          <w:szCs w:val="22"/>
        </w:rPr>
        <w:t>Infrastructure investments are reshaping both exposure and response capacity</w:t>
      </w:r>
      <w:r w:rsidRPr="00150993">
        <w:rPr>
          <w:rFonts w:ascii="Arial" w:hAnsi="Arial" w:cs="Arial"/>
          <w:sz w:val="22"/>
          <w:szCs w:val="22"/>
        </w:rPr>
        <w:t>. Port, road, and grid upgrades in Preah Sihanouk and along coastal corridors have reduced travel time, improved market access, and enabled faster emergency deployment, especially where climate-resilient design standards are applied (CFE-DMHA, 2024; World Bank, 2023). However, as discussed below, such growth corridors also attract dense settlements and assets, increasing potential losses when risk-informed land-use planning is weak (UN DESA, 2018; NIS, 2019). Cambodia’s updated climate commitments and national strategies explicitly prioritise strengthening adaptation capacity—including DRR, preparedness, and recovery for coastal, Tonle Sap, and Mekong communities—creating a policy window to align social protection, DRR, ecosystem management, and infrastructure planning (RGC, 2024).</w:t>
      </w:r>
    </w:p>
    <w:p w14:paraId="75FAB320" w14:textId="77777777" w:rsidR="00B27D9F" w:rsidRPr="00150993" w:rsidRDefault="00B27D9F" w:rsidP="00B27D9F">
      <w:pPr>
        <w:jc w:val="both"/>
        <w:rPr>
          <w:rFonts w:ascii="Arial" w:hAnsi="Arial" w:cs="Arial"/>
          <w:sz w:val="22"/>
          <w:szCs w:val="22"/>
        </w:rPr>
      </w:pPr>
    </w:p>
    <w:p w14:paraId="2DB6B90E" w14:textId="1D103DBB" w:rsidR="00B27D9F" w:rsidRPr="00150993" w:rsidRDefault="00B27D9F" w:rsidP="00B27D9F">
      <w:pPr>
        <w:jc w:val="both"/>
        <w:rPr>
          <w:rFonts w:ascii="Arial" w:hAnsi="Arial" w:cs="Arial"/>
          <w:sz w:val="22"/>
          <w:szCs w:val="22"/>
        </w:rPr>
      </w:pPr>
      <w:r w:rsidRPr="00150993">
        <w:rPr>
          <w:rFonts w:ascii="Arial" w:hAnsi="Arial" w:cs="Arial"/>
          <w:sz w:val="22"/>
          <w:szCs w:val="22"/>
        </w:rPr>
        <w:t>Despite the progress made so far, important gaps remain</w:t>
      </w:r>
      <w:r w:rsidR="00943034">
        <w:rPr>
          <w:rFonts w:ascii="Arial" w:hAnsi="Arial" w:cs="Arial"/>
          <w:sz w:val="22"/>
          <w:szCs w:val="22"/>
        </w:rPr>
        <w:t>, as following:</w:t>
      </w:r>
    </w:p>
    <w:p w14:paraId="55E60D40" w14:textId="77777777" w:rsidR="00B27D9F" w:rsidRPr="00150993" w:rsidRDefault="00B27D9F" w:rsidP="00B27D9F">
      <w:pPr>
        <w:jc w:val="both"/>
        <w:rPr>
          <w:rFonts w:ascii="Arial" w:hAnsi="Arial" w:cs="Arial"/>
          <w:sz w:val="21"/>
          <w:szCs w:val="21"/>
        </w:rPr>
      </w:pPr>
    </w:p>
    <w:p w14:paraId="75972ECE" w14:textId="77777777" w:rsidR="00B27D9F" w:rsidRPr="00943034" w:rsidRDefault="00B27D9F" w:rsidP="00943034">
      <w:pPr>
        <w:adjustRightInd w:val="0"/>
        <w:snapToGrid w:val="0"/>
        <w:spacing w:before="120" w:after="120"/>
        <w:jc w:val="both"/>
        <w:rPr>
          <w:rFonts w:ascii="Arial" w:hAnsi="Arial" w:cs="Arial"/>
          <w:sz w:val="22"/>
          <w:szCs w:val="22"/>
        </w:rPr>
      </w:pPr>
      <w:r w:rsidRPr="00943034">
        <w:rPr>
          <w:rFonts w:ascii="Arial" w:hAnsi="Arial" w:cs="Arial"/>
          <w:b/>
          <w:bCs/>
          <w:sz w:val="22"/>
          <w:szCs w:val="22"/>
        </w:rPr>
        <w:t>Exposure and planning</w:t>
      </w:r>
      <w:r w:rsidR="0019023B" w:rsidRPr="00943034">
        <w:rPr>
          <w:rFonts w:ascii="Arial" w:hAnsi="Arial" w:cs="Arial"/>
          <w:b/>
          <w:bCs/>
          <w:sz w:val="22"/>
          <w:szCs w:val="22"/>
        </w:rPr>
        <w:t>:</w:t>
      </w:r>
      <w:r w:rsidRPr="00943034">
        <w:rPr>
          <w:rFonts w:ascii="Arial" w:hAnsi="Arial" w:cs="Arial"/>
          <w:sz w:val="22"/>
          <w:szCs w:val="22"/>
        </w:rPr>
        <w:t xml:space="preserve"> Urban growth is outpacing drainage, zoning, and worker-housing codes in coastal towns; informal and peri-urban settlements on low-lying or steep land remain exposed to pluvial and coastal floods, landslides, and water contamination (UN DESA, 2018; NIS, 2019; CFE-DMHA, 2024). Risk information (e.g., flood maps, CCRI, hazard histories) is not yet consistently embedded in coastal SEZ plans, tourism zoning, or housing policy.</w:t>
      </w:r>
    </w:p>
    <w:p w14:paraId="43EB9DE1" w14:textId="77777777" w:rsidR="00B27D9F" w:rsidRPr="00943034" w:rsidRDefault="00B27D9F" w:rsidP="00943034">
      <w:pPr>
        <w:adjustRightInd w:val="0"/>
        <w:snapToGrid w:val="0"/>
        <w:spacing w:before="120" w:after="120"/>
        <w:jc w:val="both"/>
        <w:rPr>
          <w:rFonts w:ascii="Arial" w:hAnsi="Arial" w:cs="Arial"/>
          <w:sz w:val="22"/>
          <w:szCs w:val="22"/>
        </w:rPr>
      </w:pPr>
      <w:r w:rsidRPr="00943034">
        <w:rPr>
          <w:rFonts w:ascii="Arial" w:hAnsi="Arial" w:cs="Arial"/>
          <w:b/>
          <w:bCs/>
          <w:sz w:val="22"/>
          <w:szCs w:val="22"/>
        </w:rPr>
        <w:t>Ecosystem buffers</w:t>
      </w:r>
      <w:r w:rsidR="0019023B" w:rsidRPr="00943034">
        <w:rPr>
          <w:rFonts w:ascii="Arial" w:hAnsi="Arial" w:cs="Arial"/>
          <w:b/>
          <w:bCs/>
          <w:sz w:val="22"/>
          <w:szCs w:val="22"/>
        </w:rPr>
        <w:t>:</w:t>
      </w:r>
      <w:r w:rsidRPr="00943034">
        <w:rPr>
          <w:rFonts w:ascii="Arial" w:hAnsi="Arial" w:cs="Arial"/>
          <w:sz w:val="22"/>
          <w:szCs w:val="22"/>
        </w:rPr>
        <w:t xml:space="preserve"> Mangrove belts, floodplains, dunes, and coral-reef systems are fragmented or stressed by sediment imbalance, wastewater, sand mining, and shoreline hardening, undermining natural protection and tourism asset quality (MoE &amp; NCSD, 2022). Restoration projects and community conservation are expanding but remain small relative to the historical scale of ecosystem loss, with uneven enforcement outside core protected areas.</w:t>
      </w:r>
    </w:p>
    <w:p w14:paraId="4114A31F" w14:textId="77777777" w:rsidR="00B27D9F" w:rsidRPr="00943034" w:rsidRDefault="00B27D9F" w:rsidP="00943034">
      <w:pPr>
        <w:adjustRightInd w:val="0"/>
        <w:snapToGrid w:val="0"/>
        <w:spacing w:before="120" w:after="120"/>
        <w:jc w:val="both"/>
        <w:rPr>
          <w:rFonts w:ascii="Arial" w:hAnsi="Arial" w:cs="Arial"/>
          <w:sz w:val="22"/>
          <w:szCs w:val="22"/>
        </w:rPr>
      </w:pPr>
      <w:r w:rsidRPr="00943034">
        <w:rPr>
          <w:rFonts w:ascii="Arial" w:hAnsi="Arial" w:cs="Arial"/>
          <w:b/>
          <w:bCs/>
          <w:sz w:val="22"/>
          <w:szCs w:val="22"/>
        </w:rPr>
        <w:t>Compound-risk intelligence</w:t>
      </w:r>
      <w:r w:rsidR="0019023B" w:rsidRPr="00943034">
        <w:rPr>
          <w:rFonts w:ascii="Arial" w:hAnsi="Arial" w:cs="Arial"/>
          <w:b/>
          <w:bCs/>
          <w:sz w:val="22"/>
          <w:szCs w:val="22"/>
        </w:rPr>
        <w:t xml:space="preserve"> and early action:</w:t>
      </w:r>
      <w:r w:rsidRPr="00943034">
        <w:rPr>
          <w:rFonts w:ascii="Arial" w:hAnsi="Arial" w:cs="Arial"/>
          <w:sz w:val="22"/>
          <w:szCs w:val="22"/>
        </w:rPr>
        <w:t xml:space="preserve"> </w:t>
      </w:r>
      <w:r w:rsidR="0019023B" w:rsidRPr="00943034">
        <w:rPr>
          <w:rFonts w:ascii="Arial" w:hAnsi="Arial" w:cs="Arial"/>
          <w:sz w:val="22"/>
          <w:szCs w:val="22"/>
        </w:rPr>
        <w:t>Flood and storm early-warning systems have improved, but f</w:t>
      </w:r>
      <w:r w:rsidRPr="00943034">
        <w:rPr>
          <w:rFonts w:ascii="Arial" w:hAnsi="Arial" w:cs="Arial"/>
          <w:sz w:val="22"/>
          <w:szCs w:val="22"/>
        </w:rPr>
        <w:t>orecast chains are not yet fully integrated: river releases, extreme rainfall, dam operations, tides/surge, and urban drainage are still modelled and managed largely in silos, limiting timely evacuation, anticipatory cash support, and port or logistics continuity planning (CFE-DMHA, 2024; World Bank, 2023). Early-warning messages often remain hazard-based rather than impact-based, and sub-national capacities to interpret and act on forecasts are variable.</w:t>
      </w:r>
    </w:p>
    <w:p w14:paraId="4FC2A2B2" w14:textId="29601400" w:rsidR="00B27D9F" w:rsidRPr="00943034" w:rsidRDefault="00B27D9F" w:rsidP="00943034">
      <w:pPr>
        <w:adjustRightInd w:val="0"/>
        <w:snapToGrid w:val="0"/>
        <w:spacing w:before="120" w:after="120"/>
        <w:jc w:val="both"/>
        <w:rPr>
          <w:rFonts w:ascii="Arial" w:hAnsi="Arial" w:cs="Arial"/>
          <w:sz w:val="22"/>
          <w:szCs w:val="22"/>
        </w:rPr>
      </w:pPr>
      <w:r w:rsidRPr="00943034">
        <w:rPr>
          <w:rFonts w:ascii="Arial" w:hAnsi="Arial" w:cs="Arial"/>
          <w:b/>
          <w:bCs/>
          <w:sz w:val="22"/>
          <w:szCs w:val="22"/>
        </w:rPr>
        <w:t>Human development and livelihoods</w:t>
      </w:r>
      <w:r w:rsidR="00457C69">
        <w:rPr>
          <w:rFonts w:ascii="Arial" w:hAnsi="Arial" w:cs="Arial"/>
          <w:sz w:val="22"/>
          <w:szCs w:val="22"/>
        </w:rPr>
        <w:t>:</w:t>
      </w:r>
      <w:r w:rsidRPr="00943034">
        <w:rPr>
          <w:rFonts w:ascii="Arial" w:hAnsi="Arial" w:cs="Arial"/>
          <w:sz w:val="22"/>
          <w:szCs w:val="22"/>
        </w:rPr>
        <w:t xml:space="preserve"> Despite HDI gains, the IHDI penalty (~27–29%) and MPI disparities show that near-poor, migrants, and informal workers have thin buffers; they require predictable safety nets, skills/TVET for resilient jobs, and access to health services before, during, and after disasters (UNDP, 2024; OPHI &amp; UNDP, 2024; Karamba &amp; Tong, 2022). Existing programmes are still more reactive than anticipatory, and coverage of urban informal workers and seasonal migrants in coastal areas remains incomplete (MoP, 2025; World Bank, 2022).</w:t>
      </w:r>
    </w:p>
    <w:p w14:paraId="044F979C" w14:textId="65EC1D16" w:rsidR="005A76D9" w:rsidRPr="00150993" w:rsidRDefault="00B27D9F" w:rsidP="00457C69">
      <w:pPr>
        <w:jc w:val="both"/>
        <w:rPr>
          <w:rFonts w:ascii="Arial" w:hAnsi="Arial" w:cs="Arial"/>
          <w:sz w:val="22"/>
          <w:szCs w:val="22"/>
        </w:rPr>
      </w:pPr>
      <w:r w:rsidRPr="00150993">
        <w:rPr>
          <w:rFonts w:ascii="Arial" w:hAnsi="Arial" w:cs="Arial"/>
          <w:sz w:val="22"/>
          <w:szCs w:val="22"/>
        </w:rPr>
        <w:t>Indeed, progress in social protection, DRR institutions, and ecosystem conservation is real, but infrastructure, ecosystems, and social inclusion remain the binding constraints at the coast. Addressing these will determine whether coastal growth pathways reduce or magnify climate-mediated socioeconomic vulnerability.</w:t>
      </w:r>
    </w:p>
    <w:p w14:paraId="7C77F5BD" w14:textId="77777777" w:rsidR="005A76D9" w:rsidRPr="00275B0E" w:rsidRDefault="00737B2B"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67" w:name="_Toc213424663"/>
      <w:bookmarkStart w:id="68" w:name="_Toc217231523"/>
      <w:r w:rsidRPr="00275B0E">
        <w:rPr>
          <w:rFonts w:ascii="Arial" w:eastAsia="Times New Roman" w:hAnsi="Arial" w:cs="Arial"/>
          <w:b/>
          <w:bCs/>
          <w:color w:val="auto"/>
          <w:sz w:val="24"/>
          <w:szCs w:val="24"/>
        </w:rPr>
        <w:t>2.3.4 Recommended priority actions, including regional cooperation</w:t>
      </w:r>
      <w:bookmarkEnd w:id="67"/>
      <w:bookmarkEnd w:id="68"/>
    </w:p>
    <w:p w14:paraId="6115CC56" w14:textId="77777777" w:rsidR="00457C69" w:rsidRPr="00AA0995" w:rsidRDefault="00457C69" w:rsidP="00143E0F">
      <w:pPr>
        <w:pStyle w:val="NormalWeb"/>
        <w:adjustRightInd w:val="0"/>
        <w:snapToGrid w:val="0"/>
        <w:spacing w:before="240" w:beforeAutospacing="0" w:after="120" w:afterAutospacing="0"/>
        <w:jc w:val="both"/>
        <w:rPr>
          <w:rFonts w:ascii="Arial" w:hAnsi="Arial" w:cs="Arial"/>
          <w:i/>
          <w:iCs/>
          <w:sz w:val="22"/>
          <w:szCs w:val="22"/>
        </w:rPr>
      </w:pPr>
      <w:bookmarkStart w:id="69" w:name="_Toc213424664"/>
      <w:bookmarkStart w:id="70" w:name="_Toc214875129"/>
      <w:bookmarkEnd w:id="10"/>
      <w:bookmarkEnd w:id="11"/>
      <w:bookmarkEnd w:id="12"/>
      <w:bookmarkEnd w:id="13"/>
      <w:r w:rsidRPr="00AA0995">
        <w:rPr>
          <w:rStyle w:val="Strong"/>
          <w:rFonts w:ascii="Arial" w:eastAsiaTheme="majorEastAsia" w:hAnsi="Arial" w:cs="Arial"/>
          <w:i/>
          <w:iCs/>
          <w:sz w:val="22"/>
          <w:szCs w:val="22"/>
        </w:rPr>
        <w:t>a) Risk-informed urban/port resilience in coastal hubs</w:t>
      </w:r>
    </w:p>
    <w:p w14:paraId="1C4CDFE7" w14:textId="498644C6" w:rsidR="00457C69" w:rsidRPr="00AA0995" w:rsidRDefault="00602443" w:rsidP="00143E0F">
      <w:pPr>
        <w:pStyle w:val="NormalWeb"/>
        <w:adjustRightInd w:val="0"/>
        <w:snapToGrid w:val="0"/>
        <w:spacing w:before="120" w:beforeAutospacing="0" w:after="120" w:afterAutospacing="0"/>
        <w:jc w:val="both"/>
        <w:rPr>
          <w:rFonts w:ascii="Arial" w:hAnsi="Arial" w:cs="Arial"/>
          <w:sz w:val="22"/>
          <w:szCs w:val="22"/>
        </w:rPr>
      </w:pPr>
      <w:r w:rsidRPr="00602443">
        <w:rPr>
          <w:rFonts w:ascii="Arial" w:hAnsi="Arial" w:cs="Arial"/>
          <w:sz w:val="22"/>
          <w:szCs w:val="22"/>
        </w:rPr>
        <w:t>Coastal cities and port zones should prioritize drainage and floodproofing by expanding separated stormwater networks, increasing detention and retention capacity, and upgrading tide valves in Sihanoukville, Kampot, and Kep, while using design floods that explicitly reflect river–rain–tide–surge interactions. At the same time, stronger codes and land-use controls are needed to enforce setbacks and elevation standards, require hotel and warehouse continuity planning, and formalize worker housing with minimum heat and flood safety provisions</w:t>
      </w:r>
      <w:r w:rsidR="00457C69" w:rsidRPr="00457C69">
        <w:rPr>
          <w:rFonts w:ascii="Arial" w:hAnsi="Arial" w:cs="Arial"/>
          <w:sz w:val="22"/>
          <w:szCs w:val="22"/>
        </w:rPr>
        <w:t>.</w:t>
      </w:r>
    </w:p>
    <w:p w14:paraId="4C366088" w14:textId="77777777" w:rsidR="00457C69" w:rsidRPr="00143E0F" w:rsidRDefault="00457C69" w:rsidP="00143E0F">
      <w:pPr>
        <w:pStyle w:val="NormalWeb"/>
        <w:adjustRightInd w:val="0"/>
        <w:snapToGrid w:val="0"/>
        <w:spacing w:before="240" w:beforeAutospacing="0" w:after="120" w:afterAutospacing="0"/>
        <w:jc w:val="both"/>
        <w:rPr>
          <w:rStyle w:val="Strong"/>
          <w:rFonts w:eastAsiaTheme="majorEastAsia"/>
        </w:rPr>
      </w:pPr>
      <w:r w:rsidRPr="00AA0995">
        <w:rPr>
          <w:rStyle w:val="Strong"/>
          <w:rFonts w:ascii="Arial" w:eastAsiaTheme="majorEastAsia" w:hAnsi="Arial" w:cs="Arial"/>
          <w:i/>
          <w:iCs/>
          <w:sz w:val="22"/>
          <w:szCs w:val="22"/>
        </w:rPr>
        <w:t>b) Basin-to-coast flood management</w:t>
      </w:r>
    </w:p>
    <w:p w14:paraId="5D222369" w14:textId="77777777" w:rsidR="00457C69" w:rsidRPr="00AA0995" w:rsidRDefault="00457C69" w:rsidP="00143E0F">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Flood risk management should be strengthened through joint protocols for upstream reservoir releases and cross-border early warning—recognizing that the 2018 Xe-Pian Xe-Namnoy failure exposed current coordination gaps—paired with downstream surge and tide forecasting. These measures should be made operational through regular compound-risk drills involving ports and municipalities.</w:t>
      </w:r>
    </w:p>
    <w:p w14:paraId="01B56377" w14:textId="3B933390" w:rsidR="00457C69" w:rsidRPr="00143E0F" w:rsidRDefault="00457C69" w:rsidP="00143E0F">
      <w:pPr>
        <w:pStyle w:val="NormalWeb"/>
        <w:adjustRightInd w:val="0"/>
        <w:snapToGrid w:val="0"/>
        <w:spacing w:before="240" w:beforeAutospacing="0" w:after="120" w:afterAutospacing="0"/>
        <w:jc w:val="both"/>
        <w:rPr>
          <w:rStyle w:val="Strong"/>
          <w:rFonts w:eastAsiaTheme="majorEastAsia"/>
        </w:rPr>
      </w:pPr>
      <w:r w:rsidRPr="00AA0995">
        <w:rPr>
          <w:rStyle w:val="Strong"/>
          <w:rFonts w:ascii="Arial" w:eastAsiaTheme="majorEastAsia" w:hAnsi="Arial" w:cs="Arial"/>
          <w:i/>
          <w:iCs/>
          <w:sz w:val="22"/>
          <w:szCs w:val="22"/>
        </w:rPr>
        <w:t>c) Nature-based defenses and blue-economy safeguards</w:t>
      </w:r>
    </w:p>
    <w:p w14:paraId="26B58A6C" w14:textId="77777777" w:rsidR="00457C69" w:rsidRPr="00AA0995" w:rsidRDefault="00457C69" w:rsidP="00143E0F">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Risk reduction should be reinforced by restoring mangroves and floodplains, protecting coastal dunes, and improving sediment and wastewater management, alongside piloting reef-positive tourism. Together, these actions help protect the natural capital—reefs, seagrass, and beaches—that underpins the coast’s competitiveness.</w:t>
      </w:r>
    </w:p>
    <w:p w14:paraId="1D8C21F0" w14:textId="77777777" w:rsidR="00457C69" w:rsidRPr="00143E0F" w:rsidRDefault="00457C69" w:rsidP="00143E0F">
      <w:pPr>
        <w:pStyle w:val="NormalWeb"/>
        <w:adjustRightInd w:val="0"/>
        <w:snapToGrid w:val="0"/>
        <w:spacing w:before="240" w:beforeAutospacing="0" w:after="120" w:afterAutospacing="0"/>
        <w:jc w:val="both"/>
        <w:rPr>
          <w:rStyle w:val="Strong"/>
          <w:rFonts w:eastAsiaTheme="majorEastAsia"/>
        </w:rPr>
      </w:pPr>
      <w:r>
        <w:rPr>
          <w:rStyle w:val="Strong"/>
          <w:rFonts w:ascii="Arial" w:eastAsiaTheme="majorEastAsia" w:hAnsi="Arial" w:cs="Arial"/>
          <w:i/>
          <w:iCs/>
          <w:sz w:val="22"/>
          <w:szCs w:val="22"/>
        </w:rPr>
        <w:t>d</w:t>
      </w:r>
      <w:r w:rsidRPr="00AA0995">
        <w:rPr>
          <w:rStyle w:val="Strong"/>
          <w:rFonts w:ascii="Arial" w:eastAsiaTheme="majorEastAsia" w:hAnsi="Arial" w:cs="Arial"/>
          <w:i/>
          <w:iCs/>
          <w:sz w:val="22"/>
          <w:szCs w:val="22"/>
        </w:rPr>
        <w:t>) Drought and salinity resilience</w:t>
      </w:r>
    </w:p>
    <w:p w14:paraId="23FEB05B" w14:textId="77777777" w:rsidR="00457C69" w:rsidRPr="00AA0995" w:rsidRDefault="00457C69" w:rsidP="00143E0F">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Coastal deltas should scale small- and medium-scale water storage, establish salinity barriers and monitoring, and expand drought-tolerant crops and aquaculture. To reduce livelihood shocks during dry-season shortfalls, shock-responsive cash support through IDPoor should be maintained for near-poor households.</w:t>
      </w:r>
    </w:p>
    <w:p w14:paraId="7CC0676D" w14:textId="77777777" w:rsidR="00457C69" w:rsidRPr="00143E0F" w:rsidRDefault="00457C69" w:rsidP="00143E0F">
      <w:pPr>
        <w:pStyle w:val="NormalWeb"/>
        <w:adjustRightInd w:val="0"/>
        <w:snapToGrid w:val="0"/>
        <w:spacing w:before="240" w:beforeAutospacing="0" w:after="120" w:afterAutospacing="0"/>
        <w:jc w:val="both"/>
        <w:rPr>
          <w:rStyle w:val="Strong"/>
          <w:rFonts w:eastAsiaTheme="majorEastAsia"/>
        </w:rPr>
      </w:pPr>
      <w:r>
        <w:rPr>
          <w:rStyle w:val="Strong"/>
          <w:rFonts w:ascii="Arial" w:eastAsiaTheme="majorEastAsia" w:hAnsi="Arial" w:cs="Arial"/>
          <w:i/>
          <w:iCs/>
          <w:sz w:val="22"/>
          <w:szCs w:val="22"/>
        </w:rPr>
        <w:t>e</w:t>
      </w:r>
      <w:r w:rsidRPr="00AA0995">
        <w:rPr>
          <w:rStyle w:val="Strong"/>
          <w:rFonts w:ascii="Arial" w:eastAsiaTheme="majorEastAsia" w:hAnsi="Arial" w:cs="Arial"/>
          <w:i/>
          <w:iCs/>
          <w:sz w:val="22"/>
          <w:szCs w:val="22"/>
        </w:rPr>
        <w:t>) Inclusive human development and livelihoods</w:t>
      </w:r>
    </w:p>
    <w:p w14:paraId="7C4CAEAA" w14:textId="77777777" w:rsidR="00457C69" w:rsidRPr="00AA0995" w:rsidRDefault="00457C69" w:rsidP="00143E0F">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Reducing the IHDI penalty requires investment in secondary and TVET completion, improved coastal health access, and MSME diversification linked to port and tourism economies. In parallel, migrant inclusion should be strengthened across early warning systems, access to shelters, and post-disaster assistance.</w:t>
      </w:r>
    </w:p>
    <w:p w14:paraId="24D5A985" w14:textId="77777777" w:rsidR="00457C69" w:rsidRPr="00143E0F" w:rsidRDefault="00457C69" w:rsidP="00143E0F">
      <w:pPr>
        <w:pStyle w:val="NormalWeb"/>
        <w:adjustRightInd w:val="0"/>
        <w:snapToGrid w:val="0"/>
        <w:spacing w:before="240" w:beforeAutospacing="0" w:after="120" w:afterAutospacing="0"/>
        <w:jc w:val="both"/>
        <w:rPr>
          <w:rStyle w:val="Strong"/>
          <w:rFonts w:eastAsiaTheme="majorEastAsia"/>
        </w:rPr>
      </w:pPr>
      <w:r>
        <w:rPr>
          <w:rStyle w:val="Strong"/>
          <w:rFonts w:ascii="Arial" w:eastAsiaTheme="majorEastAsia" w:hAnsi="Arial" w:cs="Arial"/>
          <w:i/>
          <w:iCs/>
          <w:sz w:val="22"/>
          <w:szCs w:val="22"/>
        </w:rPr>
        <w:t>f</w:t>
      </w:r>
      <w:r w:rsidRPr="00AA0995">
        <w:rPr>
          <w:rStyle w:val="Strong"/>
          <w:rFonts w:ascii="Arial" w:eastAsiaTheme="majorEastAsia" w:hAnsi="Arial" w:cs="Arial"/>
          <w:i/>
          <w:iCs/>
          <w:sz w:val="22"/>
          <w:szCs w:val="22"/>
        </w:rPr>
        <w:t>) Regional cooperation (Gulf of Thailand LME &amp; Mekong)</w:t>
      </w:r>
    </w:p>
    <w:p w14:paraId="33D50D3D" w14:textId="77777777" w:rsidR="00457C69" w:rsidRPr="00AA0995" w:rsidRDefault="00457C69" w:rsidP="00143E0F">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Regional partners should improve hydro-meteorological data sharing and dam-release schedule transparency, align marine litter and wastewater controls, and coordinate fisheries management and blue-tourism standards, so that risk reduction and ecological quality improve together.</w:t>
      </w:r>
    </w:p>
    <w:p w14:paraId="4CB00B74" w14:textId="77777777" w:rsidR="00DA6F4A" w:rsidRPr="00150993" w:rsidRDefault="00DA6F4A" w:rsidP="006D15D1">
      <w:pPr>
        <w:pStyle w:val="Heading2"/>
        <w:keepLines w:val="0"/>
        <w:spacing w:before="100" w:beforeAutospacing="1" w:after="100" w:afterAutospacing="1" w:line="240" w:lineRule="auto"/>
        <w:rPr>
          <w:rFonts w:ascii="Arial" w:eastAsia="Times New Roman" w:hAnsi="Arial" w:cs="Arial"/>
          <w:b/>
          <w:bCs/>
          <w:color w:val="auto"/>
          <w:sz w:val="28"/>
          <w:szCs w:val="28"/>
        </w:rPr>
      </w:pPr>
      <w:bookmarkStart w:id="71" w:name="_Toc217231524"/>
      <w:r w:rsidRPr="00150993">
        <w:rPr>
          <w:rFonts w:ascii="Arial" w:eastAsia="Times New Roman" w:hAnsi="Arial" w:cs="Arial"/>
          <w:b/>
          <w:bCs/>
          <w:color w:val="auto"/>
          <w:sz w:val="28"/>
          <w:szCs w:val="28"/>
        </w:rPr>
        <w:t>2.4 Methodology and Analysis</w:t>
      </w:r>
      <w:bookmarkEnd w:id="69"/>
      <w:bookmarkEnd w:id="71"/>
    </w:p>
    <w:p w14:paraId="208CD339" w14:textId="0CC70553" w:rsidR="00DA6F4A" w:rsidRPr="004501F2" w:rsidRDefault="00DA6F4A"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72" w:name="_Toc217231525"/>
      <w:r w:rsidRPr="004501F2">
        <w:rPr>
          <w:rFonts w:ascii="Arial" w:eastAsia="Times New Roman" w:hAnsi="Arial" w:cs="Arial"/>
          <w:b/>
          <w:bCs/>
          <w:color w:val="auto"/>
          <w:sz w:val="24"/>
          <w:szCs w:val="24"/>
        </w:rPr>
        <w:t>2.4.1 Overall Approach</w:t>
      </w:r>
      <w:bookmarkEnd w:id="70"/>
      <w:bookmarkEnd w:id="72"/>
    </w:p>
    <w:p w14:paraId="1B540C2E" w14:textId="036A3F01" w:rsidR="00602443" w:rsidRPr="00602443" w:rsidRDefault="00602443" w:rsidP="00602443">
      <w:pPr>
        <w:jc w:val="both"/>
        <w:rPr>
          <w:rFonts w:ascii="Arial" w:hAnsi="Arial" w:cs="Arial"/>
          <w:sz w:val="22"/>
          <w:szCs w:val="22"/>
        </w:rPr>
      </w:pPr>
      <w:r w:rsidRPr="00602443">
        <w:rPr>
          <w:rFonts w:ascii="Arial" w:hAnsi="Arial" w:cs="Arial"/>
          <w:sz w:val="22"/>
          <w:szCs w:val="22"/>
        </w:rPr>
        <w:t>This chapter applies a structured, indicator-based method aligned with the TDA framework, combining (i) secondary data review, (ii) construction of national and coastal-province indicators, (iii) trend and disparity analysis, and (iv) risk screening across exposure, sensitivity, and adaptive capacity. Unless noted, analysis covers Cambodia and the four coastal provinces (Preah Sihanouk, Kampot, Kep, Koh Kong) aggregated as the “coastal region.” A full indicator list (definitions, units, sources, computation notes) is provided in the Annex Tables.</w:t>
      </w:r>
    </w:p>
    <w:p w14:paraId="654043FA" w14:textId="129E7DFE" w:rsidR="00DA6F4A" w:rsidRPr="00602443" w:rsidRDefault="00DA6F4A"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73" w:name="_Toc217231526"/>
      <w:r w:rsidRPr="00602443">
        <w:rPr>
          <w:rFonts w:ascii="Arial" w:eastAsia="Times New Roman" w:hAnsi="Arial" w:cs="Arial"/>
          <w:b/>
          <w:bCs/>
          <w:color w:val="auto"/>
          <w:sz w:val="24"/>
          <w:szCs w:val="24"/>
        </w:rPr>
        <w:t>2.4.</w:t>
      </w:r>
      <w:r w:rsidR="00602443" w:rsidRPr="00602443">
        <w:rPr>
          <w:rFonts w:ascii="Arial" w:eastAsia="Times New Roman" w:hAnsi="Arial" w:cs="Arial"/>
          <w:b/>
          <w:bCs/>
          <w:color w:val="auto"/>
          <w:sz w:val="24"/>
          <w:szCs w:val="24"/>
        </w:rPr>
        <w:t>2</w:t>
      </w:r>
      <w:r w:rsidRPr="00602443">
        <w:rPr>
          <w:rFonts w:ascii="Arial" w:eastAsia="Times New Roman" w:hAnsi="Arial" w:cs="Arial"/>
          <w:b/>
          <w:bCs/>
          <w:color w:val="auto"/>
          <w:sz w:val="24"/>
          <w:szCs w:val="24"/>
        </w:rPr>
        <w:t xml:space="preserve"> Spatial and temporal frame</w:t>
      </w:r>
      <w:bookmarkEnd w:id="73"/>
    </w:p>
    <w:p w14:paraId="4D2241CE" w14:textId="7D7D1E81" w:rsidR="00602443" w:rsidRPr="00602443" w:rsidRDefault="00602443" w:rsidP="00602443">
      <w:pPr>
        <w:pStyle w:val="NormalWeb"/>
        <w:spacing w:before="120" w:beforeAutospacing="0" w:after="120" w:afterAutospacing="0"/>
        <w:jc w:val="both"/>
        <w:rPr>
          <w:rStyle w:val="relative"/>
          <w:rFonts w:ascii="Arial" w:hAnsi="Arial" w:cs="Arial"/>
          <w:sz w:val="22"/>
          <w:szCs w:val="22"/>
        </w:rPr>
      </w:pPr>
      <w:r w:rsidRPr="00602443">
        <w:rPr>
          <w:rFonts w:ascii="Arial" w:hAnsi="Arial" w:cs="Arial"/>
          <w:sz w:val="22"/>
          <w:szCs w:val="22"/>
        </w:rPr>
        <w:t>Provincial boundaries follow the 1998, 2008, and 2019 census geographies. “Coastal total” is the sum of the four provinces; national values use official NIS and World Bank aggregates. Key time windows are: demography/settlement (1998–2019, extended to 2024/25 where projections exist); macro-economy/sector structure (1995–2024, or nearest span); human development/poverty (1990–2023 for HDI/IHDI, latest year for SHDI, MPI, IDPoor); and disaster/risk (2000–2024, harmonized to a consistent event/loss classification).</w:t>
      </w:r>
    </w:p>
    <w:p w14:paraId="586CED0D" w14:textId="6CA3EC9F" w:rsidR="00DA6F4A" w:rsidRPr="00602443" w:rsidRDefault="00DA6F4A"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74" w:name="_Toc217231527"/>
      <w:r w:rsidRPr="00602443">
        <w:rPr>
          <w:rFonts w:ascii="Arial" w:eastAsia="Times New Roman" w:hAnsi="Arial" w:cs="Arial"/>
          <w:b/>
          <w:bCs/>
          <w:color w:val="auto"/>
          <w:sz w:val="24"/>
          <w:szCs w:val="24"/>
        </w:rPr>
        <w:t>2.4.</w:t>
      </w:r>
      <w:r w:rsidR="00602443" w:rsidRPr="00602443">
        <w:rPr>
          <w:rFonts w:ascii="Arial" w:eastAsia="Times New Roman" w:hAnsi="Arial" w:cs="Arial"/>
          <w:b/>
          <w:bCs/>
          <w:color w:val="auto"/>
          <w:sz w:val="24"/>
          <w:szCs w:val="24"/>
        </w:rPr>
        <w:t>3</w:t>
      </w:r>
      <w:r w:rsidRPr="00602443">
        <w:rPr>
          <w:rFonts w:ascii="Arial" w:eastAsia="Times New Roman" w:hAnsi="Arial" w:cs="Arial"/>
          <w:b/>
          <w:bCs/>
          <w:color w:val="auto"/>
          <w:sz w:val="24"/>
          <w:szCs w:val="24"/>
        </w:rPr>
        <w:t xml:space="preserve"> Data compilation and sources</w:t>
      </w:r>
      <w:bookmarkEnd w:id="74"/>
    </w:p>
    <w:p w14:paraId="53761841" w14:textId="581371D0" w:rsidR="00602443" w:rsidRPr="00602443" w:rsidRDefault="00602443" w:rsidP="000569E7">
      <w:pPr>
        <w:pStyle w:val="NormalWeb"/>
        <w:jc w:val="both"/>
        <w:rPr>
          <w:rFonts w:ascii="Arial" w:hAnsi="Arial" w:cs="Arial"/>
          <w:sz w:val="22"/>
          <w:szCs w:val="22"/>
        </w:rPr>
      </w:pPr>
      <w:r w:rsidRPr="00602443">
        <w:rPr>
          <w:rFonts w:ascii="Arial" w:hAnsi="Arial" w:cs="Arial"/>
          <w:sz w:val="22"/>
          <w:szCs w:val="22"/>
        </w:rPr>
        <w:t>Data were compiled using the same approach as other chapters, drawing on official and international datasets and checking consistency (details in the Annex). Main sources include: censuses and UN WUP (demography/settlement); UNDP HDR, Global Data Lab, World Bank, IDPoor, MPI 2024 (human development/poverty); WDI and macro datasets plus blue-economy diagnostics (economic structure); labour-force surveys and MoP/MEF/partner reports (livelihoods/social protection); EM-DAT, national disaster statistics, WB Climate Portal and national hydro-meteorological services (hazards/climate); and MoE/FiA/PEMSEA assessments (coastal exposure and ecosystems). Where multiple series exist (e.g., GDP, poverty, disaster losses), a primary series is used with others for triangulation or gap-filling; full citations are in Chapter 2 references, with indicator–source–year pairs listed in the Annex.</w:t>
      </w:r>
    </w:p>
    <w:p w14:paraId="0F32EC95" w14:textId="3C73F1DE" w:rsidR="00DA6F4A" w:rsidRPr="00602443" w:rsidRDefault="00DA6F4A"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75" w:name="_Toc217231528"/>
      <w:r w:rsidRPr="00602443">
        <w:rPr>
          <w:rFonts w:ascii="Arial" w:eastAsia="Times New Roman" w:hAnsi="Arial" w:cs="Arial"/>
          <w:b/>
          <w:bCs/>
          <w:color w:val="auto"/>
          <w:sz w:val="24"/>
          <w:szCs w:val="24"/>
        </w:rPr>
        <w:t>2.4.</w:t>
      </w:r>
      <w:r w:rsidR="00602443" w:rsidRPr="00602443">
        <w:rPr>
          <w:rFonts w:ascii="Arial" w:eastAsia="Times New Roman" w:hAnsi="Arial" w:cs="Arial"/>
          <w:b/>
          <w:bCs/>
          <w:color w:val="auto"/>
          <w:sz w:val="24"/>
          <w:szCs w:val="24"/>
        </w:rPr>
        <w:t>4</w:t>
      </w:r>
      <w:r w:rsidRPr="00602443">
        <w:rPr>
          <w:rFonts w:ascii="Arial" w:eastAsia="Times New Roman" w:hAnsi="Arial" w:cs="Arial"/>
          <w:b/>
          <w:bCs/>
          <w:color w:val="auto"/>
          <w:sz w:val="24"/>
          <w:szCs w:val="24"/>
        </w:rPr>
        <w:t xml:space="preserve"> Indicator construction and computation</w:t>
      </w:r>
      <w:bookmarkEnd w:id="75"/>
    </w:p>
    <w:p w14:paraId="532E74D8" w14:textId="6F4C33EC" w:rsidR="00602443" w:rsidRPr="00602443" w:rsidRDefault="00602443" w:rsidP="005938F3">
      <w:pPr>
        <w:pStyle w:val="NormalWeb"/>
        <w:jc w:val="both"/>
        <w:rPr>
          <w:rFonts w:ascii="Arial" w:hAnsi="Arial" w:cs="Arial"/>
          <w:sz w:val="22"/>
          <w:szCs w:val="22"/>
        </w:rPr>
      </w:pPr>
      <w:r w:rsidRPr="00602443">
        <w:rPr>
          <w:rFonts w:ascii="Arial" w:hAnsi="Arial" w:cs="Arial"/>
          <w:sz w:val="22"/>
          <w:szCs w:val="22"/>
        </w:rPr>
        <w:t>Indicators were selected for relevance to coastal vulnerability, data quality, time-series coverage, and consistency with TDA indicator sets, and grouped into: (i) exposure and development (population, density, urbanization, coastal shares, HDI/IHDI/SHDI and IHDI “penalty,” coastal–national contrasts); (ii) economic structure and livelihoods (GDP per capita, sector shares, available tourism/port measures, poverty headcounts, employment structure and dependence proxies); and (iii) risk, sensitivity and adaptive capacity (disaster frequency/impacts and proxies such as social protection, education/health access, ecosystem buffers, and basic infrastructure). Annex Tables document units, coverage, time spans, sources, and transformations; composite metrics use normalized exposure–sensitivity–adaptive capacity measures with weights and thresholds documented in the Annex.</w:t>
      </w:r>
    </w:p>
    <w:p w14:paraId="08736757" w14:textId="6F47BCE9" w:rsidR="00DA6F4A" w:rsidRPr="00602443" w:rsidRDefault="00DA6F4A" w:rsidP="00275B0E">
      <w:pPr>
        <w:pStyle w:val="Heading3"/>
        <w:keepLines w:val="0"/>
        <w:spacing w:before="100" w:beforeAutospacing="1" w:after="100" w:afterAutospacing="1" w:line="240" w:lineRule="auto"/>
        <w:rPr>
          <w:rFonts w:ascii="Arial" w:eastAsia="Times New Roman" w:hAnsi="Arial" w:cs="Arial"/>
          <w:b/>
          <w:bCs/>
          <w:color w:val="auto"/>
          <w:sz w:val="24"/>
          <w:szCs w:val="24"/>
        </w:rPr>
      </w:pPr>
      <w:bookmarkStart w:id="76" w:name="_Toc217231529"/>
      <w:r w:rsidRPr="00602443">
        <w:rPr>
          <w:rFonts w:ascii="Arial" w:eastAsia="Times New Roman" w:hAnsi="Arial" w:cs="Arial"/>
          <w:b/>
          <w:bCs/>
          <w:color w:val="auto"/>
          <w:sz w:val="24"/>
          <w:szCs w:val="24"/>
        </w:rPr>
        <w:t>2.4.</w:t>
      </w:r>
      <w:r w:rsidR="00602443">
        <w:rPr>
          <w:rFonts w:ascii="Arial" w:eastAsia="Times New Roman" w:hAnsi="Arial" w:cs="Arial"/>
          <w:b/>
          <w:bCs/>
          <w:color w:val="auto"/>
          <w:sz w:val="24"/>
          <w:szCs w:val="24"/>
        </w:rPr>
        <w:t>5</w:t>
      </w:r>
      <w:r w:rsidRPr="00602443">
        <w:rPr>
          <w:rFonts w:ascii="Arial" w:eastAsia="Times New Roman" w:hAnsi="Arial" w:cs="Arial"/>
          <w:b/>
          <w:bCs/>
          <w:color w:val="auto"/>
          <w:sz w:val="24"/>
          <w:szCs w:val="24"/>
        </w:rPr>
        <w:t xml:space="preserve"> Quality assurance, triangulation and limitations</w:t>
      </w:r>
      <w:bookmarkEnd w:id="76"/>
    </w:p>
    <w:p w14:paraId="647E31DF" w14:textId="72E8BD4A" w:rsidR="00602443" w:rsidRPr="00602443" w:rsidRDefault="00602443" w:rsidP="00602443">
      <w:pPr>
        <w:pStyle w:val="NormalWeb"/>
        <w:spacing w:before="120" w:beforeAutospacing="0" w:after="120" w:afterAutospacing="0"/>
        <w:jc w:val="both"/>
        <w:rPr>
          <w:rFonts w:ascii="Arial" w:hAnsi="Arial" w:cs="Arial"/>
          <w:sz w:val="22"/>
          <w:szCs w:val="22"/>
        </w:rPr>
      </w:pPr>
      <w:r w:rsidRPr="00602443">
        <w:rPr>
          <w:rFonts w:ascii="Arial" w:hAnsi="Arial" w:cs="Arial"/>
          <w:sz w:val="22"/>
          <w:szCs w:val="22"/>
        </w:rPr>
        <w:t>Quality assurance included cross-source checks for key indicators, internal consistency tests (census totals, derived rates, coastal vs national sums), outlier review for reporting/method breaks, and transparent documentation of assumptions in Annex Tables and main-text footnotes where interpretation is affected. Limitations include uneven subnational coverage, breaks from methodological revisions (poverty lines, GDP base years, survey tools), under-counting of informal workers/migrants/seasonal labour, and ecosystem/climate indicators drawn from studies with differing methods—adequate for broad profiling but not fine-scale planning.</w:t>
      </w:r>
    </w:p>
    <w:p w14:paraId="5C6B85F2" w14:textId="77777777" w:rsidR="00F94948" w:rsidRPr="00150993" w:rsidRDefault="00F94948" w:rsidP="00F94948">
      <w:pPr>
        <w:pStyle w:val="NormalWeb"/>
        <w:spacing w:before="120" w:beforeAutospacing="0" w:after="120" w:afterAutospacing="0"/>
        <w:jc w:val="both"/>
        <w:rPr>
          <w:rFonts w:ascii="Arial" w:hAnsi="Arial" w:cs="Arial"/>
          <w:sz w:val="22"/>
          <w:szCs w:val="22"/>
        </w:rPr>
      </w:pPr>
    </w:p>
    <w:bookmarkEnd w:id="3"/>
    <w:bookmarkEnd w:id="4"/>
    <w:p w14:paraId="2274D50A" w14:textId="725D127D" w:rsidR="004501F2" w:rsidRPr="004501F2" w:rsidRDefault="006F120D" w:rsidP="00737B2B">
      <w:pPr>
        <w:pStyle w:val="Heading2"/>
        <w:jc w:val="both"/>
        <w:rPr>
          <w:rFonts w:ascii="Arial" w:hAnsi="Arial" w:cs="Arial"/>
          <w:b/>
          <w:bCs/>
          <w:sz w:val="24"/>
          <w:szCs w:val="24"/>
        </w:rPr>
      </w:pPr>
      <w:r w:rsidRPr="00150993">
        <w:rPr>
          <w:rFonts w:ascii="Arial" w:hAnsi="Arial" w:cs="Arial"/>
          <w:sz w:val="24"/>
          <w:szCs w:val="24"/>
        </w:rPr>
        <w:br w:type="column"/>
      </w:r>
      <w:bookmarkStart w:id="77" w:name="_Toc217231530"/>
      <w:bookmarkStart w:id="78" w:name="_Toc213424669"/>
      <w:r w:rsidR="004501F2" w:rsidRPr="004501F2">
        <w:rPr>
          <w:rFonts w:ascii="Arial" w:hAnsi="Arial" w:cs="Arial"/>
          <w:b/>
          <w:bCs/>
          <w:color w:val="auto"/>
          <w:sz w:val="28"/>
          <w:szCs w:val="28"/>
        </w:rPr>
        <w:t>G</w:t>
      </w:r>
      <w:r w:rsidR="00F17292">
        <w:rPr>
          <w:rFonts w:ascii="Arial" w:hAnsi="Arial" w:cs="Arial"/>
          <w:b/>
          <w:bCs/>
          <w:color w:val="auto"/>
          <w:sz w:val="28"/>
          <w:szCs w:val="28"/>
        </w:rPr>
        <w:t>l</w:t>
      </w:r>
      <w:r w:rsidR="004501F2" w:rsidRPr="004501F2">
        <w:rPr>
          <w:rFonts w:ascii="Arial" w:hAnsi="Arial" w:cs="Arial"/>
          <w:b/>
          <w:bCs/>
          <w:color w:val="auto"/>
          <w:sz w:val="28"/>
          <w:szCs w:val="28"/>
        </w:rPr>
        <w:t>ossary</w:t>
      </w:r>
      <w:bookmarkEnd w:id="77"/>
    </w:p>
    <w:tbl>
      <w:tblPr>
        <w:tblStyle w:val="GridTable4-Accent5"/>
        <w:tblW w:w="0" w:type="auto"/>
        <w:tblLook w:val="04A0" w:firstRow="1" w:lastRow="0" w:firstColumn="1" w:lastColumn="0" w:noHBand="0" w:noVBand="1"/>
      </w:tblPr>
      <w:tblGrid>
        <w:gridCol w:w="2526"/>
        <w:gridCol w:w="6484"/>
      </w:tblGrid>
      <w:tr w:rsidR="004501F2" w:rsidRPr="004501F2" w14:paraId="3937A77F" w14:textId="77777777" w:rsidTr="004501F2">
        <w:trPr>
          <w:cnfStyle w:val="100000000000" w:firstRow="1" w:lastRow="0" w:firstColumn="0" w:lastColumn="0" w:oddVBand="0" w:evenVBand="0" w:oddHBand="0"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DC13749" w14:textId="77777777" w:rsidR="004501F2" w:rsidRPr="004501F2" w:rsidRDefault="004501F2" w:rsidP="004501F2">
            <w:pPr>
              <w:jc w:val="center"/>
              <w:rPr>
                <w:rFonts w:ascii="Arial" w:hAnsi="Arial" w:cs="Arial"/>
                <w:sz w:val="20"/>
                <w:szCs w:val="20"/>
              </w:rPr>
            </w:pPr>
            <w:r w:rsidRPr="004501F2">
              <w:rPr>
                <w:rFonts w:ascii="Arial" w:hAnsi="Arial" w:cs="Arial"/>
                <w:sz w:val="20"/>
                <w:szCs w:val="20"/>
              </w:rPr>
              <w:t>Term</w:t>
            </w:r>
          </w:p>
        </w:tc>
        <w:tc>
          <w:tcPr>
            <w:tcW w:w="0" w:type="auto"/>
            <w:vAlign w:val="center"/>
            <w:hideMark/>
          </w:tcPr>
          <w:p w14:paraId="0872DA91" w14:textId="77777777" w:rsidR="004501F2" w:rsidRPr="004501F2" w:rsidRDefault="004501F2" w:rsidP="004501F2">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Definition</w:t>
            </w:r>
          </w:p>
        </w:tc>
      </w:tr>
      <w:tr w:rsidR="004501F2" w:rsidRPr="004501F2" w14:paraId="00BD883D"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7217D2B" w14:textId="77777777" w:rsidR="004501F2" w:rsidRPr="004501F2" w:rsidRDefault="004501F2" w:rsidP="004501F2">
            <w:pPr>
              <w:rPr>
                <w:rFonts w:ascii="Arial" w:hAnsi="Arial" w:cs="Arial"/>
                <w:sz w:val="20"/>
                <w:szCs w:val="20"/>
              </w:rPr>
            </w:pPr>
            <w:r w:rsidRPr="004501F2">
              <w:rPr>
                <w:rFonts w:ascii="Arial" w:hAnsi="Arial" w:cs="Arial"/>
                <w:sz w:val="20"/>
                <w:szCs w:val="20"/>
              </w:rPr>
              <w:t>Adaptive capacity</w:t>
            </w:r>
          </w:p>
        </w:tc>
        <w:tc>
          <w:tcPr>
            <w:tcW w:w="0" w:type="auto"/>
            <w:vAlign w:val="center"/>
            <w:hideMark/>
          </w:tcPr>
          <w:p w14:paraId="4ACB9FC8"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Ability of people, institutions, and systems to anticipate, cope with, recover from, and adapt to climate hazards and shocks.</w:t>
            </w:r>
          </w:p>
        </w:tc>
      </w:tr>
      <w:tr w:rsidR="004501F2" w:rsidRPr="004501F2" w14:paraId="5A95F6B0"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22031B4" w14:textId="77777777" w:rsidR="004501F2" w:rsidRPr="004501F2" w:rsidRDefault="004501F2" w:rsidP="004501F2">
            <w:pPr>
              <w:rPr>
                <w:rFonts w:ascii="Arial" w:hAnsi="Arial" w:cs="Arial"/>
                <w:sz w:val="20"/>
                <w:szCs w:val="20"/>
              </w:rPr>
            </w:pPr>
            <w:r w:rsidRPr="004501F2">
              <w:rPr>
                <w:rFonts w:ascii="Arial" w:hAnsi="Arial" w:cs="Arial"/>
                <w:sz w:val="20"/>
                <w:szCs w:val="20"/>
              </w:rPr>
              <w:t>Asset concentration</w:t>
            </w:r>
          </w:p>
        </w:tc>
        <w:tc>
          <w:tcPr>
            <w:tcW w:w="0" w:type="auto"/>
            <w:vAlign w:val="center"/>
            <w:hideMark/>
          </w:tcPr>
          <w:p w14:paraId="281F79F2"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Clustering of high-value infrastructure, businesses, and housing in specific locations, increasing potential losses during disasters.</w:t>
            </w:r>
          </w:p>
        </w:tc>
      </w:tr>
      <w:tr w:rsidR="004501F2" w:rsidRPr="004501F2" w14:paraId="094280F0"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625B137" w14:textId="77777777" w:rsidR="004501F2" w:rsidRPr="004501F2" w:rsidRDefault="004501F2" w:rsidP="004501F2">
            <w:pPr>
              <w:rPr>
                <w:rFonts w:ascii="Arial" w:hAnsi="Arial" w:cs="Arial"/>
                <w:sz w:val="20"/>
                <w:szCs w:val="20"/>
              </w:rPr>
            </w:pPr>
            <w:r w:rsidRPr="004501F2">
              <w:rPr>
                <w:rFonts w:ascii="Arial" w:hAnsi="Arial" w:cs="Arial"/>
                <w:sz w:val="20"/>
                <w:szCs w:val="20"/>
              </w:rPr>
              <w:t>Basin-to-coast risk management</w:t>
            </w:r>
          </w:p>
        </w:tc>
        <w:tc>
          <w:tcPr>
            <w:tcW w:w="0" w:type="auto"/>
            <w:vAlign w:val="center"/>
            <w:hideMark/>
          </w:tcPr>
          <w:p w14:paraId="2F0C6319"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Coordinated management of flood and water risks from upstream catchments through rivers/drainage systems to coastal zones, including tide/surge interactions.</w:t>
            </w:r>
          </w:p>
        </w:tc>
      </w:tr>
      <w:tr w:rsidR="004501F2" w:rsidRPr="004501F2" w14:paraId="20CFC2A9"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7593C45" w14:textId="77777777" w:rsidR="004501F2" w:rsidRPr="004501F2" w:rsidRDefault="004501F2" w:rsidP="004501F2">
            <w:pPr>
              <w:rPr>
                <w:rFonts w:ascii="Arial" w:hAnsi="Arial" w:cs="Arial"/>
                <w:sz w:val="20"/>
                <w:szCs w:val="20"/>
              </w:rPr>
            </w:pPr>
            <w:r w:rsidRPr="004501F2">
              <w:rPr>
                <w:rFonts w:ascii="Arial" w:hAnsi="Arial" w:cs="Arial"/>
                <w:sz w:val="20"/>
                <w:szCs w:val="20"/>
              </w:rPr>
              <w:t>Built-up area</w:t>
            </w:r>
          </w:p>
        </w:tc>
        <w:tc>
          <w:tcPr>
            <w:tcW w:w="0" w:type="auto"/>
            <w:vAlign w:val="center"/>
            <w:hideMark/>
          </w:tcPr>
          <w:p w14:paraId="156A0F0A"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Land covered by urban development (buildings/roads), often used as a proxy for urban expansion and exposure.</w:t>
            </w:r>
          </w:p>
        </w:tc>
      </w:tr>
      <w:tr w:rsidR="004501F2" w:rsidRPr="004501F2" w14:paraId="55A8B766"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D6B8092" w14:textId="77777777" w:rsidR="004501F2" w:rsidRPr="004501F2" w:rsidRDefault="004501F2" w:rsidP="004501F2">
            <w:pPr>
              <w:rPr>
                <w:rFonts w:ascii="Arial" w:hAnsi="Arial" w:cs="Arial"/>
                <w:sz w:val="20"/>
                <w:szCs w:val="20"/>
              </w:rPr>
            </w:pPr>
            <w:r w:rsidRPr="004501F2">
              <w:rPr>
                <w:rFonts w:ascii="Arial" w:hAnsi="Arial" w:cs="Arial"/>
                <w:sz w:val="20"/>
                <w:szCs w:val="20"/>
              </w:rPr>
              <w:t>Climate-related threats</w:t>
            </w:r>
          </w:p>
        </w:tc>
        <w:tc>
          <w:tcPr>
            <w:tcW w:w="0" w:type="auto"/>
            <w:vAlign w:val="center"/>
            <w:hideMark/>
          </w:tcPr>
          <w:p w14:paraId="00303D35"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Hazards intensified by climate variability/change (e.g., floods, droughts, storms, sea-level rise) affecting people, ecosystems, and the economy.</w:t>
            </w:r>
          </w:p>
        </w:tc>
      </w:tr>
      <w:tr w:rsidR="004501F2" w:rsidRPr="004501F2" w14:paraId="63A6E2FF"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490B725" w14:textId="77777777" w:rsidR="004501F2" w:rsidRPr="004501F2" w:rsidRDefault="004501F2" w:rsidP="004501F2">
            <w:pPr>
              <w:rPr>
                <w:rFonts w:ascii="Arial" w:hAnsi="Arial" w:cs="Arial"/>
                <w:sz w:val="20"/>
                <w:szCs w:val="20"/>
              </w:rPr>
            </w:pPr>
            <w:r w:rsidRPr="004501F2">
              <w:rPr>
                <w:rFonts w:ascii="Arial" w:hAnsi="Arial" w:cs="Arial"/>
                <w:sz w:val="20"/>
                <w:szCs w:val="20"/>
              </w:rPr>
              <w:t>Coastal flooding</w:t>
            </w:r>
          </w:p>
        </w:tc>
        <w:tc>
          <w:tcPr>
            <w:tcW w:w="0" w:type="auto"/>
            <w:vAlign w:val="center"/>
            <w:hideMark/>
          </w:tcPr>
          <w:p w14:paraId="7ECEEEAA"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Flooding driven by high tides, storm surge, sea-level rise and/or heavy rainfall where drainage is limited in low-lying coastal areas.</w:t>
            </w:r>
          </w:p>
        </w:tc>
      </w:tr>
      <w:tr w:rsidR="004501F2" w:rsidRPr="004501F2" w14:paraId="25A4BC1C"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45F3891" w14:textId="77777777" w:rsidR="004501F2" w:rsidRPr="004501F2" w:rsidRDefault="004501F2" w:rsidP="004501F2">
            <w:pPr>
              <w:rPr>
                <w:rFonts w:ascii="Arial" w:hAnsi="Arial" w:cs="Arial"/>
                <w:sz w:val="20"/>
                <w:szCs w:val="20"/>
              </w:rPr>
            </w:pPr>
            <w:r w:rsidRPr="004501F2">
              <w:rPr>
                <w:rFonts w:ascii="Arial" w:hAnsi="Arial" w:cs="Arial"/>
                <w:sz w:val="20"/>
                <w:szCs w:val="20"/>
              </w:rPr>
              <w:t>Compound risk</w:t>
            </w:r>
          </w:p>
        </w:tc>
        <w:tc>
          <w:tcPr>
            <w:tcW w:w="0" w:type="auto"/>
            <w:vAlign w:val="center"/>
            <w:hideMark/>
          </w:tcPr>
          <w:p w14:paraId="2409C3AE"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Overlapping hazards (e.g., river flood + rainfall + tide/surge + drainage limits) that amplify impacts.</w:t>
            </w:r>
          </w:p>
        </w:tc>
      </w:tr>
      <w:tr w:rsidR="004501F2" w:rsidRPr="004501F2" w14:paraId="20AD025D"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BD1461B" w14:textId="77777777" w:rsidR="004501F2" w:rsidRPr="004501F2" w:rsidRDefault="004501F2" w:rsidP="004501F2">
            <w:pPr>
              <w:rPr>
                <w:rFonts w:ascii="Arial" w:hAnsi="Arial" w:cs="Arial"/>
                <w:sz w:val="20"/>
                <w:szCs w:val="20"/>
              </w:rPr>
            </w:pPr>
            <w:r w:rsidRPr="004501F2">
              <w:rPr>
                <w:rFonts w:ascii="Arial" w:hAnsi="Arial" w:cs="Arial"/>
                <w:sz w:val="20"/>
                <w:szCs w:val="20"/>
              </w:rPr>
              <w:t>Coping capacity</w:t>
            </w:r>
          </w:p>
        </w:tc>
        <w:tc>
          <w:tcPr>
            <w:tcW w:w="0" w:type="auto"/>
            <w:vAlign w:val="center"/>
            <w:hideMark/>
          </w:tcPr>
          <w:p w14:paraId="667B3BAB"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Strength of systems (institutions, services, infrastructure, social protection) to manage and reduce disaster impacts.</w:t>
            </w:r>
          </w:p>
        </w:tc>
      </w:tr>
      <w:tr w:rsidR="004501F2" w:rsidRPr="004501F2" w14:paraId="785E2D24"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8406B33" w14:textId="77777777" w:rsidR="004501F2" w:rsidRPr="004501F2" w:rsidRDefault="004501F2" w:rsidP="004501F2">
            <w:pPr>
              <w:rPr>
                <w:rFonts w:ascii="Arial" w:hAnsi="Arial" w:cs="Arial"/>
                <w:sz w:val="20"/>
                <w:szCs w:val="20"/>
              </w:rPr>
            </w:pPr>
            <w:r w:rsidRPr="004501F2">
              <w:rPr>
                <w:rFonts w:ascii="Arial" w:hAnsi="Arial" w:cs="Arial"/>
                <w:sz w:val="20"/>
                <w:szCs w:val="20"/>
              </w:rPr>
              <w:t>Disaster risk</w:t>
            </w:r>
          </w:p>
        </w:tc>
        <w:tc>
          <w:tcPr>
            <w:tcW w:w="0" w:type="auto"/>
            <w:vAlign w:val="center"/>
            <w:hideMark/>
          </w:tcPr>
          <w:p w14:paraId="4A5D4CF5"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Potential for losses (lives, livelihoods, assets) from the interaction of hazards, exposure, and vulnerability.</w:t>
            </w:r>
          </w:p>
        </w:tc>
      </w:tr>
      <w:tr w:rsidR="004501F2" w:rsidRPr="004501F2" w14:paraId="664BDC5F"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FF6AB9F" w14:textId="77777777" w:rsidR="004501F2" w:rsidRPr="004501F2" w:rsidRDefault="004501F2" w:rsidP="004501F2">
            <w:pPr>
              <w:rPr>
                <w:rFonts w:ascii="Arial" w:hAnsi="Arial" w:cs="Arial"/>
                <w:sz w:val="20"/>
                <w:szCs w:val="20"/>
              </w:rPr>
            </w:pPr>
            <w:r w:rsidRPr="004501F2">
              <w:rPr>
                <w:rFonts w:ascii="Arial" w:hAnsi="Arial" w:cs="Arial"/>
                <w:sz w:val="20"/>
                <w:szCs w:val="20"/>
              </w:rPr>
              <w:t>Drought</w:t>
            </w:r>
          </w:p>
        </w:tc>
        <w:tc>
          <w:tcPr>
            <w:tcW w:w="0" w:type="auto"/>
            <w:vAlign w:val="center"/>
            <w:hideMark/>
          </w:tcPr>
          <w:p w14:paraId="4522E22E"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Prolonged deficit in rainfall or water availability that reduces agricultural output, water supply, and livelihoods.</w:t>
            </w:r>
          </w:p>
        </w:tc>
      </w:tr>
      <w:tr w:rsidR="004501F2" w:rsidRPr="004501F2" w14:paraId="574198B2"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752044D" w14:textId="77777777" w:rsidR="004501F2" w:rsidRPr="004501F2" w:rsidRDefault="004501F2" w:rsidP="004501F2">
            <w:pPr>
              <w:rPr>
                <w:rFonts w:ascii="Arial" w:hAnsi="Arial" w:cs="Arial"/>
                <w:sz w:val="20"/>
                <w:szCs w:val="20"/>
              </w:rPr>
            </w:pPr>
            <w:r w:rsidRPr="004501F2">
              <w:rPr>
                <w:rFonts w:ascii="Arial" w:hAnsi="Arial" w:cs="Arial"/>
                <w:sz w:val="20"/>
                <w:szCs w:val="20"/>
              </w:rPr>
              <w:t>Early warning system</w:t>
            </w:r>
          </w:p>
        </w:tc>
        <w:tc>
          <w:tcPr>
            <w:tcW w:w="0" w:type="auto"/>
            <w:vAlign w:val="center"/>
            <w:hideMark/>
          </w:tcPr>
          <w:p w14:paraId="707BC501"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Arrangements to monitor hazards, forecast impacts, communicate alerts, and enable timely protective actions.</w:t>
            </w:r>
          </w:p>
        </w:tc>
      </w:tr>
      <w:tr w:rsidR="004501F2" w:rsidRPr="004501F2" w14:paraId="19D76FC9"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A8BBCB5" w14:textId="77777777" w:rsidR="004501F2" w:rsidRPr="004501F2" w:rsidRDefault="004501F2" w:rsidP="004501F2">
            <w:pPr>
              <w:rPr>
                <w:rFonts w:ascii="Arial" w:hAnsi="Arial" w:cs="Arial"/>
                <w:sz w:val="20"/>
                <w:szCs w:val="20"/>
              </w:rPr>
            </w:pPr>
            <w:r w:rsidRPr="004501F2">
              <w:rPr>
                <w:rFonts w:ascii="Arial" w:hAnsi="Arial" w:cs="Arial"/>
                <w:sz w:val="20"/>
                <w:szCs w:val="20"/>
              </w:rPr>
              <w:t>Ecosystem buffers</w:t>
            </w:r>
          </w:p>
        </w:tc>
        <w:tc>
          <w:tcPr>
            <w:tcW w:w="0" w:type="auto"/>
            <w:vAlign w:val="center"/>
            <w:hideMark/>
          </w:tcPr>
          <w:p w14:paraId="2DD32FA4"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Natural features (mangroves, reefs, dunes, floodplains, seagrass) that reduce waves, flooding, erosion and support livelihoods.</w:t>
            </w:r>
          </w:p>
        </w:tc>
      </w:tr>
      <w:tr w:rsidR="004501F2" w:rsidRPr="004501F2" w14:paraId="33B9C8C0"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8E83740" w14:textId="77777777" w:rsidR="004501F2" w:rsidRPr="004501F2" w:rsidRDefault="004501F2" w:rsidP="004501F2">
            <w:pPr>
              <w:rPr>
                <w:rFonts w:ascii="Arial" w:hAnsi="Arial" w:cs="Arial"/>
                <w:sz w:val="20"/>
                <w:szCs w:val="20"/>
              </w:rPr>
            </w:pPr>
            <w:r w:rsidRPr="004501F2">
              <w:rPr>
                <w:rFonts w:ascii="Arial" w:hAnsi="Arial" w:cs="Arial"/>
                <w:sz w:val="20"/>
                <w:szCs w:val="20"/>
              </w:rPr>
              <w:t>Ecosystem-based adaptation</w:t>
            </w:r>
          </w:p>
        </w:tc>
        <w:tc>
          <w:tcPr>
            <w:tcW w:w="0" w:type="auto"/>
            <w:vAlign w:val="center"/>
            <w:hideMark/>
          </w:tcPr>
          <w:p w14:paraId="7F9C8C28"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Using ecosystem protection/restoration to reduce climate risks while sustaining ecosystem services and livelihoods.</w:t>
            </w:r>
          </w:p>
        </w:tc>
      </w:tr>
      <w:tr w:rsidR="004501F2" w:rsidRPr="004501F2" w14:paraId="7B609AA5"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9574F14" w14:textId="77777777" w:rsidR="004501F2" w:rsidRPr="004501F2" w:rsidRDefault="004501F2" w:rsidP="004501F2">
            <w:pPr>
              <w:rPr>
                <w:rFonts w:ascii="Arial" w:hAnsi="Arial" w:cs="Arial"/>
                <w:sz w:val="20"/>
                <w:szCs w:val="20"/>
              </w:rPr>
            </w:pPr>
            <w:r w:rsidRPr="004501F2">
              <w:rPr>
                <w:rFonts w:ascii="Arial" w:hAnsi="Arial" w:cs="Arial"/>
                <w:sz w:val="20"/>
                <w:szCs w:val="20"/>
              </w:rPr>
              <w:t>Exposure</w:t>
            </w:r>
          </w:p>
        </w:tc>
        <w:tc>
          <w:tcPr>
            <w:tcW w:w="0" w:type="auto"/>
            <w:vAlign w:val="center"/>
            <w:hideMark/>
          </w:tcPr>
          <w:p w14:paraId="2581B099"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People, assets, and activities located in hazard-prone areas (e.g., low-lying towns, ports, tourism zones).</w:t>
            </w:r>
          </w:p>
        </w:tc>
      </w:tr>
      <w:tr w:rsidR="004501F2" w:rsidRPr="004501F2" w14:paraId="19EEA297"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419AD91" w14:textId="77777777" w:rsidR="004501F2" w:rsidRPr="004501F2" w:rsidRDefault="004501F2" w:rsidP="004501F2">
            <w:pPr>
              <w:rPr>
                <w:rFonts w:ascii="Arial" w:hAnsi="Arial" w:cs="Arial"/>
                <w:sz w:val="20"/>
                <w:szCs w:val="20"/>
              </w:rPr>
            </w:pPr>
            <w:r w:rsidRPr="004501F2">
              <w:rPr>
                <w:rFonts w:ascii="Arial" w:hAnsi="Arial" w:cs="Arial"/>
                <w:sz w:val="20"/>
                <w:szCs w:val="20"/>
              </w:rPr>
              <w:t>Riverine flooding</w:t>
            </w:r>
          </w:p>
        </w:tc>
        <w:tc>
          <w:tcPr>
            <w:tcW w:w="0" w:type="auto"/>
            <w:vAlign w:val="center"/>
            <w:hideMark/>
          </w:tcPr>
          <w:p w14:paraId="282476CF"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Flooding from rivers and floodplains, typically driven by monsoon rainfall and upstream flows.</w:t>
            </w:r>
          </w:p>
        </w:tc>
      </w:tr>
      <w:tr w:rsidR="004501F2" w:rsidRPr="004501F2" w14:paraId="168A2539"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2E047F4" w14:textId="77777777" w:rsidR="004501F2" w:rsidRPr="004501F2" w:rsidRDefault="004501F2" w:rsidP="004501F2">
            <w:pPr>
              <w:rPr>
                <w:rFonts w:ascii="Arial" w:hAnsi="Arial" w:cs="Arial"/>
                <w:sz w:val="20"/>
                <w:szCs w:val="20"/>
              </w:rPr>
            </w:pPr>
            <w:r w:rsidRPr="004501F2">
              <w:rPr>
                <w:rFonts w:ascii="Arial" w:hAnsi="Arial" w:cs="Arial"/>
                <w:sz w:val="20"/>
                <w:szCs w:val="20"/>
              </w:rPr>
              <w:t>Pluvial/urban flooding</w:t>
            </w:r>
          </w:p>
        </w:tc>
        <w:tc>
          <w:tcPr>
            <w:tcW w:w="0" w:type="auto"/>
            <w:vAlign w:val="center"/>
            <w:hideMark/>
          </w:tcPr>
          <w:p w14:paraId="21355853"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Flooding caused by intense rainfall overwhelming drainage systems, common in fast-growing towns.</w:t>
            </w:r>
          </w:p>
        </w:tc>
      </w:tr>
      <w:tr w:rsidR="004501F2" w:rsidRPr="004501F2" w14:paraId="2450A7B3"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CC2B09B" w14:textId="77777777" w:rsidR="004501F2" w:rsidRPr="004501F2" w:rsidRDefault="004501F2" w:rsidP="004501F2">
            <w:pPr>
              <w:rPr>
                <w:rFonts w:ascii="Arial" w:hAnsi="Arial" w:cs="Arial"/>
                <w:sz w:val="20"/>
                <w:szCs w:val="20"/>
              </w:rPr>
            </w:pPr>
            <w:r w:rsidRPr="004501F2">
              <w:rPr>
                <w:rFonts w:ascii="Arial" w:hAnsi="Arial" w:cs="Arial"/>
                <w:sz w:val="20"/>
                <w:szCs w:val="20"/>
              </w:rPr>
              <w:t>Hazard</w:t>
            </w:r>
          </w:p>
        </w:tc>
        <w:tc>
          <w:tcPr>
            <w:tcW w:w="0" w:type="auto"/>
            <w:vAlign w:val="center"/>
            <w:hideMark/>
          </w:tcPr>
          <w:p w14:paraId="63FE0D49"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Potentially damaging event or trend (e.g., flood, drought, storm surge, sea-level rise).</w:t>
            </w:r>
          </w:p>
        </w:tc>
      </w:tr>
      <w:tr w:rsidR="004501F2" w:rsidRPr="004501F2" w14:paraId="46C79EBD"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53E535F" w14:textId="77777777" w:rsidR="004501F2" w:rsidRPr="004501F2" w:rsidRDefault="004501F2" w:rsidP="004501F2">
            <w:pPr>
              <w:rPr>
                <w:rFonts w:ascii="Arial" w:hAnsi="Arial" w:cs="Arial"/>
                <w:sz w:val="20"/>
                <w:szCs w:val="20"/>
              </w:rPr>
            </w:pPr>
            <w:r w:rsidRPr="004501F2">
              <w:rPr>
                <w:rFonts w:ascii="Arial" w:hAnsi="Arial" w:cs="Arial"/>
                <w:sz w:val="20"/>
                <w:szCs w:val="20"/>
              </w:rPr>
              <w:t>HDI (Human Development Index)</w:t>
            </w:r>
          </w:p>
        </w:tc>
        <w:tc>
          <w:tcPr>
            <w:tcW w:w="0" w:type="auto"/>
            <w:vAlign w:val="center"/>
            <w:hideMark/>
          </w:tcPr>
          <w:p w14:paraId="03113915"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Composite index summarizing health, education, and income dimensions of human development.</w:t>
            </w:r>
          </w:p>
        </w:tc>
      </w:tr>
      <w:tr w:rsidR="004501F2" w:rsidRPr="004501F2" w14:paraId="62F91F96"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32196C5" w14:textId="77777777" w:rsidR="004501F2" w:rsidRPr="004501F2" w:rsidRDefault="004501F2" w:rsidP="004501F2">
            <w:pPr>
              <w:rPr>
                <w:rFonts w:ascii="Arial" w:hAnsi="Arial" w:cs="Arial"/>
                <w:sz w:val="20"/>
                <w:szCs w:val="20"/>
              </w:rPr>
            </w:pPr>
            <w:r w:rsidRPr="004501F2">
              <w:rPr>
                <w:rFonts w:ascii="Arial" w:hAnsi="Arial" w:cs="Arial"/>
                <w:sz w:val="20"/>
                <w:szCs w:val="20"/>
              </w:rPr>
              <w:t>IHDI (Inequality-adjusted HDI)</w:t>
            </w:r>
          </w:p>
        </w:tc>
        <w:tc>
          <w:tcPr>
            <w:tcW w:w="0" w:type="auto"/>
            <w:vAlign w:val="center"/>
            <w:hideMark/>
          </w:tcPr>
          <w:p w14:paraId="6AA1F9CD"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HDI adjusted to reflect inequality in the distribution of health, education, and income.</w:t>
            </w:r>
          </w:p>
        </w:tc>
      </w:tr>
      <w:tr w:rsidR="004501F2" w:rsidRPr="004501F2" w14:paraId="464661DC"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A3DAFD6" w14:textId="77777777" w:rsidR="004501F2" w:rsidRPr="004501F2" w:rsidRDefault="004501F2" w:rsidP="004501F2">
            <w:pPr>
              <w:rPr>
                <w:rFonts w:ascii="Arial" w:hAnsi="Arial" w:cs="Arial"/>
                <w:sz w:val="20"/>
                <w:szCs w:val="20"/>
              </w:rPr>
            </w:pPr>
            <w:r w:rsidRPr="004501F2">
              <w:rPr>
                <w:rFonts w:ascii="Arial" w:hAnsi="Arial" w:cs="Arial"/>
                <w:sz w:val="20"/>
                <w:szCs w:val="20"/>
              </w:rPr>
              <w:t>INFORM Risk Index</w:t>
            </w:r>
          </w:p>
        </w:tc>
        <w:tc>
          <w:tcPr>
            <w:tcW w:w="0" w:type="auto"/>
            <w:vAlign w:val="center"/>
            <w:hideMark/>
          </w:tcPr>
          <w:p w14:paraId="7B8F5F42"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Composite index summarizing disaster risk using hazard/exposure, vulnerability, and coping capacity components.</w:t>
            </w:r>
          </w:p>
        </w:tc>
      </w:tr>
      <w:tr w:rsidR="004501F2" w:rsidRPr="004501F2" w14:paraId="7EE8F119"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5250A91" w14:textId="77777777" w:rsidR="004501F2" w:rsidRPr="004501F2" w:rsidRDefault="004501F2" w:rsidP="004501F2">
            <w:pPr>
              <w:rPr>
                <w:rFonts w:ascii="Arial" w:hAnsi="Arial" w:cs="Arial"/>
                <w:sz w:val="20"/>
                <w:szCs w:val="20"/>
              </w:rPr>
            </w:pPr>
            <w:r w:rsidRPr="004501F2">
              <w:rPr>
                <w:rFonts w:ascii="Arial" w:hAnsi="Arial" w:cs="Arial"/>
                <w:sz w:val="20"/>
                <w:szCs w:val="20"/>
              </w:rPr>
              <w:t>Informal workers</w:t>
            </w:r>
          </w:p>
        </w:tc>
        <w:tc>
          <w:tcPr>
            <w:tcW w:w="0" w:type="auto"/>
            <w:vAlign w:val="center"/>
            <w:hideMark/>
          </w:tcPr>
          <w:p w14:paraId="491327C1"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Workers without formal contracts or protections, often more exposed to shocks and slower to recover.</w:t>
            </w:r>
          </w:p>
        </w:tc>
      </w:tr>
      <w:tr w:rsidR="004501F2" w:rsidRPr="004501F2" w14:paraId="5CAD30C5"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976520E" w14:textId="77777777" w:rsidR="004501F2" w:rsidRPr="004501F2" w:rsidRDefault="004501F2" w:rsidP="004501F2">
            <w:pPr>
              <w:rPr>
                <w:rFonts w:ascii="Arial" w:hAnsi="Arial" w:cs="Arial"/>
                <w:sz w:val="20"/>
                <w:szCs w:val="20"/>
              </w:rPr>
            </w:pPr>
            <w:r w:rsidRPr="004501F2">
              <w:rPr>
                <w:rFonts w:ascii="Arial" w:hAnsi="Arial" w:cs="Arial"/>
                <w:sz w:val="20"/>
                <w:szCs w:val="20"/>
              </w:rPr>
              <w:t>Livelihood sensitivity</w:t>
            </w:r>
          </w:p>
        </w:tc>
        <w:tc>
          <w:tcPr>
            <w:tcW w:w="0" w:type="auto"/>
            <w:vAlign w:val="center"/>
            <w:hideMark/>
          </w:tcPr>
          <w:p w14:paraId="5B36B43B"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Degree to which livelihoods (e.g., tourism, fisheries, agriculture) are affected by hazards and ecosystem stress.</w:t>
            </w:r>
          </w:p>
        </w:tc>
      </w:tr>
      <w:tr w:rsidR="004501F2" w:rsidRPr="004501F2" w14:paraId="69465061"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B34E0A3" w14:textId="77777777" w:rsidR="004501F2" w:rsidRPr="004501F2" w:rsidRDefault="004501F2" w:rsidP="004501F2">
            <w:pPr>
              <w:rPr>
                <w:rFonts w:ascii="Arial" w:hAnsi="Arial" w:cs="Arial"/>
                <w:sz w:val="20"/>
                <w:szCs w:val="20"/>
              </w:rPr>
            </w:pPr>
            <w:r w:rsidRPr="004501F2">
              <w:rPr>
                <w:rFonts w:ascii="Arial" w:hAnsi="Arial" w:cs="Arial"/>
                <w:sz w:val="20"/>
                <w:szCs w:val="20"/>
              </w:rPr>
              <w:t>MPI (Multidimensional Poverty Index)</w:t>
            </w:r>
          </w:p>
        </w:tc>
        <w:tc>
          <w:tcPr>
            <w:tcW w:w="0" w:type="auto"/>
            <w:vAlign w:val="center"/>
            <w:hideMark/>
          </w:tcPr>
          <w:p w14:paraId="369ABCB6"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Poverty measure capturing multiple deprivations (health, education, living standards), not only income.</w:t>
            </w:r>
          </w:p>
        </w:tc>
      </w:tr>
      <w:tr w:rsidR="004501F2" w:rsidRPr="004501F2" w14:paraId="222074C5"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9869744" w14:textId="77777777" w:rsidR="004501F2" w:rsidRPr="004501F2" w:rsidRDefault="004501F2" w:rsidP="004501F2">
            <w:pPr>
              <w:rPr>
                <w:rFonts w:ascii="Arial" w:hAnsi="Arial" w:cs="Arial"/>
                <w:sz w:val="20"/>
                <w:szCs w:val="20"/>
              </w:rPr>
            </w:pPr>
            <w:r w:rsidRPr="004501F2">
              <w:rPr>
                <w:rFonts w:ascii="Arial" w:hAnsi="Arial" w:cs="Arial"/>
                <w:sz w:val="20"/>
                <w:szCs w:val="20"/>
              </w:rPr>
              <w:t>Near-poor</w:t>
            </w:r>
          </w:p>
        </w:tc>
        <w:tc>
          <w:tcPr>
            <w:tcW w:w="0" w:type="auto"/>
            <w:vAlign w:val="center"/>
            <w:hideMark/>
          </w:tcPr>
          <w:p w14:paraId="4B65F979"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Households just above the poverty line that can fall back into poverty after shocks (disasters or economic downturns).</w:t>
            </w:r>
          </w:p>
        </w:tc>
      </w:tr>
      <w:tr w:rsidR="004501F2" w:rsidRPr="004501F2" w14:paraId="0FDF6A56"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22C6CED" w14:textId="77777777" w:rsidR="004501F2" w:rsidRPr="004501F2" w:rsidRDefault="004501F2" w:rsidP="004501F2">
            <w:pPr>
              <w:rPr>
                <w:rFonts w:ascii="Arial" w:hAnsi="Arial" w:cs="Arial"/>
                <w:sz w:val="20"/>
                <w:szCs w:val="20"/>
              </w:rPr>
            </w:pPr>
            <w:r w:rsidRPr="004501F2">
              <w:rPr>
                <w:rFonts w:ascii="Arial" w:hAnsi="Arial" w:cs="Arial"/>
                <w:sz w:val="20"/>
                <w:szCs w:val="20"/>
              </w:rPr>
              <w:t>Risk-informed planning</w:t>
            </w:r>
          </w:p>
        </w:tc>
        <w:tc>
          <w:tcPr>
            <w:tcW w:w="0" w:type="auto"/>
            <w:vAlign w:val="center"/>
            <w:hideMark/>
          </w:tcPr>
          <w:p w14:paraId="0D5BA541"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Integrating hazard and vulnerability information into land-use plans, infrastructure standards, and investment decisions.</w:t>
            </w:r>
          </w:p>
        </w:tc>
      </w:tr>
      <w:tr w:rsidR="004501F2" w:rsidRPr="004501F2" w14:paraId="01EB945C"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8FF0FCE" w14:textId="77777777" w:rsidR="004501F2" w:rsidRPr="004501F2" w:rsidRDefault="004501F2" w:rsidP="004501F2">
            <w:pPr>
              <w:rPr>
                <w:rFonts w:ascii="Arial" w:hAnsi="Arial" w:cs="Arial"/>
                <w:sz w:val="20"/>
                <w:szCs w:val="20"/>
              </w:rPr>
            </w:pPr>
            <w:r w:rsidRPr="004501F2">
              <w:rPr>
                <w:rFonts w:ascii="Arial" w:hAnsi="Arial" w:cs="Arial"/>
                <w:sz w:val="20"/>
                <w:szCs w:val="20"/>
              </w:rPr>
              <w:t>Sea-level rise</w:t>
            </w:r>
          </w:p>
        </w:tc>
        <w:tc>
          <w:tcPr>
            <w:tcW w:w="0" w:type="auto"/>
            <w:vAlign w:val="center"/>
            <w:hideMark/>
          </w:tcPr>
          <w:p w14:paraId="3C0E0BE8"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Long-term increase in sea level that elevates coastal flood baselines and worsens erosion and salinity intrusion.</w:t>
            </w:r>
          </w:p>
        </w:tc>
      </w:tr>
      <w:tr w:rsidR="004501F2" w:rsidRPr="004501F2" w14:paraId="6533F47C"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5A72F11" w14:textId="77777777" w:rsidR="004501F2" w:rsidRPr="004501F2" w:rsidRDefault="004501F2" w:rsidP="004501F2">
            <w:pPr>
              <w:rPr>
                <w:rFonts w:ascii="Arial" w:hAnsi="Arial" w:cs="Arial"/>
                <w:sz w:val="20"/>
                <w:szCs w:val="20"/>
              </w:rPr>
            </w:pPr>
            <w:r w:rsidRPr="004501F2">
              <w:rPr>
                <w:rFonts w:ascii="Arial" w:hAnsi="Arial" w:cs="Arial"/>
                <w:sz w:val="20"/>
                <w:szCs w:val="20"/>
              </w:rPr>
              <w:t>Salinity intrusion</w:t>
            </w:r>
          </w:p>
        </w:tc>
        <w:tc>
          <w:tcPr>
            <w:tcW w:w="0" w:type="auto"/>
            <w:vAlign w:val="center"/>
            <w:hideMark/>
          </w:tcPr>
          <w:p w14:paraId="39C56802"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Movement of seawater into rivers/canals/groundwater, especially during dry seasons and under sea-level rise, affecting water supply and production systems.</w:t>
            </w:r>
          </w:p>
        </w:tc>
      </w:tr>
      <w:tr w:rsidR="004501F2" w:rsidRPr="004501F2" w14:paraId="54A1EC73"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5371822" w14:textId="77777777" w:rsidR="004501F2" w:rsidRPr="004501F2" w:rsidRDefault="004501F2" w:rsidP="004501F2">
            <w:pPr>
              <w:rPr>
                <w:rFonts w:ascii="Arial" w:hAnsi="Arial" w:cs="Arial"/>
                <w:sz w:val="20"/>
                <w:szCs w:val="20"/>
              </w:rPr>
            </w:pPr>
            <w:r w:rsidRPr="004501F2">
              <w:rPr>
                <w:rFonts w:ascii="Arial" w:hAnsi="Arial" w:cs="Arial"/>
                <w:sz w:val="20"/>
                <w:szCs w:val="20"/>
              </w:rPr>
              <w:t>Sensitivity</w:t>
            </w:r>
          </w:p>
        </w:tc>
        <w:tc>
          <w:tcPr>
            <w:tcW w:w="0" w:type="auto"/>
            <w:vAlign w:val="center"/>
            <w:hideMark/>
          </w:tcPr>
          <w:p w14:paraId="7DA59715"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How strongly people, assets, or ecosystems are affected when hazards occur (given their condition and dependence).</w:t>
            </w:r>
          </w:p>
        </w:tc>
      </w:tr>
      <w:tr w:rsidR="004501F2" w:rsidRPr="004501F2" w14:paraId="26BDDA80"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2F8E04D" w14:textId="77777777" w:rsidR="004501F2" w:rsidRPr="004501F2" w:rsidRDefault="004501F2" w:rsidP="004501F2">
            <w:pPr>
              <w:rPr>
                <w:rFonts w:ascii="Arial" w:hAnsi="Arial" w:cs="Arial"/>
                <w:sz w:val="20"/>
                <w:szCs w:val="20"/>
              </w:rPr>
            </w:pPr>
            <w:r w:rsidRPr="004501F2">
              <w:rPr>
                <w:rFonts w:ascii="Arial" w:hAnsi="Arial" w:cs="Arial"/>
                <w:sz w:val="20"/>
                <w:szCs w:val="20"/>
              </w:rPr>
              <w:t>Shock-responsive social protection</w:t>
            </w:r>
          </w:p>
        </w:tc>
        <w:tc>
          <w:tcPr>
            <w:tcW w:w="0" w:type="auto"/>
            <w:vAlign w:val="center"/>
            <w:hideMark/>
          </w:tcPr>
          <w:p w14:paraId="00C1D2BA"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Social assistance systems that can be scaled quickly (e.g., cash support) to help households during crises.</w:t>
            </w:r>
          </w:p>
        </w:tc>
      </w:tr>
      <w:tr w:rsidR="004501F2" w:rsidRPr="004501F2" w14:paraId="3F0E8220"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C742B6E" w14:textId="77777777" w:rsidR="004501F2" w:rsidRPr="004501F2" w:rsidRDefault="004501F2" w:rsidP="004501F2">
            <w:pPr>
              <w:rPr>
                <w:rFonts w:ascii="Arial" w:hAnsi="Arial" w:cs="Arial"/>
                <w:sz w:val="20"/>
                <w:szCs w:val="20"/>
              </w:rPr>
            </w:pPr>
            <w:r w:rsidRPr="004501F2">
              <w:rPr>
                <w:rFonts w:ascii="Arial" w:hAnsi="Arial" w:cs="Arial"/>
                <w:sz w:val="20"/>
                <w:szCs w:val="20"/>
              </w:rPr>
              <w:t>Storm surge</w:t>
            </w:r>
          </w:p>
        </w:tc>
        <w:tc>
          <w:tcPr>
            <w:tcW w:w="0" w:type="auto"/>
            <w:vAlign w:val="center"/>
            <w:hideMark/>
          </w:tcPr>
          <w:p w14:paraId="6FB2F283"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Abnormal rise in sea level generated by storms that can inundate coastal areas and estuaries.</w:t>
            </w:r>
          </w:p>
        </w:tc>
      </w:tr>
      <w:tr w:rsidR="004501F2" w:rsidRPr="004501F2" w14:paraId="5E15F830" w14:textId="77777777" w:rsidTr="00450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AA2ED41" w14:textId="77777777" w:rsidR="004501F2" w:rsidRPr="004501F2" w:rsidRDefault="004501F2" w:rsidP="004501F2">
            <w:pPr>
              <w:rPr>
                <w:rFonts w:ascii="Arial" w:hAnsi="Arial" w:cs="Arial"/>
                <w:sz w:val="20"/>
                <w:szCs w:val="20"/>
              </w:rPr>
            </w:pPr>
            <w:r w:rsidRPr="004501F2">
              <w:rPr>
                <w:rFonts w:ascii="Arial" w:hAnsi="Arial" w:cs="Arial"/>
                <w:sz w:val="20"/>
                <w:szCs w:val="20"/>
              </w:rPr>
              <w:t>Urbanization</w:t>
            </w:r>
          </w:p>
        </w:tc>
        <w:tc>
          <w:tcPr>
            <w:tcW w:w="0" w:type="auto"/>
            <w:vAlign w:val="center"/>
            <w:hideMark/>
          </w:tcPr>
          <w:p w14:paraId="4774921B" w14:textId="77777777" w:rsidR="004501F2" w:rsidRPr="004501F2" w:rsidRDefault="004501F2" w:rsidP="004501F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501F2">
              <w:rPr>
                <w:rFonts w:ascii="Arial" w:hAnsi="Arial" w:cs="Arial"/>
                <w:sz w:val="20"/>
                <w:szCs w:val="20"/>
              </w:rPr>
              <w:t>Increase in the share of the population living in urban areas, often increasing exposure when planning and services lag behind growth.</w:t>
            </w:r>
          </w:p>
        </w:tc>
      </w:tr>
      <w:tr w:rsidR="004501F2" w:rsidRPr="004501F2" w14:paraId="15A250F6" w14:textId="77777777" w:rsidTr="004501F2">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BDF363D" w14:textId="77777777" w:rsidR="004501F2" w:rsidRPr="004501F2" w:rsidRDefault="004501F2" w:rsidP="004501F2">
            <w:pPr>
              <w:rPr>
                <w:rFonts w:ascii="Arial" w:hAnsi="Arial" w:cs="Arial"/>
                <w:sz w:val="20"/>
                <w:szCs w:val="20"/>
              </w:rPr>
            </w:pPr>
            <w:r w:rsidRPr="004501F2">
              <w:rPr>
                <w:rFonts w:ascii="Arial" w:hAnsi="Arial" w:cs="Arial"/>
                <w:sz w:val="20"/>
                <w:szCs w:val="20"/>
              </w:rPr>
              <w:t>Vulnerability</w:t>
            </w:r>
          </w:p>
        </w:tc>
        <w:tc>
          <w:tcPr>
            <w:tcW w:w="0" w:type="auto"/>
            <w:vAlign w:val="center"/>
            <w:hideMark/>
          </w:tcPr>
          <w:p w14:paraId="0D306BC0" w14:textId="77777777" w:rsidR="004501F2" w:rsidRPr="004501F2" w:rsidRDefault="004501F2" w:rsidP="004501F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501F2">
              <w:rPr>
                <w:rFonts w:ascii="Arial" w:hAnsi="Arial" w:cs="Arial"/>
                <w:sz w:val="20"/>
                <w:szCs w:val="20"/>
              </w:rPr>
              <w:t>Propensity to be harmed, shaped by exposure, sensitivity, and adaptive capacity (including inequality and access to services).</w:t>
            </w:r>
          </w:p>
        </w:tc>
      </w:tr>
    </w:tbl>
    <w:p w14:paraId="6C21E747" w14:textId="4F5460A5" w:rsidR="00A31A71" w:rsidRDefault="004501F2" w:rsidP="00737B2B">
      <w:pPr>
        <w:pStyle w:val="Heading2"/>
        <w:jc w:val="both"/>
        <w:rPr>
          <w:rFonts w:ascii="Arial" w:hAnsi="Arial" w:cs="Arial"/>
          <w:b/>
          <w:bCs/>
          <w:color w:val="auto"/>
          <w:sz w:val="28"/>
          <w:szCs w:val="28"/>
        </w:rPr>
      </w:pPr>
      <w:r>
        <w:rPr>
          <w:rFonts w:ascii="Arial" w:hAnsi="Arial" w:cs="Arial"/>
          <w:sz w:val="24"/>
          <w:szCs w:val="24"/>
        </w:rPr>
        <w:br w:type="column"/>
      </w:r>
      <w:bookmarkStart w:id="79" w:name="_Toc217231531"/>
      <w:r w:rsidR="00A31A71" w:rsidRPr="00A31A71">
        <w:rPr>
          <w:rFonts w:ascii="Arial" w:hAnsi="Arial" w:cs="Arial"/>
          <w:b/>
          <w:bCs/>
          <w:color w:val="auto"/>
          <w:sz w:val="28"/>
          <w:szCs w:val="28"/>
        </w:rPr>
        <w:t xml:space="preserve">Funding </w:t>
      </w:r>
      <w:r w:rsidR="00A31A71">
        <w:rPr>
          <w:rFonts w:ascii="Arial" w:hAnsi="Arial" w:cs="Arial"/>
          <w:b/>
          <w:bCs/>
          <w:color w:val="auto"/>
          <w:sz w:val="28"/>
          <w:szCs w:val="28"/>
        </w:rPr>
        <w:t>S</w:t>
      </w:r>
      <w:r w:rsidR="00A31A71" w:rsidRPr="00A31A71">
        <w:rPr>
          <w:rFonts w:ascii="Arial" w:hAnsi="Arial" w:cs="Arial"/>
          <w:b/>
          <w:bCs/>
          <w:color w:val="auto"/>
          <w:sz w:val="28"/>
          <w:szCs w:val="28"/>
        </w:rPr>
        <w:t>ources</w:t>
      </w:r>
      <w:bookmarkEnd w:id="79"/>
    </w:p>
    <w:p w14:paraId="0FC3D2A1" w14:textId="77777777" w:rsidR="0031331E" w:rsidRDefault="0031331E" w:rsidP="0031331E">
      <w:pPr>
        <w:spacing w:before="240" w:after="240"/>
        <w:jc w:val="both"/>
        <w:rPr>
          <w:rFonts w:ascii="Arial" w:hAnsi="Arial" w:cs="Arial"/>
          <w:sz w:val="22"/>
          <w:szCs w:val="22"/>
        </w:rPr>
      </w:pPr>
      <w:r w:rsidRPr="00A31A71">
        <w:rPr>
          <w:rFonts w:ascii="Arial" w:hAnsi="Arial" w:cs="Arial"/>
          <w:sz w:val="22"/>
          <w:szCs w:val="22"/>
        </w:rPr>
        <w:t xml:space="preserve">This work was </w:t>
      </w:r>
      <w:r>
        <w:rPr>
          <w:rFonts w:ascii="Arial" w:hAnsi="Arial" w:cs="Arial"/>
          <w:sz w:val="22"/>
          <w:szCs w:val="22"/>
        </w:rPr>
        <w:t xml:space="preserve">financially </w:t>
      </w:r>
      <w:r w:rsidRPr="00A31A71">
        <w:rPr>
          <w:rFonts w:ascii="Arial" w:hAnsi="Arial" w:cs="Arial"/>
          <w:sz w:val="22"/>
          <w:szCs w:val="22"/>
        </w:rPr>
        <w:t xml:space="preserve">supported by the </w:t>
      </w:r>
      <w:r w:rsidRPr="00A31A71">
        <w:rPr>
          <w:rStyle w:val="Strong"/>
          <w:rFonts w:ascii="Arial" w:eastAsiaTheme="majorEastAsia" w:hAnsi="Arial" w:cs="Arial"/>
          <w:sz w:val="22"/>
          <w:szCs w:val="22"/>
        </w:rPr>
        <w:t>Global Environment Facility (GEF)</w:t>
      </w:r>
      <w:r w:rsidRPr="00A31A71">
        <w:rPr>
          <w:rFonts w:ascii="Arial" w:hAnsi="Arial" w:cs="Arial"/>
          <w:sz w:val="22"/>
          <w:szCs w:val="22"/>
        </w:rPr>
        <w:t xml:space="preserve"> through the </w:t>
      </w:r>
      <w:r w:rsidRPr="00A31A71">
        <w:rPr>
          <w:rStyle w:val="Strong"/>
          <w:rFonts w:ascii="Arial" w:eastAsiaTheme="majorEastAsia" w:hAnsi="Arial" w:cs="Arial"/>
          <w:sz w:val="22"/>
          <w:szCs w:val="22"/>
        </w:rPr>
        <w:t>UN Environment Programme (UNEP)</w:t>
      </w:r>
      <w:r w:rsidRPr="00A31A71">
        <w:rPr>
          <w:rFonts w:ascii="Arial" w:hAnsi="Arial" w:cs="Arial"/>
          <w:sz w:val="22"/>
          <w:szCs w:val="22"/>
        </w:rPr>
        <w:t xml:space="preserve"> under the </w:t>
      </w:r>
      <w:r w:rsidRPr="00A31A71">
        <w:rPr>
          <w:rFonts w:ascii="Arial" w:hAnsi="Arial" w:cs="Arial"/>
          <w:i/>
          <w:iCs/>
          <w:sz w:val="22"/>
          <w:szCs w:val="22"/>
        </w:rPr>
        <w:t>Strategic Action Programme for the South China Sea and Gulf of Thailand (SCS SAP Project)</w:t>
      </w:r>
      <w:r w:rsidRPr="00A31A71">
        <w:rPr>
          <w:rFonts w:ascii="Arial" w:hAnsi="Arial" w:cs="Arial"/>
          <w:sz w:val="22"/>
          <w:szCs w:val="22"/>
        </w:rPr>
        <w:t xml:space="preserve">, with implementation support from the </w:t>
      </w:r>
      <w:r w:rsidRPr="00A31A71">
        <w:rPr>
          <w:rStyle w:val="Strong"/>
          <w:rFonts w:ascii="Arial" w:eastAsiaTheme="majorEastAsia" w:hAnsi="Arial" w:cs="Arial"/>
          <w:sz w:val="22"/>
          <w:szCs w:val="22"/>
        </w:rPr>
        <w:t>United Nations Office for Project Services (UNOPS)</w:t>
      </w:r>
      <w:r>
        <w:rPr>
          <w:rFonts w:ascii="Arial" w:hAnsi="Arial" w:cs="Arial"/>
          <w:sz w:val="22"/>
          <w:szCs w:val="22"/>
        </w:rPr>
        <w:t xml:space="preserve"> and the </w:t>
      </w:r>
      <w:r w:rsidRPr="00A31A71">
        <w:rPr>
          <w:rStyle w:val="Strong"/>
          <w:rFonts w:ascii="Arial" w:eastAsiaTheme="majorEastAsia" w:hAnsi="Arial" w:cs="Arial"/>
          <w:sz w:val="22"/>
          <w:szCs w:val="22"/>
        </w:rPr>
        <w:t>Ministry of Environment (MoE), Cambodia</w:t>
      </w:r>
      <w:r w:rsidRPr="00A31A71">
        <w:rPr>
          <w:rFonts w:ascii="Arial" w:hAnsi="Arial" w:cs="Arial"/>
          <w:sz w:val="22"/>
          <w:szCs w:val="22"/>
        </w:rPr>
        <w:t>,</w:t>
      </w:r>
    </w:p>
    <w:p w14:paraId="6674283A" w14:textId="77777777" w:rsidR="0031331E" w:rsidRPr="00A31A71" w:rsidRDefault="0031331E" w:rsidP="0031331E">
      <w:pPr>
        <w:spacing w:before="240" w:after="240"/>
        <w:jc w:val="both"/>
        <w:rPr>
          <w:rFonts w:ascii="Arial" w:hAnsi="Arial" w:cs="Arial"/>
          <w:i/>
          <w:iCs/>
          <w:sz w:val="22"/>
          <w:szCs w:val="22"/>
        </w:rPr>
      </w:pPr>
      <w:r w:rsidRPr="00A31A71">
        <w:rPr>
          <w:rFonts w:ascii="Arial" w:hAnsi="Arial" w:cs="Arial"/>
          <w:sz w:val="22"/>
          <w:szCs w:val="22"/>
        </w:rPr>
        <w:t>The sponsors had no role in the study design; collection, analysis, or interpretation of data; writing of the report; or the decision to submit the article for publication.</w:t>
      </w:r>
    </w:p>
    <w:p w14:paraId="64796D50" w14:textId="77777777" w:rsidR="0031331E" w:rsidRPr="00A31A71" w:rsidRDefault="0031331E" w:rsidP="00A31A71">
      <w:pPr>
        <w:spacing w:before="240" w:after="240"/>
        <w:jc w:val="both"/>
        <w:rPr>
          <w:rFonts w:ascii="Arial" w:hAnsi="Arial" w:cs="Arial"/>
          <w:i/>
          <w:iCs/>
          <w:sz w:val="22"/>
          <w:szCs w:val="22"/>
        </w:rPr>
      </w:pPr>
    </w:p>
    <w:p w14:paraId="6E41C99E" w14:textId="6BB28C98" w:rsidR="00737B2B" w:rsidRPr="00150993" w:rsidRDefault="00A31A71" w:rsidP="00737B2B">
      <w:pPr>
        <w:pStyle w:val="Heading2"/>
        <w:jc w:val="both"/>
        <w:rPr>
          <w:rFonts w:ascii="Arial" w:hAnsi="Arial" w:cs="Arial"/>
          <w:b/>
          <w:bCs/>
          <w:sz w:val="24"/>
          <w:szCs w:val="24"/>
        </w:rPr>
      </w:pPr>
      <w:r>
        <w:rPr>
          <w:rFonts w:ascii="Arial" w:hAnsi="Arial" w:cs="Arial"/>
          <w:sz w:val="24"/>
          <w:szCs w:val="24"/>
        </w:rPr>
        <w:br w:type="column"/>
      </w:r>
      <w:bookmarkStart w:id="80" w:name="_Toc217231532"/>
      <w:r w:rsidR="00737B2B" w:rsidRPr="004501F2">
        <w:rPr>
          <w:rFonts w:ascii="Arial" w:hAnsi="Arial" w:cs="Arial"/>
          <w:b/>
          <w:bCs/>
          <w:color w:val="auto"/>
          <w:sz w:val="28"/>
          <w:szCs w:val="28"/>
        </w:rPr>
        <w:t>References</w:t>
      </w:r>
      <w:bookmarkEnd w:id="78"/>
      <w:bookmarkEnd w:id="80"/>
    </w:p>
    <w:p w14:paraId="6CE0A988"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Asian Development Bank (ADB), 2021. Climate Risk Country Profile: Cambodia. </w:t>
      </w:r>
      <w:hyperlink r:id="rId17" w:anchor=":~:text=Publication%20%7C%20August%202021" w:history="1">
        <w:r w:rsidRPr="00150993">
          <w:rPr>
            <w:rStyle w:val="Hyperlink"/>
            <w:rFonts w:ascii="Arial" w:hAnsi="Arial" w:cs="Arial"/>
            <w:sz w:val="20"/>
            <w:szCs w:val="20"/>
          </w:rPr>
          <w:t>https://www.adb.org/publications/climate-risk-country-profile-cambodia#:~:text=Publication%20%7C%20August%202021</w:t>
        </w:r>
      </w:hyperlink>
      <w:r w:rsidRPr="00150993">
        <w:rPr>
          <w:rFonts w:ascii="Arial" w:hAnsi="Arial" w:cs="Arial"/>
          <w:sz w:val="20"/>
          <w:szCs w:val="20"/>
        </w:rPr>
        <w:t xml:space="preserve"> </w:t>
      </w:r>
    </w:p>
    <w:p w14:paraId="01D4BF6B"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Asian Disaster Preparedness Center (ADPC), 2023. Readiness Assessment for Impact-Based Forecasting and Warning (IbFW) in Cambodia: Final Report. </w:t>
      </w:r>
      <w:hyperlink r:id="rId18" w:history="1">
        <w:r w:rsidRPr="00150993">
          <w:rPr>
            <w:rStyle w:val="Hyperlink"/>
            <w:rFonts w:ascii="Arial" w:hAnsi="Arial" w:cs="Arial"/>
            <w:sz w:val="20"/>
            <w:szCs w:val="20"/>
          </w:rPr>
          <w:t>https://adpc.net/igo/category/ID1877/doc/2023-nRIu4Y-ADPC-Readiness_Assessment_for_IbFW_in_Cambodia.pdf</w:t>
        </w:r>
      </w:hyperlink>
      <w:r w:rsidRPr="00150993">
        <w:rPr>
          <w:rFonts w:ascii="Arial" w:hAnsi="Arial" w:cs="Arial"/>
          <w:sz w:val="20"/>
          <w:szCs w:val="20"/>
        </w:rPr>
        <w:t xml:space="preserve"> </w:t>
      </w:r>
    </w:p>
    <w:p w14:paraId="59C02CD5"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Brinkhoff, T., 2019. Cambodia: Provinces—population statistics, charts and map (Koh Kong, Preah Sihanouk, Kampot, Kep pages). CityPopulation.de. </w:t>
      </w:r>
      <w:hyperlink r:id="rId19" w:history="1">
        <w:r w:rsidRPr="00150993">
          <w:rPr>
            <w:rStyle w:val="Hyperlink"/>
            <w:rFonts w:ascii="Arial" w:hAnsi="Arial" w:cs="Arial"/>
            <w:sz w:val="20"/>
            <w:szCs w:val="20"/>
          </w:rPr>
          <w:t>https://www.citypopulation.de</w:t>
        </w:r>
      </w:hyperlink>
      <w:r w:rsidRPr="00150993">
        <w:rPr>
          <w:rFonts w:ascii="Arial" w:hAnsi="Arial" w:cs="Arial"/>
          <w:sz w:val="20"/>
          <w:szCs w:val="20"/>
        </w:rPr>
        <w:t xml:space="preserve"> </w:t>
      </w:r>
    </w:p>
    <w:p w14:paraId="3C84D3BA"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Center for Excellence in Disaster Management &amp; Humanitarian Assistance (CFE-DMHA), 2024. Cambodia: Disaster Management Reference Handbook (ISBN 978-1-955429-54-2). </w:t>
      </w:r>
      <w:hyperlink r:id="rId20" w:history="1">
        <w:r w:rsidRPr="00150993">
          <w:rPr>
            <w:rStyle w:val="Hyperlink"/>
            <w:rFonts w:ascii="Arial" w:hAnsi="Arial" w:cs="Arial"/>
            <w:sz w:val="20"/>
            <w:szCs w:val="20"/>
          </w:rPr>
          <w:t>https://www.cfe-dmha.org/LinkClick.aspx?fileticket=F9BAtubIqM0%3d&amp;portalid=0</w:t>
        </w:r>
      </w:hyperlink>
      <w:r w:rsidRPr="00150993">
        <w:rPr>
          <w:rFonts w:ascii="Arial" w:hAnsi="Arial" w:cs="Arial"/>
          <w:sz w:val="20"/>
          <w:szCs w:val="20"/>
        </w:rPr>
        <w:t xml:space="preserve"> </w:t>
      </w:r>
    </w:p>
    <w:p w14:paraId="4EBB6A13"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Centre for Research on the Epidemiology of Disasters (CRED), UCLouvain, 2025. EM-DAT: The International Disaster Database [dataset]. Brussels, Belgium: CRED/UCLouvain. Retrieved October 08, 2025, from </w:t>
      </w:r>
      <w:hyperlink r:id="rId21" w:history="1">
        <w:r w:rsidRPr="00150993">
          <w:rPr>
            <w:rStyle w:val="Hyperlink"/>
            <w:rFonts w:ascii="Arial" w:hAnsi="Arial" w:cs="Arial"/>
            <w:sz w:val="20"/>
            <w:szCs w:val="20"/>
          </w:rPr>
          <w:t>https://public.emdat.be/data</w:t>
        </w:r>
      </w:hyperlink>
      <w:r w:rsidRPr="00150993">
        <w:rPr>
          <w:rFonts w:ascii="Arial" w:hAnsi="Arial" w:cs="Arial"/>
          <w:sz w:val="20"/>
          <w:szCs w:val="20"/>
        </w:rPr>
        <w:t xml:space="preserve"> </w:t>
      </w:r>
    </w:p>
    <w:p w14:paraId="06E13D23"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European Commission, Joint Research Centre (JRC), &amp; Inter-Agency Standing Committee (IASC), 2025. INFORM Risk Index: Results and data (Mid-2025 update) [dataset]. Retrieved Oct 10, 2025, from </w:t>
      </w:r>
      <w:hyperlink r:id="rId22" w:history="1">
        <w:r w:rsidRPr="00150993">
          <w:rPr>
            <w:rStyle w:val="Hyperlink"/>
            <w:rFonts w:ascii="Arial" w:hAnsi="Arial" w:cs="Arial"/>
            <w:sz w:val="20"/>
            <w:szCs w:val="20"/>
          </w:rPr>
          <w:t>https://drmkc.jrc.ec.europa.eu/inform-index/INFORM-Risk/Results-and-data</w:t>
        </w:r>
      </w:hyperlink>
      <w:r w:rsidRPr="00150993">
        <w:rPr>
          <w:rFonts w:ascii="Arial" w:hAnsi="Arial" w:cs="Arial"/>
          <w:sz w:val="20"/>
          <w:szCs w:val="20"/>
        </w:rPr>
        <w:t xml:space="preserve"> </w:t>
      </w:r>
    </w:p>
    <w:p w14:paraId="09F32037" w14:textId="77777777" w:rsidR="00F344D6" w:rsidRPr="00150993" w:rsidRDefault="00F344D6" w:rsidP="00F76C18">
      <w:pPr>
        <w:spacing w:after="120"/>
        <w:ind w:left="720" w:hanging="720"/>
        <w:rPr>
          <w:rStyle w:val="Hyperlink"/>
          <w:rFonts w:ascii="Arial" w:hAnsi="Arial" w:cs="Arial"/>
          <w:sz w:val="20"/>
          <w:szCs w:val="20"/>
        </w:rPr>
      </w:pPr>
      <w:r w:rsidRPr="00150993">
        <w:rPr>
          <w:rFonts w:ascii="Arial" w:hAnsi="Arial" w:cs="Arial"/>
          <w:sz w:val="20"/>
          <w:szCs w:val="20"/>
        </w:rPr>
        <w:t xml:space="preserve">Fisheries Administration (FiA), Ministry of Agriculture, Forestry and Fisheries (MAFF). (2020). National plan of control and inspection for marine fisheries, 2020–2024. Phnom Penh: MAFF. </w:t>
      </w:r>
      <w:hyperlink r:id="rId23" w:history="1">
        <w:r w:rsidRPr="00150993">
          <w:rPr>
            <w:rStyle w:val="Hyperlink"/>
            <w:rFonts w:ascii="Arial" w:hAnsi="Arial" w:cs="Arial"/>
            <w:sz w:val="20"/>
            <w:szCs w:val="20"/>
          </w:rPr>
          <w:t>https://server.maff.gov.kh/parse/files/myAppId5hD7ypUYw61sTqML/fd69caa3c49d2963151a11e244ec4af6_1639468965.pdf</w:t>
        </w:r>
      </w:hyperlink>
    </w:p>
    <w:p w14:paraId="4F278FCF" w14:textId="77777777" w:rsidR="00437830" w:rsidRPr="00150993" w:rsidRDefault="00437830" w:rsidP="00F76C18">
      <w:pPr>
        <w:spacing w:after="120"/>
        <w:ind w:left="720" w:hanging="720"/>
        <w:rPr>
          <w:rFonts w:ascii="Arial" w:hAnsi="Arial" w:cs="Arial"/>
          <w:sz w:val="20"/>
          <w:szCs w:val="20"/>
        </w:rPr>
      </w:pPr>
      <w:r w:rsidRPr="00150993">
        <w:rPr>
          <w:rFonts w:ascii="Arial" w:hAnsi="Arial" w:cs="Arial"/>
          <w:sz w:val="20"/>
          <w:szCs w:val="20"/>
        </w:rPr>
        <w:t xml:space="preserve">FAO FishStatJ, 2024. Global Capture Production – Marine Fishery Production Value for Cambodia, 1950–2022. </w:t>
      </w:r>
      <w:hyperlink r:id="rId24" w:history="1">
        <w:r w:rsidRPr="00150993">
          <w:rPr>
            <w:rStyle w:val="Hyperlink"/>
            <w:rFonts w:ascii="Arial" w:hAnsi="Arial" w:cs="Arial"/>
            <w:sz w:val="20"/>
            <w:szCs w:val="20"/>
          </w:rPr>
          <w:t>https://www.fao.org/fishery/statistics</w:t>
        </w:r>
      </w:hyperlink>
      <w:r w:rsidRPr="00150993">
        <w:rPr>
          <w:rFonts w:ascii="Arial" w:hAnsi="Arial" w:cs="Arial"/>
          <w:sz w:val="20"/>
          <w:szCs w:val="20"/>
        </w:rPr>
        <w:t xml:space="preserve"> </w:t>
      </w:r>
    </w:p>
    <w:p w14:paraId="3BC4CA06"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Global Alliance Against Hunger and Poverty. (2023). Cambodia: Cash Transfer for the Poor and Vulnerable Households During COVID-19 (CTP-COVID). </w:t>
      </w:r>
      <w:hyperlink r:id="rId25" w:history="1">
        <w:r w:rsidRPr="00150993">
          <w:rPr>
            <w:rStyle w:val="Hyperlink"/>
            <w:rFonts w:ascii="Arial" w:hAnsi="Arial" w:cs="Arial"/>
            <w:sz w:val="20"/>
            <w:szCs w:val="20"/>
          </w:rPr>
          <w:t>https://globalallianceagainsthungerandpoverty.org/country-example/cambodia-cash-transfer-for-the-poor-and-vulnerable-households-during-covid-19-ctp-covid/</w:t>
        </w:r>
      </w:hyperlink>
      <w:r w:rsidRPr="00150993">
        <w:rPr>
          <w:rFonts w:ascii="Arial" w:hAnsi="Arial" w:cs="Arial"/>
          <w:sz w:val="20"/>
          <w:szCs w:val="20"/>
        </w:rPr>
        <w:t xml:space="preserve"> </w:t>
      </w:r>
    </w:p>
    <w:p w14:paraId="07870925"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Global Data Lab, 2025. Subnational Human Development Index (SHDI) database: Cambodia. </w:t>
      </w:r>
      <w:hyperlink r:id="rId26" w:history="1">
        <w:r w:rsidRPr="00150993">
          <w:rPr>
            <w:rStyle w:val="Hyperlink"/>
            <w:rFonts w:ascii="Arial" w:hAnsi="Arial" w:cs="Arial"/>
            <w:sz w:val="20"/>
            <w:szCs w:val="20"/>
          </w:rPr>
          <w:t>https://globaldatalab.org/shdi/table/shdi/KHM/</w:t>
        </w:r>
      </w:hyperlink>
      <w:r w:rsidRPr="00150993">
        <w:rPr>
          <w:rFonts w:ascii="Arial" w:hAnsi="Arial" w:cs="Arial"/>
          <w:sz w:val="20"/>
          <w:szCs w:val="20"/>
        </w:rPr>
        <w:t xml:space="preserve"> </w:t>
      </w:r>
    </w:p>
    <w:p w14:paraId="6276966C"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Intergovernmental Panel on Climate Change, 2021–2022. Sixth Assessment Report (AR6): Regional fact sheets and WGII Chapter 10—Asia. </w:t>
      </w:r>
      <w:hyperlink r:id="rId27" w:history="1">
        <w:r w:rsidRPr="00150993">
          <w:rPr>
            <w:rStyle w:val="Hyperlink"/>
            <w:rFonts w:ascii="Arial" w:hAnsi="Arial" w:cs="Arial"/>
            <w:sz w:val="20"/>
            <w:szCs w:val="20"/>
          </w:rPr>
          <w:t>https://www.ipcc.ch/assessment-report/ar6/</w:t>
        </w:r>
      </w:hyperlink>
      <w:r w:rsidRPr="00150993">
        <w:rPr>
          <w:rFonts w:ascii="Arial" w:hAnsi="Arial" w:cs="Arial"/>
          <w:sz w:val="20"/>
          <w:szCs w:val="20"/>
        </w:rPr>
        <w:t xml:space="preserve"> </w:t>
      </w:r>
    </w:p>
    <w:p w14:paraId="7A75A019" w14:textId="77777777" w:rsidR="00F344D6" w:rsidRPr="00150993" w:rsidRDefault="00F344D6" w:rsidP="00100278">
      <w:pPr>
        <w:spacing w:after="120"/>
        <w:ind w:left="720" w:hanging="720"/>
        <w:rPr>
          <w:rFonts w:ascii="Arial" w:hAnsi="Arial" w:cs="Arial"/>
          <w:sz w:val="20"/>
          <w:szCs w:val="20"/>
        </w:rPr>
      </w:pPr>
      <w:r w:rsidRPr="00150993">
        <w:rPr>
          <w:rFonts w:ascii="Arial" w:hAnsi="Arial" w:cs="Arial"/>
          <w:sz w:val="20"/>
          <w:szCs w:val="20"/>
        </w:rPr>
        <w:t xml:space="preserve">Karamba, W., &amp; Tong, K., 2022. Cambodia poverty assessment: Toward a more inclusive and resilient Cambodia. Washington, DC: International Bank for Reconstruction and Development / The World Bank. </w:t>
      </w:r>
      <w:hyperlink r:id="rId28" w:history="1">
        <w:r w:rsidRPr="00150993">
          <w:rPr>
            <w:rStyle w:val="Hyperlink"/>
            <w:rFonts w:ascii="Arial" w:hAnsi="Arial" w:cs="Arial"/>
            <w:sz w:val="20"/>
            <w:szCs w:val="20"/>
          </w:rPr>
          <w:t>https://documents1.worldbank.org/curated/en/099155111222239793/pdf/P1735940c0e8b508d0b80e0c7375c89d9c0.pdf</w:t>
        </w:r>
      </w:hyperlink>
      <w:r w:rsidRPr="00150993">
        <w:rPr>
          <w:rFonts w:ascii="Arial" w:hAnsi="Arial" w:cs="Arial"/>
          <w:sz w:val="20"/>
          <w:szCs w:val="20"/>
        </w:rPr>
        <w:t xml:space="preserve"> </w:t>
      </w:r>
    </w:p>
    <w:p w14:paraId="0D8BCA62"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Mekong River Commission, 2019–2021. Drought and hydrology situation reports [Various issues]. </w:t>
      </w:r>
      <w:hyperlink r:id="rId29" w:history="1">
        <w:r w:rsidRPr="00150993">
          <w:rPr>
            <w:rStyle w:val="Hyperlink"/>
            <w:rFonts w:ascii="Arial" w:hAnsi="Arial" w:cs="Arial"/>
            <w:sz w:val="20"/>
            <w:szCs w:val="20"/>
          </w:rPr>
          <w:t>https://www.mrcmekong.org/</w:t>
        </w:r>
      </w:hyperlink>
      <w:r w:rsidRPr="00150993">
        <w:rPr>
          <w:rFonts w:ascii="Arial" w:hAnsi="Arial" w:cs="Arial"/>
          <w:sz w:val="20"/>
          <w:szCs w:val="20"/>
        </w:rPr>
        <w:t xml:space="preserve"> </w:t>
      </w:r>
    </w:p>
    <w:p w14:paraId="46DFC946"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Ministry of Environment (MoE) &amp; National Council for Sustainable Development (NCSD), 2022. Cambodia’s Third National Communication (under the United Nations Framework Convention on Climate Change). Phnom Penh: General Directorate of Policy and Strategy, MoE/NCSD. </w:t>
      </w:r>
      <w:hyperlink r:id="rId30" w:history="1">
        <w:r w:rsidRPr="00150993">
          <w:rPr>
            <w:rStyle w:val="Hyperlink"/>
            <w:rFonts w:ascii="Arial" w:hAnsi="Arial" w:cs="Arial"/>
            <w:sz w:val="20"/>
            <w:szCs w:val="20"/>
          </w:rPr>
          <w:t>https://unfccc.int/sites/default/files/resource/20220921_Third%20National%20Communication_Cambodia.pdf</w:t>
        </w:r>
      </w:hyperlink>
      <w:r w:rsidRPr="00150993">
        <w:rPr>
          <w:rFonts w:ascii="Arial" w:hAnsi="Arial" w:cs="Arial"/>
          <w:sz w:val="20"/>
          <w:szCs w:val="20"/>
        </w:rPr>
        <w:t xml:space="preserve"> </w:t>
      </w:r>
    </w:p>
    <w:p w14:paraId="12395AB3" w14:textId="77777777" w:rsidR="00F344D6" w:rsidRPr="00150993" w:rsidRDefault="00F344D6" w:rsidP="00100278">
      <w:pPr>
        <w:spacing w:after="120"/>
        <w:ind w:left="720" w:hanging="720"/>
        <w:rPr>
          <w:rFonts w:ascii="Arial" w:hAnsi="Arial" w:cs="Arial"/>
          <w:sz w:val="20"/>
          <w:szCs w:val="20"/>
        </w:rPr>
      </w:pPr>
      <w:r w:rsidRPr="00150993">
        <w:rPr>
          <w:rFonts w:ascii="Arial" w:hAnsi="Arial" w:cs="Arial"/>
          <w:sz w:val="20"/>
          <w:szCs w:val="20"/>
        </w:rPr>
        <w:t xml:space="preserve">Ministry of Planning (MoP), 2025. IDPoor public data query. </w:t>
      </w:r>
      <w:hyperlink r:id="rId31" w:history="1">
        <w:r w:rsidRPr="00150993">
          <w:rPr>
            <w:rStyle w:val="Hyperlink"/>
            <w:rFonts w:ascii="Arial" w:hAnsi="Arial" w:cs="Arial"/>
            <w:sz w:val="20"/>
            <w:szCs w:val="20"/>
          </w:rPr>
          <w:t>https://app.idpoor.gov.kh/public-data-query</w:t>
        </w:r>
      </w:hyperlink>
      <w:r w:rsidRPr="00150993">
        <w:rPr>
          <w:rFonts w:ascii="Arial" w:hAnsi="Arial" w:cs="Arial"/>
          <w:sz w:val="20"/>
          <w:szCs w:val="20"/>
        </w:rPr>
        <w:t xml:space="preserve"> </w:t>
      </w:r>
    </w:p>
    <w:p w14:paraId="3D593774"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National Institute of Statistics (NIS), 1998, 2008, 2019. General Population Census of Cambodia [Census rounds]. </w:t>
      </w:r>
      <w:hyperlink r:id="rId32" w:history="1">
        <w:r w:rsidRPr="00150993">
          <w:rPr>
            <w:rStyle w:val="Hyperlink"/>
            <w:rFonts w:ascii="Arial" w:hAnsi="Arial" w:cs="Arial"/>
            <w:sz w:val="20"/>
            <w:szCs w:val="20"/>
          </w:rPr>
          <w:t>https://nis.gov.kh/en/general-population-census-of-cambodia/</w:t>
        </w:r>
      </w:hyperlink>
      <w:r w:rsidRPr="00150993">
        <w:rPr>
          <w:rFonts w:ascii="Arial" w:hAnsi="Arial" w:cs="Arial"/>
          <w:sz w:val="20"/>
          <w:szCs w:val="20"/>
        </w:rPr>
        <w:t xml:space="preserve"> </w:t>
      </w:r>
    </w:p>
    <w:p w14:paraId="22B14059"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National Institute of Statistics (NIS), 2021. General Population Census of the Kingdom of Cambodia 2019: Final results. </w:t>
      </w:r>
      <w:hyperlink r:id="rId33" w:history="1">
        <w:r w:rsidRPr="00150993">
          <w:rPr>
            <w:rStyle w:val="Hyperlink"/>
            <w:rFonts w:ascii="Arial" w:hAnsi="Arial" w:cs="Arial"/>
            <w:sz w:val="20"/>
            <w:szCs w:val="20"/>
          </w:rPr>
          <w:t>https://www.nis.gov.kh/nis/Census2019/Final%20General%20Population%20Census%202019-English.pdf</w:t>
        </w:r>
      </w:hyperlink>
      <w:r w:rsidRPr="00150993">
        <w:rPr>
          <w:rFonts w:ascii="Arial" w:hAnsi="Arial" w:cs="Arial"/>
          <w:sz w:val="20"/>
          <w:szCs w:val="20"/>
        </w:rPr>
        <w:t xml:space="preserve"> </w:t>
      </w:r>
    </w:p>
    <w:p w14:paraId="04FE5CB2" w14:textId="77777777" w:rsidR="00F344D6" w:rsidRPr="00150993" w:rsidRDefault="00F344D6" w:rsidP="007A6E6D">
      <w:pPr>
        <w:spacing w:after="120"/>
        <w:ind w:left="720" w:hanging="720"/>
        <w:rPr>
          <w:rFonts w:ascii="Arial" w:hAnsi="Arial" w:cs="Arial"/>
          <w:sz w:val="20"/>
          <w:szCs w:val="20"/>
        </w:rPr>
      </w:pPr>
      <w:r w:rsidRPr="00150993">
        <w:rPr>
          <w:rFonts w:ascii="Arial" w:hAnsi="Arial" w:cs="Arial"/>
          <w:sz w:val="20"/>
          <w:szCs w:val="20"/>
        </w:rPr>
        <w:t>OPHI &amp; UNDP, 2024. Global Multidimensional Poverty Index (MPI) database (2021-2022), Table 5 Subnational Results MPI 2024</w:t>
      </w:r>
      <w:r w:rsidRPr="00150993">
        <w:rPr>
          <w:rFonts w:ascii="Arial" w:hAnsi="Arial" w:cs="Arial"/>
          <w:i/>
          <w:iCs/>
          <w:sz w:val="20"/>
          <w:szCs w:val="20"/>
        </w:rPr>
        <w:t xml:space="preserve">. </w:t>
      </w:r>
      <w:r w:rsidRPr="00150993">
        <w:rPr>
          <w:rFonts w:ascii="Arial" w:hAnsi="Arial" w:cs="Arial"/>
          <w:sz w:val="20"/>
          <w:szCs w:val="20"/>
        </w:rPr>
        <w:t xml:space="preserve"> Oxford Poverty &amp; Human Development Initiative and United Nations Development Programme. </w:t>
      </w:r>
      <w:hyperlink r:id="rId34" w:history="1">
        <w:r w:rsidRPr="00150993">
          <w:rPr>
            <w:rStyle w:val="Hyperlink"/>
            <w:rFonts w:ascii="Arial" w:hAnsi="Arial" w:cs="Arial"/>
            <w:sz w:val="20"/>
            <w:szCs w:val="20"/>
          </w:rPr>
          <w:t>https://ophi.org.uk/global-mpi/2024</w:t>
        </w:r>
      </w:hyperlink>
      <w:r w:rsidRPr="00150993">
        <w:rPr>
          <w:rFonts w:ascii="Arial" w:hAnsi="Arial" w:cs="Arial"/>
          <w:sz w:val="20"/>
          <w:szCs w:val="20"/>
        </w:rPr>
        <w:t xml:space="preserve"> </w:t>
      </w:r>
    </w:p>
    <w:p w14:paraId="2D36BB48"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Ouyang, Z., Fan, P., &amp; Chen, J, 2016. Urban built-up areas in transitional economies of Southeast Asia: Spatial extent and dynamics. Remote Sensing, 8(10), 819. </w:t>
      </w:r>
      <w:hyperlink r:id="rId35" w:history="1">
        <w:r w:rsidRPr="00150993">
          <w:rPr>
            <w:rStyle w:val="Hyperlink"/>
            <w:rFonts w:ascii="Arial" w:hAnsi="Arial" w:cs="Arial"/>
            <w:sz w:val="20"/>
            <w:szCs w:val="20"/>
          </w:rPr>
          <w:t>https://doi.org/10.3390/rs8100819</w:t>
        </w:r>
      </w:hyperlink>
      <w:r w:rsidRPr="00150993">
        <w:rPr>
          <w:rFonts w:ascii="Arial" w:hAnsi="Arial" w:cs="Arial"/>
          <w:sz w:val="20"/>
          <w:szCs w:val="20"/>
        </w:rPr>
        <w:t xml:space="preserve"> </w:t>
      </w:r>
    </w:p>
    <w:p w14:paraId="27BB8FDA" w14:textId="77777777" w:rsidR="00F344D6" w:rsidRPr="00150993" w:rsidRDefault="00F344D6" w:rsidP="00E2185E">
      <w:pPr>
        <w:spacing w:after="120"/>
        <w:ind w:left="720" w:hanging="720"/>
        <w:rPr>
          <w:rFonts w:ascii="Arial" w:hAnsi="Arial" w:cs="Arial"/>
          <w:sz w:val="20"/>
          <w:szCs w:val="20"/>
        </w:rPr>
      </w:pPr>
      <w:r w:rsidRPr="00150993">
        <w:rPr>
          <w:rFonts w:ascii="Arial" w:hAnsi="Arial" w:cs="Arial"/>
          <w:sz w:val="20"/>
          <w:szCs w:val="20"/>
        </w:rPr>
        <w:t xml:space="preserve">PEMSEA and Ministry of Environment (MoE), 2019. National State of Oceans and Coasts 2018: Blue Economy Growth of Cambodia. Partnerships in Environmental Management for the Seas of East Asia (PEMSEA), Quezon City, Philippines. 169 p. </w:t>
      </w:r>
      <w:hyperlink r:id="rId36" w:history="1">
        <w:r w:rsidRPr="00150993">
          <w:rPr>
            <w:rStyle w:val="Hyperlink"/>
            <w:rFonts w:ascii="Arial" w:hAnsi="Arial" w:cs="Arial"/>
            <w:sz w:val="20"/>
            <w:szCs w:val="20"/>
          </w:rPr>
          <w:t>https://www.pemsea.org/sites/default/files/2023-12/NSOC%20Cambodia%202018%20%28FINAL%29%2009092020.pdf</w:t>
        </w:r>
      </w:hyperlink>
      <w:r w:rsidRPr="00150993">
        <w:rPr>
          <w:rFonts w:ascii="Arial" w:hAnsi="Arial" w:cs="Arial"/>
          <w:sz w:val="20"/>
          <w:szCs w:val="20"/>
        </w:rPr>
        <w:t xml:space="preserve"> </w:t>
      </w:r>
    </w:p>
    <w:p w14:paraId="618A57BD" w14:textId="77777777" w:rsidR="00F344D6" w:rsidRPr="00150993" w:rsidRDefault="00F344D6" w:rsidP="005B5A7B">
      <w:pPr>
        <w:spacing w:after="120"/>
        <w:ind w:left="720" w:hanging="720"/>
        <w:rPr>
          <w:rFonts w:ascii="Arial" w:hAnsi="Arial" w:cs="Arial"/>
          <w:sz w:val="20"/>
          <w:szCs w:val="20"/>
        </w:rPr>
      </w:pPr>
      <w:r w:rsidRPr="00150993">
        <w:rPr>
          <w:rFonts w:ascii="Arial" w:hAnsi="Arial" w:cs="Arial"/>
          <w:sz w:val="20"/>
          <w:szCs w:val="20"/>
        </w:rPr>
        <w:t xml:space="preserve">Rawlins, M., Kornexl, W., Baral, S., Baromey, N., Martin, N., &amp; Ray, N., 2020. Enabling Ecotourism Development in Cambodia. World Bank: Washington, DC. </w:t>
      </w:r>
      <w:hyperlink r:id="rId37" w:history="1">
        <w:r w:rsidRPr="00150993">
          <w:rPr>
            <w:rStyle w:val="Hyperlink"/>
            <w:rFonts w:ascii="Arial" w:hAnsi="Arial" w:cs="Arial"/>
            <w:sz w:val="20"/>
            <w:szCs w:val="20"/>
          </w:rPr>
          <w:t>https://documents1.worldbank.org/curated/en/432031595575149623/pdf/Enabling-Ecotourism-Development-in-Cambodia.pdf</w:t>
        </w:r>
      </w:hyperlink>
      <w:r w:rsidRPr="00150993">
        <w:rPr>
          <w:rFonts w:ascii="Arial" w:hAnsi="Arial" w:cs="Arial"/>
          <w:sz w:val="20"/>
          <w:szCs w:val="20"/>
        </w:rPr>
        <w:t xml:space="preserve"> </w:t>
      </w:r>
    </w:p>
    <w:p w14:paraId="1354DAAF"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Royal Government of Cambodia (RGC), 2025. Cambodia’s Updated Nationally Determined Contribution (NDC 3.0). </w:t>
      </w:r>
      <w:hyperlink r:id="rId38" w:history="1">
        <w:r w:rsidRPr="00150993">
          <w:rPr>
            <w:rStyle w:val="Hyperlink"/>
            <w:rFonts w:ascii="Arial" w:hAnsi="Arial" w:cs="Arial"/>
            <w:sz w:val="20"/>
            <w:szCs w:val="20"/>
          </w:rPr>
          <w:t>https://unfccc.int/sites/default/files/2025-08/Cambodia-NDC%203.0_0.pdf</w:t>
        </w:r>
      </w:hyperlink>
      <w:r w:rsidRPr="00150993">
        <w:rPr>
          <w:rFonts w:ascii="Arial" w:hAnsi="Arial" w:cs="Arial"/>
          <w:sz w:val="20"/>
          <w:szCs w:val="20"/>
        </w:rPr>
        <w:t xml:space="preserve"> </w:t>
      </w:r>
    </w:p>
    <w:p w14:paraId="39562A11"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Royal Government of Cambodia &amp; JICA, 2023. Comprehensive Master Plan on Cambodia’s Intermodal Transport and Logistics System 2023–2033. </w:t>
      </w:r>
      <w:hyperlink r:id="rId39" w:history="1">
        <w:r w:rsidRPr="00150993">
          <w:rPr>
            <w:rStyle w:val="Hyperlink"/>
            <w:rFonts w:ascii="Arial" w:hAnsi="Arial" w:cs="Arial"/>
            <w:sz w:val="20"/>
            <w:szCs w:val="20"/>
          </w:rPr>
          <w:t>https://www.asean.or.jp/main-site/wp-content/uploads/2024/05/Master-Plan-on-Logistics-Development_AJC240520-.pdf</w:t>
        </w:r>
      </w:hyperlink>
      <w:r w:rsidRPr="00150993">
        <w:rPr>
          <w:rFonts w:ascii="Arial" w:hAnsi="Arial" w:cs="Arial"/>
          <w:sz w:val="20"/>
          <w:szCs w:val="20"/>
        </w:rPr>
        <w:t xml:space="preserve"> </w:t>
      </w:r>
    </w:p>
    <w:p w14:paraId="39989462"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Spalding, M. D., Burke, L., Wood, S. A., Ashpole, J., Hutchison, J., &amp; zu Ermgassen, P., 2017. Appendix A: Supplementary information for “Mapping the global value and distribution of coral reef tourism.” Marine Policy (supplementary material). </w:t>
      </w:r>
      <w:hyperlink r:id="rId40" w:history="1">
        <w:r w:rsidRPr="00150993">
          <w:rPr>
            <w:rStyle w:val="Hyperlink"/>
            <w:rFonts w:ascii="Arial" w:hAnsi="Arial" w:cs="Arial"/>
            <w:sz w:val="20"/>
            <w:szCs w:val="20"/>
          </w:rPr>
          <w:t>https://ars.els-cdn.com/content/image/1-s2.0-S0308597X17300635-mmc1.pdf</w:t>
        </w:r>
      </w:hyperlink>
      <w:r w:rsidRPr="00150993">
        <w:rPr>
          <w:rFonts w:ascii="Arial" w:hAnsi="Arial" w:cs="Arial"/>
          <w:sz w:val="20"/>
          <w:szCs w:val="20"/>
        </w:rPr>
        <w:t xml:space="preserve"> </w:t>
      </w:r>
    </w:p>
    <w:p w14:paraId="2D815503" w14:textId="77777777" w:rsidR="00F344D6" w:rsidRPr="00150993" w:rsidRDefault="00F344D6" w:rsidP="00F344D6">
      <w:pPr>
        <w:spacing w:after="120"/>
        <w:ind w:left="720" w:hanging="720"/>
        <w:rPr>
          <w:rFonts w:ascii="Arial" w:hAnsi="Arial" w:cs="Arial"/>
          <w:sz w:val="20"/>
          <w:szCs w:val="20"/>
        </w:rPr>
      </w:pPr>
      <w:r w:rsidRPr="00150993">
        <w:rPr>
          <w:rFonts w:ascii="Arial" w:hAnsi="Arial" w:cs="Arial"/>
          <w:sz w:val="20"/>
          <w:szCs w:val="20"/>
        </w:rPr>
        <w:t xml:space="preserve">UNDP, 2024. Human Development Report 2023/24: Statistical annex—Data center. </w:t>
      </w:r>
      <w:hyperlink r:id="rId41" w:history="1">
        <w:r w:rsidRPr="00150993">
          <w:rPr>
            <w:rStyle w:val="Hyperlink"/>
            <w:rFonts w:ascii="Arial" w:hAnsi="Arial" w:cs="Arial"/>
            <w:sz w:val="20"/>
            <w:szCs w:val="20"/>
          </w:rPr>
          <w:t>https://hdr.undp.org/data-center/documentation-and-downloads</w:t>
        </w:r>
      </w:hyperlink>
      <w:r w:rsidRPr="00150993">
        <w:rPr>
          <w:rFonts w:ascii="Arial" w:hAnsi="Arial" w:cs="Arial"/>
          <w:sz w:val="20"/>
          <w:szCs w:val="20"/>
        </w:rPr>
        <w:t xml:space="preserve"> </w:t>
      </w:r>
    </w:p>
    <w:p w14:paraId="55A70CA9"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UNDP, 2025. Infographics: Cambodia 2025 Human Development Status. </w:t>
      </w:r>
      <w:hyperlink r:id="rId42" w:history="1">
        <w:r w:rsidRPr="00150993">
          <w:rPr>
            <w:rStyle w:val="Hyperlink"/>
            <w:rFonts w:ascii="Arial" w:hAnsi="Arial" w:cs="Arial"/>
            <w:sz w:val="20"/>
            <w:szCs w:val="20"/>
          </w:rPr>
          <w:t>https://www.undp.org/cambodia/publications/infographics-cambodia-2025-human-development-status</w:t>
        </w:r>
      </w:hyperlink>
      <w:r w:rsidRPr="00150993">
        <w:rPr>
          <w:rFonts w:ascii="Arial" w:hAnsi="Arial" w:cs="Arial"/>
          <w:sz w:val="20"/>
          <w:szCs w:val="20"/>
        </w:rPr>
        <w:t xml:space="preserve"> </w:t>
      </w:r>
    </w:p>
    <w:p w14:paraId="049D8E8F"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UNIDO; Fisheries Administration, Ministry of Agriculture, Forestry and Fisheries (FiA-MAFF). (2015). Final report on marine fish value chains. Phnom Penh, Cambodia. </w:t>
      </w:r>
      <w:hyperlink r:id="rId43" w:history="1">
        <w:r w:rsidRPr="00150993">
          <w:rPr>
            <w:rStyle w:val="Hyperlink"/>
            <w:rFonts w:ascii="Arial" w:hAnsi="Arial" w:cs="Arial"/>
            <w:sz w:val="20"/>
            <w:szCs w:val="20"/>
          </w:rPr>
          <w:t>https://elibrary.maff.gov.kh/assets/files/books/559bdaa37b1204b52a75c8f5dc6f7e4d1700534779.pdf</w:t>
        </w:r>
      </w:hyperlink>
    </w:p>
    <w:p w14:paraId="2B72AB4A" w14:textId="77777777" w:rsidR="00F344D6" w:rsidRPr="00150993" w:rsidRDefault="00F344D6" w:rsidP="007A6E6D">
      <w:pPr>
        <w:spacing w:after="120"/>
        <w:ind w:left="720" w:hanging="720"/>
        <w:rPr>
          <w:rFonts w:ascii="Arial" w:hAnsi="Arial" w:cs="Arial"/>
          <w:sz w:val="20"/>
          <w:szCs w:val="20"/>
        </w:rPr>
      </w:pPr>
      <w:r w:rsidRPr="00150993">
        <w:rPr>
          <w:rFonts w:ascii="Arial" w:hAnsi="Arial" w:cs="Arial"/>
          <w:sz w:val="20"/>
          <w:szCs w:val="20"/>
        </w:rPr>
        <w:t xml:space="preserve">United Nations, Department of Economic and Social Affairs, Population Division, 2019. World Urbanization Prospects: The 2018 Revision – Urban and Rural Populations [dataset]. </w:t>
      </w:r>
      <w:hyperlink r:id="rId44" w:history="1">
        <w:r w:rsidRPr="00150993">
          <w:rPr>
            <w:rStyle w:val="Hyperlink"/>
            <w:rFonts w:ascii="Arial" w:hAnsi="Arial" w:cs="Arial"/>
            <w:sz w:val="20"/>
            <w:szCs w:val="20"/>
          </w:rPr>
          <w:t>https://population.un.org/wup/downloads?tab=Urban%20and%20Rural%20Populations</w:t>
        </w:r>
      </w:hyperlink>
      <w:r w:rsidRPr="00150993">
        <w:rPr>
          <w:rFonts w:ascii="Arial" w:hAnsi="Arial" w:cs="Arial"/>
          <w:sz w:val="20"/>
          <w:szCs w:val="20"/>
        </w:rPr>
        <w:t xml:space="preserve"> </w:t>
      </w:r>
    </w:p>
    <w:p w14:paraId="6921F738"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WHO/UNICEF Joint Monitoring Programme (JMP) for Water Supply, Sanitation and Hygiene. (n.d.). Country data: Cambodia. </w:t>
      </w:r>
      <w:hyperlink r:id="rId45" w:history="1">
        <w:r w:rsidRPr="00150993">
          <w:rPr>
            <w:rStyle w:val="Hyperlink"/>
            <w:rFonts w:ascii="Arial" w:hAnsi="Arial" w:cs="Arial"/>
            <w:sz w:val="20"/>
            <w:szCs w:val="20"/>
          </w:rPr>
          <w:t>https://washdata.org/data/home</w:t>
        </w:r>
      </w:hyperlink>
      <w:r w:rsidRPr="00150993">
        <w:rPr>
          <w:rFonts w:ascii="Arial" w:hAnsi="Arial" w:cs="Arial"/>
          <w:sz w:val="20"/>
          <w:szCs w:val="20"/>
        </w:rPr>
        <w:t xml:space="preserve"> </w:t>
      </w:r>
    </w:p>
    <w:p w14:paraId="5716082B" w14:textId="77777777" w:rsidR="00F344D6" w:rsidRPr="00150993" w:rsidRDefault="00F344D6" w:rsidP="007A6E6D">
      <w:pPr>
        <w:spacing w:after="120"/>
        <w:ind w:left="720" w:hanging="720"/>
        <w:rPr>
          <w:rFonts w:ascii="Arial" w:hAnsi="Arial" w:cs="Arial"/>
          <w:sz w:val="20"/>
          <w:szCs w:val="20"/>
        </w:rPr>
      </w:pPr>
      <w:r w:rsidRPr="00150993">
        <w:rPr>
          <w:rFonts w:ascii="Arial" w:hAnsi="Arial" w:cs="Arial"/>
          <w:sz w:val="20"/>
          <w:szCs w:val="20"/>
        </w:rPr>
        <w:t xml:space="preserve">World Bank, 2014. </w:t>
      </w:r>
      <w:r w:rsidRPr="00150993">
        <w:rPr>
          <w:rFonts w:ascii="Arial" w:hAnsi="Arial" w:cs="Arial"/>
          <w:i/>
          <w:iCs/>
          <w:sz w:val="20"/>
          <w:szCs w:val="20"/>
        </w:rPr>
        <w:t>Where have all the poor gone? Cambodia poverty assessment 2013</w:t>
      </w:r>
      <w:r w:rsidRPr="00150993">
        <w:rPr>
          <w:rFonts w:ascii="Arial" w:hAnsi="Arial" w:cs="Arial"/>
          <w:sz w:val="20"/>
          <w:szCs w:val="20"/>
        </w:rPr>
        <w:t xml:space="preserve">. World Bank. </w:t>
      </w:r>
      <w:hyperlink r:id="rId46" w:history="1">
        <w:r w:rsidRPr="00150993">
          <w:rPr>
            <w:rStyle w:val="Hyperlink"/>
            <w:rFonts w:ascii="Arial" w:hAnsi="Arial" w:cs="Arial"/>
            <w:sz w:val="20"/>
            <w:szCs w:val="20"/>
          </w:rPr>
          <w:t>https://documents.worldbank.org/</w:t>
        </w:r>
      </w:hyperlink>
    </w:p>
    <w:p w14:paraId="034437E3" w14:textId="77777777" w:rsidR="00F344D6" w:rsidRPr="00150993" w:rsidRDefault="00F344D6" w:rsidP="007A6E6D">
      <w:pPr>
        <w:spacing w:after="120"/>
        <w:ind w:left="720" w:hanging="720"/>
        <w:rPr>
          <w:rFonts w:ascii="Arial" w:hAnsi="Arial" w:cs="Arial"/>
          <w:sz w:val="20"/>
          <w:szCs w:val="20"/>
        </w:rPr>
      </w:pPr>
      <w:r w:rsidRPr="00150993">
        <w:rPr>
          <w:rFonts w:ascii="Arial" w:hAnsi="Arial" w:cs="Arial"/>
          <w:sz w:val="20"/>
          <w:szCs w:val="20"/>
        </w:rPr>
        <w:t xml:space="preserve">World Bank, 2022. </w:t>
      </w:r>
      <w:r w:rsidRPr="00150993">
        <w:rPr>
          <w:rFonts w:ascii="Arial" w:hAnsi="Arial" w:cs="Arial"/>
          <w:i/>
          <w:iCs/>
          <w:sz w:val="20"/>
          <w:szCs w:val="20"/>
        </w:rPr>
        <w:t>Cambodia Economic Update: Resilient development and social protection during COVID-19</w:t>
      </w:r>
      <w:r w:rsidRPr="00150993">
        <w:rPr>
          <w:rFonts w:ascii="Arial" w:hAnsi="Arial" w:cs="Arial"/>
          <w:sz w:val="20"/>
          <w:szCs w:val="20"/>
        </w:rPr>
        <w:t xml:space="preserve"> (June 2022). World Bank. </w:t>
      </w:r>
      <w:hyperlink r:id="rId47" w:tgtFrame="_new" w:history="1">
        <w:r w:rsidRPr="00150993">
          <w:rPr>
            <w:rFonts w:ascii="Arial" w:hAnsi="Arial" w:cs="Arial"/>
            <w:color w:val="0000FF"/>
            <w:sz w:val="20"/>
            <w:szCs w:val="20"/>
            <w:u w:val="single"/>
          </w:rPr>
          <w:t>https://www.worldbank.org/en/country/cambodia/publication/cambodia-economic-update</w:t>
        </w:r>
      </w:hyperlink>
    </w:p>
    <w:p w14:paraId="6B209FE8"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World Bank, 2023a. Building a blue economy roadmap for Cambodia. </w:t>
      </w:r>
      <w:hyperlink r:id="rId48" w:history="1">
        <w:r w:rsidRPr="00150993">
          <w:rPr>
            <w:rStyle w:val="Hyperlink"/>
            <w:rFonts w:ascii="Arial" w:hAnsi="Arial" w:cs="Arial"/>
            <w:sz w:val="20"/>
            <w:szCs w:val="20"/>
          </w:rPr>
          <w:t>https://documents1.worldbank.org/curated/en/099556207032341413/pdf/IDU00eec67aa0872b04096088cd02fda633553f1.pdf</w:t>
        </w:r>
      </w:hyperlink>
      <w:r w:rsidRPr="00150993">
        <w:rPr>
          <w:rFonts w:ascii="Arial" w:hAnsi="Arial" w:cs="Arial"/>
          <w:sz w:val="20"/>
          <w:szCs w:val="20"/>
        </w:rPr>
        <w:t xml:space="preserve"> </w:t>
      </w:r>
    </w:p>
    <w:p w14:paraId="5DA37A12"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World Bank, 2023b. Cambodia Country Climate and Development Report (CCDR). </w:t>
      </w:r>
      <w:hyperlink r:id="rId49" w:history="1">
        <w:r w:rsidRPr="00150993">
          <w:rPr>
            <w:rStyle w:val="Hyperlink"/>
            <w:rFonts w:ascii="Arial" w:hAnsi="Arial" w:cs="Arial"/>
            <w:sz w:val="20"/>
            <w:szCs w:val="20"/>
          </w:rPr>
          <w:t>https://documents1.worldbank.org/curated/en/099092823045083987/pdf/P17887106c6c2d0e909aa1090f3e10505c1.pdf</w:t>
        </w:r>
      </w:hyperlink>
      <w:r w:rsidRPr="00150993">
        <w:rPr>
          <w:rFonts w:ascii="Arial" w:hAnsi="Arial" w:cs="Arial"/>
          <w:sz w:val="20"/>
          <w:szCs w:val="20"/>
        </w:rPr>
        <w:t xml:space="preserve"> </w:t>
      </w:r>
    </w:p>
    <w:p w14:paraId="638EFFF2"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World Bank, 2025. World Development Indicators (WDI): </w:t>
      </w:r>
      <w:hyperlink r:id="rId50" w:history="1">
        <w:r w:rsidRPr="00150993">
          <w:rPr>
            <w:rStyle w:val="Hyperlink"/>
            <w:rFonts w:ascii="Arial" w:hAnsi="Arial" w:cs="Arial"/>
            <w:sz w:val="20"/>
            <w:szCs w:val="20"/>
          </w:rPr>
          <w:t>https://data.worldbank.org/</w:t>
        </w:r>
      </w:hyperlink>
      <w:r w:rsidRPr="00150993">
        <w:rPr>
          <w:rFonts w:ascii="Arial" w:hAnsi="Arial" w:cs="Arial"/>
          <w:sz w:val="20"/>
          <w:szCs w:val="20"/>
        </w:rPr>
        <w:t xml:space="preserve"> </w:t>
      </w:r>
    </w:p>
    <w:p w14:paraId="7FFDC6F8" w14:textId="77777777" w:rsidR="00F344D6" w:rsidRPr="00150993" w:rsidRDefault="00F344D6" w:rsidP="00F76C18">
      <w:pPr>
        <w:spacing w:after="120"/>
        <w:ind w:left="720" w:hanging="720"/>
        <w:rPr>
          <w:rFonts w:ascii="Arial" w:hAnsi="Arial" w:cs="Arial"/>
          <w:sz w:val="20"/>
          <w:szCs w:val="20"/>
        </w:rPr>
      </w:pPr>
      <w:r w:rsidRPr="00150993">
        <w:rPr>
          <w:rFonts w:ascii="Arial" w:hAnsi="Arial" w:cs="Arial"/>
          <w:sz w:val="20"/>
          <w:szCs w:val="20"/>
        </w:rPr>
        <w:t xml:space="preserve">World Bank. Climate Change Knowledge Portal: Cambodia country profile (including sea level). </w:t>
      </w:r>
      <w:hyperlink r:id="rId51" w:history="1">
        <w:r w:rsidRPr="00150993">
          <w:rPr>
            <w:rStyle w:val="Hyperlink"/>
            <w:rFonts w:ascii="Arial" w:hAnsi="Arial" w:cs="Arial"/>
            <w:sz w:val="20"/>
            <w:szCs w:val="20"/>
          </w:rPr>
          <w:t>https://climateknowledgeportal.worldbank.org/country/cambodia</w:t>
        </w:r>
      </w:hyperlink>
      <w:r w:rsidRPr="00150993">
        <w:rPr>
          <w:rFonts w:ascii="Arial" w:hAnsi="Arial" w:cs="Arial"/>
          <w:sz w:val="20"/>
          <w:szCs w:val="20"/>
        </w:rPr>
        <w:t xml:space="preserve"> </w:t>
      </w:r>
    </w:p>
    <w:p w14:paraId="45C7130D" w14:textId="77777777" w:rsidR="007A6E6D" w:rsidRPr="00150993" w:rsidRDefault="007A6E6D" w:rsidP="00E2185E">
      <w:pPr>
        <w:spacing w:after="120"/>
        <w:ind w:left="720" w:hanging="720"/>
        <w:rPr>
          <w:rFonts w:ascii="Arial" w:hAnsi="Arial" w:cs="Arial"/>
          <w:sz w:val="21"/>
          <w:szCs w:val="21"/>
        </w:rPr>
      </w:pPr>
    </w:p>
    <w:p w14:paraId="0132B66A" w14:textId="4AA2E207" w:rsidR="00EE4DAC" w:rsidRPr="00150993" w:rsidRDefault="00EE4DAC" w:rsidP="00B26F81">
      <w:pPr>
        <w:pStyle w:val="Heading2"/>
        <w:jc w:val="both"/>
        <w:rPr>
          <w:rFonts w:ascii="Arial" w:hAnsi="Arial" w:cs="Arial"/>
          <w:b/>
          <w:bCs/>
          <w:sz w:val="24"/>
          <w:szCs w:val="24"/>
        </w:rPr>
      </w:pPr>
      <w:r w:rsidRPr="00150993">
        <w:rPr>
          <w:rFonts w:ascii="Arial" w:hAnsi="Arial" w:cs="Arial"/>
          <w:sz w:val="24"/>
          <w:szCs w:val="24"/>
        </w:rPr>
        <w:br w:type="column"/>
      </w:r>
      <w:bookmarkStart w:id="81" w:name="_Toc213424670"/>
      <w:bookmarkStart w:id="82" w:name="_Toc217231533"/>
      <w:r w:rsidRPr="00150993">
        <w:rPr>
          <w:rFonts w:ascii="Arial" w:hAnsi="Arial" w:cs="Arial"/>
          <w:b/>
          <w:bCs/>
          <w:sz w:val="24"/>
          <w:szCs w:val="24"/>
        </w:rPr>
        <w:t>Annex</w:t>
      </w:r>
      <w:bookmarkEnd w:id="81"/>
      <w:r w:rsidR="00341CC0">
        <w:rPr>
          <w:rFonts w:ascii="Arial" w:hAnsi="Arial" w:cs="Arial"/>
          <w:b/>
          <w:bCs/>
          <w:sz w:val="24"/>
          <w:szCs w:val="24"/>
        </w:rPr>
        <w:t xml:space="preserve"> 2</w:t>
      </w:r>
      <w:bookmarkEnd w:id="82"/>
    </w:p>
    <w:sdt>
      <w:sdtPr>
        <w:rPr>
          <w:rFonts w:ascii="Times New Roman" w:eastAsia="Times New Roman" w:hAnsi="Times New Roman" w:cs="Times New Roman"/>
          <w:b w:val="0"/>
          <w:bCs w:val="0"/>
          <w:color w:val="auto"/>
          <w:sz w:val="24"/>
          <w:szCs w:val="24"/>
        </w:rPr>
        <w:id w:val="1133527389"/>
        <w:docPartObj>
          <w:docPartGallery w:val="Table of Contents"/>
          <w:docPartUnique/>
        </w:docPartObj>
      </w:sdtPr>
      <w:sdtEndPr>
        <w:rPr>
          <w:rFonts w:ascii="Arial" w:hAnsi="Arial" w:cs="Arial"/>
          <w:noProof/>
        </w:rPr>
      </w:sdtEndPr>
      <w:sdtContent>
        <w:p w14:paraId="44F58456" w14:textId="6EF10932" w:rsidR="005938F3" w:rsidRPr="00150993" w:rsidRDefault="005938F3" w:rsidP="009413E2">
          <w:pPr>
            <w:pStyle w:val="TOCHeading"/>
            <w:rPr>
              <w:rStyle w:val="Strong"/>
              <w:rFonts w:ascii="Arial" w:eastAsia="Times New Roman" w:hAnsi="Arial" w:cs="Arial"/>
              <w:b/>
              <w:bCs/>
              <w:i/>
              <w:iCs/>
              <w:color w:val="002060"/>
              <w:sz w:val="22"/>
              <w:szCs w:val="22"/>
            </w:rPr>
          </w:pPr>
          <w:r w:rsidRPr="00150993">
            <w:rPr>
              <w:rStyle w:val="Strong"/>
              <w:rFonts w:ascii="Arial" w:eastAsia="Times New Roman" w:hAnsi="Arial" w:cs="Arial"/>
              <w:b/>
              <w:bCs/>
              <w:i/>
              <w:iCs/>
              <w:color w:val="002060"/>
              <w:sz w:val="22"/>
              <w:szCs w:val="22"/>
            </w:rPr>
            <w:t>Table of Contents</w:t>
          </w:r>
        </w:p>
        <w:p w14:paraId="0ED5C297" w14:textId="582317A6" w:rsidR="00A31A71" w:rsidRDefault="005938F3">
          <w:pPr>
            <w:pStyle w:val="TOC1"/>
            <w:rPr>
              <w:rFonts w:eastAsiaTheme="minorEastAsia" w:cstheme="minorBidi"/>
              <w:b w:val="0"/>
              <w:bCs w:val="0"/>
              <w:i w:val="0"/>
              <w:iCs w:val="0"/>
              <w:noProof/>
              <w:kern w:val="2"/>
              <w14:ligatures w14:val="standardContextual"/>
            </w:rPr>
          </w:pPr>
          <w:r w:rsidRPr="006D15D1">
            <w:rPr>
              <w:rFonts w:ascii="Arial" w:hAnsi="Arial" w:cs="Arial"/>
            </w:rPr>
            <w:fldChar w:fldCharType="begin"/>
          </w:r>
          <w:r w:rsidRPr="006D15D1">
            <w:rPr>
              <w:rFonts w:ascii="Arial" w:hAnsi="Arial" w:cs="Arial"/>
            </w:rPr>
            <w:instrText xml:space="preserve"> TOC \o "1-3" \h \z \u </w:instrText>
          </w:r>
          <w:r w:rsidRPr="006D15D1">
            <w:rPr>
              <w:rFonts w:ascii="Arial" w:hAnsi="Arial" w:cs="Arial"/>
            </w:rPr>
            <w:fldChar w:fldCharType="separate"/>
          </w:r>
          <w:hyperlink w:anchor="_Toc217231512" w:history="1">
            <w:r w:rsidR="00A31A71" w:rsidRPr="00933016">
              <w:rPr>
                <w:rStyle w:val="Hyperlink"/>
                <w:noProof/>
              </w:rPr>
              <w:t>2 Socio-economics and Climate-related Threats</w:t>
            </w:r>
            <w:r w:rsidR="00A31A71">
              <w:rPr>
                <w:noProof/>
                <w:webHidden/>
              </w:rPr>
              <w:tab/>
            </w:r>
            <w:r w:rsidR="00A31A71">
              <w:rPr>
                <w:noProof/>
                <w:webHidden/>
              </w:rPr>
              <w:fldChar w:fldCharType="begin"/>
            </w:r>
            <w:r w:rsidR="00A31A71">
              <w:rPr>
                <w:noProof/>
                <w:webHidden/>
              </w:rPr>
              <w:instrText xml:space="preserve"> PAGEREF _Toc217231512 \h </w:instrText>
            </w:r>
            <w:r w:rsidR="00A31A71">
              <w:rPr>
                <w:noProof/>
                <w:webHidden/>
              </w:rPr>
            </w:r>
            <w:r w:rsidR="00A31A71">
              <w:rPr>
                <w:noProof/>
                <w:webHidden/>
              </w:rPr>
              <w:fldChar w:fldCharType="separate"/>
            </w:r>
            <w:r w:rsidR="005A16C1">
              <w:rPr>
                <w:noProof/>
                <w:webHidden/>
              </w:rPr>
              <w:t>1</w:t>
            </w:r>
            <w:r w:rsidR="00A31A71">
              <w:rPr>
                <w:noProof/>
                <w:webHidden/>
              </w:rPr>
              <w:fldChar w:fldCharType="end"/>
            </w:r>
          </w:hyperlink>
        </w:p>
        <w:p w14:paraId="3996D633" w14:textId="584C62B2"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13" w:history="1">
            <w:r w:rsidR="00A31A71" w:rsidRPr="00933016">
              <w:rPr>
                <w:rStyle w:val="Hyperlink"/>
                <w:rFonts w:ascii="Arial" w:hAnsi="Arial" w:cs="Arial"/>
                <w:noProof/>
              </w:rPr>
              <w:t>2.1 Key Findings</w:t>
            </w:r>
            <w:r w:rsidR="00A31A71">
              <w:rPr>
                <w:noProof/>
                <w:webHidden/>
              </w:rPr>
              <w:tab/>
            </w:r>
            <w:r w:rsidR="00A31A71">
              <w:rPr>
                <w:noProof/>
                <w:webHidden/>
              </w:rPr>
              <w:fldChar w:fldCharType="begin"/>
            </w:r>
            <w:r w:rsidR="00A31A71">
              <w:rPr>
                <w:noProof/>
                <w:webHidden/>
              </w:rPr>
              <w:instrText xml:space="preserve"> PAGEREF _Toc217231513 \h </w:instrText>
            </w:r>
            <w:r w:rsidR="00A31A71">
              <w:rPr>
                <w:noProof/>
                <w:webHidden/>
              </w:rPr>
            </w:r>
            <w:r w:rsidR="00A31A71">
              <w:rPr>
                <w:noProof/>
                <w:webHidden/>
              </w:rPr>
              <w:fldChar w:fldCharType="separate"/>
            </w:r>
            <w:r w:rsidR="005A16C1">
              <w:rPr>
                <w:noProof/>
                <w:webHidden/>
              </w:rPr>
              <w:t>1</w:t>
            </w:r>
            <w:r w:rsidR="00A31A71">
              <w:rPr>
                <w:noProof/>
                <w:webHidden/>
              </w:rPr>
              <w:fldChar w:fldCharType="end"/>
            </w:r>
          </w:hyperlink>
        </w:p>
        <w:p w14:paraId="6AA436F8" w14:textId="2DEEF850"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14" w:history="1">
            <w:r w:rsidR="00A31A71" w:rsidRPr="00933016">
              <w:rPr>
                <w:rStyle w:val="Hyperlink"/>
                <w:rFonts w:ascii="Arial" w:hAnsi="Arial" w:cs="Arial"/>
                <w:noProof/>
              </w:rPr>
              <w:t>2.2 Current Status</w:t>
            </w:r>
            <w:r w:rsidR="00A31A71">
              <w:rPr>
                <w:noProof/>
                <w:webHidden/>
              </w:rPr>
              <w:tab/>
            </w:r>
            <w:r w:rsidR="00A31A71">
              <w:rPr>
                <w:noProof/>
                <w:webHidden/>
              </w:rPr>
              <w:fldChar w:fldCharType="begin"/>
            </w:r>
            <w:r w:rsidR="00A31A71">
              <w:rPr>
                <w:noProof/>
                <w:webHidden/>
              </w:rPr>
              <w:instrText xml:space="preserve"> PAGEREF _Toc217231514 \h </w:instrText>
            </w:r>
            <w:r w:rsidR="00A31A71">
              <w:rPr>
                <w:noProof/>
                <w:webHidden/>
              </w:rPr>
            </w:r>
            <w:r w:rsidR="00A31A71">
              <w:rPr>
                <w:noProof/>
                <w:webHidden/>
              </w:rPr>
              <w:fldChar w:fldCharType="separate"/>
            </w:r>
            <w:r w:rsidR="005A16C1">
              <w:rPr>
                <w:noProof/>
                <w:webHidden/>
              </w:rPr>
              <w:t>2</w:t>
            </w:r>
            <w:r w:rsidR="00A31A71">
              <w:rPr>
                <w:noProof/>
                <w:webHidden/>
              </w:rPr>
              <w:fldChar w:fldCharType="end"/>
            </w:r>
          </w:hyperlink>
        </w:p>
        <w:p w14:paraId="38DDBD22" w14:textId="23EF1C6D"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15" w:history="1">
            <w:r w:rsidR="00A31A71" w:rsidRPr="00933016">
              <w:rPr>
                <w:rStyle w:val="Hyperlink"/>
                <w:rFonts w:ascii="Arial" w:hAnsi="Arial" w:cs="Arial"/>
                <w:b/>
                <w:bCs/>
                <w:noProof/>
              </w:rPr>
              <w:t>2.2.1 Demographics</w:t>
            </w:r>
            <w:r w:rsidR="00A31A71">
              <w:rPr>
                <w:noProof/>
                <w:webHidden/>
              </w:rPr>
              <w:tab/>
            </w:r>
            <w:r w:rsidR="00A31A71">
              <w:rPr>
                <w:noProof/>
                <w:webHidden/>
              </w:rPr>
              <w:fldChar w:fldCharType="begin"/>
            </w:r>
            <w:r w:rsidR="00A31A71">
              <w:rPr>
                <w:noProof/>
                <w:webHidden/>
              </w:rPr>
              <w:instrText xml:space="preserve"> PAGEREF _Toc217231515 \h </w:instrText>
            </w:r>
            <w:r w:rsidR="00A31A71">
              <w:rPr>
                <w:noProof/>
                <w:webHidden/>
              </w:rPr>
            </w:r>
            <w:r w:rsidR="00A31A71">
              <w:rPr>
                <w:noProof/>
                <w:webHidden/>
              </w:rPr>
              <w:fldChar w:fldCharType="separate"/>
            </w:r>
            <w:r w:rsidR="005A16C1">
              <w:rPr>
                <w:noProof/>
                <w:webHidden/>
              </w:rPr>
              <w:t>2</w:t>
            </w:r>
            <w:r w:rsidR="00A31A71">
              <w:rPr>
                <w:noProof/>
                <w:webHidden/>
              </w:rPr>
              <w:fldChar w:fldCharType="end"/>
            </w:r>
          </w:hyperlink>
        </w:p>
        <w:p w14:paraId="2DAD908D" w14:textId="696E8823"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16" w:history="1">
            <w:r w:rsidR="00A31A71" w:rsidRPr="00933016">
              <w:rPr>
                <w:rStyle w:val="Hyperlink"/>
                <w:rFonts w:ascii="Arial" w:hAnsi="Arial" w:cs="Arial"/>
                <w:b/>
                <w:bCs/>
                <w:noProof/>
              </w:rPr>
              <w:t>2.2.2 Human Wellbeing</w:t>
            </w:r>
            <w:r w:rsidR="00A31A71">
              <w:rPr>
                <w:noProof/>
                <w:webHidden/>
              </w:rPr>
              <w:tab/>
            </w:r>
            <w:r w:rsidR="00A31A71">
              <w:rPr>
                <w:noProof/>
                <w:webHidden/>
              </w:rPr>
              <w:fldChar w:fldCharType="begin"/>
            </w:r>
            <w:r w:rsidR="00A31A71">
              <w:rPr>
                <w:noProof/>
                <w:webHidden/>
              </w:rPr>
              <w:instrText xml:space="preserve"> PAGEREF _Toc217231516 \h </w:instrText>
            </w:r>
            <w:r w:rsidR="00A31A71">
              <w:rPr>
                <w:noProof/>
                <w:webHidden/>
              </w:rPr>
            </w:r>
            <w:r w:rsidR="00A31A71">
              <w:rPr>
                <w:noProof/>
                <w:webHidden/>
              </w:rPr>
              <w:fldChar w:fldCharType="separate"/>
            </w:r>
            <w:r w:rsidR="005A16C1">
              <w:rPr>
                <w:noProof/>
                <w:webHidden/>
              </w:rPr>
              <w:t>5</w:t>
            </w:r>
            <w:r w:rsidR="00A31A71">
              <w:rPr>
                <w:noProof/>
                <w:webHidden/>
              </w:rPr>
              <w:fldChar w:fldCharType="end"/>
            </w:r>
          </w:hyperlink>
        </w:p>
        <w:p w14:paraId="768F4AD5" w14:textId="7DA5F487"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17" w:history="1">
            <w:r w:rsidR="00A31A71" w:rsidRPr="00933016">
              <w:rPr>
                <w:rStyle w:val="Hyperlink"/>
                <w:rFonts w:ascii="Arial" w:hAnsi="Arial" w:cs="Arial"/>
                <w:b/>
                <w:bCs/>
                <w:noProof/>
              </w:rPr>
              <w:t>2.2.3 Economic Activities</w:t>
            </w:r>
            <w:r w:rsidR="00A31A71">
              <w:rPr>
                <w:noProof/>
                <w:webHidden/>
              </w:rPr>
              <w:tab/>
            </w:r>
            <w:r w:rsidR="00A31A71">
              <w:rPr>
                <w:noProof/>
                <w:webHidden/>
              </w:rPr>
              <w:fldChar w:fldCharType="begin"/>
            </w:r>
            <w:r w:rsidR="00A31A71">
              <w:rPr>
                <w:noProof/>
                <w:webHidden/>
              </w:rPr>
              <w:instrText xml:space="preserve"> PAGEREF _Toc217231517 \h </w:instrText>
            </w:r>
            <w:r w:rsidR="00A31A71">
              <w:rPr>
                <w:noProof/>
                <w:webHidden/>
              </w:rPr>
            </w:r>
            <w:r w:rsidR="00A31A71">
              <w:rPr>
                <w:noProof/>
                <w:webHidden/>
              </w:rPr>
              <w:fldChar w:fldCharType="separate"/>
            </w:r>
            <w:r w:rsidR="005A16C1">
              <w:rPr>
                <w:noProof/>
                <w:webHidden/>
              </w:rPr>
              <w:t>7</w:t>
            </w:r>
            <w:r w:rsidR="00A31A71">
              <w:rPr>
                <w:noProof/>
                <w:webHidden/>
              </w:rPr>
              <w:fldChar w:fldCharType="end"/>
            </w:r>
          </w:hyperlink>
        </w:p>
        <w:p w14:paraId="7236D6DF" w14:textId="1A5EA809"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18" w:history="1">
            <w:r w:rsidR="00A31A71" w:rsidRPr="00933016">
              <w:rPr>
                <w:rStyle w:val="Hyperlink"/>
                <w:rFonts w:ascii="Arial" w:hAnsi="Arial" w:cs="Arial"/>
                <w:b/>
                <w:bCs/>
                <w:noProof/>
              </w:rPr>
              <w:t>2.2.4 Climate-related Threats</w:t>
            </w:r>
            <w:r w:rsidR="00A31A71">
              <w:rPr>
                <w:noProof/>
                <w:webHidden/>
              </w:rPr>
              <w:tab/>
            </w:r>
            <w:r w:rsidR="00A31A71">
              <w:rPr>
                <w:noProof/>
                <w:webHidden/>
              </w:rPr>
              <w:fldChar w:fldCharType="begin"/>
            </w:r>
            <w:r w:rsidR="00A31A71">
              <w:rPr>
                <w:noProof/>
                <w:webHidden/>
              </w:rPr>
              <w:instrText xml:space="preserve"> PAGEREF _Toc217231518 \h </w:instrText>
            </w:r>
            <w:r w:rsidR="00A31A71">
              <w:rPr>
                <w:noProof/>
                <w:webHidden/>
              </w:rPr>
            </w:r>
            <w:r w:rsidR="00A31A71">
              <w:rPr>
                <w:noProof/>
                <w:webHidden/>
              </w:rPr>
              <w:fldChar w:fldCharType="separate"/>
            </w:r>
            <w:r w:rsidR="005A16C1">
              <w:rPr>
                <w:noProof/>
                <w:webHidden/>
              </w:rPr>
              <w:t>9</w:t>
            </w:r>
            <w:r w:rsidR="00A31A71">
              <w:rPr>
                <w:noProof/>
                <w:webHidden/>
              </w:rPr>
              <w:fldChar w:fldCharType="end"/>
            </w:r>
          </w:hyperlink>
        </w:p>
        <w:p w14:paraId="3CDE0ED7" w14:textId="77ACE3C8"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19" w:history="1">
            <w:r w:rsidR="00A31A71" w:rsidRPr="00933016">
              <w:rPr>
                <w:rStyle w:val="Hyperlink"/>
                <w:rFonts w:ascii="Arial" w:hAnsi="Arial" w:cs="Arial"/>
                <w:noProof/>
              </w:rPr>
              <w:t>2.3 Discussion and Conclusions</w:t>
            </w:r>
            <w:r w:rsidR="00A31A71">
              <w:rPr>
                <w:noProof/>
                <w:webHidden/>
              </w:rPr>
              <w:tab/>
            </w:r>
            <w:r w:rsidR="00A31A71">
              <w:rPr>
                <w:noProof/>
                <w:webHidden/>
              </w:rPr>
              <w:fldChar w:fldCharType="begin"/>
            </w:r>
            <w:r w:rsidR="00A31A71">
              <w:rPr>
                <w:noProof/>
                <w:webHidden/>
              </w:rPr>
              <w:instrText xml:space="preserve"> PAGEREF _Toc217231519 \h </w:instrText>
            </w:r>
            <w:r w:rsidR="00A31A71">
              <w:rPr>
                <w:noProof/>
                <w:webHidden/>
              </w:rPr>
            </w:r>
            <w:r w:rsidR="00A31A71">
              <w:rPr>
                <w:noProof/>
                <w:webHidden/>
              </w:rPr>
              <w:fldChar w:fldCharType="separate"/>
            </w:r>
            <w:r w:rsidR="005A16C1">
              <w:rPr>
                <w:noProof/>
                <w:webHidden/>
              </w:rPr>
              <w:t>11</w:t>
            </w:r>
            <w:r w:rsidR="00A31A71">
              <w:rPr>
                <w:noProof/>
                <w:webHidden/>
              </w:rPr>
              <w:fldChar w:fldCharType="end"/>
            </w:r>
          </w:hyperlink>
        </w:p>
        <w:p w14:paraId="2DEC2240" w14:textId="524838BC"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0" w:history="1">
            <w:r w:rsidR="00A31A71" w:rsidRPr="00933016">
              <w:rPr>
                <w:rStyle w:val="Hyperlink"/>
                <w:rFonts w:ascii="Arial" w:hAnsi="Arial" w:cs="Arial"/>
                <w:b/>
                <w:bCs/>
                <w:noProof/>
              </w:rPr>
              <w:t>2.3.1 Risk assessment from socioeconomic trends</w:t>
            </w:r>
            <w:r w:rsidR="00A31A71">
              <w:rPr>
                <w:noProof/>
                <w:webHidden/>
              </w:rPr>
              <w:tab/>
            </w:r>
            <w:r w:rsidR="00A31A71">
              <w:rPr>
                <w:noProof/>
                <w:webHidden/>
              </w:rPr>
              <w:fldChar w:fldCharType="begin"/>
            </w:r>
            <w:r w:rsidR="00A31A71">
              <w:rPr>
                <w:noProof/>
                <w:webHidden/>
              </w:rPr>
              <w:instrText xml:space="preserve"> PAGEREF _Toc217231520 \h </w:instrText>
            </w:r>
            <w:r w:rsidR="00A31A71">
              <w:rPr>
                <w:noProof/>
                <w:webHidden/>
              </w:rPr>
            </w:r>
            <w:r w:rsidR="00A31A71">
              <w:rPr>
                <w:noProof/>
                <w:webHidden/>
              </w:rPr>
              <w:fldChar w:fldCharType="separate"/>
            </w:r>
            <w:r w:rsidR="005A16C1">
              <w:rPr>
                <w:noProof/>
                <w:webHidden/>
              </w:rPr>
              <w:t>11</w:t>
            </w:r>
            <w:r w:rsidR="00A31A71">
              <w:rPr>
                <w:noProof/>
                <w:webHidden/>
              </w:rPr>
              <w:fldChar w:fldCharType="end"/>
            </w:r>
          </w:hyperlink>
        </w:p>
        <w:p w14:paraId="56EACA6A" w14:textId="4408D4F7"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1" w:history="1">
            <w:r w:rsidR="00A31A71" w:rsidRPr="00933016">
              <w:rPr>
                <w:rStyle w:val="Hyperlink"/>
                <w:rFonts w:ascii="Arial" w:hAnsi="Arial" w:cs="Arial"/>
                <w:b/>
                <w:bCs/>
                <w:noProof/>
              </w:rPr>
              <w:t>2.3.2 Risk assessment from climate- and environment-related threats</w:t>
            </w:r>
            <w:r w:rsidR="00A31A71">
              <w:rPr>
                <w:noProof/>
                <w:webHidden/>
              </w:rPr>
              <w:tab/>
            </w:r>
            <w:r w:rsidR="00A31A71">
              <w:rPr>
                <w:noProof/>
                <w:webHidden/>
              </w:rPr>
              <w:fldChar w:fldCharType="begin"/>
            </w:r>
            <w:r w:rsidR="00A31A71">
              <w:rPr>
                <w:noProof/>
                <w:webHidden/>
              </w:rPr>
              <w:instrText xml:space="preserve"> PAGEREF _Toc217231521 \h </w:instrText>
            </w:r>
            <w:r w:rsidR="00A31A71">
              <w:rPr>
                <w:noProof/>
                <w:webHidden/>
              </w:rPr>
            </w:r>
            <w:r w:rsidR="00A31A71">
              <w:rPr>
                <w:noProof/>
                <w:webHidden/>
              </w:rPr>
              <w:fldChar w:fldCharType="separate"/>
            </w:r>
            <w:r w:rsidR="005A16C1">
              <w:rPr>
                <w:noProof/>
                <w:webHidden/>
              </w:rPr>
              <w:t>12</w:t>
            </w:r>
            <w:r w:rsidR="00A31A71">
              <w:rPr>
                <w:noProof/>
                <w:webHidden/>
              </w:rPr>
              <w:fldChar w:fldCharType="end"/>
            </w:r>
          </w:hyperlink>
        </w:p>
        <w:p w14:paraId="08642432" w14:textId="7D63DC83"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2" w:history="1">
            <w:r w:rsidR="00A31A71" w:rsidRPr="00933016">
              <w:rPr>
                <w:rStyle w:val="Hyperlink"/>
                <w:rFonts w:ascii="Arial" w:hAnsi="Arial" w:cs="Arial"/>
                <w:b/>
                <w:bCs/>
                <w:noProof/>
              </w:rPr>
              <w:t>2.3.3 Mitigating socioeconomic vulnerability from climate</w:t>
            </w:r>
            <w:r w:rsidR="00A31A71" w:rsidRPr="00933016">
              <w:rPr>
                <w:rStyle w:val="Hyperlink"/>
                <w:rFonts w:ascii="Cambria Math" w:hAnsi="Cambria Math" w:cs="Cambria Math"/>
                <w:b/>
                <w:bCs/>
                <w:noProof/>
              </w:rPr>
              <w:t>‑</w:t>
            </w:r>
            <w:r w:rsidR="00A31A71" w:rsidRPr="00933016">
              <w:rPr>
                <w:rStyle w:val="Hyperlink"/>
                <w:rFonts w:ascii="Arial" w:hAnsi="Arial" w:cs="Arial"/>
                <w:b/>
                <w:bCs/>
                <w:noProof/>
              </w:rPr>
              <w:t>mediated environmental change – current actions and gaps</w:t>
            </w:r>
            <w:r w:rsidR="00A31A71">
              <w:rPr>
                <w:noProof/>
                <w:webHidden/>
              </w:rPr>
              <w:tab/>
            </w:r>
            <w:r w:rsidR="00A31A71">
              <w:rPr>
                <w:noProof/>
                <w:webHidden/>
              </w:rPr>
              <w:fldChar w:fldCharType="begin"/>
            </w:r>
            <w:r w:rsidR="00A31A71">
              <w:rPr>
                <w:noProof/>
                <w:webHidden/>
              </w:rPr>
              <w:instrText xml:space="preserve"> PAGEREF _Toc217231522 \h </w:instrText>
            </w:r>
            <w:r w:rsidR="00A31A71">
              <w:rPr>
                <w:noProof/>
                <w:webHidden/>
              </w:rPr>
            </w:r>
            <w:r w:rsidR="00A31A71">
              <w:rPr>
                <w:noProof/>
                <w:webHidden/>
              </w:rPr>
              <w:fldChar w:fldCharType="separate"/>
            </w:r>
            <w:r w:rsidR="005A16C1">
              <w:rPr>
                <w:noProof/>
                <w:webHidden/>
              </w:rPr>
              <w:t>12</w:t>
            </w:r>
            <w:r w:rsidR="00A31A71">
              <w:rPr>
                <w:noProof/>
                <w:webHidden/>
              </w:rPr>
              <w:fldChar w:fldCharType="end"/>
            </w:r>
          </w:hyperlink>
        </w:p>
        <w:p w14:paraId="04CD43EC" w14:textId="1C94AF88"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3" w:history="1">
            <w:r w:rsidR="00A31A71" w:rsidRPr="00933016">
              <w:rPr>
                <w:rStyle w:val="Hyperlink"/>
                <w:rFonts w:ascii="Arial" w:hAnsi="Arial" w:cs="Arial"/>
                <w:b/>
                <w:bCs/>
                <w:noProof/>
              </w:rPr>
              <w:t>2.3.4 Recommended priority actions, including regional cooperation</w:t>
            </w:r>
            <w:r w:rsidR="00A31A71">
              <w:rPr>
                <w:noProof/>
                <w:webHidden/>
              </w:rPr>
              <w:tab/>
            </w:r>
            <w:r w:rsidR="00A31A71">
              <w:rPr>
                <w:noProof/>
                <w:webHidden/>
              </w:rPr>
              <w:fldChar w:fldCharType="begin"/>
            </w:r>
            <w:r w:rsidR="00A31A71">
              <w:rPr>
                <w:noProof/>
                <w:webHidden/>
              </w:rPr>
              <w:instrText xml:space="preserve"> PAGEREF _Toc217231523 \h </w:instrText>
            </w:r>
            <w:r w:rsidR="00A31A71">
              <w:rPr>
                <w:noProof/>
                <w:webHidden/>
              </w:rPr>
            </w:r>
            <w:r w:rsidR="00A31A71">
              <w:rPr>
                <w:noProof/>
                <w:webHidden/>
              </w:rPr>
              <w:fldChar w:fldCharType="separate"/>
            </w:r>
            <w:r w:rsidR="005A16C1">
              <w:rPr>
                <w:noProof/>
                <w:webHidden/>
              </w:rPr>
              <w:t>14</w:t>
            </w:r>
            <w:r w:rsidR="00A31A71">
              <w:rPr>
                <w:noProof/>
                <w:webHidden/>
              </w:rPr>
              <w:fldChar w:fldCharType="end"/>
            </w:r>
          </w:hyperlink>
        </w:p>
        <w:p w14:paraId="51B35939" w14:textId="2699D516"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24" w:history="1">
            <w:r w:rsidR="00A31A71" w:rsidRPr="00933016">
              <w:rPr>
                <w:rStyle w:val="Hyperlink"/>
                <w:rFonts w:ascii="Arial" w:hAnsi="Arial" w:cs="Arial"/>
                <w:noProof/>
              </w:rPr>
              <w:t>2.4 Methodology and Analysis</w:t>
            </w:r>
            <w:r w:rsidR="00A31A71">
              <w:rPr>
                <w:noProof/>
                <w:webHidden/>
              </w:rPr>
              <w:tab/>
            </w:r>
            <w:r w:rsidR="00A31A71">
              <w:rPr>
                <w:noProof/>
                <w:webHidden/>
              </w:rPr>
              <w:fldChar w:fldCharType="begin"/>
            </w:r>
            <w:r w:rsidR="00A31A71">
              <w:rPr>
                <w:noProof/>
                <w:webHidden/>
              </w:rPr>
              <w:instrText xml:space="preserve"> PAGEREF _Toc217231524 \h </w:instrText>
            </w:r>
            <w:r w:rsidR="00A31A71">
              <w:rPr>
                <w:noProof/>
                <w:webHidden/>
              </w:rPr>
            </w:r>
            <w:r w:rsidR="00A31A71">
              <w:rPr>
                <w:noProof/>
                <w:webHidden/>
              </w:rPr>
              <w:fldChar w:fldCharType="separate"/>
            </w:r>
            <w:r w:rsidR="005A16C1">
              <w:rPr>
                <w:noProof/>
                <w:webHidden/>
              </w:rPr>
              <w:t>15</w:t>
            </w:r>
            <w:r w:rsidR="00A31A71">
              <w:rPr>
                <w:noProof/>
                <w:webHidden/>
              </w:rPr>
              <w:fldChar w:fldCharType="end"/>
            </w:r>
          </w:hyperlink>
        </w:p>
        <w:p w14:paraId="6872CB27" w14:textId="1D52DBF0"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5" w:history="1">
            <w:r w:rsidR="00A31A71" w:rsidRPr="00933016">
              <w:rPr>
                <w:rStyle w:val="Hyperlink"/>
                <w:rFonts w:ascii="Arial" w:hAnsi="Arial" w:cs="Arial"/>
                <w:b/>
                <w:bCs/>
                <w:noProof/>
              </w:rPr>
              <w:t>2.4.1 Overall Approach</w:t>
            </w:r>
            <w:r w:rsidR="00A31A71">
              <w:rPr>
                <w:noProof/>
                <w:webHidden/>
              </w:rPr>
              <w:tab/>
            </w:r>
            <w:r w:rsidR="00A31A71">
              <w:rPr>
                <w:noProof/>
                <w:webHidden/>
              </w:rPr>
              <w:fldChar w:fldCharType="begin"/>
            </w:r>
            <w:r w:rsidR="00A31A71">
              <w:rPr>
                <w:noProof/>
                <w:webHidden/>
              </w:rPr>
              <w:instrText xml:space="preserve"> PAGEREF _Toc217231525 \h </w:instrText>
            </w:r>
            <w:r w:rsidR="00A31A71">
              <w:rPr>
                <w:noProof/>
                <w:webHidden/>
              </w:rPr>
            </w:r>
            <w:r w:rsidR="00A31A71">
              <w:rPr>
                <w:noProof/>
                <w:webHidden/>
              </w:rPr>
              <w:fldChar w:fldCharType="separate"/>
            </w:r>
            <w:r w:rsidR="005A16C1">
              <w:rPr>
                <w:noProof/>
                <w:webHidden/>
              </w:rPr>
              <w:t>15</w:t>
            </w:r>
            <w:r w:rsidR="00A31A71">
              <w:rPr>
                <w:noProof/>
                <w:webHidden/>
              </w:rPr>
              <w:fldChar w:fldCharType="end"/>
            </w:r>
          </w:hyperlink>
        </w:p>
        <w:p w14:paraId="16E88324" w14:textId="4F36D91D"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6" w:history="1">
            <w:r w:rsidR="00A31A71" w:rsidRPr="00933016">
              <w:rPr>
                <w:rStyle w:val="Hyperlink"/>
                <w:rFonts w:ascii="Arial" w:hAnsi="Arial" w:cs="Arial"/>
                <w:b/>
                <w:bCs/>
                <w:noProof/>
              </w:rPr>
              <w:t>2.4.2 Spatial and temporal frame</w:t>
            </w:r>
            <w:r w:rsidR="00A31A71">
              <w:rPr>
                <w:noProof/>
                <w:webHidden/>
              </w:rPr>
              <w:tab/>
            </w:r>
            <w:r w:rsidR="00A31A71">
              <w:rPr>
                <w:noProof/>
                <w:webHidden/>
              </w:rPr>
              <w:fldChar w:fldCharType="begin"/>
            </w:r>
            <w:r w:rsidR="00A31A71">
              <w:rPr>
                <w:noProof/>
                <w:webHidden/>
              </w:rPr>
              <w:instrText xml:space="preserve"> PAGEREF _Toc217231526 \h </w:instrText>
            </w:r>
            <w:r w:rsidR="00A31A71">
              <w:rPr>
                <w:noProof/>
                <w:webHidden/>
              </w:rPr>
            </w:r>
            <w:r w:rsidR="00A31A71">
              <w:rPr>
                <w:noProof/>
                <w:webHidden/>
              </w:rPr>
              <w:fldChar w:fldCharType="separate"/>
            </w:r>
            <w:r w:rsidR="005A16C1">
              <w:rPr>
                <w:noProof/>
                <w:webHidden/>
              </w:rPr>
              <w:t>15</w:t>
            </w:r>
            <w:r w:rsidR="00A31A71">
              <w:rPr>
                <w:noProof/>
                <w:webHidden/>
              </w:rPr>
              <w:fldChar w:fldCharType="end"/>
            </w:r>
          </w:hyperlink>
        </w:p>
        <w:p w14:paraId="70FBCC19" w14:textId="16F46990"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7" w:history="1">
            <w:r w:rsidR="00A31A71" w:rsidRPr="00933016">
              <w:rPr>
                <w:rStyle w:val="Hyperlink"/>
                <w:rFonts w:ascii="Arial" w:hAnsi="Arial" w:cs="Arial"/>
                <w:b/>
                <w:bCs/>
                <w:noProof/>
              </w:rPr>
              <w:t>2.4.3 Data compilation and sources</w:t>
            </w:r>
            <w:r w:rsidR="00A31A71">
              <w:rPr>
                <w:noProof/>
                <w:webHidden/>
              </w:rPr>
              <w:tab/>
            </w:r>
            <w:r w:rsidR="00A31A71">
              <w:rPr>
                <w:noProof/>
                <w:webHidden/>
              </w:rPr>
              <w:fldChar w:fldCharType="begin"/>
            </w:r>
            <w:r w:rsidR="00A31A71">
              <w:rPr>
                <w:noProof/>
                <w:webHidden/>
              </w:rPr>
              <w:instrText xml:space="preserve"> PAGEREF _Toc217231527 \h </w:instrText>
            </w:r>
            <w:r w:rsidR="00A31A71">
              <w:rPr>
                <w:noProof/>
                <w:webHidden/>
              </w:rPr>
            </w:r>
            <w:r w:rsidR="00A31A71">
              <w:rPr>
                <w:noProof/>
                <w:webHidden/>
              </w:rPr>
              <w:fldChar w:fldCharType="separate"/>
            </w:r>
            <w:r w:rsidR="005A16C1">
              <w:rPr>
                <w:noProof/>
                <w:webHidden/>
              </w:rPr>
              <w:t>15</w:t>
            </w:r>
            <w:r w:rsidR="00A31A71">
              <w:rPr>
                <w:noProof/>
                <w:webHidden/>
              </w:rPr>
              <w:fldChar w:fldCharType="end"/>
            </w:r>
          </w:hyperlink>
        </w:p>
        <w:p w14:paraId="06D1DAFD" w14:textId="5FC1A2F2"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8" w:history="1">
            <w:r w:rsidR="00A31A71" w:rsidRPr="00933016">
              <w:rPr>
                <w:rStyle w:val="Hyperlink"/>
                <w:rFonts w:ascii="Arial" w:hAnsi="Arial" w:cs="Arial"/>
                <w:b/>
                <w:bCs/>
                <w:noProof/>
              </w:rPr>
              <w:t>2.4.4 Indicator construction and computation</w:t>
            </w:r>
            <w:r w:rsidR="00A31A71">
              <w:rPr>
                <w:noProof/>
                <w:webHidden/>
              </w:rPr>
              <w:tab/>
            </w:r>
            <w:r w:rsidR="00A31A71">
              <w:rPr>
                <w:noProof/>
                <w:webHidden/>
              </w:rPr>
              <w:fldChar w:fldCharType="begin"/>
            </w:r>
            <w:r w:rsidR="00A31A71">
              <w:rPr>
                <w:noProof/>
                <w:webHidden/>
              </w:rPr>
              <w:instrText xml:space="preserve"> PAGEREF _Toc217231528 \h </w:instrText>
            </w:r>
            <w:r w:rsidR="00A31A71">
              <w:rPr>
                <w:noProof/>
                <w:webHidden/>
              </w:rPr>
            </w:r>
            <w:r w:rsidR="00A31A71">
              <w:rPr>
                <w:noProof/>
                <w:webHidden/>
              </w:rPr>
              <w:fldChar w:fldCharType="separate"/>
            </w:r>
            <w:r w:rsidR="005A16C1">
              <w:rPr>
                <w:noProof/>
                <w:webHidden/>
              </w:rPr>
              <w:t>15</w:t>
            </w:r>
            <w:r w:rsidR="00A31A71">
              <w:rPr>
                <w:noProof/>
                <w:webHidden/>
              </w:rPr>
              <w:fldChar w:fldCharType="end"/>
            </w:r>
          </w:hyperlink>
        </w:p>
        <w:p w14:paraId="3BCAD1C9" w14:textId="4819B6F9" w:rsidR="00A31A71" w:rsidRDefault="00000000">
          <w:pPr>
            <w:pStyle w:val="TOC3"/>
            <w:tabs>
              <w:tab w:val="right" w:leader="dot" w:pos="9010"/>
            </w:tabs>
            <w:rPr>
              <w:rFonts w:eastAsiaTheme="minorEastAsia" w:cstheme="minorBidi"/>
              <w:noProof/>
              <w:kern w:val="2"/>
              <w:sz w:val="24"/>
              <w:szCs w:val="24"/>
              <w14:ligatures w14:val="standardContextual"/>
            </w:rPr>
          </w:pPr>
          <w:hyperlink w:anchor="_Toc217231529" w:history="1">
            <w:r w:rsidR="00A31A71" w:rsidRPr="00933016">
              <w:rPr>
                <w:rStyle w:val="Hyperlink"/>
                <w:rFonts w:ascii="Arial" w:hAnsi="Arial" w:cs="Arial"/>
                <w:b/>
                <w:bCs/>
                <w:noProof/>
              </w:rPr>
              <w:t>2.4.5 Quality assurance, triangulation and limitations</w:t>
            </w:r>
            <w:r w:rsidR="00A31A71">
              <w:rPr>
                <w:noProof/>
                <w:webHidden/>
              </w:rPr>
              <w:tab/>
            </w:r>
            <w:r w:rsidR="00A31A71">
              <w:rPr>
                <w:noProof/>
                <w:webHidden/>
              </w:rPr>
              <w:fldChar w:fldCharType="begin"/>
            </w:r>
            <w:r w:rsidR="00A31A71">
              <w:rPr>
                <w:noProof/>
                <w:webHidden/>
              </w:rPr>
              <w:instrText xml:space="preserve"> PAGEREF _Toc217231529 \h </w:instrText>
            </w:r>
            <w:r w:rsidR="00A31A71">
              <w:rPr>
                <w:noProof/>
                <w:webHidden/>
              </w:rPr>
            </w:r>
            <w:r w:rsidR="00A31A71">
              <w:rPr>
                <w:noProof/>
                <w:webHidden/>
              </w:rPr>
              <w:fldChar w:fldCharType="separate"/>
            </w:r>
            <w:r w:rsidR="005A16C1">
              <w:rPr>
                <w:noProof/>
                <w:webHidden/>
              </w:rPr>
              <w:t>15</w:t>
            </w:r>
            <w:r w:rsidR="00A31A71">
              <w:rPr>
                <w:noProof/>
                <w:webHidden/>
              </w:rPr>
              <w:fldChar w:fldCharType="end"/>
            </w:r>
          </w:hyperlink>
        </w:p>
        <w:p w14:paraId="6EDED67F" w14:textId="52E43D35"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30" w:history="1">
            <w:r w:rsidR="00A31A71" w:rsidRPr="00933016">
              <w:rPr>
                <w:rStyle w:val="Hyperlink"/>
                <w:rFonts w:ascii="Arial" w:hAnsi="Arial" w:cs="Arial"/>
                <w:noProof/>
              </w:rPr>
              <w:t>Glossary</w:t>
            </w:r>
            <w:r w:rsidR="00A31A71">
              <w:rPr>
                <w:noProof/>
                <w:webHidden/>
              </w:rPr>
              <w:tab/>
            </w:r>
            <w:r w:rsidR="00A31A71">
              <w:rPr>
                <w:noProof/>
                <w:webHidden/>
              </w:rPr>
              <w:fldChar w:fldCharType="begin"/>
            </w:r>
            <w:r w:rsidR="00A31A71">
              <w:rPr>
                <w:noProof/>
                <w:webHidden/>
              </w:rPr>
              <w:instrText xml:space="preserve"> PAGEREF _Toc217231530 \h </w:instrText>
            </w:r>
            <w:r w:rsidR="00A31A71">
              <w:rPr>
                <w:noProof/>
                <w:webHidden/>
              </w:rPr>
            </w:r>
            <w:r w:rsidR="00A31A71">
              <w:rPr>
                <w:noProof/>
                <w:webHidden/>
              </w:rPr>
              <w:fldChar w:fldCharType="separate"/>
            </w:r>
            <w:r w:rsidR="005A16C1">
              <w:rPr>
                <w:noProof/>
                <w:webHidden/>
              </w:rPr>
              <w:t>17</w:t>
            </w:r>
            <w:r w:rsidR="00A31A71">
              <w:rPr>
                <w:noProof/>
                <w:webHidden/>
              </w:rPr>
              <w:fldChar w:fldCharType="end"/>
            </w:r>
          </w:hyperlink>
        </w:p>
        <w:p w14:paraId="75D7B51A" w14:textId="22FCB75F"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31" w:history="1">
            <w:r w:rsidR="00A31A71" w:rsidRPr="00933016">
              <w:rPr>
                <w:rStyle w:val="Hyperlink"/>
                <w:rFonts w:ascii="Arial" w:hAnsi="Arial" w:cs="Arial"/>
                <w:noProof/>
              </w:rPr>
              <w:t>Funding Sources</w:t>
            </w:r>
            <w:r w:rsidR="00A31A71">
              <w:rPr>
                <w:noProof/>
                <w:webHidden/>
              </w:rPr>
              <w:tab/>
            </w:r>
            <w:r w:rsidR="00A31A71">
              <w:rPr>
                <w:noProof/>
                <w:webHidden/>
              </w:rPr>
              <w:fldChar w:fldCharType="begin"/>
            </w:r>
            <w:r w:rsidR="00A31A71">
              <w:rPr>
                <w:noProof/>
                <w:webHidden/>
              </w:rPr>
              <w:instrText xml:space="preserve"> PAGEREF _Toc217231531 \h </w:instrText>
            </w:r>
            <w:r w:rsidR="00A31A71">
              <w:rPr>
                <w:noProof/>
                <w:webHidden/>
              </w:rPr>
            </w:r>
            <w:r w:rsidR="00A31A71">
              <w:rPr>
                <w:noProof/>
                <w:webHidden/>
              </w:rPr>
              <w:fldChar w:fldCharType="separate"/>
            </w:r>
            <w:r w:rsidR="005A16C1">
              <w:rPr>
                <w:noProof/>
                <w:webHidden/>
              </w:rPr>
              <w:t>19</w:t>
            </w:r>
            <w:r w:rsidR="00A31A71">
              <w:rPr>
                <w:noProof/>
                <w:webHidden/>
              </w:rPr>
              <w:fldChar w:fldCharType="end"/>
            </w:r>
          </w:hyperlink>
        </w:p>
        <w:p w14:paraId="6F4BA718" w14:textId="0CF8842A"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32" w:history="1">
            <w:r w:rsidR="00A31A71" w:rsidRPr="00933016">
              <w:rPr>
                <w:rStyle w:val="Hyperlink"/>
                <w:rFonts w:ascii="Arial" w:hAnsi="Arial" w:cs="Arial"/>
                <w:noProof/>
              </w:rPr>
              <w:t>References</w:t>
            </w:r>
            <w:r w:rsidR="00A31A71">
              <w:rPr>
                <w:noProof/>
                <w:webHidden/>
              </w:rPr>
              <w:tab/>
            </w:r>
            <w:r w:rsidR="00A31A71">
              <w:rPr>
                <w:noProof/>
                <w:webHidden/>
              </w:rPr>
              <w:fldChar w:fldCharType="begin"/>
            </w:r>
            <w:r w:rsidR="00A31A71">
              <w:rPr>
                <w:noProof/>
                <w:webHidden/>
              </w:rPr>
              <w:instrText xml:space="preserve"> PAGEREF _Toc217231532 \h </w:instrText>
            </w:r>
            <w:r w:rsidR="00A31A71">
              <w:rPr>
                <w:noProof/>
                <w:webHidden/>
              </w:rPr>
            </w:r>
            <w:r w:rsidR="00A31A71">
              <w:rPr>
                <w:noProof/>
                <w:webHidden/>
              </w:rPr>
              <w:fldChar w:fldCharType="separate"/>
            </w:r>
            <w:r w:rsidR="005A16C1">
              <w:rPr>
                <w:noProof/>
                <w:webHidden/>
              </w:rPr>
              <w:t>20</w:t>
            </w:r>
            <w:r w:rsidR="00A31A71">
              <w:rPr>
                <w:noProof/>
                <w:webHidden/>
              </w:rPr>
              <w:fldChar w:fldCharType="end"/>
            </w:r>
          </w:hyperlink>
        </w:p>
        <w:p w14:paraId="44563F47" w14:textId="69061491" w:rsidR="00A31A71"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33" w:history="1">
            <w:r w:rsidR="00A31A71" w:rsidRPr="00933016">
              <w:rPr>
                <w:rStyle w:val="Hyperlink"/>
                <w:rFonts w:ascii="Arial" w:hAnsi="Arial" w:cs="Arial"/>
                <w:noProof/>
              </w:rPr>
              <w:t>Annex 2</w:t>
            </w:r>
            <w:r w:rsidR="00A31A71">
              <w:rPr>
                <w:noProof/>
                <w:webHidden/>
              </w:rPr>
              <w:tab/>
            </w:r>
            <w:r w:rsidR="00A31A71">
              <w:rPr>
                <w:noProof/>
                <w:webHidden/>
              </w:rPr>
              <w:fldChar w:fldCharType="begin"/>
            </w:r>
            <w:r w:rsidR="00A31A71">
              <w:rPr>
                <w:noProof/>
                <w:webHidden/>
              </w:rPr>
              <w:instrText xml:space="preserve"> PAGEREF _Toc217231533 \h </w:instrText>
            </w:r>
            <w:r w:rsidR="00A31A71">
              <w:rPr>
                <w:noProof/>
                <w:webHidden/>
              </w:rPr>
            </w:r>
            <w:r w:rsidR="00A31A71">
              <w:rPr>
                <w:noProof/>
                <w:webHidden/>
              </w:rPr>
              <w:fldChar w:fldCharType="separate"/>
            </w:r>
            <w:r w:rsidR="005A16C1">
              <w:rPr>
                <w:noProof/>
                <w:webHidden/>
              </w:rPr>
              <w:t>23</w:t>
            </w:r>
            <w:r w:rsidR="00A31A71">
              <w:rPr>
                <w:noProof/>
                <w:webHidden/>
              </w:rPr>
              <w:fldChar w:fldCharType="end"/>
            </w:r>
          </w:hyperlink>
        </w:p>
        <w:p w14:paraId="19E2BBCC" w14:textId="3BC64E80" w:rsidR="005938F3" w:rsidRPr="006D15D1" w:rsidRDefault="005938F3">
          <w:pPr>
            <w:rPr>
              <w:rFonts w:ascii="Arial" w:hAnsi="Arial" w:cs="Arial"/>
            </w:rPr>
          </w:pPr>
          <w:r w:rsidRPr="006D15D1">
            <w:rPr>
              <w:rFonts w:ascii="Arial" w:hAnsi="Arial" w:cs="Arial"/>
              <w:b/>
              <w:bCs/>
              <w:noProof/>
            </w:rPr>
            <w:fldChar w:fldCharType="end"/>
          </w:r>
        </w:p>
      </w:sdtContent>
    </w:sdt>
    <w:p w14:paraId="64BA2CB7" w14:textId="77777777" w:rsidR="00F1210A" w:rsidRPr="00150993" w:rsidRDefault="00F1210A" w:rsidP="005938F3">
      <w:pPr>
        <w:rPr>
          <w:rStyle w:val="Strong"/>
          <w:rFonts w:ascii="Arial" w:hAnsi="Arial" w:cs="Arial"/>
          <w:i/>
          <w:iCs/>
          <w:color w:val="002060"/>
          <w:sz w:val="22"/>
          <w:szCs w:val="22"/>
        </w:rPr>
      </w:pPr>
    </w:p>
    <w:p w14:paraId="495C914B" w14:textId="7C31BC18" w:rsidR="005938F3" w:rsidRPr="006D15D1" w:rsidRDefault="005938F3" w:rsidP="006D15D1">
      <w:pPr>
        <w:spacing w:before="240" w:after="240"/>
        <w:rPr>
          <w:rStyle w:val="Strong"/>
          <w:rFonts w:ascii="Arial" w:hAnsi="Arial" w:cs="Arial"/>
          <w:i/>
          <w:iCs/>
          <w:color w:val="002060"/>
          <w:sz w:val="22"/>
          <w:szCs w:val="22"/>
        </w:rPr>
      </w:pPr>
      <w:r w:rsidRPr="006D15D1">
        <w:rPr>
          <w:rStyle w:val="Strong"/>
          <w:rFonts w:ascii="Arial" w:hAnsi="Arial" w:cs="Arial"/>
          <w:i/>
          <w:iCs/>
          <w:color w:val="002060"/>
          <w:sz w:val="22"/>
          <w:szCs w:val="22"/>
        </w:rPr>
        <w:t>List of Figures</w:t>
      </w:r>
    </w:p>
    <w:p w14:paraId="789D6A7E" w14:textId="7C39D7AF" w:rsidR="006D15D1" w:rsidRPr="006D15D1" w:rsidRDefault="00F1210A">
      <w:pPr>
        <w:pStyle w:val="TableofFigures"/>
        <w:tabs>
          <w:tab w:val="right" w:leader="dot" w:pos="9010"/>
        </w:tabs>
        <w:rPr>
          <w:rFonts w:asciiTheme="minorHAnsi" w:eastAsiaTheme="minorEastAsia" w:hAnsiTheme="minorHAnsi" w:cstheme="minorBidi"/>
          <w:noProof/>
          <w:kern w:val="2"/>
          <w:sz w:val="22"/>
          <w:szCs w:val="22"/>
          <w14:ligatures w14:val="standardContextual"/>
        </w:rPr>
      </w:pPr>
      <w:r w:rsidRPr="006D15D1">
        <w:rPr>
          <w:rStyle w:val="Strong"/>
          <w:rFonts w:ascii="Arial" w:eastAsiaTheme="majorEastAsia" w:hAnsi="Arial" w:cs="Arial"/>
          <w:i/>
          <w:iCs/>
          <w:color w:val="002060"/>
          <w:sz w:val="22"/>
          <w:szCs w:val="22"/>
        </w:rPr>
        <w:fldChar w:fldCharType="begin"/>
      </w:r>
      <w:r w:rsidRPr="006D15D1">
        <w:rPr>
          <w:rStyle w:val="Strong"/>
          <w:rFonts w:ascii="Arial" w:eastAsiaTheme="majorEastAsia" w:hAnsi="Arial" w:cs="Arial"/>
          <w:i/>
          <w:iCs/>
          <w:color w:val="002060"/>
          <w:sz w:val="22"/>
          <w:szCs w:val="22"/>
        </w:rPr>
        <w:instrText xml:space="preserve"> TOC \h \z \c "Figure 2-" </w:instrText>
      </w:r>
      <w:r w:rsidRPr="006D15D1">
        <w:rPr>
          <w:rStyle w:val="Strong"/>
          <w:rFonts w:ascii="Arial" w:eastAsiaTheme="majorEastAsia" w:hAnsi="Arial" w:cs="Arial"/>
          <w:i/>
          <w:iCs/>
          <w:color w:val="002060"/>
          <w:sz w:val="22"/>
          <w:szCs w:val="22"/>
        </w:rPr>
        <w:fldChar w:fldCharType="separate"/>
      </w:r>
      <w:hyperlink w:anchor="_Toc215219050" w:history="1">
        <w:r w:rsidR="006D15D1" w:rsidRPr="006D15D1">
          <w:rPr>
            <w:rStyle w:val="Hyperlink"/>
            <w:rFonts w:ascii="Arial" w:eastAsiaTheme="majorEastAsia" w:hAnsi="Arial" w:cs="Arial"/>
            <w:noProof/>
            <w:sz w:val="22"/>
            <w:szCs w:val="22"/>
          </w:rPr>
          <w:t>Figure 2-1 Cambodia’s national population and projections (1998–2048)</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_Toc215219050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2</w:t>
        </w:r>
        <w:r w:rsidR="006D15D1" w:rsidRPr="006D15D1">
          <w:rPr>
            <w:noProof/>
            <w:webHidden/>
            <w:sz w:val="22"/>
            <w:szCs w:val="22"/>
          </w:rPr>
          <w:fldChar w:fldCharType="end"/>
        </w:r>
      </w:hyperlink>
    </w:p>
    <w:p w14:paraId="4A0B6001" w14:textId="703BF117"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1" w:history="1">
        <w:r w:rsidR="006D15D1" w:rsidRPr="006D15D1">
          <w:rPr>
            <w:rStyle w:val="Hyperlink"/>
            <w:rFonts w:ascii="Arial" w:eastAsiaTheme="majorEastAsia" w:hAnsi="Arial" w:cs="Arial"/>
            <w:noProof/>
            <w:sz w:val="22"/>
            <w:szCs w:val="22"/>
          </w:rPr>
          <w:t>Figure 2-2 Coastal population and share of national total (1998–2019)</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_Toc215219051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2</w:t>
        </w:r>
        <w:r w:rsidR="006D15D1" w:rsidRPr="006D15D1">
          <w:rPr>
            <w:noProof/>
            <w:webHidden/>
            <w:sz w:val="22"/>
            <w:szCs w:val="22"/>
          </w:rPr>
          <w:fldChar w:fldCharType="end"/>
        </w:r>
      </w:hyperlink>
    </w:p>
    <w:p w14:paraId="316EE67F" w14:textId="0E3BD730"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2" w:history="1">
        <w:r w:rsidR="006D15D1" w:rsidRPr="006D15D1">
          <w:rPr>
            <w:rStyle w:val="Hyperlink"/>
            <w:rFonts w:ascii="Arial" w:eastAsiaTheme="majorEastAsia" w:hAnsi="Arial" w:cs="Arial"/>
            <w:noProof/>
            <w:sz w:val="22"/>
            <w:szCs w:val="22"/>
          </w:rPr>
          <w:t>Figure 2-3 Coastal provinces – population and households (1998–2019)</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_Toc215219052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3</w:t>
        </w:r>
        <w:r w:rsidR="006D15D1" w:rsidRPr="006D15D1">
          <w:rPr>
            <w:noProof/>
            <w:webHidden/>
            <w:sz w:val="22"/>
            <w:szCs w:val="22"/>
          </w:rPr>
          <w:fldChar w:fldCharType="end"/>
        </w:r>
      </w:hyperlink>
    </w:p>
    <w:p w14:paraId="068D71B4" w14:textId="295D2128"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3" w:history="1">
        <w:r w:rsidR="006D15D1" w:rsidRPr="006D15D1">
          <w:rPr>
            <w:rStyle w:val="Hyperlink"/>
            <w:rFonts w:ascii="Arial" w:eastAsiaTheme="majorEastAsia" w:hAnsi="Arial" w:cs="Arial"/>
            <w:noProof/>
            <w:sz w:val="22"/>
            <w:szCs w:val="22"/>
          </w:rPr>
          <w:t>Figure 2-4 Census-based urban and rural shares – Cambodia (1998-2019)</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_Toc215219053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4</w:t>
        </w:r>
        <w:r w:rsidR="006D15D1" w:rsidRPr="006D15D1">
          <w:rPr>
            <w:noProof/>
            <w:webHidden/>
            <w:sz w:val="22"/>
            <w:szCs w:val="22"/>
          </w:rPr>
          <w:fldChar w:fldCharType="end"/>
        </w:r>
      </w:hyperlink>
    </w:p>
    <w:p w14:paraId="7B4FB884" w14:textId="13100245"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4" w:history="1">
        <w:r w:rsidR="006D15D1" w:rsidRPr="006D15D1">
          <w:rPr>
            <w:rStyle w:val="Hyperlink"/>
            <w:rFonts w:ascii="Arial" w:eastAsiaTheme="majorEastAsia" w:hAnsi="Arial" w:cs="Arial"/>
            <w:noProof/>
            <w:sz w:val="22"/>
            <w:szCs w:val="22"/>
          </w:rPr>
          <w:t>Figure 2-5 Poor rate by person and household (national vs coastal provinces)</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_Toc215219054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5</w:t>
        </w:r>
        <w:r w:rsidR="006D15D1" w:rsidRPr="006D15D1">
          <w:rPr>
            <w:noProof/>
            <w:webHidden/>
            <w:sz w:val="22"/>
            <w:szCs w:val="22"/>
          </w:rPr>
          <w:fldChar w:fldCharType="end"/>
        </w:r>
      </w:hyperlink>
    </w:p>
    <w:p w14:paraId="3C668DA6" w14:textId="2774BE3C"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5" w:history="1">
        <w:r w:rsidR="006D15D1" w:rsidRPr="006D15D1">
          <w:rPr>
            <w:rStyle w:val="Hyperlink"/>
            <w:rFonts w:ascii="Arial" w:eastAsiaTheme="majorEastAsia" w:hAnsi="Arial" w:cs="Arial"/>
            <w:noProof/>
            <w:sz w:val="22"/>
            <w:szCs w:val="22"/>
          </w:rPr>
          <w:t>Figure 2-6 Cambodia Human Development Index (HDI) 1990-2023</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_Toc215219055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6</w:t>
        </w:r>
        <w:r w:rsidR="006D15D1" w:rsidRPr="006D15D1">
          <w:rPr>
            <w:noProof/>
            <w:webHidden/>
            <w:sz w:val="22"/>
            <w:szCs w:val="22"/>
          </w:rPr>
          <w:fldChar w:fldCharType="end"/>
        </w:r>
      </w:hyperlink>
    </w:p>
    <w:p w14:paraId="4554F026" w14:textId="1BB1561D"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6" w:history="1">
        <w:r w:rsidR="006D15D1" w:rsidRPr="006D15D1">
          <w:rPr>
            <w:rStyle w:val="Hyperlink"/>
            <w:rFonts w:ascii="Arial" w:eastAsiaTheme="majorEastAsia" w:hAnsi="Arial" w:cs="Arial"/>
            <w:noProof/>
            <w:sz w:val="22"/>
            <w:szCs w:val="22"/>
          </w:rPr>
          <w:t>Figure 2-7 Subnational Human Development Index (HDI)-Cambodia 1990-2023</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_Toc215219056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7</w:t>
        </w:r>
        <w:r w:rsidR="006D15D1" w:rsidRPr="006D15D1">
          <w:rPr>
            <w:noProof/>
            <w:webHidden/>
            <w:sz w:val="22"/>
            <w:szCs w:val="22"/>
          </w:rPr>
          <w:fldChar w:fldCharType="end"/>
        </w:r>
      </w:hyperlink>
    </w:p>
    <w:p w14:paraId="668DA949" w14:textId="5161717B"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7" w:history="1">
        <w:r w:rsidR="006D15D1" w:rsidRPr="006D15D1">
          <w:rPr>
            <w:rStyle w:val="Hyperlink"/>
            <w:rFonts w:ascii="Arial" w:eastAsiaTheme="majorEastAsia" w:hAnsi="Arial" w:cs="Arial"/>
            <w:noProof/>
            <w:sz w:val="22"/>
            <w:szCs w:val="22"/>
          </w:rPr>
          <w:t>Figure 2-8 Cambodia GDP per Capita (Current US$ vs Constant 2015 US$) 1995-2024</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_Toc215219057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8</w:t>
        </w:r>
        <w:r w:rsidR="006D15D1" w:rsidRPr="006D15D1">
          <w:rPr>
            <w:noProof/>
            <w:webHidden/>
            <w:sz w:val="22"/>
            <w:szCs w:val="22"/>
          </w:rPr>
          <w:fldChar w:fldCharType="end"/>
        </w:r>
      </w:hyperlink>
    </w:p>
    <w:p w14:paraId="7E561907" w14:textId="63A43A4C" w:rsidR="005938F3" w:rsidRPr="00150993" w:rsidRDefault="00F1210A" w:rsidP="00F1210A">
      <w:pPr>
        <w:rPr>
          <w:rStyle w:val="Strong"/>
          <w:rFonts w:ascii="Arial" w:eastAsiaTheme="majorEastAsia" w:hAnsi="Arial" w:cs="Arial"/>
          <w:i/>
          <w:iCs/>
          <w:color w:val="002060"/>
          <w:sz w:val="22"/>
          <w:szCs w:val="22"/>
        </w:rPr>
      </w:pPr>
      <w:r w:rsidRPr="006D15D1">
        <w:rPr>
          <w:rStyle w:val="Strong"/>
          <w:rFonts w:ascii="Arial" w:eastAsiaTheme="majorEastAsia" w:hAnsi="Arial" w:cs="Arial"/>
          <w:i/>
          <w:iCs/>
          <w:color w:val="002060"/>
          <w:sz w:val="22"/>
          <w:szCs w:val="22"/>
        </w:rPr>
        <w:fldChar w:fldCharType="end"/>
      </w:r>
    </w:p>
    <w:p w14:paraId="0C2AC496" w14:textId="65413EC0" w:rsidR="00F1210A" w:rsidRPr="00150993" w:rsidRDefault="00F1210A" w:rsidP="006D15D1">
      <w:pPr>
        <w:spacing w:before="240" w:after="240"/>
        <w:rPr>
          <w:rStyle w:val="Strong"/>
          <w:rFonts w:ascii="Arial" w:eastAsiaTheme="majorEastAsia" w:hAnsi="Arial" w:cs="Arial"/>
          <w:i/>
          <w:iCs/>
          <w:color w:val="002060"/>
          <w:sz w:val="22"/>
          <w:szCs w:val="22"/>
        </w:rPr>
      </w:pPr>
      <w:r w:rsidRPr="00150993">
        <w:rPr>
          <w:rStyle w:val="Strong"/>
          <w:rFonts w:ascii="Arial" w:eastAsiaTheme="majorEastAsia" w:hAnsi="Arial" w:cs="Arial"/>
          <w:i/>
          <w:iCs/>
          <w:color w:val="002060"/>
          <w:sz w:val="22"/>
          <w:szCs w:val="22"/>
        </w:rPr>
        <w:t>List of Table</w:t>
      </w:r>
      <w:r w:rsidR="00341CC0">
        <w:rPr>
          <w:rStyle w:val="Strong"/>
          <w:rFonts w:ascii="Arial" w:eastAsiaTheme="majorEastAsia" w:hAnsi="Arial" w:cs="Arial"/>
          <w:i/>
          <w:iCs/>
          <w:color w:val="002060"/>
          <w:sz w:val="22"/>
          <w:szCs w:val="22"/>
        </w:rPr>
        <w:t>s</w:t>
      </w:r>
    </w:p>
    <w:p w14:paraId="37AFA67C" w14:textId="3D95D8F1" w:rsidR="006D15D1" w:rsidRPr="006D15D1" w:rsidRDefault="00F1210A">
      <w:pPr>
        <w:pStyle w:val="TableofFigures"/>
        <w:tabs>
          <w:tab w:val="right" w:leader="dot" w:pos="9010"/>
        </w:tabs>
        <w:rPr>
          <w:rFonts w:asciiTheme="minorHAnsi" w:eastAsiaTheme="minorEastAsia" w:hAnsiTheme="minorHAnsi" w:cstheme="minorBidi"/>
          <w:noProof/>
          <w:kern w:val="2"/>
          <w:sz w:val="22"/>
          <w:szCs w:val="22"/>
          <w14:ligatures w14:val="standardContextual"/>
        </w:rPr>
      </w:pPr>
      <w:r w:rsidRPr="006D15D1">
        <w:rPr>
          <w:rStyle w:val="Strong"/>
          <w:rFonts w:ascii="Arial" w:eastAsiaTheme="majorEastAsia" w:hAnsi="Arial" w:cs="Arial"/>
          <w:i/>
          <w:iCs/>
          <w:color w:val="002060"/>
          <w:sz w:val="22"/>
          <w:szCs w:val="22"/>
        </w:rPr>
        <w:fldChar w:fldCharType="begin"/>
      </w:r>
      <w:r w:rsidRPr="006D15D1">
        <w:rPr>
          <w:rStyle w:val="Strong"/>
          <w:rFonts w:ascii="Arial" w:eastAsiaTheme="majorEastAsia" w:hAnsi="Arial" w:cs="Arial"/>
          <w:i/>
          <w:iCs/>
          <w:color w:val="002060"/>
          <w:sz w:val="22"/>
          <w:szCs w:val="22"/>
        </w:rPr>
        <w:instrText xml:space="preserve"> TOC \h \z \c "Table 2-" </w:instrText>
      </w:r>
      <w:r w:rsidRPr="006D15D1">
        <w:rPr>
          <w:rStyle w:val="Strong"/>
          <w:rFonts w:ascii="Arial" w:eastAsiaTheme="majorEastAsia" w:hAnsi="Arial" w:cs="Arial"/>
          <w:i/>
          <w:iCs/>
          <w:color w:val="002060"/>
          <w:sz w:val="22"/>
          <w:szCs w:val="22"/>
        </w:rPr>
        <w:fldChar w:fldCharType="separate"/>
      </w:r>
      <w:hyperlink w:anchor="_Toc215219058" w:history="1">
        <w:r w:rsidR="006D15D1" w:rsidRPr="006D15D1">
          <w:rPr>
            <w:rStyle w:val="Hyperlink"/>
            <w:rFonts w:ascii="Arial" w:eastAsiaTheme="majorEastAsia" w:hAnsi="Arial" w:cs="Arial"/>
            <w:noProof/>
            <w:sz w:val="22"/>
            <w:szCs w:val="22"/>
          </w:rPr>
          <w:t>Table 2-1 Coastal provinces: area, density and growth</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_Toc215219058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3</w:t>
        </w:r>
        <w:r w:rsidR="006D15D1" w:rsidRPr="006D15D1">
          <w:rPr>
            <w:noProof/>
            <w:webHidden/>
            <w:sz w:val="22"/>
            <w:szCs w:val="22"/>
          </w:rPr>
          <w:fldChar w:fldCharType="end"/>
        </w:r>
      </w:hyperlink>
    </w:p>
    <w:p w14:paraId="6892C0B5" w14:textId="615DFBA4"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59" w:history="1">
        <w:r w:rsidR="006D15D1" w:rsidRPr="006D15D1">
          <w:rPr>
            <w:rStyle w:val="Hyperlink"/>
            <w:rFonts w:ascii="Arial" w:eastAsiaTheme="majorEastAsia" w:hAnsi="Arial" w:cs="Arial"/>
            <w:noProof/>
            <w:sz w:val="22"/>
            <w:szCs w:val="22"/>
          </w:rPr>
          <w:t>Table 2-2 National urban share – key years and projections</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_Toc215219059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4</w:t>
        </w:r>
        <w:r w:rsidR="006D15D1" w:rsidRPr="006D15D1">
          <w:rPr>
            <w:noProof/>
            <w:webHidden/>
            <w:sz w:val="22"/>
            <w:szCs w:val="22"/>
          </w:rPr>
          <w:fldChar w:fldCharType="end"/>
        </w:r>
      </w:hyperlink>
    </w:p>
    <w:p w14:paraId="60F7BB8A" w14:textId="20A8FEC9"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60" w:history="1">
        <w:r w:rsidR="006D15D1" w:rsidRPr="006D15D1">
          <w:rPr>
            <w:rStyle w:val="Hyperlink"/>
            <w:rFonts w:ascii="Arial" w:eastAsiaTheme="majorEastAsia" w:hAnsi="Arial" w:cs="Arial"/>
            <w:noProof/>
            <w:sz w:val="22"/>
            <w:szCs w:val="22"/>
          </w:rPr>
          <w:t>Table 2-3 Built-up land, 2010 (national)</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_Toc215219060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5</w:t>
        </w:r>
        <w:r w:rsidR="006D15D1" w:rsidRPr="006D15D1">
          <w:rPr>
            <w:noProof/>
            <w:webHidden/>
            <w:sz w:val="22"/>
            <w:szCs w:val="22"/>
          </w:rPr>
          <w:fldChar w:fldCharType="end"/>
        </w:r>
      </w:hyperlink>
    </w:p>
    <w:p w14:paraId="1AE28A88" w14:textId="42346D99"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61" w:history="1">
        <w:r w:rsidR="006D15D1" w:rsidRPr="006D15D1">
          <w:rPr>
            <w:rStyle w:val="Hyperlink"/>
            <w:rFonts w:ascii="Arial" w:eastAsiaTheme="majorEastAsia" w:hAnsi="Arial" w:cs="Arial"/>
            <w:noProof/>
            <w:sz w:val="22"/>
            <w:szCs w:val="22"/>
          </w:rPr>
          <w:t>Table 2-4 Subnational (coastal province) Multidimensional Poverty Index</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_Toc215219061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6</w:t>
        </w:r>
        <w:r w:rsidR="006D15D1" w:rsidRPr="006D15D1">
          <w:rPr>
            <w:noProof/>
            <w:webHidden/>
            <w:sz w:val="22"/>
            <w:szCs w:val="22"/>
          </w:rPr>
          <w:fldChar w:fldCharType="end"/>
        </w:r>
      </w:hyperlink>
    </w:p>
    <w:p w14:paraId="7FE93E5F" w14:textId="48C4A6DB" w:rsidR="006D15D1" w:rsidRPr="006D15D1" w:rsidRDefault="00000000">
      <w:pPr>
        <w:pStyle w:val="TableofFigures"/>
        <w:tabs>
          <w:tab w:val="right" w:leader="dot" w:pos="9010"/>
        </w:tabs>
        <w:rPr>
          <w:rFonts w:asciiTheme="minorHAnsi" w:eastAsiaTheme="minorEastAsia" w:hAnsiTheme="minorHAnsi" w:cstheme="minorBidi"/>
          <w:noProof/>
          <w:kern w:val="2"/>
          <w:sz w:val="22"/>
          <w:szCs w:val="22"/>
          <w14:ligatures w14:val="standardContextual"/>
        </w:rPr>
      </w:pPr>
      <w:hyperlink w:anchor="_Toc215219062" w:history="1">
        <w:r w:rsidR="006D15D1" w:rsidRPr="006D15D1">
          <w:rPr>
            <w:rStyle w:val="Hyperlink"/>
            <w:rFonts w:ascii="Arial" w:eastAsiaTheme="majorEastAsia" w:hAnsi="Arial" w:cs="Arial"/>
            <w:noProof/>
            <w:sz w:val="22"/>
            <w:szCs w:val="22"/>
          </w:rPr>
          <w:t>Table 2-5 Selected indicators from the INFORM Risk Index (mid-2025) – Cambodia</w:t>
        </w:r>
        <w:r w:rsidR="006D15D1" w:rsidRPr="006D15D1">
          <w:rPr>
            <w:noProof/>
            <w:webHidden/>
            <w:sz w:val="22"/>
            <w:szCs w:val="22"/>
          </w:rPr>
          <w:tab/>
        </w:r>
        <w:r w:rsidR="006D15D1" w:rsidRPr="006D15D1">
          <w:rPr>
            <w:noProof/>
            <w:webHidden/>
            <w:sz w:val="22"/>
            <w:szCs w:val="22"/>
          </w:rPr>
          <w:fldChar w:fldCharType="begin"/>
        </w:r>
        <w:r w:rsidR="006D15D1" w:rsidRPr="006D15D1">
          <w:rPr>
            <w:noProof/>
            <w:webHidden/>
            <w:sz w:val="22"/>
            <w:szCs w:val="22"/>
          </w:rPr>
          <w:instrText xml:space="preserve"> PAGEREF _Toc215219062 \h </w:instrText>
        </w:r>
        <w:r w:rsidR="006D15D1" w:rsidRPr="006D15D1">
          <w:rPr>
            <w:noProof/>
            <w:webHidden/>
            <w:sz w:val="22"/>
            <w:szCs w:val="22"/>
          </w:rPr>
        </w:r>
        <w:r w:rsidR="006D15D1" w:rsidRPr="006D15D1">
          <w:rPr>
            <w:noProof/>
            <w:webHidden/>
            <w:sz w:val="22"/>
            <w:szCs w:val="22"/>
          </w:rPr>
          <w:fldChar w:fldCharType="separate"/>
        </w:r>
        <w:r w:rsidR="005A16C1">
          <w:rPr>
            <w:noProof/>
            <w:webHidden/>
            <w:sz w:val="22"/>
            <w:szCs w:val="22"/>
          </w:rPr>
          <w:t>11</w:t>
        </w:r>
        <w:r w:rsidR="006D15D1" w:rsidRPr="006D15D1">
          <w:rPr>
            <w:noProof/>
            <w:webHidden/>
            <w:sz w:val="22"/>
            <w:szCs w:val="22"/>
          </w:rPr>
          <w:fldChar w:fldCharType="end"/>
        </w:r>
      </w:hyperlink>
    </w:p>
    <w:p w14:paraId="56129130" w14:textId="320AC0D8" w:rsidR="005938F3" w:rsidRPr="00150993" w:rsidRDefault="00F1210A" w:rsidP="00F1210A">
      <w:pPr>
        <w:rPr>
          <w:rStyle w:val="Strong"/>
          <w:rFonts w:ascii="Arial" w:eastAsiaTheme="majorEastAsia" w:hAnsi="Arial" w:cs="Arial"/>
          <w:i/>
          <w:iCs/>
          <w:color w:val="002060"/>
          <w:sz w:val="22"/>
          <w:szCs w:val="22"/>
        </w:rPr>
      </w:pPr>
      <w:r w:rsidRPr="006D15D1">
        <w:rPr>
          <w:rStyle w:val="Strong"/>
          <w:rFonts w:ascii="Arial" w:eastAsiaTheme="majorEastAsia" w:hAnsi="Arial" w:cs="Arial"/>
          <w:i/>
          <w:iCs/>
          <w:color w:val="002060"/>
          <w:sz w:val="22"/>
          <w:szCs w:val="22"/>
        </w:rPr>
        <w:fldChar w:fldCharType="end"/>
      </w:r>
    </w:p>
    <w:p w14:paraId="6A9064E7" w14:textId="77777777" w:rsidR="005938F3" w:rsidRPr="00150993" w:rsidRDefault="005938F3" w:rsidP="005938F3">
      <w:pPr>
        <w:rPr>
          <w:rFonts w:ascii="Arial" w:hAnsi="Arial" w:cs="Arial"/>
        </w:rPr>
      </w:pPr>
    </w:p>
    <w:p w14:paraId="3002537B" w14:textId="4E7D5A7B" w:rsidR="00E215E5" w:rsidRPr="00150993" w:rsidRDefault="00F1210A" w:rsidP="005938F3">
      <w:pPr>
        <w:pStyle w:val="Caption"/>
        <w:rPr>
          <w:rStyle w:val="Strong"/>
          <w:rFonts w:ascii="Arial" w:hAnsi="Arial" w:cs="Arial"/>
          <w:color w:val="002060"/>
          <w:sz w:val="22"/>
          <w:szCs w:val="22"/>
        </w:rPr>
      </w:pPr>
      <w:r w:rsidRPr="00150993">
        <w:rPr>
          <w:rStyle w:val="Strong"/>
          <w:rFonts w:ascii="Arial" w:hAnsi="Arial" w:cs="Arial"/>
          <w:color w:val="002060"/>
          <w:sz w:val="22"/>
          <w:szCs w:val="22"/>
        </w:rPr>
        <w:br w:type="column"/>
      </w:r>
      <w:r w:rsidR="00E215E5" w:rsidRPr="00150993">
        <w:rPr>
          <w:rStyle w:val="Strong"/>
          <w:rFonts w:ascii="Arial" w:hAnsi="Arial" w:cs="Arial"/>
          <w:color w:val="002060"/>
          <w:sz w:val="22"/>
          <w:szCs w:val="22"/>
        </w:rPr>
        <w:t xml:space="preserve">List of Acronyms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55"/>
        <w:gridCol w:w="7455"/>
      </w:tblGrid>
      <w:tr w:rsidR="00E215E5" w:rsidRPr="00150993" w14:paraId="219AD337" w14:textId="77777777" w:rsidTr="006F3FE3">
        <w:trPr>
          <w:tblCellSpacing w:w="15" w:type="dxa"/>
        </w:trPr>
        <w:tc>
          <w:tcPr>
            <w:tcW w:w="1510" w:type="dxa"/>
            <w:vAlign w:val="center"/>
            <w:hideMark/>
          </w:tcPr>
          <w:p w14:paraId="644974EA"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AHA Centre</w:t>
            </w:r>
          </w:p>
        </w:tc>
        <w:tc>
          <w:tcPr>
            <w:tcW w:w="7410" w:type="dxa"/>
            <w:vAlign w:val="center"/>
            <w:hideMark/>
          </w:tcPr>
          <w:p w14:paraId="7117300A" w14:textId="77777777" w:rsidR="00E215E5" w:rsidRPr="00150993" w:rsidRDefault="00E215E5" w:rsidP="006F3FE3">
            <w:pPr>
              <w:rPr>
                <w:rFonts w:ascii="Arial" w:hAnsi="Arial" w:cs="Arial"/>
                <w:sz w:val="22"/>
                <w:szCs w:val="22"/>
              </w:rPr>
            </w:pPr>
            <w:r w:rsidRPr="00150993">
              <w:rPr>
                <w:rFonts w:ascii="Arial" w:hAnsi="Arial" w:cs="Arial"/>
                <w:sz w:val="22"/>
                <w:szCs w:val="22"/>
              </w:rPr>
              <w:t>ASEAN Coordinating Centre for Humanitarian Assistance on Disaster Management</w:t>
            </w:r>
          </w:p>
        </w:tc>
      </w:tr>
      <w:tr w:rsidR="00E215E5" w:rsidRPr="00150993" w14:paraId="415BD737" w14:textId="77777777" w:rsidTr="006F3FE3">
        <w:trPr>
          <w:tblCellSpacing w:w="15" w:type="dxa"/>
        </w:trPr>
        <w:tc>
          <w:tcPr>
            <w:tcW w:w="1510" w:type="dxa"/>
            <w:vAlign w:val="center"/>
            <w:hideMark/>
          </w:tcPr>
          <w:p w14:paraId="4BA5A7E4"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AR6</w:t>
            </w:r>
          </w:p>
        </w:tc>
        <w:tc>
          <w:tcPr>
            <w:tcW w:w="7410" w:type="dxa"/>
            <w:vAlign w:val="center"/>
            <w:hideMark/>
          </w:tcPr>
          <w:p w14:paraId="2D26B789" w14:textId="77777777" w:rsidR="00E215E5" w:rsidRPr="00150993" w:rsidRDefault="00E215E5" w:rsidP="006F3FE3">
            <w:pPr>
              <w:rPr>
                <w:rFonts w:ascii="Arial" w:hAnsi="Arial" w:cs="Arial"/>
                <w:sz w:val="22"/>
                <w:szCs w:val="22"/>
              </w:rPr>
            </w:pPr>
            <w:r w:rsidRPr="00150993">
              <w:rPr>
                <w:rFonts w:ascii="Arial" w:hAnsi="Arial" w:cs="Arial"/>
                <w:sz w:val="22"/>
                <w:szCs w:val="22"/>
              </w:rPr>
              <w:t>Sixth Assessment Report (IPCC)</w:t>
            </w:r>
          </w:p>
        </w:tc>
      </w:tr>
      <w:tr w:rsidR="00E215E5" w:rsidRPr="00150993" w14:paraId="186FDC20" w14:textId="77777777" w:rsidTr="006F3FE3">
        <w:trPr>
          <w:tblCellSpacing w:w="15" w:type="dxa"/>
        </w:trPr>
        <w:tc>
          <w:tcPr>
            <w:tcW w:w="1510" w:type="dxa"/>
            <w:vAlign w:val="center"/>
            <w:hideMark/>
          </w:tcPr>
          <w:p w14:paraId="7B5C27A7"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CAGR</w:t>
            </w:r>
          </w:p>
        </w:tc>
        <w:tc>
          <w:tcPr>
            <w:tcW w:w="7410" w:type="dxa"/>
            <w:vAlign w:val="center"/>
            <w:hideMark/>
          </w:tcPr>
          <w:p w14:paraId="196A273C" w14:textId="77777777" w:rsidR="00E215E5" w:rsidRPr="00150993" w:rsidRDefault="00E215E5" w:rsidP="006F3FE3">
            <w:pPr>
              <w:rPr>
                <w:rFonts w:ascii="Arial" w:hAnsi="Arial" w:cs="Arial"/>
                <w:sz w:val="22"/>
                <w:szCs w:val="22"/>
              </w:rPr>
            </w:pPr>
            <w:r w:rsidRPr="00150993">
              <w:rPr>
                <w:rFonts w:ascii="Arial" w:hAnsi="Arial" w:cs="Arial"/>
                <w:sz w:val="22"/>
                <w:szCs w:val="22"/>
              </w:rPr>
              <w:t>Compound Annual Growth Rate</w:t>
            </w:r>
          </w:p>
        </w:tc>
      </w:tr>
      <w:tr w:rsidR="00E215E5" w:rsidRPr="00150993" w14:paraId="038C9891" w14:textId="77777777" w:rsidTr="006F3FE3">
        <w:trPr>
          <w:tblCellSpacing w:w="15" w:type="dxa"/>
        </w:trPr>
        <w:tc>
          <w:tcPr>
            <w:tcW w:w="1510" w:type="dxa"/>
            <w:vAlign w:val="center"/>
            <w:hideMark/>
          </w:tcPr>
          <w:p w14:paraId="165C7B5D"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CFE-DMHA</w:t>
            </w:r>
          </w:p>
        </w:tc>
        <w:tc>
          <w:tcPr>
            <w:tcW w:w="7410" w:type="dxa"/>
            <w:vAlign w:val="center"/>
            <w:hideMark/>
          </w:tcPr>
          <w:p w14:paraId="74F55A0D" w14:textId="77777777" w:rsidR="00E215E5" w:rsidRPr="00150993" w:rsidRDefault="00E215E5" w:rsidP="006F3FE3">
            <w:pPr>
              <w:rPr>
                <w:rFonts w:ascii="Arial" w:hAnsi="Arial" w:cs="Arial"/>
                <w:sz w:val="22"/>
                <w:szCs w:val="22"/>
              </w:rPr>
            </w:pPr>
            <w:r w:rsidRPr="00150993">
              <w:rPr>
                <w:rFonts w:ascii="Arial" w:hAnsi="Arial" w:cs="Arial"/>
                <w:sz w:val="22"/>
                <w:szCs w:val="22"/>
              </w:rPr>
              <w:t>Center for Excellence in Disaster Management &amp; Humanitarian Assistance</w:t>
            </w:r>
          </w:p>
        </w:tc>
      </w:tr>
      <w:tr w:rsidR="00E215E5" w:rsidRPr="00150993" w14:paraId="1079BE8F" w14:textId="77777777" w:rsidTr="006F3FE3">
        <w:trPr>
          <w:tblCellSpacing w:w="15" w:type="dxa"/>
        </w:trPr>
        <w:tc>
          <w:tcPr>
            <w:tcW w:w="1510" w:type="dxa"/>
            <w:vAlign w:val="center"/>
            <w:hideMark/>
          </w:tcPr>
          <w:p w14:paraId="43C59F42"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CRED</w:t>
            </w:r>
          </w:p>
        </w:tc>
        <w:tc>
          <w:tcPr>
            <w:tcW w:w="7410" w:type="dxa"/>
            <w:vAlign w:val="center"/>
            <w:hideMark/>
          </w:tcPr>
          <w:p w14:paraId="0F7B83BE" w14:textId="77777777" w:rsidR="00E215E5" w:rsidRPr="00150993" w:rsidRDefault="00E215E5" w:rsidP="006F3FE3">
            <w:pPr>
              <w:rPr>
                <w:rFonts w:ascii="Arial" w:hAnsi="Arial" w:cs="Arial"/>
                <w:sz w:val="22"/>
                <w:szCs w:val="22"/>
              </w:rPr>
            </w:pPr>
            <w:r w:rsidRPr="00150993">
              <w:rPr>
                <w:rFonts w:ascii="Arial" w:hAnsi="Arial" w:cs="Arial"/>
                <w:sz w:val="22"/>
                <w:szCs w:val="22"/>
              </w:rPr>
              <w:t>Centre for Research on the Epidemiology of Disasters</w:t>
            </w:r>
          </w:p>
        </w:tc>
      </w:tr>
      <w:tr w:rsidR="00E215E5" w:rsidRPr="00150993" w14:paraId="121D5FB8" w14:textId="77777777" w:rsidTr="006F3FE3">
        <w:trPr>
          <w:tblCellSpacing w:w="15" w:type="dxa"/>
        </w:trPr>
        <w:tc>
          <w:tcPr>
            <w:tcW w:w="1510" w:type="dxa"/>
            <w:vAlign w:val="center"/>
            <w:hideMark/>
          </w:tcPr>
          <w:p w14:paraId="29901FB6"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EM-DAT</w:t>
            </w:r>
          </w:p>
        </w:tc>
        <w:tc>
          <w:tcPr>
            <w:tcW w:w="7410" w:type="dxa"/>
            <w:vAlign w:val="center"/>
            <w:hideMark/>
          </w:tcPr>
          <w:p w14:paraId="191D3F98" w14:textId="77777777" w:rsidR="00E215E5" w:rsidRPr="00150993" w:rsidRDefault="00E215E5" w:rsidP="006F3FE3">
            <w:pPr>
              <w:rPr>
                <w:rFonts w:ascii="Arial" w:hAnsi="Arial" w:cs="Arial"/>
                <w:sz w:val="22"/>
                <w:szCs w:val="22"/>
              </w:rPr>
            </w:pPr>
            <w:r w:rsidRPr="00150993">
              <w:rPr>
                <w:rFonts w:ascii="Arial" w:hAnsi="Arial" w:cs="Arial"/>
                <w:sz w:val="22"/>
                <w:szCs w:val="22"/>
              </w:rPr>
              <w:t>The International Disaster Database</w:t>
            </w:r>
          </w:p>
        </w:tc>
      </w:tr>
      <w:tr w:rsidR="00E215E5" w:rsidRPr="00150993" w14:paraId="0CB5958E" w14:textId="77777777" w:rsidTr="006F3FE3">
        <w:trPr>
          <w:tblCellSpacing w:w="15" w:type="dxa"/>
        </w:trPr>
        <w:tc>
          <w:tcPr>
            <w:tcW w:w="1510" w:type="dxa"/>
            <w:vAlign w:val="center"/>
            <w:hideMark/>
          </w:tcPr>
          <w:p w14:paraId="0BEDE3D9"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GDP</w:t>
            </w:r>
          </w:p>
        </w:tc>
        <w:tc>
          <w:tcPr>
            <w:tcW w:w="7410" w:type="dxa"/>
            <w:vAlign w:val="center"/>
            <w:hideMark/>
          </w:tcPr>
          <w:p w14:paraId="404AB2AE" w14:textId="77777777" w:rsidR="00E215E5" w:rsidRPr="00150993" w:rsidRDefault="00E215E5" w:rsidP="006F3FE3">
            <w:pPr>
              <w:rPr>
                <w:rFonts w:ascii="Arial" w:hAnsi="Arial" w:cs="Arial"/>
                <w:sz w:val="22"/>
                <w:szCs w:val="22"/>
              </w:rPr>
            </w:pPr>
            <w:r w:rsidRPr="00150993">
              <w:rPr>
                <w:rFonts w:ascii="Arial" w:hAnsi="Arial" w:cs="Arial"/>
                <w:sz w:val="22"/>
                <w:szCs w:val="22"/>
              </w:rPr>
              <w:t>Gross Domestic Product</w:t>
            </w:r>
          </w:p>
        </w:tc>
      </w:tr>
      <w:tr w:rsidR="00E215E5" w:rsidRPr="00150993" w14:paraId="4D7C12CC" w14:textId="77777777" w:rsidTr="006F3FE3">
        <w:trPr>
          <w:tblCellSpacing w:w="15" w:type="dxa"/>
        </w:trPr>
        <w:tc>
          <w:tcPr>
            <w:tcW w:w="1510" w:type="dxa"/>
            <w:vAlign w:val="center"/>
            <w:hideMark/>
          </w:tcPr>
          <w:p w14:paraId="2D3721FC"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GNI</w:t>
            </w:r>
          </w:p>
        </w:tc>
        <w:tc>
          <w:tcPr>
            <w:tcW w:w="7410" w:type="dxa"/>
            <w:vAlign w:val="center"/>
            <w:hideMark/>
          </w:tcPr>
          <w:p w14:paraId="371F7945" w14:textId="77777777" w:rsidR="00E215E5" w:rsidRPr="00150993" w:rsidRDefault="00E215E5" w:rsidP="006F3FE3">
            <w:pPr>
              <w:rPr>
                <w:rFonts w:ascii="Arial" w:hAnsi="Arial" w:cs="Arial"/>
                <w:sz w:val="22"/>
                <w:szCs w:val="22"/>
              </w:rPr>
            </w:pPr>
            <w:r w:rsidRPr="00150993">
              <w:rPr>
                <w:rFonts w:ascii="Arial" w:hAnsi="Arial" w:cs="Arial"/>
                <w:sz w:val="22"/>
                <w:szCs w:val="22"/>
              </w:rPr>
              <w:t>Gross National Income</w:t>
            </w:r>
          </w:p>
        </w:tc>
      </w:tr>
      <w:tr w:rsidR="00E215E5" w:rsidRPr="00150993" w14:paraId="2C6B556D" w14:textId="77777777" w:rsidTr="006F3FE3">
        <w:trPr>
          <w:tblCellSpacing w:w="15" w:type="dxa"/>
        </w:trPr>
        <w:tc>
          <w:tcPr>
            <w:tcW w:w="1510" w:type="dxa"/>
            <w:vAlign w:val="center"/>
            <w:hideMark/>
          </w:tcPr>
          <w:p w14:paraId="2BEA07EF"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HDI</w:t>
            </w:r>
          </w:p>
        </w:tc>
        <w:tc>
          <w:tcPr>
            <w:tcW w:w="7410" w:type="dxa"/>
            <w:vAlign w:val="center"/>
            <w:hideMark/>
          </w:tcPr>
          <w:p w14:paraId="4C3F1DE9" w14:textId="77777777" w:rsidR="00E215E5" w:rsidRPr="00150993" w:rsidRDefault="00E215E5" w:rsidP="006F3FE3">
            <w:pPr>
              <w:rPr>
                <w:rFonts w:ascii="Arial" w:hAnsi="Arial" w:cs="Arial"/>
                <w:sz w:val="22"/>
                <w:szCs w:val="22"/>
              </w:rPr>
            </w:pPr>
            <w:r w:rsidRPr="00150993">
              <w:rPr>
                <w:rFonts w:ascii="Arial" w:hAnsi="Arial" w:cs="Arial"/>
                <w:sz w:val="22"/>
                <w:szCs w:val="22"/>
              </w:rPr>
              <w:t>Human Development Index</w:t>
            </w:r>
          </w:p>
        </w:tc>
      </w:tr>
      <w:tr w:rsidR="00E215E5" w:rsidRPr="00150993" w14:paraId="139BD485" w14:textId="77777777" w:rsidTr="006F3FE3">
        <w:trPr>
          <w:tblCellSpacing w:w="15" w:type="dxa"/>
        </w:trPr>
        <w:tc>
          <w:tcPr>
            <w:tcW w:w="1510" w:type="dxa"/>
            <w:vAlign w:val="center"/>
            <w:hideMark/>
          </w:tcPr>
          <w:p w14:paraId="2CB91203"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IASC</w:t>
            </w:r>
          </w:p>
        </w:tc>
        <w:tc>
          <w:tcPr>
            <w:tcW w:w="7410" w:type="dxa"/>
            <w:vAlign w:val="center"/>
            <w:hideMark/>
          </w:tcPr>
          <w:p w14:paraId="52F4C7A5" w14:textId="77777777" w:rsidR="00E215E5" w:rsidRPr="00150993" w:rsidRDefault="00E215E5" w:rsidP="006F3FE3">
            <w:pPr>
              <w:rPr>
                <w:rFonts w:ascii="Arial" w:hAnsi="Arial" w:cs="Arial"/>
                <w:sz w:val="22"/>
                <w:szCs w:val="22"/>
              </w:rPr>
            </w:pPr>
            <w:r w:rsidRPr="00150993">
              <w:rPr>
                <w:rFonts w:ascii="Arial" w:hAnsi="Arial" w:cs="Arial"/>
                <w:sz w:val="22"/>
                <w:szCs w:val="22"/>
              </w:rPr>
              <w:t>Inter-Agency Standing Committee</w:t>
            </w:r>
          </w:p>
        </w:tc>
      </w:tr>
      <w:tr w:rsidR="00E215E5" w:rsidRPr="00150993" w14:paraId="3945E9BA" w14:textId="77777777" w:rsidTr="006F3FE3">
        <w:trPr>
          <w:tblCellSpacing w:w="15" w:type="dxa"/>
        </w:trPr>
        <w:tc>
          <w:tcPr>
            <w:tcW w:w="1510" w:type="dxa"/>
            <w:vAlign w:val="center"/>
            <w:hideMark/>
          </w:tcPr>
          <w:p w14:paraId="5C34A20B"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IDPoor</w:t>
            </w:r>
          </w:p>
        </w:tc>
        <w:tc>
          <w:tcPr>
            <w:tcW w:w="7410" w:type="dxa"/>
            <w:vAlign w:val="center"/>
            <w:hideMark/>
          </w:tcPr>
          <w:p w14:paraId="6A3974E2" w14:textId="77777777" w:rsidR="00E215E5" w:rsidRPr="00150993" w:rsidRDefault="00E215E5" w:rsidP="006F3FE3">
            <w:pPr>
              <w:rPr>
                <w:rFonts w:ascii="Arial" w:hAnsi="Arial" w:cs="Arial"/>
                <w:sz w:val="22"/>
                <w:szCs w:val="22"/>
              </w:rPr>
            </w:pPr>
            <w:r w:rsidRPr="00150993">
              <w:rPr>
                <w:rFonts w:ascii="Arial" w:hAnsi="Arial" w:cs="Arial"/>
                <w:sz w:val="22"/>
                <w:szCs w:val="22"/>
              </w:rPr>
              <w:t>Identification of Poor Households system</w:t>
            </w:r>
          </w:p>
        </w:tc>
      </w:tr>
      <w:tr w:rsidR="00E215E5" w:rsidRPr="00150993" w14:paraId="7ADB749D" w14:textId="77777777" w:rsidTr="006F3FE3">
        <w:trPr>
          <w:tblCellSpacing w:w="15" w:type="dxa"/>
        </w:trPr>
        <w:tc>
          <w:tcPr>
            <w:tcW w:w="1510" w:type="dxa"/>
            <w:vAlign w:val="center"/>
            <w:hideMark/>
          </w:tcPr>
          <w:p w14:paraId="4A24666D"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IHDI</w:t>
            </w:r>
          </w:p>
        </w:tc>
        <w:tc>
          <w:tcPr>
            <w:tcW w:w="7410" w:type="dxa"/>
            <w:vAlign w:val="center"/>
            <w:hideMark/>
          </w:tcPr>
          <w:p w14:paraId="717A45FA" w14:textId="77777777" w:rsidR="00E215E5" w:rsidRPr="00150993" w:rsidRDefault="00E215E5" w:rsidP="006F3FE3">
            <w:pPr>
              <w:rPr>
                <w:rFonts w:ascii="Arial" w:hAnsi="Arial" w:cs="Arial"/>
                <w:sz w:val="22"/>
                <w:szCs w:val="22"/>
              </w:rPr>
            </w:pPr>
            <w:r w:rsidRPr="00150993">
              <w:rPr>
                <w:rFonts w:ascii="Arial" w:hAnsi="Arial" w:cs="Arial"/>
                <w:sz w:val="22"/>
                <w:szCs w:val="22"/>
              </w:rPr>
              <w:t>Inequality-Adjusted Human Development Index</w:t>
            </w:r>
          </w:p>
        </w:tc>
      </w:tr>
      <w:tr w:rsidR="00E215E5" w:rsidRPr="00150993" w14:paraId="4D7B4F12" w14:textId="77777777" w:rsidTr="006F3FE3">
        <w:trPr>
          <w:tblCellSpacing w:w="15" w:type="dxa"/>
        </w:trPr>
        <w:tc>
          <w:tcPr>
            <w:tcW w:w="1510" w:type="dxa"/>
            <w:vAlign w:val="center"/>
            <w:hideMark/>
          </w:tcPr>
          <w:p w14:paraId="5015A159"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INFORM</w:t>
            </w:r>
          </w:p>
        </w:tc>
        <w:tc>
          <w:tcPr>
            <w:tcW w:w="7410" w:type="dxa"/>
            <w:vAlign w:val="center"/>
            <w:hideMark/>
          </w:tcPr>
          <w:p w14:paraId="68DBA5FA" w14:textId="77777777" w:rsidR="00E215E5" w:rsidRPr="00150993" w:rsidRDefault="00E215E5" w:rsidP="006F3FE3">
            <w:pPr>
              <w:rPr>
                <w:rFonts w:ascii="Arial" w:hAnsi="Arial" w:cs="Arial"/>
                <w:sz w:val="22"/>
                <w:szCs w:val="22"/>
              </w:rPr>
            </w:pPr>
            <w:r w:rsidRPr="00150993">
              <w:rPr>
                <w:rFonts w:ascii="Arial" w:hAnsi="Arial" w:cs="Arial"/>
                <w:sz w:val="22"/>
                <w:szCs w:val="22"/>
              </w:rPr>
              <w:t>Index for Risk Management</w:t>
            </w:r>
          </w:p>
        </w:tc>
      </w:tr>
      <w:tr w:rsidR="00E215E5" w:rsidRPr="00150993" w14:paraId="7D88A031" w14:textId="77777777" w:rsidTr="006F3FE3">
        <w:trPr>
          <w:tblCellSpacing w:w="15" w:type="dxa"/>
        </w:trPr>
        <w:tc>
          <w:tcPr>
            <w:tcW w:w="1510" w:type="dxa"/>
            <w:vAlign w:val="center"/>
            <w:hideMark/>
          </w:tcPr>
          <w:p w14:paraId="0E954AEC"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IPCC</w:t>
            </w:r>
          </w:p>
        </w:tc>
        <w:tc>
          <w:tcPr>
            <w:tcW w:w="7410" w:type="dxa"/>
            <w:vAlign w:val="center"/>
            <w:hideMark/>
          </w:tcPr>
          <w:p w14:paraId="1067E9FF" w14:textId="77777777" w:rsidR="00E215E5" w:rsidRPr="00150993" w:rsidRDefault="00E215E5" w:rsidP="006F3FE3">
            <w:pPr>
              <w:rPr>
                <w:rFonts w:ascii="Arial" w:hAnsi="Arial" w:cs="Arial"/>
                <w:sz w:val="22"/>
                <w:szCs w:val="22"/>
              </w:rPr>
            </w:pPr>
            <w:r w:rsidRPr="00150993">
              <w:rPr>
                <w:rFonts w:ascii="Arial" w:hAnsi="Arial" w:cs="Arial"/>
                <w:sz w:val="22"/>
                <w:szCs w:val="22"/>
              </w:rPr>
              <w:t>Intergovernmental Panel on Climate Change</w:t>
            </w:r>
          </w:p>
        </w:tc>
      </w:tr>
      <w:tr w:rsidR="00E215E5" w:rsidRPr="00150993" w14:paraId="3A8ADD37" w14:textId="77777777" w:rsidTr="006F3FE3">
        <w:trPr>
          <w:tblCellSpacing w:w="15" w:type="dxa"/>
        </w:trPr>
        <w:tc>
          <w:tcPr>
            <w:tcW w:w="1510" w:type="dxa"/>
            <w:vAlign w:val="center"/>
            <w:hideMark/>
          </w:tcPr>
          <w:p w14:paraId="7D767FB8"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JMP</w:t>
            </w:r>
          </w:p>
        </w:tc>
        <w:tc>
          <w:tcPr>
            <w:tcW w:w="7410" w:type="dxa"/>
            <w:vAlign w:val="center"/>
            <w:hideMark/>
          </w:tcPr>
          <w:p w14:paraId="460EA2DD" w14:textId="77777777" w:rsidR="00E215E5" w:rsidRPr="00150993" w:rsidRDefault="00E215E5" w:rsidP="006F3FE3">
            <w:pPr>
              <w:rPr>
                <w:rFonts w:ascii="Arial" w:hAnsi="Arial" w:cs="Arial"/>
                <w:sz w:val="22"/>
                <w:szCs w:val="22"/>
              </w:rPr>
            </w:pPr>
            <w:r w:rsidRPr="00150993">
              <w:rPr>
                <w:rFonts w:ascii="Arial" w:hAnsi="Arial" w:cs="Arial"/>
                <w:sz w:val="22"/>
                <w:szCs w:val="22"/>
              </w:rPr>
              <w:t>WHO/UNICEF Joint Monitoring Programme (Water, Sanitation and Hygiene)</w:t>
            </w:r>
          </w:p>
        </w:tc>
      </w:tr>
      <w:tr w:rsidR="00E215E5" w:rsidRPr="00150993" w14:paraId="078AB450" w14:textId="77777777" w:rsidTr="006F3FE3">
        <w:trPr>
          <w:tblCellSpacing w:w="15" w:type="dxa"/>
        </w:trPr>
        <w:tc>
          <w:tcPr>
            <w:tcW w:w="1510" w:type="dxa"/>
            <w:vAlign w:val="center"/>
            <w:hideMark/>
          </w:tcPr>
          <w:p w14:paraId="7C555427"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JRC</w:t>
            </w:r>
          </w:p>
        </w:tc>
        <w:tc>
          <w:tcPr>
            <w:tcW w:w="7410" w:type="dxa"/>
            <w:vAlign w:val="center"/>
            <w:hideMark/>
          </w:tcPr>
          <w:p w14:paraId="708A5FD0" w14:textId="77777777" w:rsidR="00E215E5" w:rsidRPr="00150993" w:rsidRDefault="00E215E5" w:rsidP="006F3FE3">
            <w:pPr>
              <w:rPr>
                <w:rFonts w:ascii="Arial" w:hAnsi="Arial" w:cs="Arial"/>
                <w:sz w:val="22"/>
                <w:szCs w:val="22"/>
              </w:rPr>
            </w:pPr>
            <w:r w:rsidRPr="00150993">
              <w:rPr>
                <w:rFonts w:ascii="Arial" w:hAnsi="Arial" w:cs="Arial"/>
                <w:sz w:val="22"/>
                <w:szCs w:val="22"/>
              </w:rPr>
              <w:t>Joint Research Centre (European Commission)</w:t>
            </w:r>
          </w:p>
        </w:tc>
      </w:tr>
      <w:tr w:rsidR="00E215E5" w:rsidRPr="00150993" w14:paraId="724D5E52" w14:textId="77777777" w:rsidTr="006F3FE3">
        <w:trPr>
          <w:tblCellSpacing w:w="15" w:type="dxa"/>
        </w:trPr>
        <w:tc>
          <w:tcPr>
            <w:tcW w:w="1510" w:type="dxa"/>
            <w:vAlign w:val="center"/>
            <w:hideMark/>
          </w:tcPr>
          <w:p w14:paraId="6F341D61"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LME</w:t>
            </w:r>
          </w:p>
        </w:tc>
        <w:tc>
          <w:tcPr>
            <w:tcW w:w="7410" w:type="dxa"/>
            <w:vAlign w:val="center"/>
            <w:hideMark/>
          </w:tcPr>
          <w:p w14:paraId="3D57F48B" w14:textId="77777777" w:rsidR="00E215E5" w:rsidRPr="00150993" w:rsidRDefault="00E215E5" w:rsidP="006F3FE3">
            <w:pPr>
              <w:rPr>
                <w:rFonts w:ascii="Arial" w:hAnsi="Arial" w:cs="Arial"/>
                <w:sz w:val="22"/>
                <w:szCs w:val="22"/>
              </w:rPr>
            </w:pPr>
            <w:r w:rsidRPr="00150993">
              <w:rPr>
                <w:rFonts w:ascii="Arial" w:hAnsi="Arial" w:cs="Arial"/>
                <w:sz w:val="22"/>
                <w:szCs w:val="22"/>
              </w:rPr>
              <w:t>Large Marine Ecosystem</w:t>
            </w:r>
          </w:p>
        </w:tc>
      </w:tr>
      <w:tr w:rsidR="00E215E5" w:rsidRPr="00150993" w14:paraId="6E9CE776" w14:textId="77777777" w:rsidTr="006F3FE3">
        <w:trPr>
          <w:tblCellSpacing w:w="15" w:type="dxa"/>
        </w:trPr>
        <w:tc>
          <w:tcPr>
            <w:tcW w:w="1510" w:type="dxa"/>
            <w:vAlign w:val="center"/>
            <w:hideMark/>
          </w:tcPr>
          <w:p w14:paraId="1D286A39"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MoE</w:t>
            </w:r>
          </w:p>
        </w:tc>
        <w:tc>
          <w:tcPr>
            <w:tcW w:w="7410" w:type="dxa"/>
            <w:vAlign w:val="center"/>
            <w:hideMark/>
          </w:tcPr>
          <w:p w14:paraId="327FDF0E" w14:textId="77777777" w:rsidR="00E215E5" w:rsidRPr="00150993" w:rsidRDefault="00E215E5" w:rsidP="006F3FE3">
            <w:pPr>
              <w:rPr>
                <w:rFonts w:ascii="Arial" w:hAnsi="Arial" w:cs="Arial"/>
                <w:sz w:val="22"/>
                <w:szCs w:val="22"/>
              </w:rPr>
            </w:pPr>
            <w:r w:rsidRPr="00150993">
              <w:rPr>
                <w:rFonts w:ascii="Arial" w:hAnsi="Arial" w:cs="Arial"/>
                <w:sz w:val="22"/>
                <w:szCs w:val="22"/>
              </w:rPr>
              <w:t>Ministry of Environment</w:t>
            </w:r>
          </w:p>
        </w:tc>
      </w:tr>
      <w:tr w:rsidR="00E215E5" w:rsidRPr="00150993" w14:paraId="713099F7" w14:textId="77777777" w:rsidTr="006F3FE3">
        <w:trPr>
          <w:tblCellSpacing w:w="15" w:type="dxa"/>
        </w:trPr>
        <w:tc>
          <w:tcPr>
            <w:tcW w:w="1510" w:type="dxa"/>
            <w:vAlign w:val="center"/>
            <w:hideMark/>
          </w:tcPr>
          <w:p w14:paraId="14688FBB"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MoP</w:t>
            </w:r>
          </w:p>
        </w:tc>
        <w:tc>
          <w:tcPr>
            <w:tcW w:w="7410" w:type="dxa"/>
            <w:vAlign w:val="center"/>
            <w:hideMark/>
          </w:tcPr>
          <w:p w14:paraId="0A5EC823" w14:textId="77777777" w:rsidR="00E215E5" w:rsidRPr="00150993" w:rsidRDefault="00E215E5" w:rsidP="006F3FE3">
            <w:pPr>
              <w:rPr>
                <w:rFonts w:ascii="Arial" w:hAnsi="Arial" w:cs="Arial"/>
                <w:sz w:val="22"/>
                <w:szCs w:val="22"/>
              </w:rPr>
            </w:pPr>
            <w:r w:rsidRPr="00150993">
              <w:rPr>
                <w:rFonts w:ascii="Arial" w:hAnsi="Arial" w:cs="Arial"/>
                <w:sz w:val="22"/>
                <w:szCs w:val="22"/>
              </w:rPr>
              <w:t>Ministry of Planning</w:t>
            </w:r>
          </w:p>
        </w:tc>
      </w:tr>
      <w:tr w:rsidR="00E215E5" w:rsidRPr="00150993" w14:paraId="5D1775E5" w14:textId="77777777" w:rsidTr="006F3FE3">
        <w:trPr>
          <w:tblCellSpacing w:w="15" w:type="dxa"/>
        </w:trPr>
        <w:tc>
          <w:tcPr>
            <w:tcW w:w="1510" w:type="dxa"/>
            <w:vAlign w:val="center"/>
            <w:hideMark/>
          </w:tcPr>
          <w:p w14:paraId="708F7BDC"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MoT</w:t>
            </w:r>
          </w:p>
        </w:tc>
        <w:tc>
          <w:tcPr>
            <w:tcW w:w="7410" w:type="dxa"/>
            <w:vAlign w:val="center"/>
            <w:hideMark/>
          </w:tcPr>
          <w:p w14:paraId="4B8F8CC0" w14:textId="77777777" w:rsidR="00E215E5" w:rsidRPr="00150993" w:rsidRDefault="00E215E5" w:rsidP="006F3FE3">
            <w:pPr>
              <w:rPr>
                <w:rFonts w:ascii="Arial" w:hAnsi="Arial" w:cs="Arial"/>
                <w:sz w:val="22"/>
                <w:szCs w:val="22"/>
              </w:rPr>
            </w:pPr>
            <w:r w:rsidRPr="00150993">
              <w:rPr>
                <w:rFonts w:ascii="Arial" w:hAnsi="Arial" w:cs="Arial"/>
                <w:sz w:val="22"/>
                <w:szCs w:val="22"/>
              </w:rPr>
              <w:t>Ministry of Tourism</w:t>
            </w:r>
          </w:p>
        </w:tc>
      </w:tr>
      <w:tr w:rsidR="00E215E5" w:rsidRPr="00150993" w14:paraId="76FDCE23" w14:textId="77777777" w:rsidTr="006F3FE3">
        <w:trPr>
          <w:tblCellSpacing w:w="15" w:type="dxa"/>
        </w:trPr>
        <w:tc>
          <w:tcPr>
            <w:tcW w:w="1510" w:type="dxa"/>
            <w:vAlign w:val="center"/>
            <w:hideMark/>
          </w:tcPr>
          <w:p w14:paraId="6812AB5B"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MODIS</w:t>
            </w:r>
          </w:p>
        </w:tc>
        <w:tc>
          <w:tcPr>
            <w:tcW w:w="7410" w:type="dxa"/>
            <w:vAlign w:val="center"/>
            <w:hideMark/>
          </w:tcPr>
          <w:p w14:paraId="2F44A1BE" w14:textId="77777777" w:rsidR="00E215E5" w:rsidRPr="00150993" w:rsidRDefault="00E215E5" w:rsidP="006F3FE3">
            <w:pPr>
              <w:rPr>
                <w:rFonts w:ascii="Arial" w:hAnsi="Arial" w:cs="Arial"/>
                <w:sz w:val="22"/>
                <w:szCs w:val="22"/>
              </w:rPr>
            </w:pPr>
            <w:r w:rsidRPr="00150993">
              <w:rPr>
                <w:rFonts w:ascii="Arial" w:hAnsi="Arial" w:cs="Arial"/>
                <w:sz w:val="22"/>
                <w:szCs w:val="22"/>
              </w:rPr>
              <w:t>Moderate Resolution Imaging Spectroradiometer</w:t>
            </w:r>
          </w:p>
        </w:tc>
      </w:tr>
      <w:tr w:rsidR="00E215E5" w:rsidRPr="00150993" w14:paraId="56D59E20" w14:textId="77777777" w:rsidTr="006F3FE3">
        <w:trPr>
          <w:tblCellSpacing w:w="15" w:type="dxa"/>
        </w:trPr>
        <w:tc>
          <w:tcPr>
            <w:tcW w:w="1510" w:type="dxa"/>
            <w:vAlign w:val="center"/>
            <w:hideMark/>
          </w:tcPr>
          <w:p w14:paraId="01DA05F0"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NCSD</w:t>
            </w:r>
          </w:p>
        </w:tc>
        <w:tc>
          <w:tcPr>
            <w:tcW w:w="7410" w:type="dxa"/>
            <w:vAlign w:val="center"/>
            <w:hideMark/>
          </w:tcPr>
          <w:p w14:paraId="242266FC" w14:textId="77777777" w:rsidR="00E215E5" w:rsidRPr="00150993" w:rsidRDefault="00E215E5" w:rsidP="006F3FE3">
            <w:pPr>
              <w:rPr>
                <w:rFonts w:ascii="Arial" w:hAnsi="Arial" w:cs="Arial"/>
                <w:sz w:val="22"/>
                <w:szCs w:val="22"/>
              </w:rPr>
            </w:pPr>
            <w:r w:rsidRPr="00150993">
              <w:rPr>
                <w:rFonts w:ascii="Arial" w:hAnsi="Arial" w:cs="Arial"/>
                <w:sz w:val="22"/>
                <w:szCs w:val="22"/>
              </w:rPr>
              <w:t>National Council for Sustainable Development (Cambodia)</w:t>
            </w:r>
          </w:p>
        </w:tc>
      </w:tr>
      <w:tr w:rsidR="00E215E5" w:rsidRPr="00150993" w14:paraId="53857514" w14:textId="77777777" w:rsidTr="006F3FE3">
        <w:trPr>
          <w:tblCellSpacing w:w="15" w:type="dxa"/>
        </w:trPr>
        <w:tc>
          <w:tcPr>
            <w:tcW w:w="1510" w:type="dxa"/>
            <w:vAlign w:val="center"/>
            <w:hideMark/>
          </w:tcPr>
          <w:p w14:paraId="5C201487"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NDVI</w:t>
            </w:r>
          </w:p>
        </w:tc>
        <w:tc>
          <w:tcPr>
            <w:tcW w:w="7410" w:type="dxa"/>
            <w:vAlign w:val="center"/>
            <w:hideMark/>
          </w:tcPr>
          <w:p w14:paraId="55C07641" w14:textId="77777777" w:rsidR="00E215E5" w:rsidRPr="00150993" w:rsidRDefault="00E215E5" w:rsidP="006F3FE3">
            <w:pPr>
              <w:rPr>
                <w:rFonts w:ascii="Arial" w:hAnsi="Arial" w:cs="Arial"/>
                <w:sz w:val="22"/>
                <w:szCs w:val="22"/>
              </w:rPr>
            </w:pPr>
            <w:r w:rsidRPr="00150993">
              <w:rPr>
                <w:rFonts w:ascii="Arial" w:hAnsi="Arial" w:cs="Arial"/>
                <w:sz w:val="22"/>
                <w:szCs w:val="22"/>
              </w:rPr>
              <w:t>Normalized Difference Vegetation Index</w:t>
            </w:r>
          </w:p>
        </w:tc>
      </w:tr>
      <w:tr w:rsidR="00E215E5" w:rsidRPr="00150993" w14:paraId="69A995DA" w14:textId="77777777" w:rsidTr="006F3FE3">
        <w:trPr>
          <w:tblCellSpacing w:w="15" w:type="dxa"/>
        </w:trPr>
        <w:tc>
          <w:tcPr>
            <w:tcW w:w="1510" w:type="dxa"/>
            <w:vAlign w:val="center"/>
            <w:hideMark/>
          </w:tcPr>
          <w:p w14:paraId="41E95576"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NIS</w:t>
            </w:r>
          </w:p>
        </w:tc>
        <w:tc>
          <w:tcPr>
            <w:tcW w:w="7410" w:type="dxa"/>
            <w:vAlign w:val="center"/>
            <w:hideMark/>
          </w:tcPr>
          <w:p w14:paraId="2F805780" w14:textId="77777777" w:rsidR="00E215E5" w:rsidRPr="00150993" w:rsidRDefault="00E215E5" w:rsidP="006F3FE3">
            <w:pPr>
              <w:rPr>
                <w:rFonts w:ascii="Arial" w:hAnsi="Arial" w:cs="Arial"/>
                <w:sz w:val="22"/>
                <w:szCs w:val="22"/>
              </w:rPr>
            </w:pPr>
            <w:r w:rsidRPr="00150993">
              <w:rPr>
                <w:rFonts w:ascii="Arial" w:hAnsi="Arial" w:cs="Arial"/>
                <w:sz w:val="22"/>
                <w:szCs w:val="22"/>
              </w:rPr>
              <w:t>National Institute of Statistics</w:t>
            </w:r>
          </w:p>
        </w:tc>
      </w:tr>
      <w:tr w:rsidR="00E215E5" w:rsidRPr="00150993" w14:paraId="5125FFCD" w14:textId="77777777" w:rsidTr="006F3FE3">
        <w:trPr>
          <w:tblCellSpacing w:w="15" w:type="dxa"/>
        </w:trPr>
        <w:tc>
          <w:tcPr>
            <w:tcW w:w="1510" w:type="dxa"/>
            <w:vAlign w:val="center"/>
            <w:hideMark/>
          </w:tcPr>
          <w:p w14:paraId="29E6A98F"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NSOC</w:t>
            </w:r>
          </w:p>
        </w:tc>
        <w:tc>
          <w:tcPr>
            <w:tcW w:w="7410" w:type="dxa"/>
            <w:vAlign w:val="center"/>
            <w:hideMark/>
          </w:tcPr>
          <w:p w14:paraId="110392DE" w14:textId="77777777" w:rsidR="00E215E5" w:rsidRPr="00150993" w:rsidRDefault="00E215E5" w:rsidP="006F3FE3">
            <w:pPr>
              <w:rPr>
                <w:rFonts w:ascii="Arial" w:hAnsi="Arial" w:cs="Arial"/>
                <w:sz w:val="22"/>
                <w:szCs w:val="22"/>
              </w:rPr>
            </w:pPr>
            <w:r w:rsidRPr="00150993">
              <w:rPr>
                <w:rFonts w:ascii="Arial" w:hAnsi="Arial" w:cs="Arial"/>
                <w:sz w:val="22"/>
                <w:szCs w:val="22"/>
              </w:rPr>
              <w:t>National State of the Oceans and Coasts</w:t>
            </w:r>
          </w:p>
        </w:tc>
      </w:tr>
      <w:tr w:rsidR="00E215E5" w:rsidRPr="00150993" w14:paraId="77B68FF0" w14:textId="77777777" w:rsidTr="006F3FE3">
        <w:trPr>
          <w:tblCellSpacing w:w="15" w:type="dxa"/>
        </w:trPr>
        <w:tc>
          <w:tcPr>
            <w:tcW w:w="1510" w:type="dxa"/>
            <w:vAlign w:val="center"/>
            <w:hideMark/>
          </w:tcPr>
          <w:p w14:paraId="39D33B4F"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OPHI</w:t>
            </w:r>
          </w:p>
        </w:tc>
        <w:tc>
          <w:tcPr>
            <w:tcW w:w="7410" w:type="dxa"/>
            <w:vAlign w:val="center"/>
            <w:hideMark/>
          </w:tcPr>
          <w:p w14:paraId="77970563" w14:textId="77777777" w:rsidR="00E215E5" w:rsidRPr="00150993" w:rsidRDefault="00E215E5" w:rsidP="006F3FE3">
            <w:pPr>
              <w:rPr>
                <w:rFonts w:ascii="Arial" w:hAnsi="Arial" w:cs="Arial"/>
                <w:sz w:val="22"/>
                <w:szCs w:val="22"/>
              </w:rPr>
            </w:pPr>
            <w:r w:rsidRPr="00150993">
              <w:rPr>
                <w:rFonts w:ascii="Arial" w:hAnsi="Arial" w:cs="Arial"/>
                <w:sz w:val="22"/>
                <w:szCs w:val="22"/>
              </w:rPr>
              <w:t>Oxford Poverty and Human Development Initiative</w:t>
            </w:r>
          </w:p>
        </w:tc>
      </w:tr>
      <w:tr w:rsidR="00E215E5" w:rsidRPr="00150993" w14:paraId="1BA94259" w14:textId="77777777" w:rsidTr="006F3FE3">
        <w:trPr>
          <w:tblCellSpacing w:w="15" w:type="dxa"/>
        </w:trPr>
        <w:tc>
          <w:tcPr>
            <w:tcW w:w="1510" w:type="dxa"/>
            <w:vAlign w:val="center"/>
            <w:hideMark/>
          </w:tcPr>
          <w:p w14:paraId="31BCD676"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PEMSEA</w:t>
            </w:r>
          </w:p>
        </w:tc>
        <w:tc>
          <w:tcPr>
            <w:tcW w:w="7410" w:type="dxa"/>
            <w:vAlign w:val="center"/>
            <w:hideMark/>
          </w:tcPr>
          <w:p w14:paraId="347C327A" w14:textId="77777777" w:rsidR="00E215E5" w:rsidRPr="00150993" w:rsidRDefault="00E215E5" w:rsidP="006F3FE3">
            <w:pPr>
              <w:rPr>
                <w:rFonts w:ascii="Arial" w:hAnsi="Arial" w:cs="Arial"/>
                <w:sz w:val="22"/>
                <w:szCs w:val="22"/>
              </w:rPr>
            </w:pPr>
            <w:r w:rsidRPr="00150993">
              <w:rPr>
                <w:rFonts w:ascii="Arial" w:hAnsi="Arial" w:cs="Arial"/>
                <w:sz w:val="22"/>
                <w:szCs w:val="22"/>
              </w:rPr>
              <w:t>Partnerships in Environmental Management for the Seas of East Asia</w:t>
            </w:r>
          </w:p>
        </w:tc>
      </w:tr>
      <w:tr w:rsidR="00E215E5" w:rsidRPr="00150993" w14:paraId="25B9B5D7" w14:textId="77777777" w:rsidTr="006F3FE3">
        <w:trPr>
          <w:tblCellSpacing w:w="15" w:type="dxa"/>
        </w:trPr>
        <w:tc>
          <w:tcPr>
            <w:tcW w:w="1510" w:type="dxa"/>
            <w:vAlign w:val="center"/>
            <w:hideMark/>
          </w:tcPr>
          <w:p w14:paraId="47630382"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PPP</w:t>
            </w:r>
          </w:p>
        </w:tc>
        <w:tc>
          <w:tcPr>
            <w:tcW w:w="7410" w:type="dxa"/>
            <w:vAlign w:val="center"/>
            <w:hideMark/>
          </w:tcPr>
          <w:p w14:paraId="3C8A6E64" w14:textId="77777777" w:rsidR="00E215E5" w:rsidRPr="00150993" w:rsidRDefault="00E215E5" w:rsidP="006F3FE3">
            <w:pPr>
              <w:rPr>
                <w:rFonts w:ascii="Arial" w:hAnsi="Arial" w:cs="Arial"/>
                <w:sz w:val="22"/>
                <w:szCs w:val="22"/>
              </w:rPr>
            </w:pPr>
            <w:r w:rsidRPr="00150993">
              <w:rPr>
                <w:rFonts w:ascii="Arial" w:hAnsi="Arial" w:cs="Arial"/>
                <w:sz w:val="22"/>
                <w:szCs w:val="22"/>
              </w:rPr>
              <w:t>Purchasing Power Parity</w:t>
            </w:r>
          </w:p>
        </w:tc>
      </w:tr>
      <w:tr w:rsidR="00E215E5" w:rsidRPr="00150993" w14:paraId="2EEB7404" w14:textId="77777777" w:rsidTr="006F3FE3">
        <w:trPr>
          <w:tblCellSpacing w:w="15" w:type="dxa"/>
        </w:trPr>
        <w:tc>
          <w:tcPr>
            <w:tcW w:w="1510" w:type="dxa"/>
            <w:vAlign w:val="center"/>
            <w:hideMark/>
          </w:tcPr>
          <w:p w14:paraId="6081C5D5"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RGC</w:t>
            </w:r>
          </w:p>
        </w:tc>
        <w:tc>
          <w:tcPr>
            <w:tcW w:w="7410" w:type="dxa"/>
            <w:vAlign w:val="center"/>
            <w:hideMark/>
          </w:tcPr>
          <w:p w14:paraId="6D8F5637" w14:textId="77777777" w:rsidR="00E215E5" w:rsidRPr="00150993" w:rsidRDefault="00E215E5" w:rsidP="006F3FE3">
            <w:pPr>
              <w:rPr>
                <w:rFonts w:ascii="Arial" w:hAnsi="Arial" w:cs="Arial"/>
                <w:sz w:val="22"/>
                <w:szCs w:val="22"/>
              </w:rPr>
            </w:pPr>
            <w:r w:rsidRPr="00150993">
              <w:rPr>
                <w:rFonts w:ascii="Arial" w:hAnsi="Arial" w:cs="Arial"/>
                <w:sz w:val="22"/>
                <w:szCs w:val="22"/>
              </w:rPr>
              <w:t>Royal Government of Cambodia</w:t>
            </w:r>
          </w:p>
        </w:tc>
      </w:tr>
      <w:tr w:rsidR="00E215E5" w:rsidRPr="00150993" w14:paraId="3D970E33" w14:textId="77777777" w:rsidTr="006F3FE3">
        <w:trPr>
          <w:tblCellSpacing w:w="15" w:type="dxa"/>
        </w:trPr>
        <w:tc>
          <w:tcPr>
            <w:tcW w:w="1510" w:type="dxa"/>
            <w:vAlign w:val="center"/>
            <w:hideMark/>
          </w:tcPr>
          <w:p w14:paraId="19CE96FF"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SHDI</w:t>
            </w:r>
          </w:p>
        </w:tc>
        <w:tc>
          <w:tcPr>
            <w:tcW w:w="7410" w:type="dxa"/>
            <w:vAlign w:val="center"/>
            <w:hideMark/>
          </w:tcPr>
          <w:p w14:paraId="25836A70" w14:textId="77777777" w:rsidR="00E215E5" w:rsidRPr="00150993" w:rsidRDefault="00E215E5" w:rsidP="006F3FE3">
            <w:pPr>
              <w:rPr>
                <w:rFonts w:ascii="Arial" w:hAnsi="Arial" w:cs="Arial"/>
                <w:sz w:val="22"/>
                <w:szCs w:val="22"/>
              </w:rPr>
            </w:pPr>
            <w:r w:rsidRPr="00150993">
              <w:rPr>
                <w:rFonts w:ascii="Arial" w:hAnsi="Arial" w:cs="Arial"/>
                <w:sz w:val="22"/>
                <w:szCs w:val="22"/>
              </w:rPr>
              <w:t>Subnational Human Development Index</w:t>
            </w:r>
          </w:p>
        </w:tc>
      </w:tr>
      <w:tr w:rsidR="00E215E5" w:rsidRPr="00150993" w14:paraId="371A0DD0" w14:textId="77777777" w:rsidTr="006F3FE3">
        <w:trPr>
          <w:tblCellSpacing w:w="15" w:type="dxa"/>
        </w:trPr>
        <w:tc>
          <w:tcPr>
            <w:tcW w:w="1510" w:type="dxa"/>
            <w:vAlign w:val="center"/>
            <w:hideMark/>
          </w:tcPr>
          <w:p w14:paraId="67088740"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SLR</w:t>
            </w:r>
          </w:p>
        </w:tc>
        <w:tc>
          <w:tcPr>
            <w:tcW w:w="7410" w:type="dxa"/>
            <w:vAlign w:val="center"/>
            <w:hideMark/>
          </w:tcPr>
          <w:p w14:paraId="4D39A274" w14:textId="77777777" w:rsidR="00E215E5" w:rsidRPr="00150993" w:rsidRDefault="00E215E5" w:rsidP="006F3FE3">
            <w:pPr>
              <w:rPr>
                <w:rFonts w:ascii="Arial" w:hAnsi="Arial" w:cs="Arial"/>
                <w:sz w:val="22"/>
                <w:szCs w:val="22"/>
              </w:rPr>
            </w:pPr>
            <w:r w:rsidRPr="00150993">
              <w:rPr>
                <w:rFonts w:ascii="Arial" w:hAnsi="Arial" w:cs="Arial"/>
                <w:sz w:val="22"/>
                <w:szCs w:val="22"/>
              </w:rPr>
              <w:t>Sea-Level Rise</w:t>
            </w:r>
          </w:p>
        </w:tc>
      </w:tr>
      <w:tr w:rsidR="00E215E5" w:rsidRPr="00150993" w14:paraId="453E9B67" w14:textId="77777777" w:rsidTr="006F3FE3">
        <w:trPr>
          <w:tblCellSpacing w:w="15" w:type="dxa"/>
        </w:trPr>
        <w:tc>
          <w:tcPr>
            <w:tcW w:w="1510" w:type="dxa"/>
            <w:vAlign w:val="center"/>
            <w:hideMark/>
          </w:tcPr>
          <w:p w14:paraId="7D90BDF3"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TVET</w:t>
            </w:r>
          </w:p>
        </w:tc>
        <w:tc>
          <w:tcPr>
            <w:tcW w:w="7410" w:type="dxa"/>
            <w:vAlign w:val="center"/>
            <w:hideMark/>
          </w:tcPr>
          <w:p w14:paraId="34D407DE" w14:textId="77777777" w:rsidR="00E215E5" w:rsidRPr="00150993" w:rsidRDefault="00E215E5" w:rsidP="006F3FE3">
            <w:pPr>
              <w:rPr>
                <w:rFonts w:ascii="Arial" w:hAnsi="Arial" w:cs="Arial"/>
                <w:sz w:val="22"/>
                <w:szCs w:val="22"/>
              </w:rPr>
            </w:pPr>
            <w:r w:rsidRPr="00150993">
              <w:rPr>
                <w:rFonts w:ascii="Arial" w:hAnsi="Arial" w:cs="Arial"/>
                <w:sz w:val="22"/>
                <w:szCs w:val="22"/>
              </w:rPr>
              <w:t>Technical and Vocational Education and Training</w:t>
            </w:r>
          </w:p>
        </w:tc>
      </w:tr>
      <w:tr w:rsidR="00E215E5" w:rsidRPr="00150993" w14:paraId="46CC4CEC" w14:textId="77777777" w:rsidTr="006F3FE3">
        <w:trPr>
          <w:tblCellSpacing w:w="15" w:type="dxa"/>
        </w:trPr>
        <w:tc>
          <w:tcPr>
            <w:tcW w:w="1510" w:type="dxa"/>
            <w:vAlign w:val="center"/>
            <w:hideMark/>
          </w:tcPr>
          <w:p w14:paraId="0DDC8A66"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UCLouvain</w:t>
            </w:r>
          </w:p>
        </w:tc>
        <w:tc>
          <w:tcPr>
            <w:tcW w:w="7410" w:type="dxa"/>
            <w:vAlign w:val="center"/>
            <w:hideMark/>
          </w:tcPr>
          <w:p w14:paraId="60B62592" w14:textId="77777777" w:rsidR="00E215E5" w:rsidRPr="00150993" w:rsidRDefault="00E215E5" w:rsidP="006F3FE3">
            <w:pPr>
              <w:rPr>
                <w:rFonts w:ascii="Arial" w:hAnsi="Arial" w:cs="Arial"/>
                <w:sz w:val="22"/>
                <w:szCs w:val="22"/>
              </w:rPr>
            </w:pPr>
            <w:r w:rsidRPr="00150993">
              <w:rPr>
                <w:rFonts w:ascii="Arial" w:hAnsi="Arial" w:cs="Arial"/>
                <w:sz w:val="22"/>
                <w:szCs w:val="22"/>
              </w:rPr>
              <w:t>Université catholique de Louvain</w:t>
            </w:r>
          </w:p>
        </w:tc>
      </w:tr>
      <w:tr w:rsidR="00E215E5" w:rsidRPr="00150993" w14:paraId="1F5B086B" w14:textId="77777777" w:rsidTr="006F3FE3">
        <w:trPr>
          <w:tblCellSpacing w:w="15" w:type="dxa"/>
        </w:trPr>
        <w:tc>
          <w:tcPr>
            <w:tcW w:w="1510" w:type="dxa"/>
            <w:vAlign w:val="center"/>
            <w:hideMark/>
          </w:tcPr>
          <w:p w14:paraId="26AFCF61"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UN DESA</w:t>
            </w:r>
          </w:p>
        </w:tc>
        <w:tc>
          <w:tcPr>
            <w:tcW w:w="7410" w:type="dxa"/>
            <w:vAlign w:val="center"/>
            <w:hideMark/>
          </w:tcPr>
          <w:p w14:paraId="41B38751" w14:textId="77777777" w:rsidR="00E215E5" w:rsidRPr="00150993" w:rsidRDefault="00E215E5" w:rsidP="006F3FE3">
            <w:pPr>
              <w:rPr>
                <w:rFonts w:ascii="Arial" w:hAnsi="Arial" w:cs="Arial"/>
                <w:sz w:val="22"/>
                <w:szCs w:val="22"/>
              </w:rPr>
            </w:pPr>
            <w:r w:rsidRPr="00150993">
              <w:rPr>
                <w:rFonts w:ascii="Arial" w:hAnsi="Arial" w:cs="Arial"/>
                <w:sz w:val="22"/>
                <w:szCs w:val="22"/>
              </w:rPr>
              <w:t>United Nations Department of Economic and Social Affairs</w:t>
            </w:r>
          </w:p>
        </w:tc>
      </w:tr>
      <w:tr w:rsidR="00E215E5" w:rsidRPr="00150993" w14:paraId="180E2557" w14:textId="77777777" w:rsidTr="006F3FE3">
        <w:trPr>
          <w:tblCellSpacing w:w="15" w:type="dxa"/>
        </w:trPr>
        <w:tc>
          <w:tcPr>
            <w:tcW w:w="1510" w:type="dxa"/>
            <w:vAlign w:val="center"/>
            <w:hideMark/>
          </w:tcPr>
          <w:p w14:paraId="025EAA1F"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UNDP</w:t>
            </w:r>
          </w:p>
        </w:tc>
        <w:tc>
          <w:tcPr>
            <w:tcW w:w="7410" w:type="dxa"/>
            <w:vAlign w:val="center"/>
            <w:hideMark/>
          </w:tcPr>
          <w:p w14:paraId="04B1120D" w14:textId="77777777" w:rsidR="00E215E5" w:rsidRPr="00150993" w:rsidRDefault="00E215E5" w:rsidP="006F3FE3">
            <w:pPr>
              <w:rPr>
                <w:rFonts w:ascii="Arial" w:hAnsi="Arial" w:cs="Arial"/>
                <w:sz w:val="22"/>
                <w:szCs w:val="22"/>
              </w:rPr>
            </w:pPr>
            <w:r w:rsidRPr="00150993">
              <w:rPr>
                <w:rFonts w:ascii="Arial" w:hAnsi="Arial" w:cs="Arial"/>
                <w:sz w:val="22"/>
                <w:szCs w:val="22"/>
              </w:rPr>
              <w:t>United Nations Development Programme</w:t>
            </w:r>
          </w:p>
        </w:tc>
      </w:tr>
      <w:tr w:rsidR="00E215E5" w:rsidRPr="00150993" w14:paraId="5494226A" w14:textId="77777777" w:rsidTr="006F3FE3">
        <w:trPr>
          <w:tblCellSpacing w:w="15" w:type="dxa"/>
        </w:trPr>
        <w:tc>
          <w:tcPr>
            <w:tcW w:w="1510" w:type="dxa"/>
            <w:vAlign w:val="center"/>
            <w:hideMark/>
          </w:tcPr>
          <w:p w14:paraId="71BB2FF1"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WASH</w:t>
            </w:r>
          </w:p>
        </w:tc>
        <w:tc>
          <w:tcPr>
            <w:tcW w:w="7410" w:type="dxa"/>
            <w:vAlign w:val="center"/>
            <w:hideMark/>
          </w:tcPr>
          <w:p w14:paraId="352B2E18" w14:textId="77777777" w:rsidR="00E215E5" w:rsidRPr="00150993" w:rsidRDefault="00E215E5" w:rsidP="006F3FE3">
            <w:pPr>
              <w:rPr>
                <w:rFonts w:ascii="Arial" w:hAnsi="Arial" w:cs="Arial"/>
                <w:sz w:val="22"/>
                <w:szCs w:val="22"/>
              </w:rPr>
            </w:pPr>
            <w:r w:rsidRPr="00150993">
              <w:rPr>
                <w:rFonts w:ascii="Arial" w:hAnsi="Arial" w:cs="Arial"/>
                <w:sz w:val="22"/>
                <w:szCs w:val="22"/>
              </w:rPr>
              <w:t>Water, Sanitation and Hygiene</w:t>
            </w:r>
          </w:p>
        </w:tc>
      </w:tr>
      <w:tr w:rsidR="00E215E5" w:rsidRPr="00150993" w14:paraId="502D0DC4" w14:textId="77777777" w:rsidTr="006F3FE3">
        <w:trPr>
          <w:tblCellSpacing w:w="15" w:type="dxa"/>
        </w:trPr>
        <w:tc>
          <w:tcPr>
            <w:tcW w:w="1510" w:type="dxa"/>
            <w:vAlign w:val="center"/>
            <w:hideMark/>
          </w:tcPr>
          <w:p w14:paraId="51F9123A"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WB/WDI</w:t>
            </w:r>
          </w:p>
        </w:tc>
        <w:tc>
          <w:tcPr>
            <w:tcW w:w="7410" w:type="dxa"/>
            <w:vAlign w:val="center"/>
            <w:hideMark/>
          </w:tcPr>
          <w:p w14:paraId="5B3D0D1E" w14:textId="77777777" w:rsidR="00E215E5" w:rsidRPr="00150993" w:rsidRDefault="00E215E5" w:rsidP="006F3FE3">
            <w:pPr>
              <w:rPr>
                <w:rFonts w:ascii="Arial" w:hAnsi="Arial" w:cs="Arial"/>
                <w:sz w:val="22"/>
                <w:szCs w:val="22"/>
              </w:rPr>
            </w:pPr>
            <w:r w:rsidRPr="00150993">
              <w:rPr>
                <w:rFonts w:ascii="Arial" w:hAnsi="Arial" w:cs="Arial"/>
                <w:sz w:val="22"/>
                <w:szCs w:val="22"/>
              </w:rPr>
              <w:t>World Bank / World Development Indicators</w:t>
            </w:r>
          </w:p>
        </w:tc>
      </w:tr>
      <w:tr w:rsidR="00E215E5" w:rsidRPr="00150993" w14:paraId="68E4A18B" w14:textId="77777777" w:rsidTr="006F3FE3">
        <w:trPr>
          <w:tblCellSpacing w:w="15" w:type="dxa"/>
        </w:trPr>
        <w:tc>
          <w:tcPr>
            <w:tcW w:w="1510" w:type="dxa"/>
            <w:vAlign w:val="center"/>
            <w:hideMark/>
          </w:tcPr>
          <w:p w14:paraId="6B75F82F"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WUP</w:t>
            </w:r>
          </w:p>
        </w:tc>
        <w:tc>
          <w:tcPr>
            <w:tcW w:w="7410" w:type="dxa"/>
            <w:vAlign w:val="center"/>
            <w:hideMark/>
          </w:tcPr>
          <w:p w14:paraId="27BF1711" w14:textId="77777777" w:rsidR="00E215E5" w:rsidRPr="00150993" w:rsidRDefault="00E215E5" w:rsidP="006F3FE3">
            <w:pPr>
              <w:rPr>
                <w:rFonts w:ascii="Arial" w:hAnsi="Arial" w:cs="Arial"/>
                <w:sz w:val="22"/>
                <w:szCs w:val="22"/>
              </w:rPr>
            </w:pPr>
            <w:r w:rsidRPr="00150993">
              <w:rPr>
                <w:rFonts w:ascii="Arial" w:hAnsi="Arial" w:cs="Arial"/>
                <w:sz w:val="22"/>
                <w:szCs w:val="22"/>
              </w:rPr>
              <w:t>World Urbanization Prospects</w:t>
            </w:r>
          </w:p>
        </w:tc>
      </w:tr>
      <w:tr w:rsidR="00E215E5" w:rsidRPr="00150993" w14:paraId="76888B83" w14:textId="77777777" w:rsidTr="006F3FE3">
        <w:trPr>
          <w:tblCellSpacing w:w="15" w:type="dxa"/>
        </w:trPr>
        <w:tc>
          <w:tcPr>
            <w:tcW w:w="1510" w:type="dxa"/>
            <w:vAlign w:val="center"/>
            <w:hideMark/>
          </w:tcPr>
          <w:p w14:paraId="26163E72" w14:textId="77777777" w:rsidR="00E215E5" w:rsidRPr="00150993" w:rsidRDefault="00E215E5" w:rsidP="006F3FE3">
            <w:pPr>
              <w:rPr>
                <w:rFonts w:ascii="Arial" w:hAnsi="Arial" w:cs="Arial"/>
                <w:b/>
                <w:bCs/>
                <w:sz w:val="22"/>
                <w:szCs w:val="22"/>
              </w:rPr>
            </w:pPr>
            <w:r w:rsidRPr="00150993">
              <w:rPr>
                <w:rFonts w:ascii="Arial" w:hAnsi="Arial" w:cs="Arial"/>
                <w:b/>
                <w:bCs/>
                <w:sz w:val="22"/>
                <w:szCs w:val="22"/>
              </w:rPr>
              <w:t>WTTC</w:t>
            </w:r>
          </w:p>
        </w:tc>
        <w:tc>
          <w:tcPr>
            <w:tcW w:w="7410" w:type="dxa"/>
            <w:vAlign w:val="center"/>
            <w:hideMark/>
          </w:tcPr>
          <w:p w14:paraId="3E6652F0" w14:textId="77777777" w:rsidR="00E215E5" w:rsidRPr="00150993" w:rsidRDefault="00E215E5" w:rsidP="006F3FE3">
            <w:pPr>
              <w:rPr>
                <w:rFonts w:ascii="Arial" w:hAnsi="Arial" w:cs="Arial"/>
                <w:sz w:val="22"/>
                <w:szCs w:val="22"/>
              </w:rPr>
            </w:pPr>
            <w:r w:rsidRPr="00150993">
              <w:rPr>
                <w:rFonts w:ascii="Arial" w:hAnsi="Arial" w:cs="Arial"/>
                <w:sz w:val="22"/>
                <w:szCs w:val="22"/>
              </w:rPr>
              <w:t>World Travel &amp; Tourism Council</w:t>
            </w:r>
          </w:p>
        </w:tc>
      </w:tr>
    </w:tbl>
    <w:p w14:paraId="6ABB56EB" w14:textId="5C04A39A" w:rsidR="00E215E5" w:rsidRPr="00150993" w:rsidRDefault="00E215E5" w:rsidP="00EE4DAC">
      <w:pPr>
        <w:pStyle w:val="Caption"/>
        <w:rPr>
          <w:rFonts w:ascii="Arial" w:hAnsi="Arial" w:cs="Arial"/>
          <w:color w:val="0070C0"/>
          <w:sz w:val="21"/>
          <w:szCs w:val="21"/>
        </w:rPr>
      </w:pPr>
    </w:p>
    <w:p w14:paraId="4071EC6E" w14:textId="69A5835E" w:rsidR="005938F3" w:rsidRPr="00150993" w:rsidRDefault="00F1210A" w:rsidP="00EE4DAC">
      <w:pPr>
        <w:pStyle w:val="Caption"/>
        <w:rPr>
          <w:rFonts w:ascii="Arial" w:hAnsi="Arial" w:cs="Arial"/>
          <w:color w:val="0070C0"/>
          <w:sz w:val="21"/>
          <w:szCs w:val="21"/>
        </w:rPr>
      </w:pPr>
      <w:r w:rsidRPr="00150993">
        <w:rPr>
          <w:rStyle w:val="Strong"/>
          <w:rFonts w:ascii="Arial" w:hAnsi="Arial" w:cs="Arial"/>
          <w:color w:val="002060"/>
          <w:sz w:val="22"/>
          <w:szCs w:val="22"/>
        </w:rPr>
        <w:t>Annex 2-</w:t>
      </w:r>
      <w:r w:rsidRPr="00150993">
        <w:rPr>
          <w:rStyle w:val="Strong"/>
          <w:rFonts w:ascii="Arial" w:hAnsi="Arial" w:cs="Arial"/>
          <w:color w:val="002060"/>
          <w:sz w:val="22"/>
          <w:szCs w:val="22"/>
        </w:rPr>
        <w:fldChar w:fldCharType="begin"/>
      </w:r>
      <w:r w:rsidRPr="00150993">
        <w:rPr>
          <w:rStyle w:val="Strong"/>
          <w:rFonts w:ascii="Arial" w:hAnsi="Arial" w:cs="Arial"/>
          <w:color w:val="002060"/>
          <w:sz w:val="22"/>
          <w:szCs w:val="22"/>
        </w:rPr>
        <w:instrText xml:space="preserve"> SEQ Annex_2- \* ARABIC </w:instrText>
      </w:r>
      <w:r w:rsidRPr="00150993">
        <w:rPr>
          <w:rStyle w:val="Strong"/>
          <w:rFonts w:ascii="Arial" w:hAnsi="Arial" w:cs="Arial"/>
          <w:color w:val="002060"/>
          <w:sz w:val="22"/>
          <w:szCs w:val="22"/>
        </w:rPr>
        <w:fldChar w:fldCharType="separate"/>
      </w:r>
      <w:r w:rsidR="005A16C1">
        <w:rPr>
          <w:rStyle w:val="Strong"/>
          <w:rFonts w:ascii="Arial" w:hAnsi="Arial" w:cs="Arial"/>
          <w:noProof/>
          <w:color w:val="002060"/>
          <w:sz w:val="22"/>
          <w:szCs w:val="22"/>
        </w:rPr>
        <w:t>1</w:t>
      </w:r>
      <w:r w:rsidRPr="00150993">
        <w:rPr>
          <w:rStyle w:val="Strong"/>
          <w:rFonts w:ascii="Arial" w:hAnsi="Arial" w:cs="Arial"/>
          <w:color w:val="002060"/>
          <w:sz w:val="22"/>
          <w:szCs w:val="22"/>
        </w:rPr>
        <w:fldChar w:fldCharType="end"/>
      </w:r>
      <w:r w:rsidRPr="00150993">
        <w:rPr>
          <w:rStyle w:val="Strong"/>
          <w:rFonts w:ascii="Arial" w:hAnsi="Arial" w:cs="Arial"/>
          <w:color w:val="002060"/>
          <w:sz w:val="22"/>
          <w:szCs w:val="22"/>
        </w:rPr>
        <w:t xml:space="preserve"> </w:t>
      </w:r>
      <w:r w:rsidR="005938F3" w:rsidRPr="00150993">
        <w:rPr>
          <w:rStyle w:val="Strong"/>
          <w:rFonts w:ascii="Arial" w:eastAsiaTheme="majorEastAsia" w:hAnsi="Arial" w:cs="Arial"/>
          <w:color w:val="002060"/>
          <w:sz w:val="22"/>
          <w:szCs w:val="22"/>
        </w:rPr>
        <w:t>Dataset and analysis framework, and complimentary note</w:t>
      </w:r>
    </w:p>
    <w:p w14:paraId="4A0749C9" w14:textId="75C5B9F3" w:rsidR="005938F3" w:rsidRPr="00150993" w:rsidRDefault="00341CC0" w:rsidP="00F1210A">
      <w:pPr>
        <w:pStyle w:val="Caption"/>
        <w:jc w:val="both"/>
        <w:rPr>
          <w:rFonts w:ascii="Arial" w:eastAsiaTheme="minorHAnsi" w:hAnsi="Arial" w:cs="Arial"/>
          <w:b/>
          <w:bCs/>
          <w:i w:val="0"/>
          <w:iCs w:val="0"/>
          <w:color w:val="0070C0"/>
          <w:kern w:val="2"/>
          <w:sz w:val="22"/>
          <w:szCs w:val="22"/>
          <w14:ligatures w14:val="standardContextual"/>
        </w:rPr>
      </w:pPr>
      <w:r>
        <w:rPr>
          <w:rFonts w:ascii="Arial" w:eastAsiaTheme="minorHAnsi" w:hAnsi="Arial" w:cs="Arial"/>
          <w:b/>
          <w:bCs/>
          <w:i w:val="0"/>
          <w:iCs w:val="0"/>
          <w:color w:val="0070C0"/>
          <w:kern w:val="2"/>
          <w:sz w:val="22"/>
          <w:szCs w:val="22"/>
          <w14:ligatures w14:val="standardContextual"/>
        </w:rPr>
        <w:t xml:space="preserve">A. </w:t>
      </w:r>
      <w:r w:rsidR="00F1210A" w:rsidRPr="00150993">
        <w:rPr>
          <w:rFonts w:ascii="Arial" w:eastAsiaTheme="minorHAnsi" w:hAnsi="Arial" w:cs="Arial"/>
          <w:b/>
          <w:bCs/>
          <w:i w:val="0"/>
          <w:iCs w:val="0"/>
          <w:color w:val="0070C0"/>
          <w:kern w:val="2"/>
          <w:sz w:val="22"/>
          <w:szCs w:val="22"/>
          <w14:ligatures w14:val="standardContextual"/>
        </w:rPr>
        <w:t xml:space="preserve"> </w:t>
      </w:r>
      <w:r w:rsidR="005938F3" w:rsidRPr="00150993">
        <w:rPr>
          <w:rFonts w:ascii="Arial" w:eastAsiaTheme="minorHAnsi" w:hAnsi="Arial" w:cs="Arial"/>
          <w:b/>
          <w:bCs/>
          <w:i w:val="0"/>
          <w:iCs w:val="0"/>
          <w:color w:val="0070C0"/>
          <w:kern w:val="2"/>
          <w:sz w:val="22"/>
          <w:szCs w:val="22"/>
          <w14:ligatures w14:val="standardContextual"/>
        </w:rPr>
        <w:t>Demographic</w:t>
      </w:r>
      <w:r w:rsidR="00F1210A" w:rsidRPr="00150993">
        <w:rPr>
          <w:rFonts w:ascii="Arial" w:eastAsiaTheme="minorHAnsi" w:hAnsi="Arial" w:cs="Arial"/>
          <w:b/>
          <w:bCs/>
          <w:i w:val="0"/>
          <w:iCs w:val="0"/>
          <w:color w:val="0070C0"/>
          <w:kern w:val="2"/>
          <w:sz w:val="22"/>
          <w:szCs w:val="22"/>
          <w14:ligatures w14:val="standardContextual"/>
        </w:rPr>
        <w:t xml:space="preserve"> indicator</w:t>
      </w:r>
    </w:p>
    <w:p w14:paraId="154EB5B0" w14:textId="15DEE6BC" w:rsidR="005938F3" w:rsidRPr="00150993" w:rsidRDefault="005938F3" w:rsidP="005938F3">
      <w:pPr>
        <w:pStyle w:val="Caption"/>
        <w:jc w:val="both"/>
        <w:rPr>
          <w:rFonts w:ascii="Arial" w:hAnsi="Arial" w:cs="Arial"/>
          <w:i w:val="0"/>
          <w:iCs w:val="0"/>
          <w:color w:val="auto"/>
          <w:sz w:val="22"/>
          <w:szCs w:val="22"/>
        </w:rPr>
      </w:pPr>
      <w:r w:rsidRPr="00150993">
        <w:rPr>
          <w:rFonts w:ascii="Arial" w:hAnsi="Arial" w:cs="Arial"/>
          <w:i w:val="0"/>
          <w:iCs w:val="0"/>
          <w:color w:val="auto"/>
          <w:sz w:val="22"/>
          <w:szCs w:val="22"/>
        </w:rPr>
        <w:t>Demographic indicators describe the size, structure and spatial distribution of the population in Cambodia and its four coastal provinces. Core variables include total population, number of households, sex ratio, age structure, and population density, as well as the share of people living in urban areas and major coastal settlements. Data are drawn primarily from the 1998, 2008 and 2019 Population Censuses and official intercensal projections. Indicators are computed at national and provincial level; coastal totals are obtained by summing the four coastal provinces and, where relevant, expressing them as a share of national population. Where different classifications or boundary changes occur, the annex notes how these have been harmonised across time.</w:t>
      </w:r>
      <w:r w:rsidR="00150993" w:rsidRPr="00150993">
        <w:rPr>
          <w:rFonts w:ascii="Arial" w:hAnsi="Arial" w:cs="Arial"/>
          <w:i w:val="0"/>
          <w:iCs w:val="0"/>
          <w:color w:val="auto"/>
          <w:sz w:val="22"/>
          <w:szCs w:val="22"/>
        </w:rPr>
        <w:t xml:space="preserve"> Provincial-level time-series remain discontinuous—therefore comparisons rely on harmonised census rounds rather than annual estimates. Coastal totals are derived through straightforward aggregation of the four coastal provinces.</w:t>
      </w:r>
    </w:p>
    <w:p w14:paraId="611E0D85" w14:textId="13BCA2EA" w:rsidR="00F1210A" w:rsidRPr="00150993" w:rsidRDefault="00F1210A" w:rsidP="00F1210A">
      <w:pPr>
        <w:pStyle w:val="Caption"/>
        <w:keepNext/>
        <w:spacing w:before="240" w:after="120"/>
        <w:rPr>
          <w:rFonts w:ascii="Arial" w:eastAsiaTheme="minorHAnsi" w:hAnsi="Arial" w:cs="Arial"/>
          <w:color w:val="002060"/>
          <w:kern w:val="2"/>
          <w:sz w:val="22"/>
          <w:szCs w:val="22"/>
          <w14:ligatures w14:val="standardContextual"/>
        </w:rPr>
      </w:pPr>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1</w:t>
      </w:r>
      <w:r w:rsidRPr="00150993">
        <w:rPr>
          <w:rFonts w:ascii="Arial" w:eastAsiaTheme="minorHAnsi" w:hAnsi="Arial" w:cs="Arial"/>
          <w:color w:val="002060"/>
          <w:kern w:val="2"/>
          <w:sz w:val="22"/>
          <w:szCs w:val="22"/>
          <w14:ligatures w14:val="standardContextual"/>
        </w:rPr>
        <w:fldChar w:fldCharType="end"/>
      </w:r>
      <w:r w:rsidRPr="00150993">
        <w:rPr>
          <w:rFonts w:ascii="Arial" w:eastAsiaTheme="minorHAnsi" w:hAnsi="Arial" w:cs="Arial"/>
          <w:color w:val="002060"/>
          <w:kern w:val="2"/>
          <w:sz w:val="22"/>
          <w:szCs w:val="22"/>
          <w14:ligatures w14:val="standardContextual"/>
        </w:rPr>
        <w:t xml:space="preserve"> Demographics indicators: data sources, metadata, &amp; assessment methods</w:t>
      </w:r>
    </w:p>
    <w:tbl>
      <w:tblPr>
        <w:tblStyle w:val="GridTable4-Accent5"/>
        <w:tblW w:w="0" w:type="auto"/>
        <w:tblLook w:val="04A0" w:firstRow="1" w:lastRow="0" w:firstColumn="1" w:lastColumn="0" w:noHBand="0" w:noVBand="1"/>
      </w:tblPr>
      <w:tblGrid>
        <w:gridCol w:w="1474"/>
        <w:gridCol w:w="1311"/>
        <w:gridCol w:w="1179"/>
        <w:gridCol w:w="1418"/>
        <w:gridCol w:w="1701"/>
        <w:gridCol w:w="1927"/>
      </w:tblGrid>
      <w:tr w:rsidR="00F1210A" w:rsidRPr="00150993" w14:paraId="618E8AFA" w14:textId="77777777" w:rsidTr="00D960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8F98BA5" w14:textId="77777777" w:rsidR="00F1210A" w:rsidRPr="00150993" w:rsidRDefault="00F1210A" w:rsidP="006F3FE3">
            <w:pPr>
              <w:jc w:val="center"/>
              <w:rPr>
                <w:rFonts w:ascii="Arial" w:hAnsi="Arial" w:cs="Arial"/>
                <w:sz w:val="20"/>
                <w:szCs w:val="20"/>
              </w:rPr>
            </w:pPr>
            <w:r w:rsidRPr="00150993">
              <w:rPr>
                <w:rFonts w:ascii="Arial" w:hAnsi="Arial" w:cs="Arial"/>
                <w:sz w:val="20"/>
                <w:szCs w:val="20"/>
              </w:rPr>
              <w:t>Indicator</w:t>
            </w:r>
          </w:p>
        </w:tc>
        <w:tc>
          <w:tcPr>
            <w:tcW w:w="0" w:type="auto"/>
            <w:hideMark/>
          </w:tcPr>
          <w:p w14:paraId="786F1B18"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Definition &amp; Unit</w:t>
            </w:r>
          </w:p>
        </w:tc>
        <w:tc>
          <w:tcPr>
            <w:tcW w:w="1179" w:type="dxa"/>
            <w:hideMark/>
          </w:tcPr>
          <w:p w14:paraId="596F65F9"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Spatial Coverage</w:t>
            </w:r>
          </w:p>
        </w:tc>
        <w:tc>
          <w:tcPr>
            <w:tcW w:w="1418" w:type="dxa"/>
            <w:hideMark/>
          </w:tcPr>
          <w:p w14:paraId="21A7DDD9"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Time Series Availability</w:t>
            </w:r>
          </w:p>
        </w:tc>
        <w:tc>
          <w:tcPr>
            <w:tcW w:w="1701" w:type="dxa"/>
            <w:hideMark/>
          </w:tcPr>
          <w:p w14:paraId="3FF67FE2"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Primary Data Sources</w:t>
            </w:r>
          </w:p>
        </w:tc>
        <w:tc>
          <w:tcPr>
            <w:tcW w:w="1927" w:type="dxa"/>
            <w:hideMark/>
          </w:tcPr>
          <w:p w14:paraId="6E94E7D3"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Method / Notes</w:t>
            </w:r>
          </w:p>
        </w:tc>
      </w:tr>
      <w:tr w:rsidR="00F1210A" w:rsidRPr="00150993" w14:paraId="33C0B3AD" w14:textId="77777777" w:rsidTr="00D960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4768671" w14:textId="77777777" w:rsidR="00F1210A" w:rsidRPr="001A219D" w:rsidRDefault="00F1210A" w:rsidP="006F3FE3">
            <w:pPr>
              <w:rPr>
                <w:rFonts w:ascii="Arial" w:hAnsi="Arial" w:cs="Arial"/>
                <w:sz w:val="20"/>
                <w:szCs w:val="20"/>
              </w:rPr>
            </w:pPr>
            <w:r w:rsidRPr="001A219D">
              <w:rPr>
                <w:rFonts w:ascii="Arial" w:hAnsi="Arial" w:cs="Arial"/>
                <w:sz w:val="20"/>
                <w:szCs w:val="20"/>
              </w:rPr>
              <w:t>Total population</w:t>
            </w:r>
          </w:p>
        </w:tc>
        <w:tc>
          <w:tcPr>
            <w:tcW w:w="0" w:type="auto"/>
            <w:hideMark/>
          </w:tcPr>
          <w:p w14:paraId="42106CED"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Number of people (persons)</w:t>
            </w:r>
          </w:p>
        </w:tc>
        <w:tc>
          <w:tcPr>
            <w:tcW w:w="1179" w:type="dxa"/>
            <w:hideMark/>
          </w:tcPr>
          <w:p w14:paraId="0B2F8BB4"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4 coastal provinces</w:t>
            </w:r>
          </w:p>
        </w:tc>
        <w:tc>
          <w:tcPr>
            <w:tcW w:w="1418" w:type="dxa"/>
            <w:hideMark/>
          </w:tcPr>
          <w:p w14:paraId="3A0F366F"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 xml:space="preserve">Census years: </w:t>
            </w:r>
            <w:r w:rsidRPr="00150993">
              <w:rPr>
                <w:rStyle w:val="Strong"/>
                <w:rFonts w:ascii="Arial" w:eastAsiaTheme="majorEastAsia" w:hAnsi="Arial" w:cs="Arial"/>
                <w:sz w:val="20"/>
                <w:szCs w:val="20"/>
              </w:rPr>
              <w:t>1998, 2008, 2019</w:t>
            </w:r>
            <w:r w:rsidRPr="00150993">
              <w:rPr>
                <w:rFonts w:ascii="Arial" w:hAnsi="Arial" w:cs="Arial"/>
                <w:sz w:val="20"/>
                <w:szCs w:val="20"/>
              </w:rPr>
              <w:t>; projections 2020–2030</w:t>
            </w:r>
          </w:p>
        </w:tc>
        <w:tc>
          <w:tcPr>
            <w:tcW w:w="1701" w:type="dxa"/>
            <w:hideMark/>
          </w:tcPr>
          <w:p w14:paraId="74A80315"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NIS Population Census; UN WPP projections</w:t>
            </w:r>
          </w:p>
        </w:tc>
        <w:tc>
          <w:tcPr>
            <w:tcW w:w="1927" w:type="dxa"/>
            <w:hideMark/>
          </w:tcPr>
          <w:p w14:paraId="6C8B36C2"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Coastal total = sum of 4 coastal provinces. No adjustments except boundary harmonization.</w:t>
            </w:r>
          </w:p>
        </w:tc>
      </w:tr>
      <w:tr w:rsidR="00D960AA" w:rsidRPr="00150993" w14:paraId="6E505101" w14:textId="77777777" w:rsidTr="00D960AA">
        <w:tc>
          <w:tcPr>
            <w:cnfStyle w:val="001000000000" w:firstRow="0" w:lastRow="0" w:firstColumn="1" w:lastColumn="0" w:oddVBand="0" w:evenVBand="0" w:oddHBand="0" w:evenHBand="0" w:firstRowFirstColumn="0" w:firstRowLastColumn="0" w:lastRowFirstColumn="0" w:lastRowLastColumn="0"/>
            <w:tcW w:w="0" w:type="auto"/>
            <w:hideMark/>
          </w:tcPr>
          <w:p w14:paraId="02B9CFCA" w14:textId="77777777" w:rsidR="00F1210A" w:rsidRPr="001A219D" w:rsidRDefault="00F1210A" w:rsidP="006F3FE3">
            <w:pPr>
              <w:rPr>
                <w:rFonts w:ascii="Arial" w:hAnsi="Arial" w:cs="Arial"/>
                <w:sz w:val="20"/>
                <w:szCs w:val="20"/>
              </w:rPr>
            </w:pPr>
            <w:r w:rsidRPr="001A219D">
              <w:rPr>
                <w:rFonts w:ascii="Arial" w:hAnsi="Arial" w:cs="Arial"/>
                <w:sz w:val="20"/>
                <w:szCs w:val="20"/>
              </w:rPr>
              <w:t>Number of households</w:t>
            </w:r>
          </w:p>
        </w:tc>
        <w:tc>
          <w:tcPr>
            <w:tcW w:w="0" w:type="auto"/>
            <w:hideMark/>
          </w:tcPr>
          <w:p w14:paraId="2D6526FD"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Total households (HH)</w:t>
            </w:r>
          </w:p>
        </w:tc>
        <w:tc>
          <w:tcPr>
            <w:tcW w:w="1179" w:type="dxa"/>
            <w:hideMark/>
          </w:tcPr>
          <w:p w14:paraId="1C959101"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coastal provinces</w:t>
            </w:r>
          </w:p>
        </w:tc>
        <w:tc>
          <w:tcPr>
            <w:tcW w:w="1418" w:type="dxa"/>
            <w:hideMark/>
          </w:tcPr>
          <w:p w14:paraId="30E89CB8"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1998, 2008, 2019</w:t>
            </w:r>
          </w:p>
        </w:tc>
        <w:tc>
          <w:tcPr>
            <w:tcW w:w="1701" w:type="dxa"/>
            <w:hideMark/>
          </w:tcPr>
          <w:p w14:paraId="66D11203"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NIS Census</w:t>
            </w:r>
          </w:p>
        </w:tc>
        <w:tc>
          <w:tcPr>
            <w:tcW w:w="1927" w:type="dxa"/>
            <w:hideMark/>
          </w:tcPr>
          <w:p w14:paraId="7DACEEC1"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Used to derive average household size; no interpolation.</w:t>
            </w:r>
          </w:p>
        </w:tc>
      </w:tr>
      <w:tr w:rsidR="00F1210A" w:rsidRPr="00150993" w14:paraId="63A076B8" w14:textId="77777777" w:rsidTr="00D960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A408CF9" w14:textId="77777777" w:rsidR="00F1210A" w:rsidRPr="001A219D" w:rsidRDefault="00F1210A" w:rsidP="006F3FE3">
            <w:pPr>
              <w:rPr>
                <w:rFonts w:ascii="Arial" w:hAnsi="Arial" w:cs="Arial"/>
                <w:sz w:val="20"/>
                <w:szCs w:val="20"/>
              </w:rPr>
            </w:pPr>
            <w:r w:rsidRPr="001A219D">
              <w:rPr>
                <w:rFonts w:ascii="Arial" w:hAnsi="Arial" w:cs="Arial"/>
                <w:sz w:val="20"/>
                <w:szCs w:val="20"/>
              </w:rPr>
              <w:t>Population density</w:t>
            </w:r>
          </w:p>
        </w:tc>
        <w:tc>
          <w:tcPr>
            <w:tcW w:w="0" w:type="auto"/>
            <w:hideMark/>
          </w:tcPr>
          <w:p w14:paraId="396CFECE"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Persons per km²</w:t>
            </w:r>
          </w:p>
        </w:tc>
        <w:tc>
          <w:tcPr>
            <w:tcW w:w="1179" w:type="dxa"/>
            <w:hideMark/>
          </w:tcPr>
          <w:p w14:paraId="2577F037"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provincial</w:t>
            </w:r>
          </w:p>
        </w:tc>
        <w:tc>
          <w:tcPr>
            <w:tcW w:w="1418" w:type="dxa"/>
            <w:hideMark/>
          </w:tcPr>
          <w:p w14:paraId="05473D7C"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1998–2019</w:t>
            </w:r>
          </w:p>
        </w:tc>
        <w:tc>
          <w:tcPr>
            <w:tcW w:w="1701" w:type="dxa"/>
            <w:hideMark/>
          </w:tcPr>
          <w:p w14:paraId="190E66D0"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NIS; Administrative boundary area data</w:t>
            </w:r>
          </w:p>
        </w:tc>
        <w:tc>
          <w:tcPr>
            <w:tcW w:w="1927" w:type="dxa"/>
            <w:hideMark/>
          </w:tcPr>
          <w:p w14:paraId="588AE5D8"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Density = population ÷ land area. Coastal mean is population-weighted.</w:t>
            </w:r>
          </w:p>
        </w:tc>
      </w:tr>
      <w:tr w:rsidR="00D960AA" w:rsidRPr="00150993" w14:paraId="510E1B1F" w14:textId="77777777" w:rsidTr="00D960AA">
        <w:tc>
          <w:tcPr>
            <w:cnfStyle w:val="001000000000" w:firstRow="0" w:lastRow="0" w:firstColumn="1" w:lastColumn="0" w:oddVBand="0" w:evenVBand="0" w:oddHBand="0" w:evenHBand="0" w:firstRowFirstColumn="0" w:firstRowLastColumn="0" w:lastRowFirstColumn="0" w:lastRowLastColumn="0"/>
            <w:tcW w:w="0" w:type="auto"/>
            <w:hideMark/>
          </w:tcPr>
          <w:p w14:paraId="1DF75639" w14:textId="77777777" w:rsidR="00F1210A" w:rsidRPr="001A219D" w:rsidRDefault="00F1210A" w:rsidP="006F3FE3">
            <w:pPr>
              <w:rPr>
                <w:rFonts w:ascii="Arial" w:hAnsi="Arial" w:cs="Arial"/>
                <w:sz w:val="20"/>
                <w:szCs w:val="20"/>
              </w:rPr>
            </w:pPr>
            <w:r w:rsidRPr="001A219D">
              <w:rPr>
                <w:rFonts w:ascii="Arial" w:hAnsi="Arial" w:cs="Arial"/>
                <w:sz w:val="20"/>
                <w:szCs w:val="20"/>
              </w:rPr>
              <w:t>Urbanization rate</w:t>
            </w:r>
          </w:p>
        </w:tc>
        <w:tc>
          <w:tcPr>
            <w:tcW w:w="0" w:type="auto"/>
            <w:hideMark/>
          </w:tcPr>
          <w:p w14:paraId="34B39955"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 population in urban areas</w:t>
            </w:r>
          </w:p>
        </w:tc>
        <w:tc>
          <w:tcPr>
            <w:tcW w:w="1179" w:type="dxa"/>
            <w:hideMark/>
          </w:tcPr>
          <w:p w14:paraId="690E1670"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(1990–2035); coastal (1998–2019)</w:t>
            </w:r>
          </w:p>
        </w:tc>
        <w:tc>
          <w:tcPr>
            <w:tcW w:w="1418" w:type="dxa"/>
            <w:hideMark/>
          </w:tcPr>
          <w:p w14:paraId="5C7FA83E"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(annual WUP); coastal (census years only)</w:t>
            </w:r>
          </w:p>
        </w:tc>
        <w:tc>
          <w:tcPr>
            <w:tcW w:w="1701" w:type="dxa"/>
            <w:hideMark/>
          </w:tcPr>
          <w:p w14:paraId="28663F65"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UN DESA World Urbanization Prospects (WUP); NIS</w:t>
            </w:r>
          </w:p>
        </w:tc>
        <w:tc>
          <w:tcPr>
            <w:tcW w:w="1927" w:type="dxa"/>
            <w:hideMark/>
          </w:tcPr>
          <w:p w14:paraId="759ADC9B"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1975–79 values excluded due to data disruption. No extrapolation for provinces.</w:t>
            </w:r>
          </w:p>
        </w:tc>
      </w:tr>
      <w:tr w:rsidR="00F1210A" w:rsidRPr="00150993" w14:paraId="0444B6DF" w14:textId="77777777" w:rsidTr="00D960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53354FF" w14:textId="77777777" w:rsidR="00F1210A" w:rsidRPr="001A219D" w:rsidRDefault="00F1210A" w:rsidP="006F3FE3">
            <w:pPr>
              <w:rPr>
                <w:rFonts w:ascii="Arial" w:hAnsi="Arial" w:cs="Arial"/>
                <w:sz w:val="20"/>
                <w:szCs w:val="20"/>
              </w:rPr>
            </w:pPr>
            <w:r w:rsidRPr="001A219D">
              <w:rPr>
                <w:rFonts w:ascii="Arial" w:hAnsi="Arial" w:cs="Arial"/>
                <w:sz w:val="20"/>
                <w:szCs w:val="20"/>
              </w:rPr>
              <w:t>Sex ratio</w:t>
            </w:r>
          </w:p>
        </w:tc>
        <w:tc>
          <w:tcPr>
            <w:tcW w:w="0" w:type="auto"/>
            <w:hideMark/>
          </w:tcPr>
          <w:p w14:paraId="3D508138"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Males per 100 females</w:t>
            </w:r>
          </w:p>
        </w:tc>
        <w:tc>
          <w:tcPr>
            <w:tcW w:w="1179" w:type="dxa"/>
            <w:hideMark/>
          </w:tcPr>
          <w:p w14:paraId="547A1F3A"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provincial</w:t>
            </w:r>
          </w:p>
        </w:tc>
        <w:tc>
          <w:tcPr>
            <w:tcW w:w="1418" w:type="dxa"/>
            <w:hideMark/>
          </w:tcPr>
          <w:p w14:paraId="6C0CE4C3"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1998, 2008, 2019</w:t>
            </w:r>
          </w:p>
        </w:tc>
        <w:tc>
          <w:tcPr>
            <w:tcW w:w="1701" w:type="dxa"/>
            <w:hideMark/>
          </w:tcPr>
          <w:p w14:paraId="45B0EDDF"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NIS Census</w:t>
            </w:r>
          </w:p>
        </w:tc>
        <w:tc>
          <w:tcPr>
            <w:tcW w:w="1927" w:type="dxa"/>
            <w:hideMark/>
          </w:tcPr>
          <w:p w14:paraId="2FA2668B"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Reported directly; no adjustments.</w:t>
            </w:r>
          </w:p>
        </w:tc>
      </w:tr>
    </w:tbl>
    <w:p w14:paraId="71CD03F7" w14:textId="77777777" w:rsidR="00F1210A" w:rsidRPr="00150993" w:rsidRDefault="00F1210A" w:rsidP="00F1210A">
      <w:pPr>
        <w:rPr>
          <w:rFonts w:ascii="Arial" w:hAnsi="Arial" w:cs="Arial"/>
        </w:rPr>
      </w:pPr>
    </w:p>
    <w:p w14:paraId="41DB6FCA" w14:textId="6C108777" w:rsidR="00150993" w:rsidRPr="00150993" w:rsidRDefault="00150993" w:rsidP="00150993">
      <w:pPr>
        <w:pStyle w:val="Caption"/>
        <w:keepNext/>
        <w:spacing w:before="240" w:after="120"/>
        <w:rPr>
          <w:rFonts w:ascii="Arial" w:eastAsiaTheme="minorHAnsi" w:hAnsi="Arial" w:cs="Arial"/>
          <w:color w:val="002060"/>
          <w:kern w:val="2"/>
          <w:sz w:val="22"/>
          <w:szCs w:val="22"/>
          <w14:ligatures w14:val="standardContextual"/>
        </w:rPr>
      </w:pPr>
      <w:bookmarkStart w:id="83" w:name="_Ref215141147"/>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2</w:t>
      </w:r>
      <w:r w:rsidRPr="00150993">
        <w:rPr>
          <w:rFonts w:ascii="Arial" w:eastAsiaTheme="minorHAnsi" w:hAnsi="Arial" w:cs="Arial"/>
          <w:color w:val="002060"/>
          <w:kern w:val="2"/>
          <w:sz w:val="22"/>
          <w:szCs w:val="22"/>
          <w14:ligatures w14:val="standardContextual"/>
        </w:rPr>
        <w:fldChar w:fldCharType="end"/>
      </w:r>
      <w:bookmarkEnd w:id="83"/>
      <w:r w:rsidRPr="00150993">
        <w:rPr>
          <w:rFonts w:ascii="Arial" w:eastAsiaTheme="minorHAnsi" w:hAnsi="Arial" w:cs="Arial"/>
          <w:color w:val="002060"/>
          <w:kern w:val="2"/>
          <w:sz w:val="22"/>
          <w:szCs w:val="22"/>
          <w14:ligatures w14:val="standardContextual"/>
        </w:rPr>
        <w:t xml:space="preserve"> Subnational Coastal Populations (1998, 2008, &amp; 2019)</w:t>
      </w:r>
    </w:p>
    <w:tbl>
      <w:tblPr>
        <w:tblStyle w:val="GridTable4-Accent5"/>
        <w:tblW w:w="9003" w:type="dxa"/>
        <w:tblLook w:val="04A0" w:firstRow="1" w:lastRow="0" w:firstColumn="1" w:lastColumn="0" w:noHBand="0" w:noVBand="1"/>
      </w:tblPr>
      <w:tblGrid>
        <w:gridCol w:w="2123"/>
        <w:gridCol w:w="1720"/>
        <w:gridCol w:w="1720"/>
        <w:gridCol w:w="1720"/>
        <w:gridCol w:w="1720"/>
      </w:tblGrid>
      <w:tr w:rsidR="00150993" w:rsidRPr="00150993" w14:paraId="5619F83F" w14:textId="77777777" w:rsidTr="00150993">
        <w:trPr>
          <w:cnfStyle w:val="100000000000" w:firstRow="1" w:lastRow="0" w:firstColumn="0" w:lastColumn="0" w:oddVBand="0" w:evenVBand="0" w:oddHBand="0"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1A5C7B84" w14:textId="77777777" w:rsidR="00150993" w:rsidRPr="00150993" w:rsidRDefault="00150993" w:rsidP="006F3FE3">
            <w:pPr>
              <w:jc w:val="center"/>
              <w:rPr>
                <w:rFonts w:ascii="Arial" w:hAnsi="Arial" w:cs="Arial"/>
                <w:b w:val="0"/>
                <w:bCs w:val="0"/>
                <w:sz w:val="20"/>
                <w:szCs w:val="20"/>
              </w:rPr>
            </w:pPr>
            <w:r w:rsidRPr="00150993">
              <w:rPr>
                <w:rFonts w:ascii="Arial" w:hAnsi="Arial" w:cs="Arial"/>
                <w:sz w:val="20"/>
                <w:szCs w:val="20"/>
              </w:rPr>
              <w:t>Pop. Census 1998</w:t>
            </w:r>
          </w:p>
        </w:tc>
        <w:tc>
          <w:tcPr>
            <w:tcW w:w="1720" w:type="dxa"/>
            <w:noWrap/>
            <w:hideMark/>
          </w:tcPr>
          <w:p w14:paraId="68FB3657"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Persons</w:t>
            </w:r>
          </w:p>
        </w:tc>
        <w:tc>
          <w:tcPr>
            <w:tcW w:w="1720" w:type="dxa"/>
            <w:noWrap/>
            <w:hideMark/>
          </w:tcPr>
          <w:p w14:paraId="08609B13"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Females</w:t>
            </w:r>
          </w:p>
        </w:tc>
        <w:tc>
          <w:tcPr>
            <w:tcW w:w="1720" w:type="dxa"/>
            <w:noWrap/>
            <w:hideMark/>
          </w:tcPr>
          <w:p w14:paraId="7D29D7DA"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Males</w:t>
            </w:r>
          </w:p>
        </w:tc>
        <w:tc>
          <w:tcPr>
            <w:tcW w:w="1720" w:type="dxa"/>
            <w:noWrap/>
            <w:hideMark/>
          </w:tcPr>
          <w:p w14:paraId="494ACFFD"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Households</w:t>
            </w:r>
          </w:p>
        </w:tc>
      </w:tr>
      <w:tr w:rsidR="00150993" w:rsidRPr="00150993" w14:paraId="7C3A03F4"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3D5572D6"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Preah Sihanouk</w:t>
            </w:r>
          </w:p>
        </w:tc>
        <w:tc>
          <w:tcPr>
            <w:tcW w:w="1720" w:type="dxa"/>
            <w:hideMark/>
          </w:tcPr>
          <w:p w14:paraId="12234F7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155,690</w:t>
            </w:r>
          </w:p>
        </w:tc>
        <w:tc>
          <w:tcPr>
            <w:tcW w:w="1720" w:type="dxa"/>
            <w:noWrap/>
            <w:hideMark/>
          </w:tcPr>
          <w:p w14:paraId="6FAB516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78,750</w:t>
            </w:r>
          </w:p>
        </w:tc>
        <w:tc>
          <w:tcPr>
            <w:tcW w:w="1720" w:type="dxa"/>
            <w:noWrap/>
            <w:hideMark/>
          </w:tcPr>
          <w:p w14:paraId="1A5ED4D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76,940</w:t>
            </w:r>
          </w:p>
        </w:tc>
        <w:tc>
          <w:tcPr>
            <w:tcW w:w="1720" w:type="dxa"/>
            <w:noWrap/>
            <w:hideMark/>
          </w:tcPr>
          <w:p w14:paraId="43179EF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28,015</w:t>
            </w:r>
          </w:p>
        </w:tc>
      </w:tr>
      <w:tr w:rsidR="00150993" w:rsidRPr="00150993" w14:paraId="6E13D5BC"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58B69782"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Koh Kong</w:t>
            </w:r>
          </w:p>
        </w:tc>
        <w:tc>
          <w:tcPr>
            <w:tcW w:w="1720" w:type="dxa"/>
            <w:hideMark/>
          </w:tcPr>
          <w:p w14:paraId="6FDF3768"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132,106</w:t>
            </w:r>
          </w:p>
        </w:tc>
        <w:tc>
          <w:tcPr>
            <w:tcW w:w="1720" w:type="dxa"/>
            <w:noWrap/>
            <w:hideMark/>
          </w:tcPr>
          <w:p w14:paraId="615D812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64,406</w:t>
            </w:r>
          </w:p>
        </w:tc>
        <w:tc>
          <w:tcPr>
            <w:tcW w:w="1720" w:type="dxa"/>
            <w:noWrap/>
            <w:hideMark/>
          </w:tcPr>
          <w:p w14:paraId="5B31608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67,700</w:t>
            </w:r>
          </w:p>
        </w:tc>
        <w:tc>
          <w:tcPr>
            <w:tcW w:w="1720" w:type="dxa"/>
            <w:noWrap/>
            <w:hideMark/>
          </w:tcPr>
          <w:p w14:paraId="105027CE"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24,960</w:t>
            </w:r>
          </w:p>
        </w:tc>
      </w:tr>
      <w:tr w:rsidR="00150993" w:rsidRPr="00150993" w14:paraId="4C8E3769"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09FB8D94"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Kampot</w:t>
            </w:r>
          </w:p>
        </w:tc>
        <w:tc>
          <w:tcPr>
            <w:tcW w:w="1720" w:type="dxa"/>
            <w:noWrap/>
            <w:hideMark/>
          </w:tcPr>
          <w:p w14:paraId="1273190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528,405</w:t>
            </w:r>
          </w:p>
        </w:tc>
        <w:tc>
          <w:tcPr>
            <w:tcW w:w="1720" w:type="dxa"/>
            <w:noWrap/>
            <w:hideMark/>
          </w:tcPr>
          <w:p w14:paraId="6494904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275,320</w:t>
            </w:r>
          </w:p>
        </w:tc>
        <w:tc>
          <w:tcPr>
            <w:tcW w:w="1720" w:type="dxa"/>
            <w:noWrap/>
            <w:hideMark/>
          </w:tcPr>
          <w:p w14:paraId="326F4F4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253,085</w:t>
            </w:r>
          </w:p>
        </w:tc>
        <w:tc>
          <w:tcPr>
            <w:tcW w:w="1720" w:type="dxa"/>
            <w:noWrap/>
            <w:hideMark/>
          </w:tcPr>
          <w:p w14:paraId="73422B9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104,993</w:t>
            </w:r>
          </w:p>
        </w:tc>
      </w:tr>
      <w:tr w:rsidR="00150993" w:rsidRPr="00150993" w14:paraId="6BC29B12"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06F099FB"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Kep</w:t>
            </w:r>
          </w:p>
        </w:tc>
        <w:tc>
          <w:tcPr>
            <w:tcW w:w="1720" w:type="dxa"/>
            <w:noWrap/>
            <w:hideMark/>
          </w:tcPr>
          <w:p w14:paraId="574FD5B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28,660</w:t>
            </w:r>
          </w:p>
        </w:tc>
        <w:tc>
          <w:tcPr>
            <w:tcW w:w="1720" w:type="dxa"/>
            <w:noWrap/>
            <w:hideMark/>
          </w:tcPr>
          <w:p w14:paraId="2CC6119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14,646</w:t>
            </w:r>
          </w:p>
        </w:tc>
        <w:tc>
          <w:tcPr>
            <w:tcW w:w="1720" w:type="dxa"/>
            <w:noWrap/>
            <w:hideMark/>
          </w:tcPr>
          <w:p w14:paraId="459E88D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14,014</w:t>
            </w:r>
          </w:p>
        </w:tc>
        <w:tc>
          <w:tcPr>
            <w:tcW w:w="1720" w:type="dxa"/>
            <w:noWrap/>
            <w:hideMark/>
          </w:tcPr>
          <w:p w14:paraId="6DF504B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5369</w:t>
            </w:r>
          </w:p>
        </w:tc>
      </w:tr>
      <w:tr w:rsidR="00150993" w:rsidRPr="00150993" w14:paraId="287716E6"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23C4038B"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Coastal (total)</w:t>
            </w:r>
          </w:p>
        </w:tc>
        <w:tc>
          <w:tcPr>
            <w:tcW w:w="1720" w:type="dxa"/>
            <w:noWrap/>
            <w:hideMark/>
          </w:tcPr>
          <w:p w14:paraId="31C8A4A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844,861</w:t>
            </w:r>
          </w:p>
        </w:tc>
        <w:tc>
          <w:tcPr>
            <w:tcW w:w="1720" w:type="dxa"/>
            <w:noWrap/>
            <w:hideMark/>
          </w:tcPr>
          <w:p w14:paraId="7961FE4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433,122</w:t>
            </w:r>
          </w:p>
        </w:tc>
        <w:tc>
          <w:tcPr>
            <w:tcW w:w="1720" w:type="dxa"/>
            <w:noWrap/>
            <w:hideMark/>
          </w:tcPr>
          <w:p w14:paraId="3F65A31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411,739</w:t>
            </w:r>
          </w:p>
        </w:tc>
        <w:tc>
          <w:tcPr>
            <w:tcW w:w="1720" w:type="dxa"/>
            <w:noWrap/>
            <w:hideMark/>
          </w:tcPr>
          <w:p w14:paraId="392DADF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163,337</w:t>
            </w:r>
          </w:p>
        </w:tc>
      </w:tr>
      <w:tr w:rsidR="00150993" w:rsidRPr="00150993" w14:paraId="0E9193D7"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shd w:val="clear" w:color="auto" w:fill="2E74B5" w:themeFill="accent5" w:themeFillShade="BF"/>
            <w:noWrap/>
            <w:hideMark/>
          </w:tcPr>
          <w:p w14:paraId="7BB6444D" w14:textId="77777777" w:rsidR="00150993" w:rsidRPr="00150993" w:rsidRDefault="00150993" w:rsidP="006F3FE3">
            <w:pPr>
              <w:jc w:val="center"/>
              <w:rPr>
                <w:rFonts w:ascii="Arial" w:hAnsi="Arial" w:cs="Arial"/>
                <w:b w:val="0"/>
                <w:bCs w:val="0"/>
                <w:color w:val="FFFFFF" w:themeColor="background1"/>
                <w:sz w:val="20"/>
                <w:szCs w:val="20"/>
              </w:rPr>
            </w:pPr>
            <w:r w:rsidRPr="00150993">
              <w:rPr>
                <w:rFonts w:ascii="Arial" w:hAnsi="Arial" w:cs="Arial"/>
                <w:color w:val="FFFFFF" w:themeColor="background1"/>
                <w:sz w:val="20"/>
                <w:szCs w:val="20"/>
              </w:rPr>
              <w:t>Pop. Census 2008</w:t>
            </w:r>
          </w:p>
        </w:tc>
        <w:tc>
          <w:tcPr>
            <w:tcW w:w="1720" w:type="dxa"/>
            <w:shd w:val="clear" w:color="auto" w:fill="2E74B5" w:themeFill="accent5" w:themeFillShade="BF"/>
            <w:noWrap/>
            <w:hideMark/>
          </w:tcPr>
          <w:p w14:paraId="1A673A8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Persons</w:t>
            </w:r>
          </w:p>
        </w:tc>
        <w:tc>
          <w:tcPr>
            <w:tcW w:w="1720" w:type="dxa"/>
            <w:shd w:val="clear" w:color="auto" w:fill="2E74B5" w:themeFill="accent5" w:themeFillShade="BF"/>
            <w:noWrap/>
            <w:hideMark/>
          </w:tcPr>
          <w:p w14:paraId="053C3C8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Females</w:t>
            </w:r>
          </w:p>
        </w:tc>
        <w:tc>
          <w:tcPr>
            <w:tcW w:w="1720" w:type="dxa"/>
            <w:shd w:val="clear" w:color="auto" w:fill="2E74B5" w:themeFill="accent5" w:themeFillShade="BF"/>
            <w:noWrap/>
            <w:hideMark/>
          </w:tcPr>
          <w:p w14:paraId="72EA124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Males</w:t>
            </w:r>
          </w:p>
        </w:tc>
        <w:tc>
          <w:tcPr>
            <w:tcW w:w="1720" w:type="dxa"/>
            <w:shd w:val="clear" w:color="auto" w:fill="2E74B5" w:themeFill="accent5" w:themeFillShade="BF"/>
            <w:noWrap/>
            <w:hideMark/>
          </w:tcPr>
          <w:p w14:paraId="18CD145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Households</w:t>
            </w:r>
          </w:p>
        </w:tc>
      </w:tr>
      <w:tr w:rsidR="00150993" w:rsidRPr="00150993" w14:paraId="4721CE88"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01E150DD"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Preah Sihanouk</w:t>
            </w:r>
          </w:p>
        </w:tc>
        <w:tc>
          <w:tcPr>
            <w:tcW w:w="1720" w:type="dxa"/>
            <w:noWrap/>
            <w:hideMark/>
          </w:tcPr>
          <w:p w14:paraId="3BE7D2C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221,396</w:t>
            </w:r>
          </w:p>
        </w:tc>
        <w:tc>
          <w:tcPr>
            <w:tcW w:w="1720" w:type="dxa"/>
            <w:noWrap/>
            <w:hideMark/>
          </w:tcPr>
          <w:p w14:paraId="478DE16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110,619</w:t>
            </w:r>
          </w:p>
        </w:tc>
        <w:tc>
          <w:tcPr>
            <w:tcW w:w="1720" w:type="dxa"/>
            <w:noWrap/>
            <w:hideMark/>
          </w:tcPr>
          <w:p w14:paraId="290C22D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110,777</w:t>
            </w:r>
          </w:p>
        </w:tc>
        <w:tc>
          <w:tcPr>
            <w:tcW w:w="1720" w:type="dxa"/>
            <w:noWrap/>
            <w:hideMark/>
          </w:tcPr>
          <w:p w14:paraId="51A1CC2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45,237</w:t>
            </w:r>
          </w:p>
        </w:tc>
      </w:tr>
      <w:tr w:rsidR="00150993" w:rsidRPr="00150993" w14:paraId="121D079A"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76FD137D"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Koh Kong</w:t>
            </w:r>
          </w:p>
        </w:tc>
        <w:tc>
          <w:tcPr>
            <w:tcW w:w="1720" w:type="dxa"/>
            <w:noWrap/>
            <w:hideMark/>
          </w:tcPr>
          <w:p w14:paraId="65E1ABA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117,481</w:t>
            </w:r>
          </w:p>
        </w:tc>
        <w:tc>
          <w:tcPr>
            <w:tcW w:w="1720" w:type="dxa"/>
            <w:noWrap/>
            <w:hideMark/>
          </w:tcPr>
          <w:p w14:paraId="1D84031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58,154</w:t>
            </w:r>
          </w:p>
        </w:tc>
        <w:tc>
          <w:tcPr>
            <w:tcW w:w="1720" w:type="dxa"/>
            <w:noWrap/>
            <w:hideMark/>
          </w:tcPr>
          <w:p w14:paraId="6C762FE9"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59,327</w:t>
            </w:r>
          </w:p>
        </w:tc>
        <w:tc>
          <w:tcPr>
            <w:tcW w:w="1720" w:type="dxa"/>
            <w:noWrap/>
            <w:hideMark/>
          </w:tcPr>
          <w:p w14:paraId="0D18F93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24,311</w:t>
            </w:r>
          </w:p>
        </w:tc>
      </w:tr>
      <w:tr w:rsidR="00150993" w:rsidRPr="00150993" w14:paraId="21682669"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7EB94BE6"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Kampot</w:t>
            </w:r>
          </w:p>
        </w:tc>
        <w:tc>
          <w:tcPr>
            <w:tcW w:w="1720" w:type="dxa"/>
            <w:noWrap/>
            <w:hideMark/>
          </w:tcPr>
          <w:p w14:paraId="25A1B629"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585,850</w:t>
            </w:r>
          </w:p>
        </w:tc>
        <w:tc>
          <w:tcPr>
            <w:tcW w:w="1720" w:type="dxa"/>
            <w:noWrap/>
            <w:hideMark/>
          </w:tcPr>
          <w:p w14:paraId="47D6034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301,727</w:t>
            </w:r>
          </w:p>
        </w:tc>
        <w:tc>
          <w:tcPr>
            <w:tcW w:w="1720" w:type="dxa"/>
            <w:noWrap/>
            <w:hideMark/>
          </w:tcPr>
          <w:p w14:paraId="7847D5F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284,123</w:t>
            </w:r>
          </w:p>
        </w:tc>
        <w:tc>
          <w:tcPr>
            <w:tcW w:w="1720" w:type="dxa"/>
            <w:noWrap/>
            <w:hideMark/>
          </w:tcPr>
          <w:p w14:paraId="76E745A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130,084</w:t>
            </w:r>
          </w:p>
        </w:tc>
      </w:tr>
      <w:tr w:rsidR="00150993" w:rsidRPr="00150993" w14:paraId="2B5D6DE5"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33963EAC"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Kep</w:t>
            </w:r>
          </w:p>
        </w:tc>
        <w:tc>
          <w:tcPr>
            <w:tcW w:w="1720" w:type="dxa"/>
            <w:noWrap/>
            <w:hideMark/>
          </w:tcPr>
          <w:p w14:paraId="25EF0CA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35,753</w:t>
            </w:r>
          </w:p>
        </w:tc>
        <w:tc>
          <w:tcPr>
            <w:tcW w:w="1720" w:type="dxa"/>
            <w:noWrap/>
            <w:hideMark/>
          </w:tcPr>
          <w:p w14:paraId="5EC41C2E"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18,079</w:t>
            </w:r>
          </w:p>
        </w:tc>
        <w:tc>
          <w:tcPr>
            <w:tcW w:w="1720" w:type="dxa"/>
            <w:noWrap/>
            <w:hideMark/>
          </w:tcPr>
          <w:p w14:paraId="247A0A8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17,674</w:t>
            </w:r>
          </w:p>
        </w:tc>
        <w:tc>
          <w:tcPr>
            <w:tcW w:w="1720" w:type="dxa"/>
            <w:noWrap/>
            <w:hideMark/>
          </w:tcPr>
          <w:p w14:paraId="78F35DA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7,236</w:t>
            </w:r>
          </w:p>
        </w:tc>
      </w:tr>
      <w:tr w:rsidR="00150993" w:rsidRPr="00150993" w14:paraId="7D968AC5"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3A4DBEF0"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Coastal (total)</w:t>
            </w:r>
          </w:p>
        </w:tc>
        <w:tc>
          <w:tcPr>
            <w:tcW w:w="1720" w:type="dxa"/>
            <w:noWrap/>
            <w:hideMark/>
          </w:tcPr>
          <w:p w14:paraId="53A2C15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960,480</w:t>
            </w:r>
          </w:p>
        </w:tc>
        <w:tc>
          <w:tcPr>
            <w:tcW w:w="1720" w:type="dxa"/>
            <w:noWrap/>
            <w:hideMark/>
          </w:tcPr>
          <w:p w14:paraId="25E13E9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488,579</w:t>
            </w:r>
          </w:p>
        </w:tc>
        <w:tc>
          <w:tcPr>
            <w:tcW w:w="1720" w:type="dxa"/>
            <w:noWrap/>
            <w:hideMark/>
          </w:tcPr>
          <w:p w14:paraId="4D2B01F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471,901</w:t>
            </w:r>
          </w:p>
        </w:tc>
        <w:tc>
          <w:tcPr>
            <w:tcW w:w="1720" w:type="dxa"/>
            <w:noWrap/>
            <w:hideMark/>
          </w:tcPr>
          <w:p w14:paraId="05F75C2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206,868</w:t>
            </w:r>
          </w:p>
        </w:tc>
      </w:tr>
      <w:tr w:rsidR="00150993" w:rsidRPr="00150993" w14:paraId="2F5A7E74"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shd w:val="clear" w:color="auto" w:fill="2E74B5" w:themeFill="accent5" w:themeFillShade="BF"/>
            <w:noWrap/>
            <w:hideMark/>
          </w:tcPr>
          <w:p w14:paraId="1356A287" w14:textId="77777777" w:rsidR="00150993" w:rsidRPr="00150993" w:rsidRDefault="00150993" w:rsidP="006F3FE3">
            <w:pPr>
              <w:jc w:val="center"/>
              <w:rPr>
                <w:rFonts w:ascii="Arial" w:hAnsi="Arial" w:cs="Arial"/>
                <w:b w:val="0"/>
                <w:bCs w:val="0"/>
                <w:color w:val="FFFFFF" w:themeColor="background1"/>
                <w:sz w:val="20"/>
                <w:szCs w:val="20"/>
              </w:rPr>
            </w:pPr>
            <w:r w:rsidRPr="00150993">
              <w:rPr>
                <w:rFonts w:ascii="Arial" w:hAnsi="Arial" w:cs="Arial"/>
                <w:color w:val="FFFFFF" w:themeColor="background1"/>
                <w:sz w:val="20"/>
                <w:szCs w:val="20"/>
              </w:rPr>
              <w:t>Pop. Census 2019</w:t>
            </w:r>
          </w:p>
        </w:tc>
        <w:tc>
          <w:tcPr>
            <w:tcW w:w="1720" w:type="dxa"/>
            <w:shd w:val="clear" w:color="auto" w:fill="2E74B5" w:themeFill="accent5" w:themeFillShade="BF"/>
            <w:noWrap/>
            <w:hideMark/>
          </w:tcPr>
          <w:p w14:paraId="7DA5CB5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Persons</w:t>
            </w:r>
          </w:p>
        </w:tc>
        <w:tc>
          <w:tcPr>
            <w:tcW w:w="1720" w:type="dxa"/>
            <w:shd w:val="clear" w:color="auto" w:fill="2E74B5" w:themeFill="accent5" w:themeFillShade="BF"/>
            <w:noWrap/>
            <w:hideMark/>
          </w:tcPr>
          <w:p w14:paraId="5C77A31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Females</w:t>
            </w:r>
          </w:p>
        </w:tc>
        <w:tc>
          <w:tcPr>
            <w:tcW w:w="1720" w:type="dxa"/>
            <w:shd w:val="clear" w:color="auto" w:fill="2E74B5" w:themeFill="accent5" w:themeFillShade="BF"/>
            <w:noWrap/>
            <w:hideMark/>
          </w:tcPr>
          <w:p w14:paraId="74B7E62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Males</w:t>
            </w:r>
          </w:p>
        </w:tc>
        <w:tc>
          <w:tcPr>
            <w:tcW w:w="1720" w:type="dxa"/>
            <w:shd w:val="clear" w:color="auto" w:fill="2E74B5" w:themeFill="accent5" w:themeFillShade="BF"/>
            <w:noWrap/>
            <w:hideMark/>
          </w:tcPr>
          <w:p w14:paraId="4E04F5E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150993">
              <w:rPr>
                <w:rFonts w:ascii="Arial" w:hAnsi="Arial" w:cs="Arial"/>
                <w:b/>
                <w:bCs/>
                <w:color w:val="FFFFFF" w:themeColor="background1"/>
                <w:sz w:val="20"/>
                <w:szCs w:val="20"/>
              </w:rPr>
              <w:t>Households</w:t>
            </w:r>
          </w:p>
        </w:tc>
      </w:tr>
      <w:tr w:rsidR="00150993" w:rsidRPr="00150993" w14:paraId="2CB97EEE"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3DB1F252"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Preah Sihanouk</w:t>
            </w:r>
          </w:p>
        </w:tc>
        <w:tc>
          <w:tcPr>
            <w:tcW w:w="1720" w:type="dxa"/>
            <w:noWrap/>
            <w:hideMark/>
          </w:tcPr>
          <w:p w14:paraId="6EAA06E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310,072</w:t>
            </w:r>
          </w:p>
        </w:tc>
        <w:tc>
          <w:tcPr>
            <w:tcW w:w="1720" w:type="dxa"/>
            <w:noWrap/>
            <w:hideMark/>
          </w:tcPr>
          <w:p w14:paraId="0BD6F6C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148,610</w:t>
            </w:r>
          </w:p>
        </w:tc>
        <w:tc>
          <w:tcPr>
            <w:tcW w:w="1720" w:type="dxa"/>
            <w:noWrap/>
            <w:hideMark/>
          </w:tcPr>
          <w:p w14:paraId="50C6E32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161,462</w:t>
            </w:r>
          </w:p>
        </w:tc>
        <w:tc>
          <w:tcPr>
            <w:tcW w:w="1720" w:type="dxa"/>
            <w:noWrap/>
            <w:hideMark/>
          </w:tcPr>
          <w:p w14:paraId="7904157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47,381</w:t>
            </w:r>
          </w:p>
        </w:tc>
      </w:tr>
      <w:tr w:rsidR="00150993" w:rsidRPr="00150993" w14:paraId="5A43AD39"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6347498D"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Koh Kong</w:t>
            </w:r>
          </w:p>
        </w:tc>
        <w:tc>
          <w:tcPr>
            <w:tcW w:w="1720" w:type="dxa"/>
            <w:noWrap/>
            <w:hideMark/>
          </w:tcPr>
          <w:p w14:paraId="40DD7EF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125,902</w:t>
            </w:r>
          </w:p>
        </w:tc>
        <w:tc>
          <w:tcPr>
            <w:tcW w:w="1720" w:type="dxa"/>
            <w:noWrap/>
            <w:hideMark/>
          </w:tcPr>
          <w:p w14:paraId="0C5B996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62,458</w:t>
            </w:r>
          </w:p>
        </w:tc>
        <w:tc>
          <w:tcPr>
            <w:tcW w:w="1720" w:type="dxa"/>
            <w:noWrap/>
            <w:hideMark/>
          </w:tcPr>
          <w:p w14:paraId="3119B51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63,444</w:t>
            </w:r>
          </w:p>
        </w:tc>
        <w:tc>
          <w:tcPr>
            <w:tcW w:w="1720" w:type="dxa"/>
            <w:noWrap/>
            <w:hideMark/>
          </w:tcPr>
          <w:p w14:paraId="424488D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28,027</w:t>
            </w:r>
          </w:p>
        </w:tc>
      </w:tr>
      <w:tr w:rsidR="00150993" w:rsidRPr="00150993" w14:paraId="6C226AB6"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71595838"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Kampot</w:t>
            </w:r>
          </w:p>
        </w:tc>
        <w:tc>
          <w:tcPr>
            <w:tcW w:w="1720" w:type="dxa"/>
            <w:noWrap/>
            <w:hideMark/>
          </w:tcPr>
          <w:p w14:paraId="0B9A477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593,829</w:t>
            </w:r>
          </w:p>
        </w:tc>
        <w:tc>
          <w:tcPr>
            <w:tcW w:w="1720" w:type="dxa"/>
            <w:noWrap/>
            <w:hideMark/>
          </w:tcPr>
          <w:p w14:paraId="38B57D0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306,239</w:t>
            </w:r>
          </w:p>
        </w:tc>
        <w:tc>
          <w:tcPr>
            <w:tcW w:w="1720" w:type="dxa"/>
            <w:noWrap/>
            <w:hideMark/>
          </w:tcPr>
          <w:p w14:paraId="258A174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287,590</w:t>
            </w:r>
          </w:p>
        </w:tc>
        <w:tc>
          <w:tcPr>
            <w:tcW w:w="1720" w:type="dxa"/>
            <w:noWrap/>
            <w:hideMark/>
          </w:tcPr>
          <w:p w14:paraId="3DAB352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143,402</w:t>
            </w:r>
          </w:p>
        </w:tc>
      </w:tr>
      <w:tr w:rsidR="00150993" w:rsidRPr="00150993" w14:paraId="7634320D" w14:textId="77777777" w:rsidTr="00150993">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7F64B0A3"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Kep</w:t>
            </w:r>
          </w:p>
        </w:tc>
        <w:tc>
          <w:tcPr>
            <w:tcW w:w="1720" w:type="dxa"/>
            <w:noWrap/>
            <w:hideMark/>
          </w:tcPr>
          <w:p w14:paraId="54D96C6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42,665</w:t>
            </w:r>
          </w:p>
        </w:tc>
        <w:tc>
          <w:tcPr>
            <w:tcW w:w="1720" w:type="dxa"/>
            <w:noWrap/>
            <w:hideMark/>
          </w:tcPr>
          <w:p w14:paraId="342089C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21,601</w:t>
            </w:r>
          </w:p>
        </w:tc>
        <w:tc>
          <w:tcPr>
            <w:tcW w:w="1720" w:type="dxa"/>
            <w:noWrap/>
            <w:hideMark/>
          </w:tcPr>
          <w:p w14:paraId="5F517EE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21,064</w:t>
            </w:r>
          </w:p>
        </w:tc>
        <w:tc>
          <w:tcPr>
            <w:tcW w:w="1720" w:type="dxa"/>
            <w:noWrap/>
            <w:hideMark/>
          </w:tcPr>
          <w:p w14:paraId="547DB92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9,605</w:t>
            </w:r>
          </w:p>
        </w:tc>
      </w:tr>
      <w:tr w:rsidR="00150993" w:rsidRPr="00150993" w14:paraId="3C9959CC" w14:textId="77777777" w:rsidTr="00150993">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14:paraId="4B7121B8" w14:textId="77777777" w:rsidR="00150993" w:rsidRPr="00150993" w:rsidRDefault="00150993" w:rsidP="006F3FE3">
            <w:pPr>
              <w:jc w:val="right"/>
              <w:rPr>
                <w:rFonts w:ascii="Arial" w:hAnsi="Arial" w:cs="Arial"/>
                <w:color w:val="000000"/>
                <w:sz w:val="20"/>
                <w:szCs w:val="20"/>
              </w:rPr>
            </w:pPr>
            <w:r w:rsidRPr="00150993">
              <w:rPr>
                <w:rFonts w:ascii="Arial" w:hAnsi="Arial" w:cs="Arial"/>
                <w:color w:val="000000"/>
                <w:sz w:val="20"/>
                <w:szCs w:val="20"/>
              </w:rPr>
              <w:t>Coastal (total)</w:t>
            </w:r>
          </w:p>
        </w:tc>
        <w:tc>
          <w:tcPr>
            <w:tcW w:w="1720" w:type="dxa"/>
            <w:noWrap/>
            <w:hideMark/>
          </w:tcPr>
          <w:p w14:paraId="4E27799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1,072,468</w:t>
            </w:r>
          </w:p>
        </w:tc>
        <w:tc>
          <w:tcPr>
            <w:tcW w:w="1720" w:type="dxa"/>
            <w:noWrap/>
            <w:hideMark/>
          </w:tcPr>
          <w:p w14:paraId="5B6F94D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538,908</w:t>
            </w:r>
          </w:p>
        </w:tc>
        <w:tc>
          <w:tcPr>
            <w:tcW w:w="1720" w:type="dxa"/>
            <w:noWrap/>
            <w:hideMark/>
          </w:tcPr>
          <w:p w14:paraId="62AD6B1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533,560</w:t>
            </w:r>
          </w:p>
        </w:tc>
        <w:tc>
          <w:tcPr>
            <w:tcW w:w="1720" w:type="dxa"/>
            <w:noWrap/>
            <w:hideMark/>
          </w:tcPr>
          <w:p w14:paraId="31F26F0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50993">
              <w:rPr>
                <w:rFonts w:ascii="Arial" w:hAnsi="Arial" w:cs="Arial"/>
                <w:color w:val="000000"/>
                <w:sz w:val="20"/>
                <w:szCs w:val="20"/>
              </w:rPr>
              <w:t>228,415</w:t>
            </w:r>
          </w:p>
        </w:tc>
      </w:tr>
    </w:tbl>
    <w:p w14:paraId="6216B82E" w14:textId="0F413CAD" w:rsidR="00150993" w:rsidRPr="00150993" w:rsidRDefault="00150993" w:rsidP="00150993">
      <w:pPr>
        <w:spacing w:after="120"/>
        <w:rPr>
          <w:rFonts w:ascii="Arial" w:hAnsi="Arial" w:cs="Arial"/>
          <w:sz w:val="18"/>
          <w:szCs w:val="18"/>
        </w:rPr>
      </w:pPr>
      <w:r w:rsidRPr="00150993">
        <w:rPr>
          <w:rFonts w:ascii="Arial" w:hAnsi="Arial" w:cs="Arial"/>
          <w:b/>
          <w:bCs/>
          <w:sz w:val="18"/>
          <w:szCs w:val="18"/>
        </w:rPr>
        <w:t>Source:</w:t>
      </w:r>
      <w:r w:rsidRPr="00150993">
        <w:rPr>
          <w:rFonts w:ascii="Arial" w:hAnsi="Arial" w:cs="Arial"/>
          <w:sz w:val="18"/>
          <w:szCs w:val="18"/>
        </w:rPr>
        <w:t xml:space="preserve"> NIE, General Population Census of Cambodia (1998, 2008, 2019)</w:t>
      </w:r>
    </w:p>
    <w:p w14:paraId="63F0265E" w14:textId="4CD9ED45" w:rsidR="000D4269" w:rsidRPr="00AA36E4" w:rsidRDefault="00AA36E4" w:rsidP="00AA36E4">
      <w:pPr>
        <w:pStyle w:val="Caption"/>
        <w:keepNext/>
        <w:spacing w:before="240" w:after="120"/>
        <w:rPr>
          <w:rFonts w:ascii="Arial" w:eastAsiaTheme="minorHAnsi" w:hAnsi="Arial" w:cs="Arial"/>
          <w:color w:val="002060"/>
          <w:kern w:val="2"/>
          <w:sz w:val="22"/>
          <w:szCs w:val="22"/>
          <w14:ligatures w14:val="standardContextual"/>
        </w:rPr>
      </w:pPr>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3</w:t>
      </w:r>
      <w:r w:rsidRPr="00150993">
        <w:rPr>
          <w:rFonts w:ascii="Arial" w:eastAsiaTheme="minorHAnsi" w:hAnsi="Arial" w:cs="Arial"/>
          <w:color w:val="002060"/>
          <w:kern w:val="2"/>
          <w:sz w:val="22"/>
          <w:szCs w:val="22"/>
          <w14:ligatures w14:val="standardContextual"/>
        </w:rPr>
        <w:fldChar w:fldCharType="end"/>
      </w:r>
      <w:r w:rsidRPr="00150993">
        <w:rPr>
          <w:rFonts w:ascii="Arial" w:eastAsiaTheme="minorHAnsi" w:hAnsi="Arial" w:cs="Arial"/>
          <w:color w:val="002060"/>
          <w:kern w:val="2"/>
          <w:sz w:val="22"/>
          <w:szCs w:val="22"/>
          <w14:ligatures w14:val="standardContextual"/>
        </w:rPr>
        <w:t xml:space="preserve"> Subnational Coastal </w:t>
      </w:r>
      <w:r>
        <w:rPr>
          <w:rFonts w:ascii="Arial" w:eastAsiaTheme="minorHAnsi" w:hAnsi="Arial" w:cs="Arial"/>
          <w:color w:val="002060"/>
          <w:kern w:val="2"/>
          <w:sz w:val="22"/>
          <w:szCs w:val="22"/>
          <w14:ligatures w14:val="standardContextual"/>
        </w:rPr>
        <w:t xml:space="preserve">Demographic indicators/data </w:t>
      </w:r>
      <w:r w:rsidRPr="00150993">
        <w:rPr>
          <w:rFonts w:ascii="Arial" w:eastAsiaTheme="minorHAnsi" w:hAnsi="Arial" w:cs="Arial"/>
          <w:color w:val="002060"/>
          <w:kern w:val="2"/>
          <w:sz w:val="22"/>
          <w:szCs w:val="22"/>
          <w14:ligatures w14:val="standardContextual"/>
        </w:rPr>
        <w:t>(1998, 2008, &amp; 2019)</w:t>
      </w:r>
    </w:p>
    <w:tbl>
      <w:tblPr>
        <w:tblStyle w:val="GridTable4-Accent5"/>
        <w:tblW w:w="9005" w:type="dxa"/>
        <w:tblLook w:val="04A0" w:firstRow="1" w:lastRow="0" w:firstColumn="1" w:lastColumn="0" w:noHBand="0" w:noVBand="1"/>
      </w:tblPr>
      <w:tblGrid>
        <w:gridCol w:w="3964"/>
        <w:gridCol w:w="1560"/>
        <w:gridCol w:w="992"/>
        <w:gridCol w:w="709"/>
        <w:gridCol w:w="1780"/>
      </w:tblGrid>
      <w:tr w:rsidR="00AA36E4" w:rsidRPr="00AA36E4" w14:paraId="69857E05" w14:textId="77777777" w:rsidTr="00ED4BA7">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14:paraId="11DEDA2F" w14:textId="0D408084" w:rsidR="00AA36E4" w:rsidRPr="00AA36E4" w:rsidRDefault="00AA36E4">
            <w:pPr>
              <w:rPr>
                <w:rFonts w:ascii="Arial" w:hAnsi="Arial" w:cs="Arial"/>
                <w:sz w:val="20"/>
                <w:szCs w:val="20"/>
              </w:rPr>
            </w:pPr>
            <w:r w:rsidRPr="00AA36E4">
              <w:rPr>
                <w:rFonts w:ascii="Arial" w:hAnsi="Arial" w:cs="Arial"/>
                <w:sz w:val="20"/>
                <w:szCs w:val="20"/>
              </w:rPr>
              <w:t>Areas of subnational Coastal region (km</w:t>
            </w:r>
            <w:r w:rsidRPr="00AA36E4">
              <w:rPr>
                <w:rFonts w:ascii="Arial" w:hAnsi="Arial" w:cs="Arial"/>
                <w:sz w:val="20"/>
                <w:szCs w:val="20"/>
                <w:vertAlign w:val="superscript"/>
              </w:rPr>
              <w:t>2</w:t>
            </w:r>
            <w:r w:rsidRPr="00AA36E4">
              <w:rPr>
                <w:rFonts w:ascii="Arial" w:hAnsi="Arial" w:cs="Arial"/>
                <w:sz w:val="20"/>
                <w:szCs w:val="20"/>
              </w:rPr>
              <w:t>)</w:t>
            </w:r>
          </w:p>
        </w:tc>
        <w:tc>
          <w:tcPr>
            <w:tcW w:w="5041" w:type="dxa"/>
            <w:gridSpan w:val="4"/>
            <w:shd w:val="clear" w:color="auto" w:fill="2E74B5" w:themeFill="accent5" w:themeFillShade="BF"/>
            <w:noWrap/>
            <w:vAlign w:val="center"/>
            <w:hideMark/>
          </w:tcPr>
          <w:p w14:paraId="08DEE1B4" w14:textId="75404A41" w:rsidR="00AA36E4" w:rsidRPr="00AA36E4" w:rsidRDefault="00AA36E4" w:rsidP="00AA36E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20</w:t>
            </w:r>
            <w:r>
              <w:rPr>
                <w:rFonts w:ascii="Arial" w:hAnsi="Arial" w:cs="Arial"/>
                <w:sz w:val="20"/>
                <w:szCs w:val="20"/>
              </w:rPr>
              <w:t>19</w:t>
            </w:r>
          </w:p>
        </w:tc>
      </w:tr>
      <w:tr w:rsidR="00AA36E4" w:rsidRPr="00AA36E4" w14:paraId="6DF64D5C" w14:textId="77777777" w:rsidTr="00CD2D4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41407888"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Coastal area</w:t>
            </w:r>
          </w:p>
        </w:tc>
        <w:tc>
          <w:tcPr>
            <w:tcW w:w="5041" w:type="dxa"/>
            <w:gridSpan w:val="4"/>
            <w:noWrap/>
            <w:vAlign w:val="center"/>
            <w:hideMark/>
          </w:tcPr>
          <w:p w14:paraId="659A5D33"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17,237</w:t>
            </w:r>
          </w:p>
        </w:tc>
      </w:tr>
      <w:tr w:rsidR="00AA36E4" w:rsidRPr="00AA36E4" w14:paraId="0D3697F4" w14:textId="77777777" w:rsidTr="005072FF">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1D02A87A"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Preah Sihanouk</w:t>
            </w:r>
          </w:p>
        </w:tc>
        <w:tc>
          <w:tcPr>
            <w:tcW w:w="5041" w:type="dxa"/>
            <w:gridSpan w:val="4"/>
            <w:noWrap/>
            <w:vAlign w:val="center"/>
            <w:hideMark/>
          </w:tcPr>
          <w:p w14:paraId="56AB85BD"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1,938</w:t>
            </w:r>
          </w:p>
        </w:tc>
      </w:tr>
      <w:tr w:rsidR="00AA36E4" w:rsidRPr="00AA36E4" w14:paraId="426CDEC6" w14:textId="77777777" w:rsidTr="00E21E9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02701B86"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Koh Kong</w:t>
            </w:r>
          </w:p>
        </w:tc>
        <w:tc>
          <w:tcPr>
            <w:tcW w:w="5041" w:type="dxa"/>
            <w:gridSpan w:val="4"/>
            <w:noWrap/>
            <w:vAlign w:val="center"/>
            <w:hideMark/>
          </w:tcPr>
          <w:p w14:paraId="6A185474"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10,090</w:t>
            </w:r>
          </w:p>
        </w:tc>
      </w:tr>
      <w:tr w:rsidR="00AA36E4" w:rsidRPr="00AA36E4" w14:paraId="2CD04ECC" w14:textId="77777777" w:rsidTr="001E31CD">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65AB3CB3"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Kampot</w:t>
            </w:r>
          </w:p>
        </w:tc>
        <w:tc>
          <w:tcPr>
            <w:tcW w:w="5041" w:type="dxa"/>
            <w:gridSpan w:val="4"/>
            <w:noWrap/>
            <w:vAlign w:val="center"/>
            <w:hideMark/>
          </w:tcPr>
          <w:p w14:paraId="4574CC59"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4,873</w:t>
            </w:r>
          </w:p>
        </w:tc>
      </w:tr>
      <w:tr w:rsidR="00AA36E4" w:rsidRPr="00AA36E4" w14:paraId="2A05EF77" w14:textId="77777777" w:rsidTr="00267F9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4E6BA121"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Kep</w:t>
            </w:r>
          </w:p>
        </w:tc>
        <w:tc>
          <w:tcPr>
            <w:tcW w:w="5041" w:type="dxa"/>
            <w:gridSpan w:val="4"/>
            <w:noWrap/>
            <w:vAlign w:val="center"/>
            <w:hideMark/>
          </w:tcPr>
          <w:p w14:paraId="2885A489"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336</w:t>
            </w:r>
          </w:p>
        </w:tc>
      </w:tr>
      <w:tr w:rsidR="00AA36E4" w:rsidRPr="00AA36E4" w14:paraId="0085781B"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14:paraId="40C07DF3" w14:textId="5522848D" w:rsidR="000D4269" w:rsidRPr="00AA36E4" w:rsidRDefault="000D4269">
            <w:pPr>
              <w:rPr>
                <w:rFonts w:ascii="Arial" w:hAnsi="Arial" w:cs="Arial"/>
                <w:color w:val="FFFFFF" w:themeColor="background1"/>
                <w:sz w:val="20"/>
                <w:szCs w:val="20"/>
              </w:rPr>
            </w:pPr>
            <w:r w:rsidRPr="00AA36E4">
              <w:rPr>
                <w:rFonts w:ascii="Arial" w:hAnsi="Arial" w:cs="Arial"/>
                <w:color w:val="FFFFFF" w:themeColor="background1"/>
                <w:sz w:val="20"/>
                <w:szCs w:val="20"/>
              </w:rPr>
              <w:t>Subnational coastal populations as % of national population</w:t>
            </w:r>
          </w:p>
        </w:tc>
        <w:tc>
          <w:tcPr>
            <w:tcW w:w="1560" w:type="dxa"/>
            <w:shd w:val="clear" w:color="auto" w:fill="2E74B5" w:themeFill="accent5" w:themeFillShade="BF"/>
            <w:noWrap/>
            <w:vAlign w:val="center"/>
            <w:hideMark/>
          </w:tcPr>
          <w:p w14:paraId="33ACA553"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1998</w:t>
            </w:r>
          </w:p>
        </w:tc>
        <w:tc>
          <w:tcPr>
            <w:tcW w:w="1701" w:type="dxa"/>
            <w:gridSpan w:val="2"/>
            <w:shd w:val="clear" w:color="auto" w:fill="2E74B5" w:themeFill="accent5" w:themeFillShade="BF"/>
            <w:noWrap/>
            <w:vAlign w:val="center"/>
            <w:hideMark/>
          </w:tcPr>
          <w:p w14:paraId="014F3706"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2008</w:t>
            </w:r>
          </w:p>
        </w:tc>
        <w:tc>
          <w:tcPr>
            <w:tcW w:w="1780" w:type="dxa"/>
            <w:shd w:val="clear" w:color="auto" w:fill="2E74B5" w:themeFill="accent5" w:themeFillShade="BF"/>
            <w:noWrap/>
            <w:vAlign w:val="center"/>
            <w:hideMark/>
          </w:tcPr>
          <w:p w14:paraId="56FE9ACC"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2019</w:t>
            </w:r>
          </w:p>
        </w:tc>
      </w:tr>
      <w:tr w:rsidR="00AA36E4" w:rsidRPr="00AA36E4" w14:paraId="20BD5F0F" w14:textId="77777777" w:rsidTr="00AA36E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1B5D4348" w14:textId="223FAB96" w:rsidR="00AA36E4" w:rsidRPr="00AA36E4" w:rsidRDefault="00AA36E4" w:rsidP="00AA36E4">
            <w:pPr>
              <w:jc w:val="right"/>
              <w:rPr>
                <w:rFonts w:ascii="Arial" w:hAnsi="Arial" w:cs="Arial"/>
                <w:sz w:val="20"/>
                <w:szCs w:val="20"/>
              </w:rPr>
            </w:pPr>
            <w:r w:rsidRPr="00AA36E4">
              <w:rPr>
                <w:rFonts w:ascii="Arial" w:hAnsi="Arial" w:cs="Arial"/>
                <w:i/>
                <w:iCs/>
                <w:sz w:val="20"/>
                <w:szCs w:val="20"/>
              </w:rPr>
              <w:t>Coastal area</w:t>
            </w:r>
          </w:p>
        </w:tc>
        <w:tc>
          <w:tcPr>
            <w:tcW w:w="1560" w:type="dxa"/>
            <w:noWrap/>
            <w:vAlign w:val="center"/>
            <w:hideMark/>
          </w:tcPr>
          <w:p w14:paraId="63EADFB8"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7.30</w:t>
            </w:r>
          </w:p>
        </w:tc>
        <w:tc>
          <w:tcPr>
            <w:tcW w:w="1701" w:type="dxa"/>
            <w:gridSpan w:val="2"/>
            <w:noWrap/>
            <w:vAlign w:val="center"/>
            <w:hideMark/>
          </w:tcPr>
          <w:p w14:paraId="449594E2"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7.20</w:t>
            </w:r>
          </w:p>
        </w:tc>
        <w:tc>
          <w:tcPr>
            <w:tcW w:w="1780" w:type="dxa"/>
            <w:noWrap/>
            <w:vAlign w:val="center"/>
            <w:hideMark/>
          </w:tcPr>
          <w:p w14:paraId="397D8E00"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6.90</w:t>
            </w:r>
          </w:p>
        </w:tc>
      </w:tr>
      <w:tr w:rsidR="00AA36E4" w:rsidRPr="00AA36E4" w14:paraId="0C85D802"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1BF479C0" w14:textId="7D8BFF8A" w:rsidR="00AA36E4" w:rsidRPr="00AA36E4" w:rsidRDefault="00AA36E4" w:rsidP="00AA36E4">
            <w:pPr>
              <w:jc w:val="right"/>
              <w:rPr>
                <w:rFonts w:ascii="Arial" w:hAnsi="Arial" w:cs="Arial"/>
                <w:sz w:val="20"/>
                <w:szCs w:val="20"/>
              </w:rPr>
            </w:pPr>
            <w:r w:rsidRPr="00AA36E4">
              <w:rPr>
                <w:rFonts w:ascii="Arial" w:hAnsi="Arial" w:cs="Arial"/>
                <w:i/>
                <w:iCs/>
                <w:sz w:val="20"/>
                <w:szCs w:val="20"/>
              </w:rPr>
              <w:t>Preah Sihanouk</w:t>
            </w:r>
          </w:p>
        </w:tc>
        <w:tc>
          <w:tcPr>
            <w:tcW w:w="1560" w:type="dxa"/>
            <w:noWrap/>
            <w:vAlign w:val="center"/>
            <w:hideMark/>
          </w:tcPr>
          <w:p w14:paraId="0CEF702D"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1.50</w:t>
            </w:r>
          </w:p>
        </w:tc>
        <w:tc>
          <w:tcPr>
            <w:tcW w:w="1701" w:type="dxa"/>
            <w:gridSpan w:val="2"/>
            <w:noWrap/>
            <w:vAlign w:val="center"/>
            <w:hideMark/>
          </w:tcPr>
          <w:p w14:paraId="58AF3561"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1.70</w:t>
            </w:r>
          </w:p>
        </w:tc>
        <w:tc>
          <w:tcPr>
            <w:tcW w:w="1780" w:type="dxa"/>
            <w:noWrap/>
            <w:vAlign w:val="center"/>
            <w:hideMark/>
          </w:tcPr>
          <w:p w14:paraId="549FAB92"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2.00</w:t>
            </w:r>
          </w:p>
        </w:tc>
      </w:tr>
      <w:tr w:rsidR="00AA36E4" w:rsidRPr="00AA36E4" w14:paraId="67395DCB" w14:textId="77777777" w:rsidTr="00AA36E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05BC81A6" w14:textId="270FEE21" w:rsidR="00AA36E4" w:rsidRPr="00AA36E4" w:rsidRDefault="00AA36E4" w:rsidP="00AA36E4">
            <w:pPr>
              <w:jc w:val="right"/>
              <w:rPr>
                <w:rFonts w:ascii="Arial" w:hAnsi="Arial" w:cs="Arial"/>
                <w:sz w:val="20"/>
                <w:szCs w:val="20"/>
              </w:rPr>
            </w:pPr>
            <w:r w:rsidRPr="00AA36E4">
              <w:rPr>
                <w:rFonts w:ascii="Arial" w:hAnsi="Arial" w:cs="Arial"/>
                <w:i/>
                <w:iCs/>
                <w:sz w:val="20"/>
                <w:szCs w:val="20"/>
              </w:rPr>
              <w:t>Koh Kong</w:t>
            </w:r>
          </w:p>
        </w:tc>
        <w:tc>
          <w:tcPr>
            <w:tcW w:w="1560" w:type="dxa"/>
            <w:noWrap/>
            <w:vAlign w:val="center"/>
            <w:hideMark/>
          </w:tcPr>
          <w:p w14:paraId="2BC66445"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1.01</w:t>
            </w:r>
          </w:p>
        </w:tc>
        <w:tc>
          <w:tcPr>
            <w:tcW w:w="1701" w:type="dxa"/>
            <w:gridSpan w:val="2"/>
            <w:noWrap/>
            <w:vAlign w:val="center"/>
            <w:hideMark/>
          </w:tcPr>
          <w:p w14:paraId="75016FEC"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0.90</w:t>
            </w:r>
          </w:p>
        </w:tc>
        <w:tc>
          <w:tcPr>
            <w:tcW w:w="1780" w:type="dxa"/>
            <w:noWrap/>
            <w:vAlign w:val="center"/>
            <w:hideMark/>
          </w:tcPr>
          <w:p w14:paraId="532FAE2A"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0.80</w:t>
            </w:r>
          </w:p>
        </w:tc>
      </w:tr>
      <w:tr w:rsidR="00AA36E4" w:rsidRPr="00AA36E4" w14:paraId="7EBB0FC7"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1ED01B1A" w14:textId="126DD12D" w:rsidR="00AA36E4" w:rsidRPr="00AA36E4" w:rsidRDefault="00AA36E4" w:rsidP="00AA36E4">
            <w:pPr>
              <w:jc w:val="right"/>
              <w:rPr>
                <w:rFonts w:ascii="Arial" w:hAnsi="Arial" w:cs="Arial"/>
                <w:sz w:val="20"/>
                <w:szCs w:val="20"/>
              </w:rPr>
            </w:pPr>
            <w:r w:rsidRPr="00AA36E4">
              <w:rPr>
                <w:rFonts w:ascii="Arial" w:hAnsi="Arial" w:cs="Arial"/>
                <w:i/>
                <w:iCs/>
                <w:sz w:val="20"/>
                <w:szCs w:val="20"/>
              </w:rPr>
              <w:t>Kampot</w:t>
            </w:r>
          </w:p>
        </w:tc>
        <w:tc>
          <w:tcPr>
            <w:tcW w:w="1560" w:type="dxa"/>
            <w:noWrap/>
            <w:vAlign w:val="center"/>
            <w:hideMark/>
          </w:tcPr>
          <w:p w14:paraId="30AC6C91"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4.62</w:t>
            </w:r>
          </w:p>
        </w:tc>
        <w:tc>
          <w:tcPr>
            <w:tcW w:w="1701" w:type="dxa"/>
            <w:gridSpan w:val="2"/>
            <w:noWrap/>
            <w:vAlign w:val="center"/>
            <w:hideMark/>
          </w:tcPr>
          <w:p w14:paraId="61CDD263"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4.40</w:t>
            </w:r>
          </w:p>
        </w:tc>
        <w:tc>
          <w:tcPr>
            <w:tcW w:w="1780" w:type="dxa"/>
            <w:noWrap/>
            <w:vAlign w:val="center"/>
            <w:hideMark/>
          </w:tcPr>
          <w:p w14:paraId="300D0665"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3.80</w:t>
            </w:r>
          </w:p>
        </w:tc>
      </w:tr>
      <w:tr w:rsidR="00AA36E4" w:rsidRPr="00AA36E4" w14:paraId="20FF3784" w14:textId="77777777" w:rsidTr="00AA36E4">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6959433F" w14:textId="514BB682" w:rsidR="00AA36E4" w:rsidRPr="00AA36E4" w:rsidRDefault="00AA36E4" w:rsidP="00AA36E4">
            <w:pPr>
              <w:jc w:val="right"/>
              <w:rPr>
                <w:rFonts w:ascii="Arial" w:hAnsi="Arial" w:cs="Arial"/>
                <w:sz w:val="20"/>
                <w:szCs w:val="20"/>
              </w:rPr>
            </w:pPr>
            <w:r w:rsidRPr="00AA36E4">
              <w:rPr>
                <w:rFonts w:ascii="Arial" w:hAnsi="Arial" w:cs="Arial"/>
                <w:i/>
                <w:iCs/>
                <w:sz w:val="20"/>
                <w:szCs w:val="20"/>
              </w:rPr>
              <w:t>Kep</w:t>
            </w:r>
          </w:p>
        </w:tc>
        <w:tc>
          <w:tcPr>
            <w:tcW w:w="1560" w:type="dxa"/>
            <w:noWrap/>
            <w:vAlign w:val="center"/>
            <w:hideMark/>
          </w:tcPr>
          <w:p w14:paraId="2075AEC4"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0.25</w:t>
            </w:r>
          </w:p>
        </w:tc>
        <w:tc>
          <w:tcPr>
            <w:tcW w:w="1701" w:type="dxa"/>
            <w:gridSpan w:val="2"/>
            <w:noWrap/>
            <w:vAlign w:val="center"/>
            <w:hideMark/>
          </w:tcPr>
          <w:p w14:paraId="5DBE57BD"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0.30</w:t>
            </w:r>
          </w:p>
        </w:tc>
        <w:tc>
          <w:tcPr>
            <w:tcW w:w="1780" w:type="dxa"/>
            <w:noWrap/>
            <w:vAlign w:val="center"/>
            <w:hideMark/>
          </w:tcPr>
          <w:p w14:paraId="6A38D2E3"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0.30</w:t>
            </w:r>
          </w:p>
        </w:tc>
      </w:tr>
      <w:tr w:rsidR="00AA36E4" w:rsidRPr="00AA36E4" w14:paraId="67489B39" w14:textId="77777777" w:rsidTr="001041AD">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14:paraId="7A018FC0" w14:textId="7AAD4C47" w:rsidR="00AA36E4" w:rsidRPr="00AA36E4" w:rsidRDefault="00AA36E4">
            <w:pPr>
              <w:rPr>
                <w:rFonts w:ascii="Arial" w:hAnsi="Arial" w:cs="Arial"/>
                <w:color w:val="FFFFFF" w:themeColor="background1"/>
                <w:sz w:val="20"/>
                <w:szCs w:val="20"/>
              </w:rPr>
            </w:pPr>
            <w:r w:rsidRPr="00AA36E4">
              <w:rPr>
                <w:rFonts w:ascii="Arial" w:hAnsi="Arial" w:cs="Arial"/>
                <w:color w:val="FFFFFF" w:themeColor="background1"/>
                <w:sz w:val="20"/>
                <w:szCs w:val="20"/>
              </w:rPr>
              <w:t>Subnational  Coastal region areas as % of national area</w:t>
            </w:r>
          </w:p>
        </w:tc>
        <w:tc>
          <w:tcPr>
            <w:tcW w:w="5041" w:type="dxa"/>
            <w:gridSpan w:val="4"/>
            <w:shd w:val="clear" w:color="auto" w:fill="2E74B5" w:themeFill="accent5" w:themeFillShade="BF"/>
            <w:noWrap/>
            <w:vAlign w:val="center"/>
            <w:hideMark/>
          </w:tcPr>
          <w:p w14:paraId="7C266048" w14:textId="4D21D37F"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2019</w:t>
            </w:r>
          </w:p>
        </w:tc>
      </w:tr>
      <w:tr w:rsidR="00AA36E4" w:rsidRPr="00AA36E4" w14:paraId="65382850" w14:textId="77777777" w:rsidTr="005B461D">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6777B74A" w14:textId="658DCAA0" w:rsidR="00AA36E4" w:rsidRPr="00AA36E4" w:rsidRDefault="00AA36E4" w:rsidP="00AA36E4">
            <w:pPr>
              <w:jc w:val="right"/>
              <w:rPr>
                <w:rFonts w:ascii="Arial" w:hAnsi="Arial" w:cs="Arial"/>
                <w:sz w:val="20"/>
                <w:szCs w:val="20"/>
              </w:rPr>
            </w:pPr>
            <w:r w:rsidRPr="00AA36E4">
              <w:rPr>
                <w:rFonts w:ascii="Arial" w:hAnsi="Arial" w:cs="Arial"/>
                <w:i/>
                <w:iCs/>
                <w:sz w:val="20"/>
                <w:szCs w:val="20"/>
              </w:rPr>
              <w:t>Coastal area</w:t>
            </w:r>
          </w:p>
        </w:tc>
        <w:tc>
          <w:tcPr>
            <w:tcW w:w="5041" w:type="dxa"/>
            <w:gridSpan w:val="4"/>
            <w:noWrap/>
            <w:vAlign w:val="center"/>
            <w:hideMark/>
          </w:tcPr>
          <w:p w14:paraId="1114C78D"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9.52</w:t>
            </w:r>
          </w:p>
        </w:tc>
      </w:tr>
      <w:tr w:rsidR="00AA36E4" w:rsidRPr="00AA36E4" w14:paraId="4E35AFD5" w14:textId="77777777" w:rsidTr="00774D03">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366F78D4" w14:textId="5731F82C" w:rsidR="00AA36E4" w:rsidRPr="00AA36E4" w:rsidRDefault="00AA36E4" w:rsidP="00AA36E4">
            <w:pPr>
              <w:jc w:val="right"/>
              <w:rPr>
                <w:rFonts w:ascii="Arial" w:hAnsi="Arial" w:cs="Arial"/>
                <w:sz w:val="20"/>
                <w:szCs w:val="20"/>
              </w:rPr>
            </w:pPr>
            <w:r w:rsidRPr="00AA36E4">
              <w:rPr>
                <w:rFonts w:ascii="Arial" w:hAnsi="Arial" w:cs="Arial"/>
                <w:i/>
                <w:iCs/>
                <w:sz w:val="20"/>
                <w:szCs w:val="20"/>
              </w:rPr>
              <w:t>Preah Sihanouk</w:t>
            </w:r>
          </w:p>
        </w:tc>
        <w:tc>
          <w:tcPr>
            <w:tcW w:w="5041" w:type="dxa"/>
            <w:gridSpan w:val="4"/>
            <w:noWrap/>
            <w:vAlign w:val="center"/>
            <w:hideMark/>
          </w:tcPr>
          <w:p w14:paraId="6A07F457"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1.07</w:t>
            </w:r>
          </w:p>
        </w:tc>
      </w:tr>
      <w:tr w:rsidR="00AA36E4" w:rsidRPr="00AA36E4" w14:paraId="052CF01F" w14:textId="77777777" w:rsidTr="0038169B">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7CA74C60" w14:textId="3539A221" w:rsidR="00AA36E4" w:rsidRPr="00AA36E4" w:rsidRDefault="00AA36E4" w:rsidP="00AA36E4">
            <w:pPr>
              <w:jc w:val="right"/>
              <w:rPr>
                <w:rFonts w:ascii="Arial" w:hAnsi="Arial" w:cs="Arial"/>
                <w:sz w:val="20"/>
                <w:szCs w:val="20"/>
              </w:rPr>
            </w:pPr>
            <w:r w:rsidRPr="00AA36E4">
              <w:rPr>
                <w:rFonts w:ascii="Arial" w:hAnsi="Arial" w:cs="Arial"/>
                <w:i/>
                <w:iCs/>
                <w:sz w:val="20"/>
                <w:szCs w:val="20"/>
              </w:rPr>
              <w:t>Koh Kong</w:t>
            </w:r>
          </w:p>
        </w:tc>
        <w:tc>
          <w:tcPr>
            <w:tcW w:w="5041" w:type="dxa"/>
            <w:gridSpan w:val="4"/>
            <w:noWrap/>
            <w:vAlign w:val="center"/>
            <w:hideMark/>
          </w:tcPr>
          <w:p w14:paraId="4F6C34A8"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5.57</w:t>
            </w:r>
          </w:p>
        </w:tc>
      </w:tr>
      <w:tr w:rsidR="00AA36E4" w:rsidRPr="00AA36E4" w14:paraId="32F574FB" w14:textId="77777777" w:rsidTr="00FC0151">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280475A2" w14:textId="4774C0A6" w:rsidR="00AA36E4" w:rsidRPr="00AA36E4" w:rsidRDefault="00AA36E4" w:rsidP="00AA36E4">
            <w:pPr>
              <w:jc w:val="right"/>
              <w:rPr>
                <w:rFonts w:ascii="Arial" w:hAnsi="Arial" w:cs="Arial"/>
                <w:sz w:val="20"/>
                <w:szCs w:val="20"/>
              </w:rPr>
            </w:pPr>
            <w:r w:rsidRPr="00AA36E4">
              <w:rPr>
                <w:rFonts w:ascii="Arial" w:hAnsi="Arial" w:cs="Arial"/>
                <w:i/>
                <w:iCs/>
                <w:sz w:val="20"/>
                <w:szCs w:val="20"/>
              </w:rPr>
              <w:t>Kampot</w:t>
            </w:r>
          </w:p>
        </w:tc>
        <w:tc>
          <w:tcPr>
            <w:tcW w:w="5041" w:type="dxa"/>
            <w:gridSpan w:val="4"/>
            <w:noWrap/>
            <w:vAlign w:val="center"/>
            <w:hideMark/>
          </w:tcPr>
          <w:p w14:paraId="6FDAAB95"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2.69</w:t>
            </w:r>
          </w:p>
        </w:tc>
      </w:tr>
      <w:tr w:rsidR="00AA36E4" w:rsidRPr="00AA36E4" w14:paraId="037ABE03" w14:textId="77777777" w:rsidTr="0007638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0D9592C9" w14:textId="1C35817B" w:rsidR="00AA36E4" w:rsidRPr="00AA36E4" w:rsidRDefault="00AA36E4" w:rsidP="00AA36E4">
            <w:pPr>
              <w:jc w:val="right"/>
              <w:rPr>
                <w:rFonts w:ascii="Arial" w:hAnsi="Arial" w:cs="Arial"/>
                <w:sz w:val="20"/>
                <w:szCs w:val="20"/>
              </w:rPr>
            </w:pPr>
            <w:r w:rsidRPr="00AA36E4">
              <w:rPr>
                <w:rFonts w:ascii="Arial" w:hAnsi="Arial" w:cs="Arial"/>
                <w:i/>
                <w:iCs/>
                <w:sz w:val="20"/>
                <w:szCs w:val="20"/>
              </w:rPr>
              <w:t>Kep</w:t>
            </w:r>
          </w:p>
        </w:tc>
        <w:tc>
          <w:tcPr>
            <w:tcW w:w="5041" w:type="dxa"/>
            <w:gridSpan w:val="4"/>
            <w:noWrap/>
            <w:vAlign w:val="center"/>
            <w:hideMark/>
          </w:tcPr>
          <w:p w14:paraId="1E5D7C6A"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0.19</w:t>
            </w:r>
          </w:p>
        </w:tc>
      </w:tr>
      <w:tr w:rsidR="00AA36E4" w:rsidRPr="00AA36E4" w14:paraId="7F8C7A0C"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14:paraId="16D821DB" w14:textId="18DBC8FD" w:rsidR="00AA36E4" w:rsidRPr="00AA36E4" w:rsidRDefault="00AA36E4">
            <w:pPr>
              <w:rPr>
                <w:rFonts w:ascii="Arial" w:hAnsi="Arial" w:cs="Arial"/>
                <w:color w:val="FFFFFF" w:themeColor="background1"/>
                <w:sz w:val="20"/>
                <w:szCs w:val="20"/>
              </w:rPr>
            </w:pPr>
            <w:r w:rsidRPr="00AA36E4">
              <w:rPr>
                <w:rFonts w:ascii="Arial" w:hAnsi="Arial" w:cs="Arial"/>
                <w:color w:val="FFFFFF" w:themeColor="background1"/>
                <w:sz w:val="20"/>
                <w:szCs w:val="20"/>
              </w:rPr>
              <w:t>Annual Subnational  Coastal region population changes</w:t>
            </w:r>
            <w:r>
              <w:rPr>
                <w:rFonts w:ascii="Arial" w:hAnsi="Arial" w:cs="Arial"/>
                <w:color w:val="FFFFFF" w:themeColor="background1"/>
                <w:sz w:val="20"/>
                <w:szCs w:val="20"/>
              </w:rPr>
              <w:t xml:space="preserve"> (%)</w:t>
            </w:r>
          </w:p>
        </w:tc>
        <w:tc>
          <w:tcPr>
            <w:tcW w:w="2552" w:type="dxa"/>
            <w:gridSpan w:val="2"/>
            <w:shd w:val="clear" w:color="auto" w:fill="2E74B5" w:themeFill="accent5" w:themeFillShade="BF"/>
            <w:noWrap/>
            <w:vAlign w:val="center"/>
            <w:hideMark/>
          </w:tcPr>
          <w:p w14:paraId="5A50715B" w14:textId="4BD1CB68"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1998-2008</w:t>
            </w:r>
          </w:p>
        </w:tc>
        <w:tc>
          <w:tcPr>
            <w:tcW w:w="2489" w:type="dxa"/>
            <w:gridSpan w:val="2"/>
            <w:shd w:val="clear" w:color="auto" w:fill="2E74B5" w:themeFill="accent5" w:themeFillShade="BF"/>
            <w:noWrap/>
            <w:vAlign w:val="center"/>
            <w:hideMark/>
          </w:tcPr>
          <w:p w14:paraId="5B199596"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2008-2019</w:t>
            </w:r>
          </w:p>
        </w:tc>
      </w:tr>
      <w:tr w:rsidR="00AA36E4" w:rsidRPr="00AA36E4" w14:paraId="41CBC801" w14:textId="77777777" w:rsidTr="00AA36E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4B332767"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Coastal area</w:t>
            </w:r>
          </w:p>
        </w:tc>
        <w:tc>
          <w:tcPr>
            <w:tcW w:w="2552" w:type="dxa"/>
            <w:gridSpan w:val="2"/>
            <w:noWrap/>
            <w:vAlign w:val="center"/>
            <w:hideMark/>
          </w:tcPr>
          <w:p w14:paraId="106F8AE9" w14:textId="3158DC48"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0.80</w:t>
            </w:r>
          </w:p>
        </w:tc>
        <w:tc>
          <w:tcPr>
            <w:tcW w:w="2489" w:type="dxa"/>
            <w:gridSpan w:val="2"/>
            <w:noWrap/>
            <w:vAlign w:val="center"/>
            <w:hideMark/>
          </w:tcPr>
          <w:p w14:paraId="2230B63B"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1.00</w:t>
            </w:r>
          </w:p>
        </w:tc>
      </w:tr>
      <w:tr w:rsidR="00AA36E4" w:rsidRPr="00AA36E4" w14:paraId="2C16E6E3"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41C4AEA5"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Preah Sihanouk</w:t>
            </w:r>
          </w:p>
        </w:tc>
        <w:tc>
          <w:tcPr>
            <w:tcW w:w="2552" w:type="dxa"/>
            <w:gridSpan w:val="2"/>
            <w:noWrap/>
            <w:vAlign w:val="center"/>
            <w:hideMark/>
          </w:tcPr>
          <w:p w14:paraId="37DE944D" w14:textId="0410FD05"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2.54</w:t>
            </w:r>
          </w:p>
        </w:tc>
        <w:tc>
          <w:tcPr>
            <w:tcW w:w="2489" w:type="dxa"/>
            <w:gridSpan w:val="2"/>
            <w:noWrap/>
            <w:vAlign w:val="center"/>
            <w:hideMark/>
          </w:tcPr>
          <w:p w14:paraId="70EC160D"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3.10</w:t>
            </w:r>
          </w:p>
        </w:tc>
      </w:tr>
      <w:tr w:rsidR="00AA36E4" w:rsidRPr="00AA36E4" w14:paraId="16B6DE53" w14:textId="77777777" w:rsidTr="00AA36E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05A4572E"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Koh Kong</w:t>
            </w:r>
          </w:p>
        </w:tc>
        <w:tc>
          <w:tcPr>
            <w:tcW w:w="2552" w:type="dxa"/>
            <w:gridSpan w:val="2"/>
            <w:noWrap/>
            <w:vAlign w:val="center"/>
            <w:hideMark/>
          </w:tcPr>
          <w:p w14:paraId="028486F4" w14:textId="0844B309"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0.12</w:t>
            </w:r>
          </w:p>
        </w:tc>
        <w:tc>
          <w:tcPr>
            <w:tcW w:w="2489" w:type="dxa"/>
            <w:gridSpan w:val="2"/>
            <w:noWrap/>
            <w:vAlign w:val="center"/>
            <w:hideMark/>
          </w:tcPr>
          <w:p w14:paraId="3139EFF2"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0.60</w:t>
            </w:r>
          </w:p>
        </w:tc>
      </w:tr>
      <w:tr w:rsidR="00AA36E4" w:rsidRPr="00AA36E4" w14:paraId="440BCB17"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007BE49B"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Kampot</w:t>
            </w:r>
          </w:p>
        </w:tc>
        <w:tc>
          <w:tcPr>
            <w:tcW w:w="2552" w:type="dxa"/>
            <w:gridSpan w:val="2"/>
            <w:noWrap/>
            <w:vAlign w:val="center"/>
            <w:hideMark/>
          </w:tcPr>
          <w:p w14:paraId="4205A1ED" w14:textId="52D6B4F5"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1.03</w:t>
            </w:r>
          </w:p>
        </w:tc>
        <w:tc>
          <w:tcPr>
            <w:tcW w:w="2489" w:type="dxa"/>
            <w:gridSpan w:val="2"/>
            <w:noWrap/>
            <w:vAlign w:val="center"/>
            <w:hideMark/>
          </w:tcPr>
          <w:p w14:paraId="6D21C83D"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0.10</w:t>
            </w:r>
          </w:p>
        </w:tc>
      </w:tr>
      <w:tr w:rsidR="00AA36E4" w:rsidRPr="00AA36E4" w14:paraId="490C904D" w14:textId="77777777" w:rsidTr="00AA36E4">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137AFFCF"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Kep</w:t>
            </w:r>
          </w:p>
        </w:tc>
        <w:tc>
          <w:tcPr>
            <w:tcW w:w="2552" w:type="dxa"/>
            <w:gridSpan w:val="2"/>
            <w:noWrap/>
            <w:vAlign w:val="center"/>
            <w:hideMark/>
          </w:tcPr>
          <w:p w14:paraId="533361C0" w14:textId="1AA8F4E0"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2.21</w:t>
            </w:r>
          </w:p>
        </w:tc>
        <w:tc>
          <w:tcPr>
            <w:tcW w:w="2489" w:type="dxa"/>
            <w:gridSpan w:val="2"/>
            <w:noWrap/>
            <w:vAlign w:val="center"/>
            <w:hideMark/>
          </w:tcPr>
          <w:p w14:paraId="7539E4D4"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1.60</w:t>
            </w:r>
          </w:p>
        </w:tc>
      </w:tr>
      <w:tr w:rsidR="00AA36E4" w:rsidRPr="00AA36E4" w14:paraId="76844C5A"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14:paraId="0208BA69" w14:textId="233479B5" w:rsidR="000D4269" w:rsidRPr="00AA36E4" w:rsidRDefault="000D4269">
            <w:pPr>
              <w:rPr>
                <w:rFonts w:ascii="Arial" w:hAnsi="Arial" w:cs="Arial"/>
                <w:color w:val="FFFFFF" w:themeColor="background1"/>
                <w:sz w:val="20"/>
                <w:szCs w:val="20"/>
              </w:rPr>
            </w:pPr>
            <w:r w:rsidRPr="00AA36E4">
              <w:rPr>
                <w:rFonts w:ascii="Arial" w:hAnsi="Arial" w:cs="Arial"/>
                <w:color w:val="FFFFFF" w:themeColor="background1"/>
                <w:sz w:val="20"/>
                <w:szCs w:val="20"/>
              </w:rPr>
              <w:t>Coastal population densities</w:t>
            </w:r>
            <w:r w:rsidR="00AA36E4">
              <w:rPr>
                <w:rFonts w:ascii="Arial" w:hAnsi="Arial" w:cs="Arial"/>
                <w:color w:val="FFFFFF" w:themeColor="background1"/>
                <w:sz w:val="20"/>
                <w:szCs w:val="20"/>
              </w:rPr>
              <w:t xml:space="preserve"> (person/km</w:t>
            </w:r>
            <w:r w:rsidR="00AA36E4">
              <w:rPr>
                <w:rFonts w:ascii="Arial" w:hAnsi="Arial" w:cs="Arial"/>
                <w:color w:val="FFFFFF" w:themeColor="background1"/>
                <w:sz w:val="20"/>
                <w:szCs w:val="20"/>
                <w:vertAlign w:val="superscript"/>
              </w:rPr>
              <w:t>2</w:t>
            </w:r>
            <w:r w:rsidR="00AA36E4">
              <w:rPr>
                <w:rFonts w:ascii="Arial" w:hAnsi="Arial" w:cs="Arial"/>
                <w:color w:val="FFFFFF" w:themeColor="background1"/>
                <w:sz w:val="20"/>
                <w:szCs w:val="20"/>
              </w:rPr>
              <w:t>)</w:t>
            </w:r>
          </w:p>
        </w:tc>
        <w:tc>
          <w:tcPr>
            <w:tcW w:w="1560" w:type="dxa"/>
            <w:shd w:val="clear" w:color="auto" w:fill="2E74B5" w:themeFill="accent5" w:themeFillShade="BF"/>
            <w:noWrap/>
            <w:vAlign w:val="center"/>
            <w:hideMark/>
          </w:tcPr>
          <w:p w14:paraId="23E3F8DB"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1998</w:t>
            </w:r>
          </w:p>
        </w:tc>
        <w:tc>
          <w:tcPr>
            <w:tcW w:w="1701" w:type="dxa"/>
            <w:gridSpan w:val="2"/>
            <w:shd w:val="clear" w:color="auto" w:fill="2E74B5" w:themeFill="accent5" w:themeFillShade="BF"/>
            <w:noWrap/>
            <w:vAlign w:val="center"/>
            <w:hideMark/>
          </w:tcPr>
          <w:p w14:paraId="7BCEB190"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2008</w:t>
            </w:r>
          </w:p>
        </w:tc>
        <w:tc>
          <w:tcPr>
            <w:tcW w:w="1780" w:type="dxa"/>
            <w:shd w:val="clear" w:color="auto" w:fill="2E74B5" w:themeFill="accent5" w:themeFillShade="BF"/>
            <w:noWrap/>
            <w:vAlign w:val="center"/>
            <w:hideMark/>
          </w:tcPr>
          <w:p w14:paraId="437EE782"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2019</w:t>
            </w:r>
          </w:p>
        </w:tc>
      </w:tr>
      <w:tr w:rsidR="00AA36E4" w:rsidRPr="00AA36E4" w14:paraId="79813DCD" w14:textId="77777777" w:rsidTr="00AA36E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4C7208A3" w14:textId="77777777" w:rsidR="000D4269" w:rsidRPr="00AA36E4" w:rsidRDefault="000D4269" w:rsidP="00AA36E4">
            <w:pPr>
              <w:jc w:val="right"/>
              <w:rPr>
                <w:rFonts w:ascii="Arial" w:hAnsi="Arial" w:cs="Arial"/>
                <w:i/>
                <w:iCs/>
                <w:sz w:val="20"/>
                <w:szCs w:val="20"/>
              </w:rPr>
            </w:pPr>
            <w:r w:rsidRPr="00AA36E4">
              <w:rPr>
                <w:rFonts w:ascii="Arial" w:hAnsi="Arial" w:cs="Arial"/>
                <w:i/>
                <w:iCs/>
                <w:sz w:val="20"/>
                <w:szCs w:val="20"/>
              </w:rPr>
              <w:t>Coastal area</w:t>
            </w:r>
          </w:p>
        </w:tc>
        <w:tc>
          <w:tcPr>
            <w:tcW w:w="1560" w:type="dxa"/>
            <w:noWrap/>
            <w:vAlign w:val="center"/>
            <w:hideMark/>
          </w:tcPr>
          <w:p w14:paraId="4DC23D71"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49</w:t>
            </w:r>
          </w:p>
        </w:tc>
        <w:tc>
          <w:tcPr>
            <w:tcW w:w="1701" w:type="dxa"/>
            <w:gridSpan w:val="2"/>
            <w:noWrap/>
            <w:vAlign w:val="center"/>
            <w:hideMark/>
          </w:tcPr>
          <w:p w14:paraId="2FBBE4EE"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56</w:t>
            </w:r>
          </w:p>
        </w:tc>
        <w:tc>
          <w:tcPr>
            <w:tcW w:w="1780" w:type="dxa"/>
            <w:noWrap/>
            <w:vAlign w:val="center"/>
            <w:hideMark/>
          </w:tcPr>
          <w:p w14:paraId="564A3FDF"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62</w:t>
            </w:r>
          </w:p>
        </w:tc>
      </w:tr>
      <w:tr w:rsidR="00AA36E4" w:rsidRPr="00AA36E4" w14:paraId="71FB3FA7"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6E2CE1F9" w14:textId="77777777" w:rsidR="000D4269" w:rsidRPr="00AA36E4" w:rsidRDefault="000D4269" w:rsidP="00AA36E4">
            <w:pPr>
              <w:jc w:val="right"/>
              <w:rPr>
                <w:rFonts w:ascii="Arial" w:hAnsi="Arial" w:cs="Arial"/>
                <w:i/>
                <w:iCs/>
                <w:sz w:val="20"/>
                <w:szCs w:val="20"/>
              </w:rPr>
            </w:pPr>
            <w:r w:rsidRPr="00AA36E4">
              <w:rPr>
                <w:rFonts w:ascii="Arial" w:hAnsi="Arial" w:cs="Arial"/>
                <w:i/>
                <w:iCs/>
                <w:sz w:val="20"/>
                <w:szCs w:val="20"/>
              </w:rPr>
              <w:t>Preah Sihanouk</w:t>
            </w:r>
          </w:p>
        </w:tc>
        <w:tc>
          <w:tcPr>
            <w:tcW w:w="1560" w:type="dxa"/>
            <w:noWrap/>
            <w:vAlign w:val="center"/>
            <w:hideMark/>
          </w:tcPr>
          <w:p w14:paraId="4AE5FB14"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89</w:t>
            </w:r>
          </w:p>
        </w:tc>
        <w:tc>
          <w:tcPr>
            <w:tcW w:w="1701" w:type="dxa"/>
            <w:gridSpan w:val="2"/>
            <w:noWrap/>
            <w:vAlign w:val="center"/>
            <w:hideMark/>
          </w:tcPr>
          <w:p w14:paraId="73DDFE36"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114</w:t>
            </w:r>
          </w:p>
        </w:tc>
        <w:tc>
          <w:tcPr>
            <w:tcW w:w="1780" w:type="dxa"/>
            <w:noWrap/>
            <w:vAlign w:val="center"/>
            <w:hideMark/>
          </w:tcPr>
          <w:p w14:paraId="266E568E"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160</w:t>
            </w:r>
          </w:p>
        </w:tc>
      </w:tr>
      <w:tr w:rsidR="00AA36E4" w:rsidRPr="00AA36E4" w14:paraId="237728FE" w14:textId="77777777" w:rsidTr="00AA36E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4EC5E11A" w14:textId="77777777" w:rsidR="000D4269" w:rsidRPr="00AA36E4" w:rsidRDefault="000D4269" w:rsidP="00AA36E4">
            <w:pPr>
              <w:jc w:val="right"/>
              <w:rPr>
                <w:rFonts w:ascii="Arial" w:hAnsi="Arial" w:cs="Arial"/>
                <w:i/>
                <w:iCs/>
                <w:sz w:val="20"/>
                <w:szCs w:val="20"/>
              </w:rPr>
            </w:pPr>
            <w:r w:rsidRPr="00AA36E4">
              <w:rPr>
                <w:rFonts w:ascii="Arial" w:hAnsi="Arial" w:cs="Arial"/>
                <w:i/>
                <w:iCs/>
                <w:sz w:val="20"/>
                <w:szCs w:val="20"/>
              </w:rPr>
              <w:t>Koh Kong</w:t>
            </w:r>
          </w:p>
        </w:tc>
        <w:tc>
          <w:tcPr>
            <w:tcW w:w="1560" w:type="dxa"/>
            <w:noWrap/>
            <w:vAlign w:val="center"/>
            <w:hideMark/>
          </w:tcPr>
          <w:p w14:paraId="185990F8"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12</w:t>
            </w:r>
          </w:p>
        </w:tc>
        <w:tc>
          <w:tcPr>
            <w:tcW w:w="1701" w:type="dxa"/>
            <w:gridSpan w:val="2"/>
            <w:noWrap/>
            <w:vAlign w:val="center"/>
            <w:hideMark/>
          </w:tcPr>
          <w:p w14:paraId="3F1B2A7F"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12</w:t>
            </w:r>
          </w:p>
        </w:tc>
        <w:tc>
          <w:tcPr>
            <w:tcW w:w="1780" w:type="dxa"/>
            <w:noWrap/>
            <w:vAlign w:val="center"/>
            <w:hideMark/>
          </w:tcPr>
          <w:p w14:paraId="103A3104"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12</w:t>
            </w:r>
          </w:p>
        </w:tc>
      </w:tr>
      <w:tr w:rsidR="00AA36E4" w:rsidRPr="00AA36E4" w14:paraId="0FB8468A"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2D6C5724" w14:textId="77777777" w:rsidR="000D4269" w:rsidRPr="00AA36E4" w:rsidRDefault="000D4269" w:rsidP="00AA36E4">
            <w:pPr>
              <w:jc w:val="right"/>
              <w:rPr>
                <w:rFonts w:ascii="Arial" w:hAnsi="Arial" w:cs="Arial"/>
                <w:i/>
                <w:iCs/>
                <w:sz w:val="20"/>
                <w:szCs w:val="20"/>
              </w:rPr>
            </w:pPr>
            <w:r w:rsidRPr="00AA36E4">
              <w:rPr>
                <w:rFonts w:ascii="Arial" w:hAnsi="Arial" w:cs="Arial"/>
                <w:i/>
                <w:iCs/>
                <w:sz w:val="20"/>
                <w:szCs w:val="20"/>
              </w:rPr>
              <w:t>Kampot</w:t>
            </w:r>
          </w:p>
        </w:tc>
        <w:tc>
          <w:tcPr>
            <w:tcW w:w="1560" w:type="dxa"/>
            <w:noWrap/>
            <w:vAlign w:val="center"/>
            <w:hideMark/>
          </w:tcPr>
          <w:p w14:paraId="3057C2C4"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108</w:t>
            </w:r>
          </w:p>
        </w:tc>
        <w:tc>
          <w:tcPr>
            <w:tcW w:w="1701" w:type="dxa"/>
            <w:gridSpan w:val="2"/>
            <w:noWrap/>
            <w:vAlign w:val="center"/>
            <w:hideMark/>
          </w:tcPr>
          <w:p w14:paraId="31D7A601"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120</w:t>
            </w:r>
          </w:p>
        </w:tc>
        <w:tc>
          <w:tcPr>
            <w:tcW w:w="1780" w:type="dxa"/>
            <w:noWrap/>
            <w:vAlign w:val="center"/>
            <w:hideMark/>
          </w:tcPr>
          <w:p w14:paraId="3908552C" w14:textId="77777777" w:rsidR="000D4269" w:rsidRPr="00AA36E4" w:rsidRDefault="000D4269"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122</w:t>
            </w:r>
          </w:p>
        </w:tc>
      </w:tr>
      <w:tr w:rsidR="00AA36E4" w:rsidRPr="00AA36E4" w14:paraId="44BAB9B0" w14:textId="77777777" w:rsidTr="00AA36E4">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2B76CF89" w14:textId="77777777" w:rsidR="000D4269" w:rsidRPr="00AA36E4" w:rsidRDefault="000D4269" w:rsidP="00AA36E4">
            <w:pPr>
              <w:jc w:val="right"/>
              <w:rPr>
                <w:rFonts w:ascii="Arial" w:hAnsi="Arial" w:cs="Arial"/>
                <w:i/>
                <w:iCs/>
                <w:sz w:val="20"/>
                <w:szCs w:val="20"/>
              </w:rPr>
            </w:pPr>
            <w:r w:rsidRPr="00AA36E4">
              <w:rPr>
                <w:rFonts w:ascii="Arial" w:hAnsi="Arial" w:cs="Arial"/>
                <w:i/>
                <w:iCs/>
                <w:sz w:val="20"/>
                <w:szCs w:val="20"/>
              </w:rPr>
              <w:t>Kep</w:t>
            </w:r>
          </w:p>
        </w:tc>
        <w:tc>
          <w:tcPr>
            <w:tcW w:w="1560" w:type="dxa"/>
            <w:noWrap/>
            <w:vAlign w:val="center"/>
            <w:hideMark/>
          </w:tcPr>
          <w:p w14:paraId="0804857A"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85</w:t>
            </w:r>
          </w:p>
        </w:tc>
        <w:tc>
          <w:tcPr>
            <w:tcW w:w="1701" w:type="dxa"/>
            <w:gridSpan w:val="2"/>
            <w:noWrap/>
            <w:vAlign w:val="center"/>
            <w:hideMark/>
          </w:tcPr>
          <w:p w14:paraId="30815078"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106</w:t>
            </w:r>
          </w:p>
        </w:tc>
        <w:tc>
          <w:tcPr>
            <w:tcW w:w="1780" w:type="dxa"/>
            <w:noWrap/>
            <w:vAlign w:val="center"/>
            <w:hideMark/>
          </w:tcPr>
          <w:p w14:paraId="6BF8D971" w14:textId="77777777" w:rsidR="000D4269" w:rsidRPr="00AA36E4" w:rsidRDefault="000D4269"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127</w:t>
            </w:r>
          </w:p>
        </w:tc>
      </w:tr>
      <w:tr w:rsidR="00AA36E4" w:rsidRPr="00AA36E4" w14:paraId="3880361C"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14:paraId="4A7275AB" w14:textId="4870DB93" w:rsidR="00AA36E4" w:rsidRPr="00AA36E4" w:rsidRDefault="00AA36E4" w:rsidP="00AA36E4">
            <w:pPr>
              <w:rPr>
                <w:rFonts w:ascii="Arial" w:hAnsi="Arial" w:cs="Arial"/>
                <w:color w:val="FFFFFF" w:themeColor="background1"/>
                <w:sz w:val="20"/>
                <w:szCs w:val="20"/>
              </w:rPr>
            </w:pPr>
            <w:r w:rsidRPr="00AA36E4">
              <w:rPr>
                <w:rFonts w:ascii="Arial" w:hAnsi="Arial" w:cs="Arial"/>
                <w:color w:val="FFFFFF" w:themeColor="background1"/>
                <w:sz w:val="20"/>
                <w:szCs w:val="20"/>
              </w:rPr>
              <w:t>% of national population in rural and urban areas</w:t>
            </w:r>
            <w:r>
              <w:rPr>
                <w:rFonts w:ascii="Arial" w:hAnsi="Arial" w:cs="Arial"/>
                <w:color w:val="FFFFFF" w:themeColor="background1"/>
                <w:sz w:val="20"/>
                <w:szCs w:val="20"/>
              </w:rPr>
              <w:t xml:space="preserve"> (%)</w:t>
            </w:r>
          </w:p>
        </w:tc>
        <w:tc>
          <w:tcPr>
            <w:tcW w:w="1560" w:type="dxa"/>
            <w:shd w:val="clear" w:color="auto" w:fill="2E74B5" w:themeFill="accent5" w:themeFillShade="BF"/>
            <w:noWrap/>
            <w:vAlign w:val="center"/>
            <w:hideMark/>
          </w:tcPr>
          <w:p w14:paraId="24190E12" w14:textId="571416F9"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1998</w:t>
            </w:r>
          </w:p>
        </w:tc>
        <w:tc>
          <w:tcPr>
            <w:tcW w:w="1701" w:type="dxa"/>
            <w:gridSpan w:val="2"/>
            <w:shd w:val="clear" w:color="auto" w:fill="2E74B5" w:themeFill="accent5" w:themeFillShade="BF"/>
            <w:noWrap/>
            <w:vAlign w:val="center"/>
            <w:hideMark/>
          </w:tcPr>
          <w:p w14:paraId="703D800F" w14:textId="38C23B8E"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2008</w:t>
            </w:r>
          </w:p>
        </w:tc>
        <w:tc>
          <w:tcPr>
            <w:tcW w:w="1780" w:type="dxa"/>
            <w:shd w:val="clear" w:color="auto" w:fill="2E74B5" w:themeFill="accent5" w:themeFillShade="BF"/>
            <w:noWrap/>
            <w:vAlign w:val="center"/>
            <w:hideMark/>
          </w:tcPr>
          <w:p w14:paraId="0266B025" w14:textId="0E737C0C"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0"/>
                <w:szCs w:val="20"/>
              </w:rPr>
            </w:pPr>
            <w:r w:rsidRPr="00AA36E4">
              <w:rPr>
                <w:rFonts w:ascii="Arial" w:hAnsi="Arial" w:cs="Arial"/>
                <w:b/>
                <w:bCs/>
                <w:color w:val="FFFFFF" w:themeColor="background1"/>
                <w:sz w:val="20"/>
                <w:szCs w:val="20"/>
              </w:rPr>
              <w:t>2019</w:t>
            </w:r>
          </w:p>
        </w:tc>
      </w:tr>
      <w:tr w:rsidR="00AA36E4" w:rsidRPr="00AA36E4" w14:paraId="78133DD4" w14:textId="77777777" w:rsidTr="00AA36E4">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29A8B2A2"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Urban</w:t>
            </w:r>
          </w:p>
        </w:tc>
        <w:tc>
          <w:tcPr>
            <w:tcW w:w="1560" w:type="dxa"/>
            <w:noWrap/>
            <w:vAlign w:val="center"/>
            <w:hideMark/>
          </w:tcPr>
          <w:p w14:paraId="47D9AEE4"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15.7</w:t>
            </w:r>
          </w:p>
        </w:tc>
        <w:tc>
          <w:tcPr>
            <w:tcW w:w="1701" w:type="dxa"/>
            <w:gridSpan w:val="2"/>
            <w:noWrap/>
            <w:vAlign w:val="center"/>
            <w:hideMark/>
          </w:tcPr>
          <w:p w14:paraId="051749F5"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19.51</w:t>
            </w:r>
          </w:p>
        </w:tc>
        <w:tc>
          <w:tcPr>
            <w:tcW w:w="1780" w:type="dxa"/>
            <w:noWrap/>
            <w:vAlign w:val="center"/>
            <w:hideMark/>
          </w:tcPr>
          <w:p w14:paraId="697CE969" w14:textId="77777777" w:rsidR="00AA36E4" w:rsidRPr="00AA36E4" w:rsidRDefault="00AA36E4" w:rsidP="00AA36E4">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A36E4">
              <w:rPr>
                <w:rFonts w:ascii="Arial" w:hAnsi="Arial" w:cs="Arial"/>
                <w:sz w:val="20"/>
                <w:szCs w:val="20"/>
              </w:rPr>
              <w:t>39.45</w:t>
            </w:r>
          </w:p>
        </w:tc>
      </w:tr>
      <w:tr w:rsidR="00AA36E4" w:rsidRPr="00AA36E4" w14:paraId="78F08EBE" w14:textId="77777777" w:rsidTr="00AA36E4">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14:paraId="1537E24F" w14:textId="77777777" w:rsidR="00AA36E4" w:rsidRPr="00AA36E4" w:rsidRDefault="00AA36E4" w:rsidP="00AA36E4">
            <w:pPr>
              <w:jc w:val="right"/>
              <w:rPr>
                <w:rFonts w:ascii="Arial" w:hAnsi="Arial" w:cs="Arial"/>
                <w:i/>
                <w:iCs/>
                <w:sz w:val="20"/>
                <w:szCs w:val="20"/>
              </w:rPr>
            </w:pPr>
            <w:r w:rsidRPr="00AA36E4">
              <w:rPr>
                <w:rFonts w:ascii="Arial" w:hAnsi="Arial" w:cs="Arial"/>
                <w:i/>
                <w:iCs/>
                <w:sz w:val="20"/>
                <w:szCs w:val="20"/>
              </w:rPr>
              <w:t>Rural</w:t>
            </w:r>
          </w:p>
        </w:tc>
        <w:tc>
          <w:tcPr>
            <w:tcW w:w="1560" w:type="dxa"/>
            <w:noWrap/>
            <w:vAlign w:val="center"/>
            <w:hideMark/>
          </w:tcPr>
          <w:p w14:paraId="1BF1A095"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84.3</w:t>
            </w:r>
          </w:p>
        </w:tc>
        <w:tc>
          <w:tcPr>
            <w:tcW w:w="1701" w:type="dxa"/>
            <w:gridSpan w:val="2"/>
            <w:noWrap/>
            <w:vAlign w:val="center"/>
            <w:hideMark/>
          </w:tcPr>
          <w:p w14:paraId="1FAA2A3B"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80.49</w:t>
            </w:r>
          </w:p>
        </w:tc>
        <w:tc>
          <w:tcPr>
            <w:tcW w:w="1780" w:type="dxa"/>
            <w:noWrap/>
            <w:vAlign w:val="center"/>
            <w:hideMark/>
          </w:tcPr>
          <w:p w14:paraId="5E22D274" w14:textId="77777777" w:rsidR="00AA36E4" w:rsidRPr="00AA36E4" w:rsidRDefault="00AA36E4" w:rsidP="00AA36E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A36E4">
              <w:rPr>
                <w:rFonts w:ascii="Arial" w:hAnsi="Arial" w:cs="Arial"/>
                <w:sz w:val="20"/>
                <w:szCs w:val="20"/>
              </w:rPr>
              <w:t>60.55</w:t>
            </w:r>
          </w:p>
        </w:tc>
      </w:tr>
    </w:tbl>
    <w:p w14:paraId="5F21C8F0" w14:textId="137D6539" w:rsidR="000D4269" w:rsidRPr="00AA36E4" w:rsidRDefault="00AA36E4" w:rsidP="00AA36E4">
      <w:pPr>
        <w:spacing w:after="120"/>
        <w:rPr>
          <w:rFonts w:ascii="Arial" w:hAnsi="Arial" w:cs="Arial"/>
          <w:sz w:val="18"/>
          <w:szCs w:val="18"/>
        </w:rPr>
      </w:pPr>
      <w:r w:rsidRPr="00150993">
        <w:rPr>
          <w:rFonts w:ascii="Arial" w:hAnsi="Arial" w:cs="Arial"/>
          <w:b/>
          <w:bCs/>
          <w:sz w:val="18"/>
          <w:szCs w:val="18"/>
        </w:rPr>
        <w:t>Source:</w:t>
      </w:r>
      <w:r w:rsidRPr="00150993">
        <w:rPr>
          <w:rFonts w:ascii="Arial" w:hAnsi="Arial" w:cs="Arial"/>
          <w:sz w:val="18"/>
          <w:szCs w:val="18"/>
        </w:rPr>
        <w:t xml:space="preserve"> NIE, General Population Census of Cambodia (1998, 2008, 2019)</w:t>
      </w:r>
    </w:p>
    <w:p w14:paraId="64153959" w14:textId="0A362EC9" w:rsidR="005938F3" w:rsidRPr="00150993" w:rsidRDefault="00341CC0" w:rsidP="002911A3">
      <w:pPr>
        <w:pStyle w:val="Caption"/>
        <w:spacing w:before="240"/>
        <w:jc w:val="both"/>
        <w:rPr>
          <w:rFonts w:ascii="Arial" w:eastAsiaTheme="minorHAnsi" w:hAnsi="Arial" w:cs="Arial"/>
          <w:b/>
          <w:bCs/>
          <w:i w:val="0"/>
          <w:iCs w:val="0"/>
          <w:color w:val="0070C0"/>
          <w:kern w:val="2"/>
          <w:sz w:val="22"/>
          <w:szCs w:val="22"/>
          <w14:ligatures w14:val="standardContextual"/>
        </w:rPr>
      </w:pPr>
      <w:r>
        <w:rPr>
          <w:rFonts w:ascii="Arial" w:eastAsiaTheme="minorHAnsi" w:hAnsi="Arial" w:cs="Arial"/>
          <w:b/>
          <w:bCs/>
          <w:i w:val="0"/>
          <w:iCs w:val="0"/>
          <w:color w:val="0070C0"/>
          <w:kern w:val="2"/>
          <w:sz w:val="22"/>
          <w:szCs w:val="22"/>
          <w14:ligatures w14:val="standardContextual"/>
        </w:rPr>
        <w:t xml:space="preserve">B. </w:t>
      </w:r>
      <w:r w:rsidR="005938F3" w:rsidRPr="00150993">
        <w:rPr>
          <w:rFonts w:ascii="Arial" w:eastAsiaTheme="minorHAnsi" w:hAnsi="Arial" w:cs="Arial"/>
          <w:b/>
          <w:bCs/>
          <w:i w:val="0"/>
          <w:iCs w:val="0"/>
          <w:color w:val="0070C0"/>
          <w:kern w:val="2"/>
          <w:sz w:val="22"/>
          <w:szCs w:val="22"/>
          <w14:ligatures w14:val="standardContextual"/>
        </w:rPr>
        <w:t>Human wellbeing</w:t>
      </w:r>
      <w:r w:rsidR="00F1210A" w:rsidRPr="00150993">
        <w:rPr>
          <w:rFonts w:ascii="Arial" w:eastAsiaTheme="minorHAnsi" w:hAnsi="Arial" w:cs="Arial"/>
          <w:b/>
          <w:bCs/>
          <w:i w:val="0"/>
          <w:iCs w:val="0"/>
          <w:color w:val="0070C0"/>
          <w:kern w:val="2"/>
          <w:sz w:val="22"/>
          <w:szCs w:val="22"/>
          <w14:ligatures w14:val="standardContextual"/>
        </w:rPr>
        <w:t xml:space="preserve"> indicators</w:t>
      </w:r>
    </w:p>
    <w:p w14:paraId="29114EA5" w14:textId="67C2D392" w:rsidR="00F1210A" w:rsidRPr="00150993" w:rsidRDefault="005938F3" w:rsidP="00F1210A">
      <w:pPr>
        <w:pStyle w:val="NormalWeb"/>
        <w:jc w:val="both"/>
        <w:rPr>
          <w:rFonts w:ascii="Arial" w:hAnsi="Arial" w:cs="Arial"/>
          <w:sz w:val="22"/>
          <w:szCs w:val="22"/>
        </w:rPr>
      </w:pPr>
      <w:r w:rsidRPr="00150993">
        <w:rPr>
          <w:rFonts w:ascii="Arial" w:hAnsi="Arial" w:cs="Arial"/>
          <w:sz w:val="22"/>
          <w:szCs w:val="22"/>
        </w:rPr>
        <w:t>Human wellbeing indicators capture longer-term development trends and distributional outcomes. The annex reports national and subnational Human Development Index (HDI/SHDI), inequality-adjusted HDI (IHDI), multidimensional poverty (MPI), and income/consumption-based poverty measures, together with selected social indicators (education, health, social protection coverage) where available. HDI and IHDI are taken from UNDP Human Development Reports, SHDI from Global Data Lab, and monetary poverty from World Bank and national poverty assessments, complemented by IDPoor targeting data. Methods focus on comparing coastal provinces with national averages, highlighting gaps or penalties (e.g. the IHDI “loss” due to inequality) and how these have evolved over time.</w:t>
      </w:r>
    </w:p>
    <w:p w14:paraId="5C51077E" w14:textId="4665D5D1" w:rsidR="00F1210A" w:rsidRPr="00150993" w:rsidRDefault="002911A3" w:rsidP="00F726C6">
      <w:pPr>
        <w:pStyle w:val="Caption"/>
        <w:keepNext/>
        <w:spacing w:before="240" w:after="120"/>
        <w:rPr>
          <w:rFonts w:ascii="Arial" w:eastAsiaTheme="minorHAnsi" w:hAnsi="Arial" w:cs="Arial"/>
          <w:color w:val="002060"/>
          <w:kern w:val="2"/>
          <w:sz w:val="22"/>
          <w:szCs w:val="22"/>
          <w14:ligatures w14:val="standardContextual"/>
        </w:rPr>
      </w:pPr>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4</w:t>
      </w:r>
      <w:r w:rsidRPr="00150993">
        <w:rPr>
          <w:rFonts w:ascii="Arial" w:eastAsiaTheme="minorHAnsi" w:hAnsi="Arial" w:cs="Arial"/>
          <w:color w:val="002060"/>
          <w:kern w:val="2"/>
          <w:sz w:val="22"/>
          <w:szCs w:val="22"/>
          <w14:ligatures w14:val="standardContextual"/>
        </w:rPr>
        <w:fldChar w:fldCharType="end"/>
      </w:r>
      <w:r w:rsidRPr="00150993">
        <w:rPr>
          <w:rFonts w:ascii="Arial" w:eastAsiaTheme="minorHAnsi" w:hAnsi="Arial" w:cs="Arial"/>
          <w:color w:val="002060"/>
          <w:kern w:val="2"/>
          <w:sz w:val="22"/>
          <w:szCs w:val="22"/>
          <w14:ligatures w14:val="standardContextual"/>
        </w:rPr>
        <w:t xml:space="preserve"> </w:t>
      </w:r>
      <w:r w:rsidR="00150993" w:rsidRPr="00150993">
        <w:rPr>
          <w:rFonts w:ascii="Arial" w:eastAsiaTheme="minorHAnsi" w:hAnsi="Arial" w:cs="Arial"/>
          <w:color w:val="002060"/>
          <w:kern w:val="2"/>
          <w:sz w:val="22"/>
          <w:szCs w:val="22"/>
          <w14:ligatures w14:val="standardContextual"/>
        </w:rPr>
        <w:t>Human wellbeing indicators: data sources, metadata, &amp; assessment methods</w:t>
      </w:r>
    </w:p>
    <w:tbl>
      <w:tblPr>
        <w:tblStyle w:val="GridTable4-Accent5"/>
        <w:tblW w:w="0" w:type="auto"/>
        <w:tblLook w:val="04A0" w:firstRow="1" w:lastRow="0" w:firstColumn="1" w:lastColumn="0" w:noHBand="0" w:noVBand="1"/>
      </w:tblPr>
      <w:tblGrid>
        <w:gridCol w:w="1951"/>
        <w:gridCol w:w="1437"/>
        <w:gridCol w:w="1208"/>
        <w:gridCol w:w="1402"/>
        <w:gridCol w:w="1162"/>
        <w:gridCol w:w="1850"/>
      </w:tblGrid>
      <w:tr w:rsidR="00F1210A" w:rsidRPr="00150993" w14:paraId="1D1C9EF1" w14:textId="77777777" w:rsidTr="00F121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B996662" w14:textId="77777777" w:rsidR="00F1210A" w:rsidRPr="00150993" w:rsidRDefault="00F1210A" w:rsidP="006F3FE3">
            <w:pPr>
              <w:jc w:val="center"/>
              <w:rPr>
                <w:rFonts w:ascii="Arial" w:hAnsi="Arial" w:cs="Arial"/>
                <w:sz w:val="20"/>
                <w:szCs w:val="20"/>
              </w:rPr>
            </w:pPr>
            <w:r w:rsidRPr="00150993">
              <w:rPr>
                <w:rFonts w:ascii="Arial" w:hAnsi="Arial" w:cs="Arial"/>
                <w:sz w:val="20"/>
                <w:szCs w:val="20"/>
              </w:rPr>
              <w:t>Indicator</w:t>
            </w:r>
          </w:p>
        </w:tc>
        <w:tc>
          <w:tcPr>
            <w:tcW w:w="0" w:type="auto"/>
            <w:hideMark/>
          </w:tcPr>
          <w:p w14:paraId="36F98FE0"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Definition &amp; Unit</w:t>
            </w:r>
          </w:p>
        </w:tc>
        <w:tc>
          <w:tcPr>
            <w:tcW w:w="0" w:type="auto"/>
            <w:hideMark/>
          </w:tcPr>
          <w:p w14:paraId="1F1148C9"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Spatial Coverage</w:t>
            </w:r>
          </w:p>
        </w:tc>
        <w:tc>
          <w:tcPr>
            <w:tcW w:w="0" w:type="auto"/>
            <w:hideMark/>
          </w:tcPr>
          <w:p w14:paraId="75221AA3"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Time Series Availability</w:t>
            </w:r>
          </w:p>
        </w:tc>
        <w:tc>
          <w:tcPr>
            <w:tcW w:w="0" w:type="auto"/>
            <w:hideMark/>
          </w:tcPr>
          <w:p w14:paraId="3864D454"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Primary Data Sources</w:t>
            </w:r>
          </w:p>
        </w:tc>
        <w:tc>
          <w:tcPr>
            <w:tcW w:w="0" w:type="auto"/>
            <w:hideMark/>
          </w:tcPr>
          <w:p w14:paraId="0F3270C3" w14:textId="77777777" w:rsidR="00F1210A" w:rsidRPr="00150993" w:rsidRDefault="00F1210A"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Computation / Notes</w:t>
            </w:r>
          </w:p>
        </w:tc>
      </w:tr>
      <w:tr w:rsidR="00F1210A" w:rsidRPr="00150993" w14:paraId="762AA35B"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E0A3C92" w14:textId="77777777" w:rsidR="00F1210A" w:rsidRPr="001A219D" w:rsidRDefault="00F1210A" w:rsidP="006F3FE3">
            <w:pPr>
              <w:rPr>
                <w:rFonts w:ascii="Arial" w:hAnsi="Arial" w:cs="Arial"/>
                <w:sz w:val="20"/>
                <w:szCs w:val="20"/>
              </w:rPr>
            </w:pPr>
            <w:r w:rsidRPr="001A219D">
              <w:rPr>
                <w:rFonts w:ascii="Arial" w:hAnsi="Arial" w:cs="Arial"/>
                <w:sz w:val="20"/>
                <w:szCs w:val="20"/>
              </w:rPr>
              <w:t>HDI (Human Development Index)</w:t>
            </w:r>
          </w:p>
        </w:tc>
        <w:tc>
          <w:tcPr>
            <w:tcW w:w="0" w:type="auto"/>
            <w:hideMark/>
          </w:tcPr>
          <w:p w14:paraId="19C28FA6"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Index (0–1)</w:t>
            </w:r>
          </w:p>
        </w:tc>
        <w:tc>
          <w:tcPr>
            <w:tcW w:w="0" w:type="auto"/>
            <w:hideMark/>
          </w:tcPr>
          <w:p w14:paraId="580D8847"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w:t>
            </w:r>
          </w:p>
        </w:tc>
        <w:tc>
          <w:tcPr>
            <w:tcW w:w="0" w:type="auto"/>
            <w:hideMark/>
          </w:tcPr>
          <w:p w14:paraId="1A31F5BF"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Style w:val="Strong"/>
                <w:rFonts w:ascii="Arial" w:eastAsiaTheme="majorEastAsia" w:hAnsi="Arial" w:cs="Arial"/>
                <w:sz w:val="20"/>
                <w:szCs w:val="20"/>
              </w:rPr>
              <w:t>1990–2023</w:t>
            </w:r>
            <w:r w:rsidRPr="00150993">
              <w:rPr>
                <w:rFonts w:ascii="Arial" w:hAnsi="Arial" w:cs="Arial"/>
                <w:sz w:val="20"/>
                <w:szCs w:val="20"/>
              </w:rPr>
              <w:t xml:space="preserve"> (annual)</w:t>
            </w:r>
          </w:p>
        </w:tc>
        <w:tc>
          <w:tcPr>
            <w:tcW w:w="0" w:type="auto"/>
            <w:hideMark/>
          </w:tcPr>
          <w:p w14:paraId="09AD4DB9"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UNDP HDR Statistical Annex 2023/24</w:t>
            </w:r>
          </w:p>
        </w:tc>
        <w:tc>
          <w:tcPr>
            <w:tcW w:w="0" w:type="auto"/>
            <w:hideMark/>
          </w:tcPr>
          <w:p w14:paraId="588B618F"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Standard HDR methodology; no recalculations.</w:t>
            </w:r>
          </w:p>
        </w:tc>
      </w:tr>
      <w:tr w:rsidR="00F1210A" w:rsidRPr="00150993" w14:paraId="1B2F867E" w14:textId="77777777" w:rsidTr="00F1210A">
        <w:tc>
          <w:tcPr>
            <w:cnfStyle w:val="001000000000" w:firstRow="0" w:lastRow="0" w:firstColumn="1" w:lastColumn="0" w:oddVBand="0" w:evenVBand="0" w:oddHBand="0" w:evenHBand="0" w:firstRowFirstColumn="0" w:firstRowLastColumn="0" w:lastRowFirstColumn="0" w:lastRowLastColumn="0"/>
            <w:tcW w:w="0" w:type="auto"/>
            <w:hideMark/>
          </w:tcPr>
          <w:p w14:paraId="5CC9D64A" w14:textId="77777777" w:rsidR="00F1210A" w:rsidRPr="001A219D" w:rsidRDefault="00F1210A" w:rsidP="006F3FE3">
            <w:pPr>
              <w:rPr>
                <w:rFonts w:ascii="Arial" w:hAnsi="Arial" w:cs="Arial"/>
                <w:sz w:val="20"/>
                <w:szCs w:val="20"/>
              </w:rPr>
            </w:pPr>
            <w:r w:rsidRPr="001A219D">
              <w:rPr>
                <w:rFonts w:ascii="Arial" w:hAnsi="Arial" w:cs="Arial"/>
                <w:sz w:val="20"/>
                <w:szCs w:val="20"/>
              </w:rPr>
              <w:t>IHDI (Inequality-adjusted HDI)</w:t>
            </w:r>
          </w:p>
        </w:tc>
        <w:tc>
          <w:tcPr>
            <w:tcW w:w="0" w:type="auto"/>
            <w:hideMark/>
          </w:tcPr>
          <w:p w14:paraId="462EB504"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Adjusted index &amp; % “loss”</w:t>
            </w:r>
          </w:p>
        </w:tc>
        <w:tc>
          <w:tcPr>
            <w:tcW w:w="0" w:type="auto"/>
            <w:hideMark/>
          </w:tcPr>
          <w:p w14:paraId="08E33605"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w:t>
            </w:r>
          </w:p>
        </w:tc>
        <w:tc>
          <w:tcPr>
            <w:tcW w:w="0" w:type="auto"/>
            <w:hideMark/>
          </w:tcPr>
          <w:p w14:paraId="0F9C0FF2"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Latest available year</w:t>
            </w:r>
          </w:p>
        </w:tc>
        <w:tc>
          <w:tcPr>
            <w:tcW w:w="0" w:type="auto"/>
            <w:hideMark/>
          </w:tcPr>
          <w:p w14:paraId="711C7E3E"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UNDP HDR</w:t>
            </w:r>
          </w:p>
        </w:tc>
        <w:tc>
          <w:tcPr>
            <w:tcW w:w="0" w:type="auto"/>
            <w:hideMark/>
          </w:tcPr>
          <w:p w14:paraId="6D240DBA"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IHDI penalty = (HDI−IHDI)/HDI.</w:t>
            </w:r>
          </w:p>
        </w:tc>
      </w:tr>
      <w:tr w:rsidR="00F1210A" w:rsidRPr="00150993" w14:paraId="4E20BE91"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947553C" w14:textId="77777777" w:rsidR="00F1210A" w:rsidRPr="001A219D" w:rsidRDefault="00F1210A" w:rsidP="006F3FE3">
            <w:pPr>
              <w:rPr>
                <w:rFonts w:ascii="Arial" w:hAnsi="Arial" w:cs="Arial"/>
                <w:sz w:val="20"/>
                <w:szCs w:val="20"/>
              </w:rPr>
            </w:pPr>
            <w:r w:rsidRPr="001A219D">
              <w:rPr>
                <w:rFonts w:ascii="Arial" w:hAnsi="Arial" w:cs="Arial"/>
                <w:sz w:val="20"/>
                <w:szCs w:val="20"/>
              </w:rPr>
              <w:t>SHDI (Subnational Human Development Index)</w:t>
            </w:r>
          </w:p>
        </w:tc>
        <w:tc>
          <w:tcPr>
            <w:tcW w:w="0" w:type="auto"/>
            <w:hideMark/>
          </w:tcPr>
          <w:p w14:paraId="109DA0E3"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Index (0–1)</w:t>
            </w:r>
          </w:p>
        </w:tc>
        <w:tc>
          <w:tcPr>
            <w:tcW w:w="0" w:type="auto"/>
            <w:hideMark/>
          </w:tcPr>
          <w:p w14:paraId="0A31DFE3"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Provincial</w:t>
            </w:r>
          </w:p>
        </w:tc>
        <w:tc>
          <w:tcPr>
            <w:tcW w:w="0" w:type="auto"/>
            <w:hideMark/>
          </w:tcPr>
          <w:p w14:paraId="3666BC84"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Latest available year (typically 2019–2022)</w:t>
            </w:r>
          </w:p>
        </w:tc>
        <w:tc>
          <w:tcPr>
            <w:tcW w:w="0" w:type="auto"/>
            <w:hideMark/>
          </w:tcPr>
          <w:p w14:paraId="1E5ADE82"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Global Data Lab</w:t>
            </w:r>
          </w:p>
        </w:tc>
        <w:tc>
          <w:tcPr>
            <w:tcW w:w="0" w:type="auto"/>
            <w:hideMark/>
          </w:tcPr>
          <w:p w14:paraId="1F16F0CE"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Used to compare coastal vs. non-coastal gaps; static (no historical series).</w:t>
            </w:r>
          </w:p>
        </w:tc>
      </w:tr>
      <w:tr w:rsidR="00F1210A" w:rsidRPr="00150993" w14:paraId="2D8707E4" w14:textId="77777777" w:rsidTr="00F1210A">
        <w:tc>
          <w:tcPr>
            <w:cnfStyle w:val="001000000000" w:firstRow="0" w:lastRow="0" w:firstColumn="1" w:lastColumn="0" w:oddVBand="0" w:evenVBand="0" w:oddHBand="0" w:evenHBand="0" w:firstRowFirstColumn="0" w:firstRowLastColumn="0" w:lastRowFirstColumn="0" w:lastRowLastColumn="0"/>
            <w:tcW w:w="0" w:type="auto"/>
            <w:hideMark/>
          </w:tcPr>
          <w:p w14:paraId="593B8F33" w14:textId="77777777" w:rsidR="00F1210A" w:rsidRPr="001A219D" w:rsidRDefault="00F1210A" w:rsidP="006F3FE3">
            <w:pPr>
              <w:rPr>
                <w:rFonts w:ascii="Arial" w:hAnsi="Arial" w:cs="Arial"/>
                <w:sz w:val="20"/>
                <w:szCs w:val="20"/>
              </w:rPr>
            </w:pPr>
            <w:r w:rsidRPr="001A219D">
              <w:rPr>
                <w:rFonts w:ascii="Arial" w:hAnsi="Arial" w:cs="Arial"/>
                <w:sz w:val="20"/>
                <w:szCs w:val="20"/>
              </w:rPr>
              <w:t>Monetary poverty (national poverty line)</w:t>
            </w:r>
          </w:p>
        </w:tc>
        <w:tc>
          <w:tcPr>
            <w:tcW w:w="0" w:type="auto"/>
            <w:hideMark/>
          </w:tcPr>
          <w:p w14:paraId="5CF17F27"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 of people/HH below line</w:t>
            </w:r>
          </w:p>
        </w:tc>
        <w:tc>
          <w:tcPr>
            <w:tcW w:w="0" w:type="auto"/>
            <w:hideMark/>
          </w:tcPr>
          <w:p w14:paraId="37A7DD06"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&amp; provincial</w:t>
            </w:r>
          </w:p>
        </w:tc>
        <w:tc>
          <w:tcPr>
            <w:tcW w:w="0" w:type="auto"/>
            <w:hideMark/>
          </w:tcPr>
          <w:p w14:paraId="3DD71190"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 xml:space="preserve">Various rounds: </w:t>
            </w:r>
            <w:r w:rsidRPr="00150993">
              <w:rPr>
                <w:rStyle w:val="Strong"/>
                <w:rFonts w:ascii="Arial" w:eastAsiaTheme="majorEastAsia" w:hAnsi="Arial" w:cs="Arial"/>
                <w:b w:val="0"/>
                <w:bCs w:val="0"/>
                <w:sz w:val="20"/>
                <w:szCs w:val="20"/>
              </w:rPr>
              <w:t>2007, 2009, 2012, 2014, 2019–2020</w:t>
            </w:r>
          </w:p>
        </w:tc>
        <w:tc>
          <w:tcPr>
            <w:tcW w:w="0" w:type="auto"/>
            <w:hideMark/>
          </w:tcPr>
          <w:p w14:paraId="7EC987BE"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World Bank; IDPoor; MoP</w:t>
            </w:r>
          </w:p>
        </w:tc>
        <w:tc>
          <w:tcPr>
            <w:tcW w:w="0" w:type="auto"/>
            <w:hideMark/>
          </w:tcPr>
          <w:p w14:paraId="14697A57"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Poverty lines changed across rounds; breakpoints documented in notes.</w:t>
            </w:r>
          </w:p>
        </w:tc>
      </w:tr>
      <w:tr w:rsidR="00F1210A" w:rsidRPr="00150993" w14:paraId="73917666"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04676B8" w14:textId="77777777" w:rsidR="00F1210A" w:rsidRPr="001A219D" w:rsidRDefault="00F1210A" w:rsidP="006F3FE3">
            <w:pPr>
              <w:rPr>
                <w:rFonts w:ascii="Arial" w:hAnsi="Arial" w:cs="Arial"/>
                <w:sz w:val="20"/>
                <w:szCs w:val="20"/>
              </w:rPr>
            </w:pPr>
            <w:r w:rsidRPr="001A219D">
              <w:rPr>
                <w:rFonts w:ascii="Arial" w:hAnsi="Arial" w:cs="Arial"/>
                <w:sz w:val="20"/>
                <w:szCs w:val="20"/>
              </w:rPr>
              <w:t>Multidimensional Poverty Index (MPI)</w:t>
            </w:r>
          </w:p>
        </w:tc>
        <w:tc>
          <w:tcPr>
            <w:tcW w:w="0" w:type="auto"/>
            <w:hideMark/>
          </w:tcPr>
          <w:p w14:paraId="1A452FDC"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 poor; intensity of deprivation</w:t>
            </w:r>
          </w:p>
        </w:tc>
        <w:tc>
          <w:tcPr>
            <w:tcW w:w="0" w:type="auto"/>
            <w:hideMark/>
          </w:tcPr>
          <w:p w14:paraId="6B49DB8B"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regions</w:t>
            </w:r>
          </w:p>
        </w:tc>
        <w:tc>
          <w:tcPr>
            <w:tcW w:w="0" w:type="auto"/>
            <w:hideMark/>
          </w:tcPr>
          <w:p w14:paraId="0B784E6C"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Latest MPI release (2023/24)</w:t>
            </w:r>
          </w:p>
        </w:tc>
        <w:tc>
          <w:tcPr>
            <w:tcW w:w="0" w:type="auto"/>
            <w:hideMark/>
          </w:tcPr>
          <w:p w14:paraId="21654081"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OPHI &amp; UNDP</w:t>
            </w:r>
          </w:p>
        </w:tc>
        <w:tc>
          <w:tcPr>
            <w:tcW w:w="0" w:type="auto"/>
            <w:hideMark/>
          </w:tcPr>
          <w:p w14:paraId="44686257"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Not comparable across years; interpret as cross-section.</w:t>
            </w:r>
          </w:p>
        </w:tc>
      </w:tr>
      <w:tr w:rsidR="00F1210A" w:rsidRPr="00150993" w14:paraId="25D426FD" w14:textId="77777777" w:rsidTr="00F1210A">
        <w:tc>
          <w:tcPr>
            <w:cnfStyle w:val="001000000000" w:firstRow="0" w:lastRow="0" w:firstColumn="1" w:lastColumn="0" w:oddVBand="0" w:evenVBand="0" w:oddHBand="0" w:evenHBand="0" w:firstRowFirstColumn="0" w:firstRowLastColumn="0" w:lastRowFirstColumn="0" w:lastRowLastColumn="0"/>
            <w:tcW w:w="0" w:type="auto"/>
            <w:hideMark/>
          </w:tcPr>
          <w:p w14:paraId="2E781C3E" w14:textId="77777777" w:rsidR="00F1210A" w:rsidRPr="001A219D" w:rsidRDefault="00F1210A" w:rsidP="006F3FE3">
            <w:pPr>
              <w:rPr>
                <w:rFonts w:ascii="Arial" w:hAnsi="Arial" w:cs="Arial"/>
                <w:sz w:val="20"/>
                <w:szCs w:val="20"/>
              </w:rPr>
            </w:pPr>
            <w:r w:rsidRPr="001A219D">
              <w:rPr>
                <w:rFonts w:ascii="Arial" w:hAnsi="Arial" w:cs="Arial"/>
                <w:sz w:val="20"/>
                <w:szCs w:val="20"/>
              </w:rPr>
              <w:t>Social protection coverage</w:t>
            </w:r>
          </w:p>
        </w:tc>
        <w:tc>
          <w:tcPr>
            <w:tcW w:w="0" w:type="auto"/>
            <w:hideMark/>
          </w:tcPr>
          <w:p w14:paraId="50E053A9"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 of HH benefiting from IDPoor, cash transfers or health insurance</w:t>
            </w:r>
          </w:p>
        </w:tc>
        <w:tc>
          <w:tcPr>
            <w:tcW w:w="0" w:type="auto"/>
            <w:hideMark/>
          </w:tcPr>
          <w:p w14:paraId="48F64BC4"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coastal if available</w:t>
            </w:r>
          </w:p>
        </w:tc>
        <w:tc>
          <w:tcPr>
            <w:tcW w:w="0" w:type="auto"/>
            <w:hideMark/>
          </w:tcPr>
          <w:p w14:paraId="2BC58216"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2019–2024 (irregular)</w:t>
            </w:r>
          </w:p>
        </w:tc>
        <w:tc>
          <w:tcPr>
            <w:tcW w:w="0" w:type="auto"/>
            <w:hideMark/>
          </w:tcPr>
          <w:p w14:paraId="531C3E56"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IDPoor; MEF; MoSVY</w:t>
            </w:r>
          </w:p>
        </w:tc>
        <w:tc>
          <w:tcPr>
            <w:tcW w:w="0" w:type="auto"/>
            <w:hideMark/>
          </w:tcPr>
          <w:p w14:paraId="7D9059DB" w14:textId="77777777" w:rsidR="00F1210A" w:rsidRPr="00150993" w:rsidRDefault="00F1210A"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Used as qualitative adaptive-capacity indicator.</w:t>
            </w:r>
          </w:p>
        </w:tc>
      </w:tr>
      <w:tr w:rsidR="00F1210A" w:rsidRPr="00150993" w14:paraId="6028EF6D"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6E87846" w14:textId="77777777" w:rsidR="00F1210A" w:rsidRPr="001A219D" w:rsidRDefault="00F1210A" w:rsidP="006F3FE3">
            <w:pPr>
              <w:rPr>
                <w:rFonts w:ascii="Arial" w:hAnsi="Arial" w:cs="Arial"/>
                <w:sz w:val="20"/>
                <w:szCs w:val="20"/>
              </w:rPr>
            </w:pPr>
            <w:r w:rsidRPr="001A219D">
              <w:rPr>
                <w:rFonts w:ascii="Arial" w:hAnsi="Arial" w:cs="Arial"/>
                <w:sz w:val="20"/>
                <w:szCs w:val="20"/>
              </w:rPr>
              <w:t>Education/Health basic indicators</w:t>
            </w:r>
          </w:p>
        </w:tc>
        <w:tc>
          <w:tcPr>
            <w:tcW w:w="0" w:type="auto"/>
            <w:hideMark/>
          </w:tcPr>
          <w:p w14:paraId="2F5AF065"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Literacy; school attendance; child survival</w:t>
            </w:r>
          </w:p>
        </w:tc>
        <w:tc>
          <w:tcPr>
            <w:tcW w:w="0" w:type="auto"/>
            <w:hideMark/>
          </w:tcPr>
          <w:p w14:paraId="4EC519CC"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provincial where available</w:t>
            </w:r>
          </w:p>
        </w:tc>
        <w:tc>
          <w:tcPr>
            <w:tcW w:w="0" w:type="auto"/>
            <w:hideMark/>
          </w:tcPr>
          <w:p w14:paraId="7A7B8F68"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Census years + select DHS years</w:t>
            </w:r>
          </w:p>
        </w:tc>
        <w:tc>
          <w:tcPr>
            <w:tcW w:w="0" w:type="auto"/>
            <w:hideMark/>
          </w:tcPr>
          <w:p w14:paraId="713982FD"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NIS; DHS</w:t>
            </w:r>
          </w:p>
        </w:tc>
        <w:tc>
          <w:tcPr>
            <w:tcW w:w="0" w:type="auto"/>
            <w:hideMark/>
          </w:tcPr>
          <w:p w14:paraId="466307A4" w14:textId="77777777" w:rsidR="00F1210A" w:rsidRPr="00150993" w:rsidRDefault="00F1210A"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Limited coastal disaggregation; used qualitatively.</w:t>
            </w:r>
          </w:p>
        </w:tc>
      </w:tr>
    </w:tbl>
    <w:p w14:paraId="44F75FA9" w14:textId="7BEB9012" w:rsidR="00F72346" w:rsidRPr="00150993" w:rsidRDefault="00F72346" w:rsidP="00F72346">
      <w:pPr>
        <w:pStyle w:val="Caption"/>
        <w:keepNext/>
        <w:spacing w:before="240" w:after="120"/>
        <w:rPr>
          <w:rFonts w:ascii="Arial" w:eastAsiaTheme="minorHAnsi" w:hAnsi="Arial" w:cs="Arial"/>
          <w:color w:val="002060"/>
          <w:kern w:val="2"/>
          <w:sz w:val="22"/>
          <w:szCs w:val="22"/>
          <w14:ligatures w14:val="standardContextual"/>
        </w:rPr>
      </w:pPr>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5</w:t>
      </w:r>
      <w:r w:rsidRPr="00150993">
        <w:rPr>
          <w:rFonts w:ascii="Arial" w:eastAsiaTheme="minorHAnsi" w:hAnsi="Arial" w:cs="Arial"/>
          <w:color w:val="002060"/>
          <w:kern w:val="2"/>
          <w:sz w:val="22"/>
          <w:szCs w:val="22"/>
          <w14:ligatures w14:val="standardContextual"/>
        </w:rPr>
        <w:fldChar w:fldCharType="end"/>
      </w:r>
      <w:r w:rsidRPr="00150993">
        <w:rPr>
          <w:rFonts w:ascii="Arial" w:eastAsiaTheme="minorHAnsi" w:hAnsi="Arial" w:cs="Arial"/>
          <w:color w:val="002060"/>
          <w:kern w:val="2"/>
          <w:sz w:val="22"/>
          <w:szCs w:val="22"/>
          <w14:ligatures w14:val="standardContextual"/>
        </w:rPr>
        <w:t xml:space="preserve"> Poor data and rate by person and household (national vs coastal provinces)</w:t>
      </w:r>
    </w:p>
    <w:tbl>
      <w:tblPr>
        <w:tblStyle w:val="GridTable4-Accent5"/>
        <w:tblW w:w="0" w:type="auto"/>
        <w:tblLook w:val="04A0" w:firstRow="1" w:lastRow="0" w:firstColumn="1" w:lastColumn="0" w:noHBand="0" w:noVBand="1"/>
      </w:tblPr>
      <w:tblGrid>
        <w:gridCol w:w="2124"/>
        <w:gridCol w:w="1678"/>
        <w:gridCol w:w="1678"/>
        <w:gridCol w:w="1692"/>
        <w:gridCol w:w="1719"/>
      </w:tblGrid>
      <w:tr w:rsidR="00F72346" w:rsidRPr="00150993" w14:paraId="4B59FE84" w14:textId="77777777" w:rsidTr="006F3FE3">
        <w:trPr>
          <w:cnfStyle w:val="100000000000" w:firstRow="1" w:lastRow="0" w:firstColumn="0" w:lastColumn="0" w:oddVBand="0" w:evenVBand="0" w:oddHBand="0"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124" w:type="dxa"/>
            <w:vAlign w:val="center"/>
          </w:tcPr>
          <w:p w14:paraId="611DA1D8" w14:textId="77777777" w:rsidR="00F72346" w:rsidRPr="00150993" w:rsidRDefault="00F72346" w:rsidP="006F3FE3">
            <w:pPr>
              <w:jc w:val="center"/>
              <w:rPr>
                <w:rFonts w:ascii="Arial" w:hAnsi="Arial" w:cs="Arial"/>
                <w:sz w:val="21"/>
                <w:szCs w:val="21"/>
              </w:rPr>
            </w:pPr>
            <w:bookmarkStart w:id="84" w:name="OLE_LINK1"/>
            <w:r w:rsidRPr="00150993">
              <w:rPr>
                <w:rFonts w:ascii="Arial" w:hAnsi="Arial" w:cs="Arial"/>
                <w:sz w:val="21"/>
                <w:szCs w:val="21"/>
              </w:rPr>
              <w:t>Province/Area</w:t>
            </w:r>
          </w:p>
        </w:tc>
        <w:tc>
          <w:tcPr>
            <w:tcW w:w="1678" w:type="dxa"/>
            <w:vAlign w:val="center"/>
          </w:tcPr>
          <w:p w14:paraId="48D6D84D" w14:textId="77777777" w:rsidR="00F72346" w:rsidRPr="00150993" w:rsidRDefault="00F72346"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Poor persons</w:t>
            </w:r>
          </w:p>
        </w:tc>
        <w:tc>
          <w:tcPr>
            <w:tcW w:w="1678" w:type="dxa"/>
            <w:vAlign w:val="center"/>
          </w:tcPr>
          <w:p w14:paraId="7534CCF9" w14:textId="77777777" w:rsidR="00F72346" w:rsidRPr="00150993" w:rsidRDefault="00F72346"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Persons rate (%)</w:t>
            </w:r>
          </w:p>
        </w:tc>
        <w:tc>
          <w:tcPr>
            <w:tcW w:w="1692" w:type="dxa"/>
            <w:vAlign w:val="center"/>
          </w:tcPr>
          <w:p w14:paraId="05A865D8" w14:textId="77777777" w:rsidR="00F72346" w:rsidRPr="00150993" w:rsidRDefault="00F72346"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Poor households</w:t>
            </w:r>
          </w:p>
        </w:tc>
        <w:tc>
          <w:tcPr>
            <w:tcW w:w="1719" w:type="dxa"/>
            <w:vAlign w:val="center"/>
          </w:tcPr>
          <w:p w14:paraId="2857CCD6" w14:textId="77777777" w:rsidR="00F72346" w:rsidRPr="00150993" w:rsidRDefault="00F72346"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Households rate (%)</w:t>
            </w:r>
          </w:p>
        </w:tc>
      </w:tr>
      <w:tr w:rsidR="00F72346" w:rsidRPr="00150993" w14:paraId="2D61032F" w14:textId="77777777" w:rsidTr="006F3FE3">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124" w:type="dxa"/>
          </w:tcPr>
          <w:p w14:paraId="5685E073" w14:textId="77777777" w:rsidR="00F72346" w:rsidRPr="00150993" w:rsidRDefault="00F72346" w:rsidP="006F3FE3">
            <w:pPr>
              <w:rPr>
                <w:rFonts w:ascii="Arial" w:hAnsi="Arial" w:cs="Arial"/>
                <w:sz w:val="21"/>
                <w:szCs w:val="21"/>
              </w:rPr>
            </w:pPr>
            <w:r w:rsidRPr="00150993">
              <w:rPr>
                <w:rFonts w:ascii="Arial" w:hAnsi="Arial" w:cs="Arial"/>
                <w:sz w:val="21"/>
                <w:szCs w:val="21"/>
              </w:rPr>
              <w:t>Kampot</w:t>
            </w:r>
          </w:p>
        </w:tc>
        <w:tc>
          <w:tcPr>
            <w:tcW w:w="1678" w:type="dxa"/>
          </w:tcPr>
          <w:p w14:paraId="69007517"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110,044</w:t>
            </w:r>
          </w:p>
        </w:tc>
        <w:tc>
          <w:tcPr>
            <w:tcW w:w="1678" w:type="dxa"/>
          </w:tcPr>
          <w:p w14:paraId="5198E0FA"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15.53</w:t>
            </w:r>
          </w:p>
        </w:tc>
        <w:tc>
          <w:tcPr>
            <w:tcW w:w="1692" w:type="dxa"/>
          </w:tcPr>
          <w:p w14:paraId="70FBA6B1"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28,743</w:t>
            </w:r>
          </w:p>
        </w:tc>
        <w:tc>
          <w:tcPr>
            <w:tcW w:w="1719" w:type="dxa"/>
          </w:tcPr>
          <w:p w14:paraId="0136C645"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17.79</w:t>
            </w:r>
          </w:p>
        </w:tc>
      </w:tr>
      <w:tr w:rsidR="00F72346" w:rsidRPr="00150993" w14:paraId="4C596F32" w14:textId="77777777" w:rsidTr="006F3FE3">
        <w:trPr>
          <w:trHeight w:val="524"/>
        </w:trPr>
        <w:tc>
          <w:tcPr>
            <w:cnfStyle w:val="001000000000" w:firstRow="0" w:lastRow="0" w:firstColumn="1" w:lastColumn="0" w:oddVBand="0" w:evenVBand="0" w:oddHBand="0" w:evenHBand="0" w:firstRowFirstColumn="0" w:firstRowLastColumn="0" w:lastRowFirstColumn="0" w:lastRowLastColumn="0"/>
            <w:tcW w:w="2124" w:type="dxa"/>
          </w:tcPr>
          <w:p w14:paraId="7DC3EBCD" w14:textId="77777777" w:rsidR="00F72346" w:rsidRPr="00150993" w:rsidRDefault="00F72346" w:rsidP="006F3FE3">
            <w:pPr>
              <w:rPr>
                <w:rFonts w:ascii="Arial" w:hAnsi="Arial" w:cs="Arial"/>
                <w:sz w:val="21"/>
                <w:szCs w:val="21"/>
              </w:rPr>
            </w:pPr>
            <w:r w:rsidRPr="00150993">
              <w:rPr>
                <w:rFonts w:ascii="Arial" w:hAnsi="Arial" w:cs="Arial"/>
                <w:sz w:val="21"/>
                <w:szCs w:val="21"/>
              </w:rPr>
              <w:t>Preah Sihanouk</w:t>
            </w:r>
          </w:p>
        </w:tc>
        <w:tc>
          <w:tcPr>
            <w:tcW w:w="1678" w:type="dxa"/>
          </w:tcPr>
          <w:p w14:paraId="603A18FC"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38,775</w:t>
            </w:r>
          </w:p>
        </w:tc>
        <w:tc>
          <w:tcPr>
            <w:tcW w:w="1678" w:type="dxa"/>
          </w:tcPr>
          <w:p w14:paraId="2FDD675F"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16.91</w:t>
            </w:r>
          </w:p>
        </w:tc>
        <w:tc>
          <w:tcPr>
            <w:tcW w:w="1692" w:type="dxa"/>
          </w:tcPr>
          <w:p w14:paraId="5BD36999"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8,445</w:t>
            </w:r>
          </w:p>
        </w:tc>
        <w:tc>
          <w:tcPr>
            <w:tcW w:w="1719" w:type="dxa"/>
          </w:tcPr>
          <w:p w14:paraId="5886F45D"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16.71</w:t>
            </w:r>
          </w:p>
        </w:tc>
      </w:tr>
      <w:tr w:rsidR="00F72346" w:rsidRPr="00150993" w14:paraId="56748030" w14:textId="77777777" w:rsidTr="006F3FE3">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124" w:type="dxa"/>
          </w:tcPr>
          <w:p w14:paraId="1E0BC215" w14:textId="77777777" w:rsidR="00F72346" w:rsidRPr="00150993" w:rsidRDefault="00F72346" w:rsidP="006F3FE3">
            <w:pPr>
              <w:rPr>
                <w:rFonts w:ascii="Arial" w:hAnsi="Arial" w:cs="Arial"/>
                <w:sz w:val="21"/>
                <w:szCs w:val="21"/>
              </w:rPr>
            </w:pPr>
            <w:r w:rsidRPr="00150993">
              <w:rPr>
                <w:rFonts w:ascii="Arial" w:hAnsi="Arial" w:cs="Arial"/>
                <w:sz w:val="21"/>
                <w:szCs w:val="21"/>
              </w:rPr>
              <w:t>Koh Kong</w:t>
            </w:r>
          </w:p>
        </w:tc>
        <w:tc>
          <w:tcPr>
            <w:tcW w:w="1678" w:type="dxa"/>
          </w:tcPr>
          <w:p w14:paraId="44216F34"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34,997</w:t>
            </w:r>
          </w:p>
        </w:tc>
        <w:tc>
          <w:tcPr>
            <w:tcW w:w="1678" w:type="dxa"/>
          </w:tcPr>
          <w:p w14:paraId="51B3F3FC"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38.53</w:t>
            </w:r>
          </w:p>
        </w:tc>
        <w:tc>
          <w:tcPr>
            <w:tcW w:w="1692" w:type="dxa"/>
          </w:tcPr>
          <w:p w14:paraId="7FA3D911"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7,990</w:t>
            </w:r>
          </w:p>
        </w:tc>
        <w:tc>
          <w:tcPr>
            <w:tcW w:w="1719" w:type="dxa"/>
          </w:tcPr>
          <w:p w14:paraId="4BCB6F2A"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25.36</w:t>
            </w:r>
          </w:p>
        </w:tc>
      </w:tr>
      <w:tr w:rsidR="00F72346" w:rsidRPr="00150993" w14:paraId="7C85235D" w14:textId="77777777" w:rsidTr="006F3FE3">
        <w:trPr>
          <w:trHeight w:val="261"/>
        </w:trPr>
        <w:tc>
          <w:tcPr>
            <w:cnfStyle w:val="001000000000" w:firstRow="0" w:lastRow="0" w:firstColumn="1" w:lastColumn="0" w:oddVBand="0" w:evenVBand="0" w:oddHBand="0" w:evenHBand="0" w:firstRowFirstColumn="0" w:firstRowLastColumn="0" w:lastRowFirstColumn="0" w:lastRowLastColumn="0"/>
            <w:tcW w:w="2124" w:type="dxa"/>
          </w:tcPr>
          <w:p w14:paraId="4E669AC9" w14:textId="77777777" w:rsidR="00F72346" w:rsidRPr="00150993" w:rsidRDefault="00F72346" w:rsidP="006F3FE3">
            <w:pPr>
              <w:rPr>
                <w:rFonts w:ascii="Arial" w:hAnsi="Arial" w:cs="Arial"/>
                <w:sz w:val="21"/>
                <w:szCs w:val="21"/>
              </w:rPr>
            </w:pPr>
            <w:r w:rsidRPr="00150993">
              <w:rPr>
                <w:rFonts w:ascii="Arial" w:hAnsi="Arial" w:cs="Arial"/>
                <w:sz w:val="21"/>
                <w:szCs w:val="21"/>
              </w:rPr>
              <w:t>Kep</w:t>
            </w:r>
          </w:p>
        </w:tc>
        <w:tc>
          <w:tcPr>
            <w:tcW w:w="1678" w:type="dxa"/>
          </w:tcPr>
          <w:p w14:paraId="514CF9B2"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5,636</w:t>
            </w:r>
          </w:p>
        </w:tc>
        <w:tc>
          <w:tcPr>
            <w:tcW w:w="1678" w:type="dxa"/>
          </w:tcPr>
          <w:p w14:paraId="1113F1FE"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13.05</w:t>
            </w:r>
          </w:p>
        </w:tc>
        <w:tc>
          <w:tcPr>
            <w:tcW w:w="1692" w:type="dxa"/>
          </w:tcPr>
          <w:p w14:paraId="453745F6"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1,408</w:t>
            </w:r>
          </w:p>
        </w:tc>
        <w:tc>
          <w:tcPr>
            <w:tcW w:w="1719" w:type="dxa"/>
          </w:tcPr>
          <w:p w14:paraId="7483BA0B"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14.23</w:t>
            </w:r>
          </w:p>
        </w:tc>
      </w:tr>
      <w:tr w:rsidR="00F72346" w:rsidRPr="00150993" w14:paraId="0F7C6491" w14:textId="77777777" w:rsidTr="006F3FE3">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124" w:type="dxa"/>
          </w:tcPr>
          <w:p w14:paraId="1AAAB23B" w14:textId="77777777" w:rsidR="00F72346" w:rsidRPr="00150993" w:rsidRDefault="00F72346" w:rsidP="006F3FE3">
            <w:pPr>
              <w:rPr>
                <w:rFonts w:ascii="Arial" w:hAnsi="Arial" w:cs="Arial"/>
                <w:sz w:val="21"/>
                <w:szCs w:val="21"/>
              </w:rPr>
            </w:pPr>
            <w:r w:rsidRPr="00150993">
              <w:rPr>
                <w:rFonts w:ascii="Arial" w:hAnsi="Arial" w:cs="Arial"/>
                <w:sz w:val="21"/>
                <w:szCs w:val="21"/>
              </w:rPr>
              <w:t>Coastal (total)</w:t>
            </w:r>
          </w:p>
        </w:tc>
        <w:tc>
          <w:tcPr>
            <w:tcW w:w="1678" w:type="dxa"/>
          </w:tcPr>
          <w:p w14:paraId="21843643"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189,452</w:t>
            </w:r>
          </w:p>
        </w:tc>
        <w:tc>
          <w:tcPr>
            <w:tcW w:w="1678" w:type="dxa"/>
          </w:tcPr>
          <w:p w14:paraId="68225DFD"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21.01</w:t>
            </w:r>
          </w:p>
        </w:tc>
        <w:tc>
          <w:tcPr>
            <w:tcW w:w="1692" w:type="dxa"/>
          </w:tcPr>
          <w:p w14:paraId="097C8EDA"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46,586</w:t>
            </w:r>
          </w:p>
        </w:tc>
        <w:tc>
          <w:tcPr>
            <w:tcW w:w="1719" w:type="dxa"/>
          </w:tcPr>
          <w:p w14:paraId="0A80EFCE" w14:textId="77777777" w:rsidR="00F72346" w:rsidRPr="00150993" w:rsidRDefault="00F72346" w:rsidP="006F3FE3">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0993">
              <w:rPr>
                <w:rFonts w:ascii="Arial" w:hAnsi="Arial" w:cs="Arial"/>
                <w:sz w:val="21"/>
                <w:szCs w:val="21"/>
              </w:rPr>
              <w:t>18.52</w:t>
            </w:r>
          </w:p>
        </w:tc>
      </w:tr>
      <w:tr w:rsidR="00F72346" w:rsidRPr="00150993" w14:paraId="550D4B62" w14:textId="77777777" w:rsidTr="006F3FE3">
        <w:trPr>
          <w:trHeight w:val="261"/>
        </w:trPr>
        <w:tc>
          <w:tcPr>
            <w:cnfStyle w:val="001000000000" w:firstRow="0" w:lastRow="0" w:firstColumn="1" w:lastColumn="0" w:oddVBand="0" w:evenVBand="0" w:oddHBand="0" w:evenHBand="0" w:firstRowFirstColumn="0" w:firstRowLastColumn="0" w:lastRowFirstColumn="0" w:lastRowLastColumn="0"/>
            <w:tcW w:w="2124" w:type="dxa"/>
          </w:tcPr>
          <w:p w14:paraId="322AC107" w14:textId="77777777" w:rsidR="00F72346" w:rsidRPr="00150993" w:rsidRDefault="00F72346" w:rsidP="006F3FE3">
            <w:pPr>
              <w:rPr>
                <w:rFonts w:ascii="Arial" w:hAnsi="Arial" w:cs="Arial"/>
                <w:sz w:val="21"/>
                <w:szCs w:val="21"/>
              </w:rPr>
            </w:pPr>
            <w:r w:rsidRPr="00150993">
              <w:rPr>
                <w:rFonts w:ascii="Arial" w:hAnsi="Arial" w:cs="Arial"/>
                <w:sz w:val="21"/>
                <w:szCs w:val="21"/>
              </w:rPr>
              <w:t>Cambodia (National)</w:t>
            </w:r>
          </w:p>
        </w:tc>
        <w:tc>
          <w:tcPr>
            <w:tcW w:w="1678" w:type="dxa"/>
          </w:tcPr>
          <w:p w14:paraId="2D3C05C8"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3,348,026</w:t>
            </w:r>
          </w:p>
        </w:tc>
        <w:tc>
          <w:tcPr>
            <w:tcW w:w="1678" w:type="dxa"/>
          </w:tcPr>
          <w:p w14:paraId="72B69422"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21.46</w:t>
            </w:r>
          </w:p>
        </w:tc>
        <w:tc>
          <w:tcPr>
            <w:tcW w:w="1692" w:type="dxa"/>
          </w:tcPr>
          <w:p w14:paraId="615DCB52"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751,323</w:t>
            </w:r>
          </w:p>
        </w:tc>
        <w:tc>
          <w:tcPr>
            <w:tcW w:w="1719" w:type="dxa"/>
          </w:tcPr>
          <w:p w14:paraId="664DE313" w14:textId="77777777" w:rsidR="00F72346" w:rsidRPr="00150993" w:rsidRDefault="00F72346" w:rsidP="006F3FE3">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0993">
              <w:rPr>
                <w:rFonts w:ascii="Arial" w:hAnsi="Arial" w:cs="Arial"/>
                <w:sz w:val="21"/>
                <w:szCs w:val="21"/>
              </w:rPr>
              <w:t>19.19</w:t>
            </w:r>
          </w:p>
        </w:tc>
      </w:tr>
    </w:tbl>
    <w:bookmarkEnd w:id="84"/>
    <w:p w14:paraId="7A11D5A0" w14:textId="03885B42" w:rsidR="00F72346" w:rsidRPr="00150993" w:rsidRDefault="00F72346" w:rsidP="00F72346">
      <w:pPr>
        <w:spacing w:after="120"/>
        <w:jc w:val="both"/>
        <w:rPr>
          <w:rFonts w:ascii="Arial" w:hAnsi="Arial" w:cs="Arial"/>
          <w:sz w:val="18"/>
          <w:szCs w:val="18"/>
        </w:rPr>
      </w:pPr>
      <w:r w:rsidRPr="00150993">
        <w:rPr>
          <w:rFonts w:ascii="Arial" w:hAnsi="Arial" w:cs="Arial"/>
          <w:b/>
          <w:bCs/>
          <w:sz w:val="18"/>
          <w:szCs w:val="18"/>
        </w:rPr>
        <w:t>Source:</w:t>
      </w:r>
      <w:r w:rsidRPr="00150993">
        <w:rPr>
          <w:rFonts w:ascii="Arial" w:hAnsi="Arial" w:cs="Arial"/>
          <w:sz w:val="18"/>
          <w:szCs w:val="18"/>
        </w:rPr>
        <w:t xml:space="preserve"> </w:t>
      </w:r>
      <w:r w:rsidR="00707BF4">
        <w:rPr>
          <w:rFonts w:ascii="Arial" w:hAnsi="Arial" w:cs="Arial"/>
          <w:sz w:val="18"/>
          <w:szCs w:val="18"/>
        </w:rPr>
        <w:t xml:space="preserve">MoP, </w:t>
      </w:r>
      <w:r w:rsidRPr="00150993">
        <w:rPr>
          <w:rFonts w:ascii="Arial" w:hAnsi="Arial" w:cs="Arial"/>
          <w:sz w:val="18"/>
          <w:szCs w:val="18"/>
        </w:rPr>
        <w:t>IDPoor Public Data Query</w:t>
      </w:r>
    </w:p>
    <w:p w14:paraId="1FE9C67E" w14:textId="77777777" w:rsidR="002911A3" w:rsidRPr="002911A3" w:rsidRDefault="002911A3" w:rsidP="002911A3">
      <w:pPr>
        <w:rPr>
          <w:rFonts w:eastAsiaTheme="minorHAnsi"/>
        </w:rPr>
      </w:pPr>
    </w:p>
    <w:p w14:paraId="621FCC65" w14:textId="1B01160E" w:rsidR="00150993" w:rsidRPr="00150993" w:rsidRDefault="00150993" w:rsidP="00150993">
      <w:pPr>
        <w:pStyle w:val="Caption"/>
        <w:keepNext/>
        <w:spacing w:before="240" w:after="120"/>
        <w:rPr>
          <w:rFonts w:ascii="Arial" w:eastAsiaTheme="minorHAnsi" w:hAnsi="Arial" w:cs="Arial"/>
          <w:color w:val="002060"/>
          <w:kern w:val="2"/>
          <w:sz w:val="22"/>
          <w:szCs w:val="22"/>
          <w14:ligatures w14:val="standardContextual"/>
        </w:rPr>
      </w:pPr>
      <w:bookmarkStart w:id="85" w:name="_Ref215216883"/>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6</w:t>
      </w:r>
      <w:r w:rsidRPr="00150993">
        <w:rPr>
          <w:rFonts w:ascii="Arial" w:eastAsiaTheme="minorHAnsi" w:hAnsi="Arial" w:cs="Arial"/>
          <w:color w:val="002060"/>
          <w:kern w:val="2"/>
          <w:sz w:val="22"/>
          <w:szCs w:val="22"/>
          <w14:ligatures w14:val="standardContextual"/>
        </w:rPr>
        <w:fldChar w:fldCharType="end"/>
      </w:r>
      <w:bookmarkEnd w:id="85"/>
      <w:r w:rsidRPr="00150993">
        <w:rPr>
          <w:rFonts w:ascii="Arial" w:eastAsiaTheme="minorHAnsi" w:hAnsi="Arial" w:cs="Arial"/>
          <w:color w:val="002060"/>
          <w:kern w:val="2"/>
          <w:sz w:val="22"/>
          <w:szCs w:val="22"/>
          <w14:ligatures w14:val="standardContextual"/>
        </w:rPr>
        <w:t xml:space="preserve"> Cambodia’s HDI, 1990–2023 (UNDP HDR 2023/24 Statistical Annex)</w:t>
      </w:r>
    </w:p>
    <w:tbl>
      <w:tblPr>
        <w:tblStyle w:val="GridTable4-Accent5"/>
        <w:tblW w:w="9010" w:type="dxa"/>
        <w:tblLook w:val="04A0" w:firstRow="1" w:lastRow="0" w:firstColumn="1" w:lastColumn="0" w:noHBand="0" w:noVBand="1"/>
      </w:tblPr>
      <w:tblGrid>
        <w:gridCol w:w="1117"/>
        <w:gridCol w:w="1265"/>
        <w:gridCol w:w="1349"/>
        <w:gridCol w:w="1601"/>
        <w:gridCol w:w="1265"/>
        <w:gridCol w:w="1264"/>
        <w:gridCol w:w="1149"/>
      </w:tblGrid>
      <w:tr w:rsidR="00150993" w:rsidRPr="00150993" w14:paraId="285E84E1" w14:textId="77777777" w:rsidTr="00150993">
        <w:trPr>
          <w:cnfStyle w:val="100000000000" w:firstRow="1" w:lastRow="0" w:firstColumn="0" w:lastColumn="0" w:oddVBand="0" w:evenVBand="0" w:oddHBand="0"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78F129C3" w14:textId="77777777" w:rsidR="00150993" w:rsidRPr="00150993" w:rsidRDefault="00150993" w:rsidP="006F3FE3">
            <w:pPr>
              <w:jc w:val="center"/>
              <w:rPr>
                <w:rFonts w:ascii="Arial" w:hAnsi="Arial" w:cs="Arial"/>
                <w:b w:val="0"/>
                <w:bCs w:val="0"/>
                <w:sz w:val="20"/>
                <w:szCs w:val="20"/>
              </w:rPr>
            </w:pPr>
            <w:r w:rsidRPr="00150993">
              <w:rPr>
                <w:rFonts w:ascii="Arial" w:hAnsi="Arial" w:cs="Arial"/>
                <w:sz w:val="20"/>
                <w:szCs w:val="20"/>
              </w:rPr>
              <w:t>Year</w:t>
            </w:r>
          </w:p>
        </w:tc>
        <w:tc>
          <w:tcPr>
            <w:tcW w:w="1266" w:type="dxa"/>
            <w:hideMark/>
          </w:tcPr>
          <w:p w14:paraId="56DC0D55"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HDI Value</w:t>
            </w:r>
          </w:p>
        </w:tc>
        <w:tc>
          <w:tcPr>
            <w:tcW w:w="1350" w:type="dxa"/>
            <w:hideMark/>
          </w:tcPr>
          <w:p w14:paraId="52F85A82"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Life expectancy at birth</w:t>
            </w:r>
          </w:p>
        </w:tc>
        <w:tc>
          <w:tcPr>
            <w:tcW w:w="1603" w:type="dxa"/>
            <w:hideMark/>
          </w:tcPr>
          <w:p w14:paraId="1CB504E5"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Expected years of schooling</w:t>
            </w:r>
          </w:p>
        </w:tc>
        <w:tc>
          <w:tcPr>
            <w:tcW w:w="1266" w:type="dxa"/>
            <w:hideMark/>
          </w:tcPr>
          <w:p w14:paraId="67898C99"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Mean years of schooling</w:t>
            </w:r>
          </w:p>
        </w:tc>
        <w:tc>
          <w:tcPr>
            <w:tcW w:w="1265" w:type="dxa"/>
            <w:hideMark/>
          </w:tcPr>
          <w:p w14:paraId="22E3A765"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GNI per capita (2021 PPP$)</w:t>
            </w:r>
          </w:p>
        </w:tc>
        <w:tc>
          <w:tcPr>
            <w:tcW w:w="1141" w:type="dxa"/>
            <w:hideMark/>
          </w:tcPr>
          <w:p w14:paraId="1299910E" w14:textId="77777777"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50993">
              <w:rPr>
                <w:rFonts w:ascii="Arial" w:hAnsi="Arial" w:cs="Arial"/>
                <w:sz w:val="20"/>
                <w:szCs w:val="20"/>
              </w:rPr>
              <w:t>Inequality Adjusted HDI</w:t>
            </w:r>
          </w:p>
        </w:tc>
      </w:tr>
      <w:tr w:rsidR="00150993" w:rsidRPr="00150993" w14:paraId="0828C45B"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4D1C6775"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1990</w:t>
            </w:r>
          </w:p>
        </w:tc>
        <w:tc>
          <w:tcPr>
            <w:tcW w:w="1266" w:type="dxa"/>
            <w:noWrap/>
            <w:hideMark/>
          </w:tcPr>
          <w:p w14:paraId="55B9C46D"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0.387</w:t>
            </w:r>
          </w:p>
        </w:tc>
        <w:tc>
          <w:tcPr>
            <w:tcW w:w="1350" w:type="dxa"/>
            <w:noWrap/>
            <w:hideMark/>
          </w:tcPr>
          <w:p w14:paraId="52B16A0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55.21</w:t>
            </w:r>
          </w:p>
        </w:tc>
        <w:tc>
          <w:tcPr>
            <w:tcW w:w="1603" w:type="dxa"/>
            <w:noWrap/>
            <w:hideMark/>
          </w:tcPr>
          <w:p w14:paraId="7B3D85F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6.89</w:t>
            </w:r>
          </w:p>
        </w:tc>
        <w:tc>
          <w:tcPr>
            <w:tcW w:w="1266" w:type="dxa"/>
            <w:noWrap/>
            <w:hideMark/>
          </w:tcPr>
          <w:p w14:paraId="0249B63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2.82</w:t>
            </w:r>
          </w:p>
        </w:tc>
        <w:tc>
          <w:tcPr>
            <w:tcW w:w="1265" w:type="dxa"/>
            <w:noWrap/>
            <w:hideMark/>
          </w:tcPr>
          <w:p w14:paraId="60DF3EB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1209.60</w:t>
            </w:r>
          </w:p>
        </w:tc>
        <w:tc>
          <w:tcPr>
            <w:tcW w:w="1141" w:type="dxa"/>
            <w:noWrap/>
            <w:hideMark/>
          </w:tcPr>
          <w:p w14:paraId="6F75757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36AC6589"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1F01946D"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1991</w:t>
            </w:r>
          </w:p>
        </w:tc>
        <w:tc>
          <w:tcPr>
            <w:tcW w:w="1266" w:type="dxa"/>
            <w:noWrap/>
            <w:hideMark/>
          </w:tcPr>
          <w:p w14:paraId="1AA7EA5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0.392</w:t>
            </w:r>
          </w:p>
        </w:tc>
        <w:tc>
          <w:tcPr>
            <w:tcW w:w="1350" w:type="dxa"/>
            <w:noWrap/>
            <w:hideMark/>
          </w:tcPr>
          <w:p w14:paraId="36D7110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55.58</w:t>
            </w:r>
          </w:p>
        </w:tc>
        <w:tc>
          <w:tcPr>
            <w:tcW w:w="1603" w:type="dxa"/>
            <w:noWrap/>
            <w:hideMark/>
          </w:tcPr>
          <w:p w14:paraId="73B4530A"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6.99</w:t>
            </w:r>
          </w:p>
        </w:tc>
        <w:tc>
          <w:tcPr>
            <w:tcW w:w="1266" w:type="dxa"/>
            <w:noWrap/>
            <w:hideMark/>
          </w:tcPr>
          <w:p w14:paraId="67E2944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2.87</w:t>
            </w:r>
          </w:p>
        </w:tc>
        <w:tc>
          <w:tcPr>
            <w:tcW w:w="1265" w:type="dxa"/>
            <w:noWrap/>
            <w:hideMark/>
          </w:tcPr>
          <w:p w14:paraId="7A5E518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1241.33</w:t>
            </w:r>
          </w:p>
        </w:tc>
        <w:tc>
          <w:tcPr>
            <w:tcW w:w="1141" w:type="dxa"/>
            <w:noWrap/>
            <w:hideMark/>
          </w:tcPr>
          <w:p w14:paraId="0F6BD3E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5145D033"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0EC009D8"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1992</w:t>
            </w:r>
          </w:p>
        </w:tc>
        <w:tc>
          <w:tcPr>
            <w:tcW w:w="1266" w:type="dxa"/>
            <w:noWrap/>
            <w:hideMark/>
          </w:tcPr>
          <w:p w14:paraId="78466B79"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0.396</w:t>
            </w:r>
          </w:p>
        </w:tc>
        <w:tc>
          <w:tcPr>
            <w:tcW w:w="1350" w:type="dxa"/>
            <w:noWrap/>
            <w:hideMark/>
          </w:tcPr>
          <w:p w14:paraId="4095F02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55.75</w:t>
            </w:r>
          </w:p>
        </w:tc>
        <w:tc>
          <w:tcPr>
            <w:tcW w:w="1603" w:type="dxa"/>
            <w:noWrap/>
            <w:hideMark/>
          </w:tcPr>
          <w:p w14:paraId="532AD0E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7.10</w:t>
            </w:r>
          </w:p>
        </w:tc>
        <w:tc>
          <w:tcPr>
            <w:tcW w:w="1266" w:type="dxa"/>
            <w:noWrap/>
            <w:hideMark/>
          </w:tcPr>
          <w:p w14:paraId="2C9DD5E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2.93</w:t>
            </w:r>
          </w:p>
        </w:tc>
        <w:tc>
          <w:tcPr>
            <w:tcW w:w="1265" w:type="dxa"/>
            <w:noWrap/>
            <w:hideMark/>
          </w:tcPr>
          <w:p w14:paraId="3E232B6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1263.47</w:t>
            </w:r>
          </w:p>
        </w:tc>
        <w:tc>
          <w:tcPr>
            <w:tcW w:w="1141" w:type="dxa"/>
            <w:noWrap/>
            <w:hideMark/>
          </w:tcPr>
          <w:p w14:paraId="6643C76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338B131A"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7E51122F"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1993</w:t>
            </w:r>
          </w:p>
        </w:tc>
        <w:tc>
          <w:tcPr>
            <w:tcW w:w="1266" w:type="dxa"/>
            <w:noWrap/>
            <w:hideMark/>
          </w:tcPr>
          <w:p w14:paraId="0733973A"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0.399</w:t>
            </w:r>
          </w:p>
        </w:tc>
        <w:tc>
          <w:tcPr>
            <w:tcW w:w="1350" w:type="dxa"/>
            <w:noWrap/>
            <w:hideMark/>
          </w:tcPr>
          <w:p w14:paraId="613D532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56.04</w:t>
            </w:r>
          </w:p>
        </w:tc>
        <w:tc>
          <w:tcPr>
            <w:tcW w:w="1603" w:type="dxa"/>
            <w:noWrap/>
            <w:hideMark/>
          </w:tcPr>
          <w:p w14:paraId="08ACCDA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7.21</w:t>
            </w:r>
          </w:p>
        </w:tc>
        <w:tc>
          <w:tcPr>
            <w:tcW w:w="1266" w:type="dxa"/>
            <w:noWrap/>
            <w:hideMark/>
          </w:tcPr>
          <w:p w14:paraId="685A2D2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2.98</w:t>
            </w:r>
          </w:p>
        </w:tc>
        <w:tc>
          <w:tcPr>
            <w:tcW w:w="1265" w:type="dxa"/>
            <w:noWrap/>
            <w:hideMark/>
          </w:tcPr>
          <w:p w14:paraId="6682EE75"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1250.66</w:t>
            </w:r>
          </w:p>
        </w:tc>
        <w:tc>
          <w:tcPr>
            <w:tcW w:w="1141" w:type="dxa"/>
            <w:noWrap/>
            <w:hideMark/>
          </w:tcPr>
          <w:p w14:paraId="4802EEA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7C66C320"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7968A562"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1994</w:t>
            </w:r>
          </w:p>
        </w:tc>
        <w:tc>
          <w:tcPr>
            <w:tcW w:w="1266" w:type="dxa"/>
            <w:noWrap/>
            <w:hideMark/>
          </w:tcPr>
          <w:p w14:paraId="3E9D91B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0.400</w:t>
            </w:r>
          </w:p>
        </w:tc>
        <w:tc>
          <w:tcPr>
            <w:tcW w:w="1350" w:type="dxa"/>
            <w:noWrap/>
            <w:hideMark/>
          </w:tcPr>
          <w:p w14:paraId="3DED0AA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56.22</w:t>
            </w:r>
          </w:p>
        </w:tc>
        <w:tc>
          <w:tcPr>
            <w:tcW w:w="1603" w:type="dxa"/>
            <w:noWrap/>
            <w:hideMark/>
          </w:tcPr>
          <w:p w14:paraId="49BE805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7.31</w:t>
            </w:r>
          </w:p>
        </w:tc>
        <w:tc>
          <w:tcPr>
            <w:tcW w:w="1266" w:type="dxa"/>
            <w:noWrap/>
            <w:hideMark/>
          </w:tcPr>
          <w:p w14:paraId="2C4E2AA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3.04</w:t>
            </w:r>
          </w:p>
        </w:tc>
        <w:tc>
          <w:tcPr>
            <w:tcW w:w="1265" w:type="dxa"/>
            <w:noWrap/>
            <w:hideMark/>
          </w:tcPr>
          <w:p w14:paraId="4DC7001D"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1217.33</w:t>
            </w:r>
          </w:p>
        </w:tc>
        <w:tc>
          <w:tcPr>
            <w:tcW w:w="1141" w:type="dxa"/>
            <w:noWrap/>
            <w:hideMark/>
          </w:tcPr>
          <w:p w14:paraId="665C424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6646027E"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0D58AB13"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1995</w:t>
            </w:r>
          </w:p>
        </w:tc>
        <w:tc>
          <w:tcPr>
            <w:tcW w:w="1266" w:type="dxa"/>
            <w:noWrap/>
            <w:hideMark/>
          </w:tcPr>
          <w:p w14:paraId="1DA7A28A"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0.404</w:t>
            </w:r>
          </w:p>
        </w:tc>
        <w:tc>
          <w:tcPr>
            <w:tcW w:w="1350" w:type="dxa"/>
            <w:noWrap/>
            <w:hideMark/>
          </w:tcPr>
          <w:p w14:paraId="4313492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56.56</w:t>
            </w:r>
          </w:p>
        </w:tc>
        <w:tc>
          <w:tcPr>
            <w:tcW w:w="1603" w:type="dxa"/>
            <w:noWrap/>
            <w:hideMark/>
          </w:tcPr>
          <w:p w14:paraId="55EAE9E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7.42</w:t>
            </w:r>
          </w:p>
        </w:tc>
        <w:tc>
          <w:tcPr>
            <w:tcW w:w="1266" w:type="dxa"/>
            <w:noWrap/>
            <w:hideMark/>
          </w:tcPr>
          <w:p w14:paraId="301D649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3.09</w:t>
            </w:r>
          </w:p>
        </w:tc>
        <w:tc>
          <w:tcPr>
            <w:tcW w:w="1265" w:type="dxa"/>
            <w:noWrap/>
            <w:hideMark/>
          </w:tcPr>
          <w:p w14:paraId="72A7FA58"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1228.19</w:t>
            </w:r>
          </w:p>
        </w:tc>
        <w:tc>
          <w:tcPr>
            <w:tcW w:w="1141" w:type="dxa"/>
            <w:noWrap/>
            <w:hideMark/>
          </w:tcPr>
          <w:p w14:paraId="313C02D9"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2153B471"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26DA7670"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1996</w:t>
            </w:r>
          </w:p>
        </w:tc>
        <w:tc>
          <w:tcPr>
            <w:tcW w:w="1266" w:type="dxa"/>
            <w:noWrap/>
            <w:hideMark/>
          </w:tcPr>
          <w:p w14:paraId="25FE7849"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0.408</w:t>
            </w:r>
          </w:p>
        </w:tc>
        <w:tc>
          <w:tcPr>
            <w:tcW w:w="1350" w:type="dxa"/>
            <w:noWrap/>
            <w:hideMark/>
          </w:tcPr>
          <w:p w14:paraId="2E595AF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56.83</w:t>
            </w:r>
          </w:p>
        </w:tc>
        <w:tc>
          <w:tcPr>
            <w:tcW w:w="1603" w:type="dxa"/>
            <w:noWrap/>
            <w:hideMark/>
          </w:tcPr>
          <w:p w14:paraId="3502A1E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7.53</w:t>
            </w:r>
          </w:p>
        </w:tc>
        <w:tc>
          <w:tcPr>
            <w:tcW w:w="1266" w:type="dxa"/>
            <w:noWrap/>
            <w:hideMark/>
          </w:tcPr>
          <w:p w14:paraId="4109BFE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3.15</w:t>
            </w:r>
          </w:p>
        </w:tc>
        <w:tc>
          <w:tcPr>
            <w:tcW w:w="1265" w:type="dxa"/>
            <w:noWrap/>
            <w:hideMark/>
          </w:tcPr>
          <w:p w14:paraId="2E15035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1261.15</w:t>
            </w:r>
          </w:p>
        </w:tc>
        <w:tc>
          <w:tcPr>
            <w:tcW w:w="1141" w:type="dxa"/>
            <w:noWrap/>
            <w:hideMark/>
          </w:tcPr>
          <w:p w14:paraId="772D564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0F026DF0"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233E1404"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1997</w:t>
            </w:r>
          </w:p>
        </w:tc>
        <w:tc>
          <w:tcPr>
            <w:tcW w:w="1266" w:type="dxa"/>
            <w:noWrap/>
            <w:hideMark/>
          </w:tcPr>
          <w:p w14:paraId="1F92A37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0.414</w:t>
            </w:r>
          </w:p>
        </w:tc>
        <w:tc>
          <w:tcPr>
            <w:tcW w:w="1350" w:type="dxa"/>
            <w:noWrap/>
            <w:hideMark/>
          </w:tcPr>
          <w:p w14:paraId="5794CC3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57.27</w:t>
            </w:r>
          </w:p>
        </w:tc>
        <w:tc>
          <w:tcPr>
            <w:tcW w:w="1603" w:type="dxa"/>
            <w:noWrap/>
            <w:hideMark/>
          </w:tcPr>
          <w:p w14:paraId="026A38B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7.64</w:t>
            </w:r>
          </w:p>
        </w:tc>
        <w:tc>
          <w:tcPr>
            <w:tcW w:w="1266" w:type="dxa"/>
            <w:noWrap/>
            <w:hideMark/>
          </w:tcPr>
          <w:p w14:paraId="400F6255"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3.20</w:t>
            </w:r>
          </w:p>
        </w:tc>
        <w:tc>
          <w:tcPr>
            <w:tcW w:w="1265" w:type="dxa"/>
            <w:noWrap/>
            <w:hideMark/>
          </w:tcPr>
          <w:p w14:paraId="293C2F2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1299.83</w:t>
            </w:r>
          </w:p>
        </w:tc>
        <w:tc>
          <w:tcPr>
            <w:tcW w:w="1141" w:type="dxa"/>
            <w:noWrap/>
            <w:hideMark/>
          </w:tcPr>
          <w:p w14:paraId="04E98E3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6F983109"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B40575E"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1998</w:t>
            </w:r>
          </w:p>
        </w:tc>
        <w:tc>
          <w:tcPr>
            <w:tcW w:w="1266" w:type="dxa"/>
            <w:noWrap/>
            <w:hideMark/>
          </w:tcPr>
          <w:p w14:paraId="1E64A06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0.419</w:t>
            </w:r>
          </w:p>
        </w:tc>
        <w:tc>
          <w:tcPr>
            <w:tcW w:w="1350" w:type="dxa"/>
            <w:noWrap/>
            <w:hideMark/>
          </w:tcPr>
          <w:p w14:paraId="156AF8A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57.86</w:t>
            </w:r>
          </w:p>
        </w:tc>
        <w:tc>
          <w:tcPr>
            <w:tcW w:w="1603" w:type="dxa"/>
            <w:noWrap/>
            <w:hideMark/>
          </w:tcPr>
          <w:p w14:paraId="43D2A31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7.74</w:t>
            </w:r>
          </w:p>
        </w:tc>
        <w:tc>
          <w:tcPr>
            <w:tcW w:w="1266" w:type="dxa"/>
            <w:noWrap/>
            <w:hideMark/>
          </w:tcPr>
          <w:p w14:paraId="02C89E6D"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3.26</w:t>
            </w:r>
          </w:p>
        </w:tc>
        <w:tc>
          <w:tcPr>
            <w:tcW w:w="1265" w:type="dxa"/>
            <w:noWrap/>
            <w:hideMark/>
          </w:tcPr>
          <w:p w14:paraId="65727DF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1324.98</w:t>
            </w:r>
          </w:p>
        </w:tc>
        <w:tc>
          <w:tcPr>
            <w:tcW w:w="1141" w:type="dxa"/>
            <w:noWrap/>
            <w:hideMark/>
          </w:tcPr>
          <w:p w14:paraId="745803D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16C013DE"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3C9E0FB2"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1999</w:t>
            </w:r>
          </w:p>
        </w:tc>
        <w:tc>
          <w:tcPr>
            <w:tcW w:w="1266" w:type="dxa"/>
            <w:noWrap/>
            <w:hideMark/>
          </w:tcPr>
          <w:p w14:paraId="16CCE90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0.429</w:t>
            </w:r>
          </w:p>
        </w:tc>
        <w:tc>
          <w:tcPr>
            <w:tcW w:w="1350" w:type="dxa"/>
            <w:noWrap/>
            <w:hideMark/>
          </w:tcPr>
          <w:p w14:paraId="4E1437F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58.61</w:t>
            </w:r>
          </w:p>
        </w:tc>
        <w:tc>
          <w:tcPr>
            <w:tcW w:w="1603" w:type="dxa"/>
            <w:noWrap/>
            <w:hideMark/>
          </w:tcPr>
          <w:p w14:paraId="78B4B03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7.85</w:t>
            </w:r>
          </w:p>
        </w:tc>
        <w:tc>
          <w:tcPr>
            <w:tcW w:w="1266" w:type="dxa"/>
            <w:noWrap/>
            <w:hideMark/>
          </w:tcPr>
          <w:p w14:paraId="46D8F68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3.32</w:t>
            </w:r>
          </w:p>
        </w:tc>
        <w:tc>
          <w:tcPr>
            <w:tcW w:w="1265" w:type="dxa"/>
            <w:noWrap/>
            <w:hideMark/>
          </w:tcPr>
          <w:p w14:paraId="0C75D2D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1449.30</w:t>
            </w:r>
          </w:p>
        </w:tc>
        <w:tc>
          <w:tcPr>
            <w:tcW w:w="1141" w:type="dxa"/>
            <w:noWrap/>
            <w:hideMark/>
          </w:tcPr>
          <w:p w14:paraId="1F262E0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18064A6B"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1C6D8E7"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2000</w:t>
            </w:r>
          </w:p>
        </w:tc>
        <w:tc>
          <w:tcPr>
            <w:tcW w:w="1266" w:type="dxa"/>
            <w:noWrap/>
            <w:hideMark/>
          </w:tcPr>
          <w:p w14:paraId="247C0B0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0.438</w:t>
            </w:r>
          </w:p>
        </w:tc>
        <w:tc>
          <w:tcPr>
            <w:tcW w:w="1350" w:type="dxa"/>
            <w:noWrap/>
            <w:hideMark/>
          </w:tcPr>
          <w:p w14:paraId="45C0081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59.49</w:t>
            </w:r>
          </w:p>
        </w:tc>
        <w:tc>
          <w:tcPr>
            <w:tcW w:w="1603" w:type="dxa"/>
            <w:noWrap/>
            <w:hideMark/>
          </w:tcPr>
          <w:p w14:paraId="7302966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7.96</w:t>
            </w:r>
          </w:p>
        </w:tc>
        <w:tc>
          <w:tcPr>
            <w:tcW w:w="1266" w:type="dxa"/>
            <w:noWrap/>
            <w:hideMark/>
          </w:tcPr>
          <w:p w14:paraId="4550843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3.37</w:t>
            </w:r>
          </w:p>
        </w:tc>
        <w:tc>
          <w:tcPr>
            <w:tcW w:w="1265" w:type="dxa"/>
            <w:noWrap/>
            <w:hideMark/>
          </w:tcPr>
          <w:p w14:paraId="3CEC546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1557.66</w:t>
            </w:r>
          </w:p>
        </w:tc>
        <w:tc>
          <w:tcPr>
            <w:tcW w:w="1141" w:type="dxa"/>
            <w:noWrap/>
            <w:hideMark/>
          </w:tcPr>
          <w:p w14:paraId="516E858D"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310409AC"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44619654"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2001</w:t>
            </w:r>
          </w:p>
        </w:tc>
        <w:tc>
          <w:tcPr>
            <w:tcW w:w="1266" w:type="dxa"/>
            <w:noWrap/>
            <w:hideMark/>
          </w:tcPr>
          <w:p w14:paraId="6ED0FBD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0.453</w:t>
            </w:r>
          </w:p>
        </w:tc>
        <w:tc>
          <w:tcPr>
            <w:tcW w:w="1350" w:type="dxa"/>
            <w:noWrap/>
            <w:hideMark/>
          </w:tcPr>
          <w:p w14:paraId="625A537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60.46</w:t>
            </w:r>
          </w:p>
        </w:tc>
        <w:tc>
          <w:tcPr>
            <w:tcW w:w="1603" w:type="dxa"/>
            <w:noWrap/>
            <w:hideMark/>
          </w:tcPr>
          <w:p w14:paraId="3E4055C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8.59</w:t>
            </w:r>
          </w:p>
        </w:tc>
        <w:tc>
          <w:tcPr>
            <w:tcW w:w="1266" w:type="dxa"/>
            <w:noWrap/>
            <w:hideMark/>
          </w:tcPr>
          <w:p w14:paraId="45281F9E"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3.44</w:t>
            </w:r>
          </w:p>
        </w:tc>
        <w:tc>
          <w:tcPr>
            <w:tcW w:w="1265" w:type="dxa"/>
            <w:noWrap/>
            <w:hideMark/>
          </w:tcPr>
          <w:p w14:paraId="2F51C63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1650.32</w:t>
            </w:r>
          </w:p>
        </w:tc>
        <w:tc>
          <w:tcPr>
            <w:tcW w:w="1141" w:type="dxa"/>
            <w:noWrap/>
            <w:hideMark/>
          </w:tcPr>
          <w:p w14:paraId="6F2D1ED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6D092582"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02F3EBEC"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2002</w:t>
            </w:r>
          </w:p>
        </w:tc>
        <w:tc>
          <w:tcPr>
            <w:tcW w:w="1266" w:type="dxa"/>
            <w:noWrap/>
            <w:hideMark/>
          </w:tcPr>
          <w:p w14:paraId="62AE677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0.473</w:t>
            </w:r>
          </w:p>
        </w:tc>
        <w:tc>
          <w:tcPr>
            <w:tcW w:w="1350" w:type="dxa"/>
            <w:noWrap/>
            <w:hideMark/>
          </w:tcPr>
          <w:p w14:paraId="57C3486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61.40</w:t>
            </w:r>
          </w:p>
        </w:tc>
        <w:tc>
          <w:tcPr>
            <w:tcW w:w="1603" w:type="dxa"/>
            <w:noWrap/>
            <w:hideMark/>
          </w:tcPr>
          <w:p w14:paraId="79BE371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9.78</w:t>
            </w:r>
          </w:p>
        </w:tc>
        <w:tc>
          <w:tcPr>
            <w:tcW w:w="1266" w:type="dxa"/>
            <w:noWrap/>
            <w:hideMark/>
          </w:tcPr>
          <w:p w14:paraId="11536D3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3.50</w:t>
            </w:r>
          </w:p>
        </w:tc>
        <w:tc>
          <w:tcPr>
            <w:tcW w:w="1265" w:type="dxa"/>
            <w:noWrap/>
            <w:hideMark/>
          </w:tcPr>
          <w:p w14:paraId="4892333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1712.62</w:t>
            </w:r>
          </w:p>
        </w:tc>
        <w:tc>
          <w:tcPr>
            <w:tcW w:w="1141" w:type="dxa"/>
            <w:noWrap/>
            <w:hideMark/>
          </w:tcPr>
          <w:p w14:paraId="2BC2D8E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76EFFD99"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12F0E085"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2003</w:t>
            </w:r>
          </w:p>
        </w:tc>
        <w:tc>
          <w:tcPr>
            <w:tcW w:w="1266" w:type="dxa"/>
            <w:noWrap/>
            <w:hideMark/>
          </w:tcPr>
          <w:p w14:paraId="3DE1FE3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0.488</w:t>
            </w:r>
          </w:p>
        </w:tc>
        <w:tc>
          <w:tcPr>
            <w:tcW w:w="1350" w:type="dxa"/>
            <w:noWrap/>
            <w:hideMark/>
          </w:tcPr>
          <w:p w14:paraId="21E1A0A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62.35</w:t>
            </w:r>
          </w:p>
        </w:tc>
        <w:tc>
          <w:tcPr>
            <w:tcW w:w="1603" w:type="dxa"/>
            <w:noWrap/>
            <w:hideMark/>
          </w:tcPr>
          <w:p w14:paraId="67DBF98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10.33</w:t>
            </w:r>
          </w:p>
        </w:tc>
        <w:tc>
          <w:tcPr>
            <w:tcW w:w="1266" w:type="dxa"/>
            <w:noWrap/>
            <w:hideMark/>
          </w:tcPr>
          <w:p w14:paraId="7CFFD2D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3.56</w:t>
            </w:r>
          </w:p>
        </w:tc>
        <w:tc>
          <w:tcPr>
            <w:tcW w:w="1265" w:type="dxa"/>
            <w:noWrap/>
            <w:hideMark/>
          </w:tcPr>
          <w:p w14:paraId="7D4810B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1836.39</w:t>
            </w:r>
          </w:p>
        </w:tc>
        <w:tc>
          <w:tcPr>
            <w:tcW w:w="1141" w:type="dxa"/>
            <w:noWrap/>
            <w:hideMark/>
          </w:tcPr>
          <w:p w14:paraId="50B6268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41AF1A6B"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FE0D582"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2004</w:t>
            </w:r>
          </w:p>
        </w:tc>
        <w:tc>
          <w:tcPr>
            <w:tcW w:w="1266" w:type="dxa"/>
            <w:noWrap/>
            <w:hideMark/>
          </w:tcPr>
          <w:p w14:paraId="1F6BD10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0.502</w:t>
            </w:r>
          </w:p>
        </w:tc>
        <w:tc>
          <w:tcPr>
            <w:tcW w:w="1350" w:type="dxa"/>
            <w:noWrap/>
            <w:hideMark/>
          </w:tcPr>
          <w:p w14:paraId="063F4D5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63.26</w:t>
            </w:r>
          </w:p>
        </w:tc>
        <w:tc>
          <w:tcPr>
            <w:tcW w:w="1603" w:type="dxa"/>
            <w:noWrap/>
            <w:hideMark/>
          </w:tcPr>
          <w:p w14:paraId="4587D5B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10.84</w:t>
            </w:r>
          </w:p>
        </w:tc>
        <w:tc>
          <w:tcPr>
            <w:tcW w:w="1266" w:type="dxa"/>
            <w:noWrap/>
            <w:hideMark/>
          </w:tcPr>
          <w:p w14:paraId="071F44D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3.62</w:t>
            </w:r>
          </w:p>
        </w:tc>
        <w:tc>
          <w:tcPr>
            <w:tcW w:w="1265" w:type="dxa"/>
            <w:noWrap/>
            <w:hideMark/>
          </w:tcPr>
          <w:p w14:paraId="559FF69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1986.09</w:t>
            </w:r>
          </w:p>
        </w:tc>
        <w:tc>
          <w:tcPr>
            <w:tcW w:w="1141" w:type="dxa"/>
            <w:noWrap/>
            <w:hideMark/>
          </w:tcPr>
          <w:p w14:paraId="74C4EC6D"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16B6E022"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7595486B"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2005</w:t>
            </w:r>
          </w:p>
        </w:tc>
        <w:tc>
          <w:tcPr>
            <w:tcW w:w="1266" w:type="dxa"/>
            <w:noWrap/>
            <w:hideMark/>
          </w:tcPr>
          <w:p w14:paraId="7B0830F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0.514</w:t>
            </w:r>
          </w:p>
        </w:tc>
        <w:tc>
          <w:tcPr>
            <w:tcW w:w="1350" w:type="dxa"/>
            <w:noWrap/>
            <w:hideMark/>
          </w:tcPr>
          <w:p w14:paraId="044C97D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64.11</w:t>
            </w:r>
          </w:p>
        </w:tc>
        <w:tc>
          <w:tcPr>
            <w:tcW w:w="1603" w:type="dxa"/>
            <w:noWrap/>
            <w:hideMark/>
          </w:tcPr>
          <w:p w14:paraId="096A71B9"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11.00</w:t>
            </w:r>
          </w:p>
        </w:tc>
        <w:tc>
          <w:tcPr>
            <w:tcW w:w="1266" w:type="dxa"/>
            <w:noWrap/>
            <w:hideMark/>
          </w:tcPr>
          <w:p w14:paraId="53996C6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3.69</w:t>
            </w:r>
          </w:p>
        </w:tc>
        <w:tc>
          <w:tcPr>
            <w:tcW w:w="1265" w:type="dxa"/>
            <w:noWrap/>
            <w:hideMark/>
          </w:tcPr>
          <w:p w14:paraId="3FE1372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2196.73</w:t>
            </w:r>
          </w:p>
        </w:tc>
        <w:tc>
          <w:tcPr>
            <w:tcW w:w="1141" w:type="dxa"/>
            <w:noWrap/>
            <w:hideMark/>
          </w:tcPr>
          <w:p w14:paraId="3E0D13A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7B042096"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00C12743"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2006</w:t>
            </w:r>
          </w:p>
        </w:tc>
        <w:tc>
          <w:tcPr>
            <w:tcW w:w="1266" w:type="dxa"/>
            <w:noWrap/>
            <w:hideMark/>
          </w:tcPr>
          <w:p w14:paraId="0D0BDD9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0.525</w:t>
            </w:r>
          </w:p>
        </w:tc>
        <w:tc>
          <w:tcPr>
            <w:tcW w:w="1350" w:type="dxa"/>
            <w:noWrap/>
            <w:hideMark/>
          </w:tcPr>
          <w:p w14:paraId="1B403F0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64.89</w:t>
            </w:r>
          </w:p>
        </w:tc>
        <w:tc>
          <w:tcPr>
            <w:tcW w:w="1603" w:type="dxa"/>
            <w:noWrap/>
            <w:hideMark/>
          </w:tcPr>
          <w:p w14:paraId="0ABDA5E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11.16</w:t>
            </w:r>
          </w:p>
        </w:tc>
        <w:tc>
          <w:tcPr>
            <w:tcW w:w="1266" w:type="dxa"/>
            <w:noWrap/>
            <w:hideMark/>
          </w:tcPr>
          <w:p w14:paraId="28914D6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3.81</w:t>
            </w:r>
          </w:p>
        </w:tc>
        <w:tc>
          <w:tcPr>
            <w:tcW w:w="1265" w:type="dxa"/>
            <w:noWrap/>
            <w:hideMark/>
          </w:tcPr>
          <w:p w14:paraId="6953C53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2395.49</w:t>
            </w:r>
          </w:p>
        </w:tc>
        <w:tc>
          <w:tcPr>
            <w:tcW w:w="1141" w:type="dxa"/>
            <w:noWrap/>
            <w:hideMark/>
          </w:tcPr>
          <w:p w14:paraId="4DC0DDA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22C67D66"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8632149"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2007</w:t>
            </w:r>
          </w:p>
        </w:tc>
        <w:tc>
          <w:tcPr>
            <w:tcW w:w="1266" w:type="dxa"/>
            <w:noWrap/>
            <w:hideMark/>
          </w:tcPr>
          <w:p w14:paraId="3E00E508"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0.534</w:t>
            </w:r>
          </w:p>
        </w:tc>
        <w:tc>
          <w:tcPr>
            <w:tcW w:w="1350" w:type="dxa"/>
            <w:noWrap/>
            <w:hideMark/>
          </w:tcPr>
          <w:p w14:paraId="435F32E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65.55</w:t>
            </w:r>
          </w:p>
        </w:tc>
        <w:tc>
          <w:tcPr>
            <w:tcW w:w="1603" w:type="dxa"/>
            <w:noWrap/>
            <w:hideMark/>
          </w:tcPr>
          <w:p w14:paraId="362FCCD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11.16</w:t>
            </w:r>
          </w:p>
        </w:tc>
        <w:tc>
          <w:tcPr>
            <w:tcW w:w="1266" w:type="dxa"/>
            <w:noWrap/>
            <w:hideMark/>
          </w:tcPr>
          <w:p w14:paraId="62D110B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3.93</w:t>
            </w:r>
          </w:p>
        </w:tc>
        <w:tc>
          <w:tcPr>
            <w:tcW w:w="1265" w:type="dxa"/>
            <w:noWrap/>
            <w:hideMark/>
          </w:tcPr>
          <w:p w14:paraId="097A3AE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2611.42</w:t>
            </w:r>
          </w:p>
        </w:tc>
        <w:tc>
          <w:tcPr>
            <w:tcW w:w="1141" w:type="dxa"/>
            <w:noWrap/>
            <w:hideMark/>
          </w:tcPr>
          <w:p w14:paraId="3133942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1D0196B1"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33C56981"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2008</w:t>
            </w:r>
          </w:p>
        </w:tc>
        <w:tc>
          <w:tcPr>
            <w:tcW w:w="1266" w:type="dxa"/>
            <w:noWrap/>
            <w:hideMark/>
          </w:tcPr>
          <w:p w14:paraId="376D3D3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0.539</w:t>
            </w:r>
          </w:p>
        </w:tc>
        <w:tc>
          <w:tcPr>
            <w:tcW w:w="1350" w:type="dxa"/>
            <w:noWrap/>
            <w:hideMark/>
          </w:tcPr>
          <w:p w14:paraId="74D298D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66.15</w:t>
            </w:r>
          </w:p>
        </w:tc>
        <w:tc>
          <w:tcPr>
            <w:tcW w:w="1603" w:type="dxa"/>
            <w:noWrap/>
            <w:hideMark/>
          </w:tcPr>
          <w:p w14:paraId="4E3F120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11.06</w:t>
            </w:r>
          </w:p>
        </w:tc>
        <w:tc>
          <w:tcPr>
            <w:tcW w:w="1266" w:type="dxa"/>
            <w:noWrap/>
            <w:hideMark/>
          </w:tcPr>
          <w:p w14:paraId="64A2815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4.03</w:t>
            </w:r>
          </w:p>
        </w:tc>
        <w:tc>
          <w:tcPr>
            <w:tcW w:w="1265" w:type="dxa"/>
            <w:noWrap/>
            <w:hideMark/>
          </w:tcPr>
          <w:p w14:paraId="49498DD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2721.60</w:t>
            </w:r>
          </w:p>
        </w:tc>
        <w:tc>
          <w:tcPr>
            <w:tcW w:w="1141" w:type="dxa"/>
            <w:noWrap/>
            <w:hideMark/>
          </w:tcPr>
          <w:p w14:paraId="25D2A49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749E6D80"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0FEC99C"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2009</w:t>
            </w:r>
          </w:p>
        </w:tc>
        <w:tc>
          <w:tcPr>
            <w:tcW w:w="1266" w:type="dxa"/>
            <w:noWrap/>
            <w:hideMark/>
          </w:tcPr>
          <w:p w14:paraId="2989403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0.539</w:t>
            </w:r>
          </w:p>
        </w:tc>
        <w:tc>
          <w:tcPr>
            <w:tcW w:w="1350" w:type="dxa"/>
            <w:noWrap/>
            <w:hideMark/>
          </w:tcPr>
          <w:p w14:paraId="1170351A"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66.75</w:t>
            </w:r>
          </w:p>
        </w:tc>
        <w:tc>
          <w:tcPr>
            <w:tcW w:w="1603" w:type="dxa"/>
            <w:noWrap/>
            <w:hideMark/>
          </w:tcPr>
          <w:p w14:paraId="18B1DAB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11.07</w:t>
            </w:r>
          </w:p>
        </w:tc>
        <w:tc>
          <w:tcPr>
            <w:tcW w:w="1266" w:type="dxa"/>
            <w:noWrap/>
            <w:hideMark/>
          </w:tcPr>
          <w:p w14:paraId="7A21A2F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3.94</w:t>
            </w:r>
          </w:p>
        </w:tc>
        <w:tc>
          <w:tcPr>
            <w:tcW w:w="1265" w:type="dxa"/>
            <w:noWrap/>
            <w:hideMark/>
          </w:tcPr>
          <w:p w14:paraId="77766FF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2674.14</w:t>
            </w:r>
          </w:p>
        </w:tc>
        <w:tc>
          <w:tcPr>
            <w:tcW w:w="1141" w:type="dxa"/>
            <w:noWrap/>
            <w:hideMark/>
          </w:tcPr>
          <w:p w14:paraId="15B24F7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t>
            </w:r>
          </w:p>
        </w:tc>
      </w:tr>
      <w:tr w:rsidR="00150993" w:rsidRPr="00150993" w14:paraId="256678D9"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7CDBC454"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2010</w:t>
            </w:r>
          </w:p>
        </w:tc>
        <w:tc>
          <w:tcPr>
            <w:tcW w:w="1266" w:type="dxa"/>
            <w:noWrap/>
            <w:hideMark/>
          </w:tcPr>
          <w:p w14:paraId="1607BC09"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0.543</w:t>
            </w:r>
          </w:p>
        </w:tc>
        <w:tc>
          <w:tcPr>
            <w:tcW w:w="1350" w:type="dxa"/>
            <w:noWrap/>
            <w:hideMark/>
          </w:tcPr>
          <w:p w14:paraId="41C55FF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67.31</w:t>
            </w:r>
          </w:p>
        </w:tc>
        <w:tc>
          <w:tcPr>
            <w:tcW w:w="1603" w:type="dxa"/>
            <w:noWrap/>
            <w:hideMark/>
          </w:tcPr>
          <w:p w14:paraId="4BFE5CA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11.07</w:t>
            </w:r>
          </w:p>
        </w:tc>
        <w:tc>
          <w:tcPr>
            <w:tcW w:w="1266" w:type="dxa"/>
            <w:noWrap/>
            <w:hideMark/>
          </w:tcPr>
          <w:p w14:paraId="7834F35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3.87</w:t>
            </w:r>
          </w:p>
        </w:tc>
        <w:tc>
          <w:tcPr>
            <w:tcW w:w="1265" w:type="dxa"/>
            <w:noWrap/>
            <w:hideMark/>
          </w:tcPr>
          <w:p w14:paraId="226842C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2820.32</w:t>
            </w:r>
          </w:p>
        </w:tc>
        <w:tc>
          <w:tcPr>
            <w:tcW w:w="1141" w:type="dxa"/>
            <w:noWrap/>
            <w:hideMark/>
          </w:tcPr>
          <w:p w14:paraId="14D75F0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0.387</w:t>
            </w:r>
          </w:p>
        </w:tc>
      </w:tr>
      <w:tr w:rsidR="00150993" w:rsidRPr="00150993" w14:paraId="561F8912"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736F1B9"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2011</w:t>
            </w:r>
          </w:p>
        </w:tc>
        <w:tc>
          <w:tcPr>
            <w:tcW w:w="1266" w:type="dxa"/>
            <w:noWrap/>
            <w:hideMark/>
          </w:tcPr>
          <w:p w14:paraId="41E43EB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0.547</w:t>
            </w:r>
          </w:p>
        </w:tc>
        <w:tc>
          <w:tcPr>
            <w:tcW w:w="1350" w:type="dxa"/>
            <w:noWrap/>
            <w:hideMark/>
          </w:tcPr>
          <w:p w14:paraId="6C45E92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67.87</w:t>
            </w:r>
          </w:p>
        </w:tc>
        <w:tc>
          <w:tcPr>
            <w:tcW w:w="1603" w:type="dxa"/>
            <w:noWrap/>
            <w:hideMark/>
          </w:tcPr>
          <w:p w14:paraId="510DBF9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11.08</w:t>
            </w:r>
          </w:p>
        </w:tc>
        <w:tc>
          <w:tcPr>
            <w:tcW w:w="1266" w:type="dxa"/>
            <w:noWrap/>
            <w:hideMark/>
          </w:tcPr>
          <w:p w14:paraId="177B5EE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3.80</w:t>
            </w:r>
          </w:p>
        </w:tc>
        <w:tc>
          <w:tcPr>
            <w:tcW w:w="1265" w:type="dxa"/>
            <w:noWrap/>
            <w:hideMark/>
          </w:tcPr>
          <w:p w14:paraId="72F5222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2953.15</w:t>
            </w:r>
          </w:p>
        </w:tc>
        <w:tc>
          <w:tcPr>
            <w:tcW w:w="1141" w:type="dxa"/>
            <w:noWrap/>
            <w:hideMark/>
          </w:tcPr>
          <w:p w14:paraId="412C28A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0.397</w:t>
            </w:r>
          </w:p>
        </w:tc>
      </w:tr>
      <w:tr w:rsidR="00150993" w:rsidRPr="00150993" w14:paraId="39AF650F"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12DA568D"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2012</w:t>
            </w:r>
          </w:p>
        </w:tc>
        <w:tc>
          <w:tcPr>
            <w:tcW w:w="1266" w:type="dxa"/>
            <w:noWrap/>
            <w:hideMark/>
          </w:tcPr>
          <w:p w14:paraId="5D371EF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0.551</w:t>
            </w:r>
          </w:p>
        </w:tc>
        <w:tc>
          <w:tcPr>
            <w:tcW w:w="1350" w:type="dxa"/>
            <w:noWrap/>
            <w:hideMark/>
          </w:tcPr>
          <w:p w14:paraId="26AC997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68.37</w:t>
            </w:r>
          </w:p>
        </w:tc>
        <w:tc>
          <w:tcPr>
            <w:tcW w:w="1603" w:type="dxa"/>
            <w:noWrap/>
            <w:hideMark/>
          </w:tcPr>
          <w:p w14:paraId="4689387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11.09</w:t>
            </w:r>
          </w:p>
        </w:tc>
        <w:tc>
          <w:tcPr>
            <w:tcW w:w="1266" w:type="dxa"/>
            <w:noWrap/>
            <w:hideMark/>
          </w:tcPr>
          <w:p w14:paraId="1948D25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3.74</w:t>
            </w:r>
          </w:p>
        </w:tc>
        <w:tc>
          <w:tcPr>
            <w:tcW w:w="1265" w:type="dxa"/>
            <w:noWrap/>
            <w:hideMark/>
          </w:tcPr>
          <w:p w14:paraId="19BA905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3096.68</w:t>
            </w:r>
          </w:p>
        </w:tc>
        <w:tc>
          <w:tcPr>
            <w:tcW w:w="1141" w:type="dxa"/>
            <w:noWrap/>
            <w:hideMark/>
          </w:tcPr>
          <w:p w14:paraId="2540956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0.404</w:t>
            </w:r>
          </w:p>
        </w:tc>
      </w:tr>
      <w:tr w:rsidR="00150993" w:rsidRPr="00150993" w14:paraId="3D98F4A6"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18C4BA7B"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2013</w:t>
            </w:r>
          </w:p>
        </w:tc>
        <w:tc>
          <w:tcPr>
            <w:tcW w:w="1266" w:type="dxa"/>
            <w:noWrap/>
            <w:hideMark/>
          </w:tcPr>
          <w:p w14:paraId="4E32C5D8"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0.554</w:t>
            </w:r>
          </w:p>
        </w:tc>
        <w:tc>
          <w:tcPr>
            <w:tcW w:w="1350" w:type="dxa"/>
            <w:noWrap/>
            <w:hideMark/>
          </w:tcPr>
          <w:p w14:paraId="0CDCBC0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68.76</w:t>
            </w:r>
          </w:p>
        </w:tc>
        <w:tc>
          <w:tcPr>
            <w:tcW w:w="1603" w:type="dxa"/>
            <w:noWrap/>
            <w:hideMark/>
          </w:tcPr>
          <w:p w14:paraId="0B26E44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11.10</w:t>
            </w:r>
          </w:p>
        </w:tc>
        <w:tc>
          <w:tcPr>
            <w:tcW w:w="1266" w:type="dxa"/>
            <w:noWrap/>
            <w:hideMark/>
          </w:tcPr>
          <w:p w14:paraId="6E0FB84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3.67</w:t>
            </w:r>
          </w:p>
        </w:tc>
        <w:tc>
          <w:tcPr>
            <w:tcW w:w="1265" w:type="dxa"/>
            <w:noWrap/>
            <w:hideMark/>
          </w:tcPr>
          <w:p w14:paraId="6C1C6E4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3253.89</w:t>
            </w:r>
          </w:p>
        </w:tc>
        <w:tc>
          <w:tcPr>
            <w:tcW w:w="1141" w:type="dxa"/>
            <w:noWrap/>
            <w:hideMark/>
          </w:tcPr>
          <w:p w14:paraId="19BE88F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0.408</w:t>
            </w:r>
          </w:p>
        </w:tc>
      </w:tr>
      <w:tr w:rsidR="00150993" w:rsidRPr="00150993" w14:paraId="13FB3F98"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2FEE4F62"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2014</w:t>
            </w:r>
          </w:p>
        </w:tc>
        <w:tc>
          <w:tcPr>
            <w:tcW w:w="1266" w:type="dxa"/>
            <w:noWrap/>
            <w:hideMark/>
          </w:tcPr>
          <w:p w14:paraId="64683C9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0.557</w:t>
            </w:r>
          </w:p>
        </w:tc>
        <w:tc>
          <w:tcPr>
            <w:tcW w:w="1350" w:type="dxa"/>
            <w:noWrap/>
            <w:hideMark/>
          </w:tcPr>
          <w:p w14:paraId="0DE94C7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69.12</w:t>
            </w:r>
          </w:p>
        </w:tc>
        <w:tc>
          <w:tcPr>
            <w:tcW w:w="1603" w:type="dxa"/>
            <w:noWrap/>
            <w:hideMark/>
          </w:tcPr>
          <w:p w14:paraId="4A27426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11.11</w:t>
            </w:r>
          </w:p>
        </w:tc>
        <w:tc>
          <w:tcPr>
            <w:tcW w:w="1266" w:type="dxa"/>
            <w:noWrap/>
            <w:hideMark/>
          </w:tcPr>
          <w:p w14:paraId="5F2A523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3.60</w:t>
            </w:r>
          </w:p>
        </w:tc>
        <w:tc>
          <w:tcPr>
            <w:tcW w:w="1265" w:type="dxa"/>
            <w:noWrap/>
            <w:hideMark/>
          </w:tcPr>
          <w:p w14:paraId="75A0CCB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3437.21</w:t>
            </w:r>
          </w:p>
        </w:tc>
        <w:tc>
          <w:tcPr>
            <w:tcW w:w="1141" w:type="dxa"/>
            <w:noWrap/>
            <w:hideMark/>
          </w:tcPr>
          <w:p w14:paraId="34D96B6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0.403</w:t>
            </w:r>
          </w:p>
        </w:tc>
      </w:tr>
      <w:tr w:rsidR="00150993" w:rsidRPr="00150993" w14:paraId="47ACF9CB"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28C35B86"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2015</w:t>
            </w:r>
          </w:p>
        </w:tc>
        <w:tc>
          <w:tcPr>
            <w:tcW w:w="1266" w:type="dxa"/>
            <w:noWrap/>
            <w:hideMark/>
          </w:tcPr>
          <w:p w14:paraId="699AEB1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0.562</w:t>
            </w:r>
          </w:p>
        </w:tc>
        <w:tc>
          <w:tcPr>
            <w:tcW w:w="1350" w:type="dxa"/>
            <w:noWrap/>
            <w:hideMark/>
          </w:tcPr>
          <w:p w14:paraId="773988C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69.40</w:t>
            </w:r>
          </w:p>
        </w:tc>
        <w:tc>
          <w:tcPr>
            <w:tcW w:w="1603" w:type="dxa"/>
            <w:noWrap/>
            <w:hideMark/>
          </w:tcPr>
          <w:p w14:paraId="75420A3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11.12</w:t>
            </w:r>
          </w:p>
        </w:tc>
        <w:tc>
          <w:tcPr>
            <w:tcW w:w="1266" w:type="dxa"/>
            <w:noWrap/>
            <w:hideMark/>
          </w:tcPr>
          <w:p w14:paraId="018E0565"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3.67</w:t>
            </w:r>
          </w:p>
        </w:tc>
        <w:tc>
          <w:tcPr>
            <w:tcW w:w="1265" w:type="dxa"/>
            <w:noWrap/>
            <w:hideMark/>
          </w:tcPr>
          <w:p w14:paraId="4071B67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3629.06</w:t>
            </w:r>
          </w:p>
        </w:tc>
        <w:tc>
          <w:tcPr>
            <w:tcW w:w="1141" w:type="dxa"/>
            <w:noWrap/>
            <w:hideMark/>
          </w:tcPr>
          <w:p w14:paraId="657153E9"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0.407</w:t>
            </w:r>
          </w:p>
        </w:tc>
      </w:tr>
      <w:tr w:rsidR="00150993" w:rsidRPr="00150993" w14:paraId="662D5AAF"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51F7CD04"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2016</w:t>
            </w:r>
          </w:p>
        </w:tc>
        <w:tc>
          <w:tcPr>
            <w:tcW w:w="1266" w:type="dxa"/>
            <w:noWrap/>
            <w:hideMark/>
          </w:tcPr>
          <w:p w14:paraId="2A80FE5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0.570</w:t>
            </w:r>
          </w:p>
        </w:tc>
        <w:tc>
          <w:tcPr>
            <w:tcW w:w="1350" w:type="dxa"/>
            <w:noWrap/>
            <w:hideMark/>
          </w:tcPr>
          <w:p w14:paraId="31AA8BC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69.64</w:t>
            </w:r>
          </w:p>
        </w:tc>
        <w:tc>
          <w:tcPr>
            <w:tcW w:w="1603" w:type="dxa"/>
            <w:noWrap/>
            <w:hideMark/>
          </w:tcPr>
          <w:p w14:paraId="76C0226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11.13</w:t>
            </w:r>
          </w:p>
        </w:tc>
        <w:tc>
          <w:tcPr>
            <w:tcW w:w="1266" w:type="dxa"/>
            <w:noWrap/>
            <w:hideMark/>
          </w:tcPr>
          <w:p w14:paraId="43F4F1E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3.95</w:t>
            </w:r>
          </w:p>
        </w:tc>
        <w:tc>
          <w:tcPr>
            <w:tcW w:w="1265" w:type="dxa"/>
            <w:noWrap/>
            <w:hideMark/>
          </w:tcPr>
          <w:p w14:paraId="26F224E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3839.20</w:t>
            </w:r>
          </w:p>
        </w:tc>
        <w:tc>
          <w:tcPr>
            <w:tcW w:w="1141" w:type="dxa"/>
            <w:noWrap/>
            <w:hideMark/>
          </w:tcPr>
          <w:p w14:paraId="327FA6C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0.414</w:t>
            </w:r>
          </w:p>
        </w:tc>
      </w:tr>
      <w:tr w:rsidR="00150993" w:rsidRPr="00150993" w14:paraId="424D1EC5"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74FCCF3A"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2017</w:t>
            </w:r>
          </w:p>
        </w:tc>
        <w:tc>
          <w:tcPr>
            <w:tcW w:w="1266" w:type="dxa"/>
            <w:noWrap/>
            <w:hideMark/>
          </w:tcPr>
          <w:p w14:paraId="21A6D43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0.578</w:t>
            </w:r>
          </w:p>
        </w:tc>
        <w:tc>
          <w:tcPr>
            <w:tcW w:w="1350" w:type="dxa"/>
            <w:noWrap/>
            <w:hideMark/>
          </w:tcPr>
          <w:p w14:paraId="1828FED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69.84</w:t>
            </w:r>
          </w:p>
        </w:tc>
        <w:tc>
          <w:tcPr>
            <w:tcW w:w="1603" w:type="dxa"/>
            <w:noWrap/>
            <w:hideMark/>
          </w:tcPr>
          <w:p w14:paraId="77C5D11A"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11.14</w:t>
            </w:r>
          </w:p>
        </w:tc>
        <w:tc>
          <w:tcPr>
            <w:tcW w:w="1266" w:type="dxa"/>
            <w:noWrap/>
            <w:hideMark/>
          </w:tcPr>
          <w:p w14:paraId="7AF3BF7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4.23</w:t>
            </w:r>
          </w:p>
        </w:tc>
        <w:tc>
          <w:tcPr>
            <w:tcW w:w="1265" w:type="dxa"/>
            <w:noWrap/>
            <w:hideMark/>
          </w:tcPr>
          <w:p w14:paraId="74051D28"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4057.35</w:t>
            </w:r>
          </w:p>
        </w:tc>
        <w:tc>
          <w:tcPr>
            <w:tcW w:w="1141" w:type="dxa"/>
            <w:noWrap/>
            <w:hideMark/>
          </w:tcPr>
          <w:p w14:paraId="033C7B26"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0.421</w:t>
            </w:r>
          </w:p>
        </w:tc>
      </w:tr>
      <w:tr w:rsidR="00150993" w:rsidRPr="00150993" w14:paraId="5B5960E5"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23A24DBA"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2018</w:t>
            </w:r>
          </w:p>
        </w:tc>
        <w:tc>
          <w:tcPr>
            <w:tcW w:w="1266" w:type="dxa"/>
            <w:noWrap/>
            <w:hideMark/>
          </w:tcPr>
          <w:p w14:paraId="248CA11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0.586</w:t>
            </w:r>
          </w:p>
        </w:tc>
        <w:tc>
          <w:tcPr>
            <w:tcW w:w="1350" w:type="dxa"/>
            <w:noWrap/>
            <w:hideMark/>
          </w:tcPr>
          <w:p w14:paraId="420D35B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69.99</w:t>
            </w:r>
          </w:p>
        </w:tc>
        <w:tc>
          <w:tcPr>
            <w:tcW w:w="1603" w:type="dxa"/>
            <w:noWrap/>
            <w:hideMark/>
          </w:tcPr>
          <w:p w14:paraId="0FD19993"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11.15</w:t>
            </w:r>
          </w:p>
        </w:tc>
        <w:tc>
          <w:tcPr>
            <w:tcW w:w="1266" w:type="dxa"/>
            <w:noWrap/>
            <w:hideMark/>
          </w:tcPr>
          <w:p w14:paraId="76FD60C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4.52</w:t>
            </w:r>
          </w:p>
        </w:tc>
        <w:tc>
          <w:tcPr>
            <w:tcW w:w="1265" w:type="dxa"/>
            <w:noWrap/>
            <w:hideMark/>
          </w:tcPr>
          <w:p w14:paraId="7177DF2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4284.37</w:t>
            </w:r>
          </w:p>
        </w:tc>
        <w:tc>
          <w:tcPr>
            <w:tcW w:w="1141" w:type="dxa"/>
            <w:noWrap/>
            <w:hideMark/>
          </w:tcPr>
          <w:p w14:paraId="1EB9DCD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0.427</w:t>
            </w:r>
          </w:p>
        </w:tc>
      </w:tr>
      <w:tr w:rsidR="00150993" w:rsidRPr="00150993" w14:paraId="6E70315E"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0EE70DA8"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2019</w:t>
            </w:r>
          </w:p>
        </w:tc>
        <w:tc>
          <w:tcPr>
            <w:tcW w:w="1266" w:type="dxa"/>
            <w:noWrap/>
            <w:hideMark/>
          </w:tcPr>
          <w:p w14:paraId="51039F0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0.593</w:t>
            </w:r>
          </w:p>
        </w:tc>
        <w:tc>
          <w:tcPr>
            <w:tcW w:w="1350" w:type="dxa"/>
            <w:noWrap/>
            <w:hideMark/>
          </w:tcPr>
          <w:p w14:paraId="12F99855"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70.13</w:t>
            </w:r>
          </w:p>
        </w:tc>
        <w:tc>
          <w:tcPr>
            <w:tcW w:w="1603" w:type="dxa"/>
            <w:noWrap/>
            <w:hideMark/>
          </w:tcPr>
          <w:p w14:paraId="0C55A9D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11.16</w:t>
            </w:r>
          </w:p>
        </w:tc>
        <w:tc>
          <w:tcPr>
            <w:tcW w:w="1266" w:type="dxa"/>
            <w:noWrap/>
            <w:hideMark/>
          </w:tcPr>
          <w:p w14:paraId="4D61FA25"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4.80</w:t>
            </w:r>
          </w:p>
        </w:tc>
        <w:tc>
          <w:tcPr>
            <w:tcW w:w="1265" w:type="dxa"/>
            <w:noWrap/>
            <w:hideMark/>
          </w:tcPr>
          <w:p w14:paraId="42C6312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4508.79</w:t>
            </w:r>
          </w:p>
        </w:tc>
        <w:tc>
          <w:tcPr>
            <w:tcW w:w="1141" w:type="dxa"/>
            <w:noWrap/>
            <w:hideMark/>
          </w:tcPr>
          <w:p w14:paraId="4857E16F"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0.433</w:t>
            </w:r>
          </w:p>
        </w:tc>
      </w:tr>
      <w:tr w:rsidR="00150993" w:rsidRPr="00150993" w14:paraId="18E04D2D"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122DF61"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2020</w:t>
            </w:r>
          </w:p>
        </w:tc>
        <w:tc>
          <w:tcPr>
            <w:tcW w:w="1266" w:type="dxa"/>
            <w:noWrap/>
            <w:hideMark/>
          </w:tcPr>
          <w:p w14:paraId="11E06C6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0.595</w:t>
            </w:r>
          </w:p>
        </w:tc>
        <w:tc>
          <w:tcPr>
            <w:tcW w:w="1350" w:type="dxa"/>
            <w:noWrap/>
            <w:hideMark/>
          </w:tcPr>
          <w:p w14:paraId="69AA541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70.06</w:t>
            </w:r>
          </w:p>
        </w:tc>
        <w:tc>
          <w:tcPr>
            <w:tcW w:w="1603" w:type="dxa"/>
            <w:noWrap/>
            <w:hideMark/>
          </w:tcPr>
          <w:p w14:paraId="4668356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11.17</w:t>
            </w:r>
          </w:p>
        </w:tc>
        <w:tc>
          <w:tcPr>
            <w:tcW w:w="1266" w:type="dxa"/>
            <w:noWrap/>
            <w:hideMark/>
          </w:tcPr>
          <w:p w14:paraId="26D52B0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5.00</w:t>
            </w:r>
          </w:p>
        </w:tc>
        <w:tc>
          <w:tcPr>
            <w:tcW w:w="1265" w:type="dxa"/>
            <w:noWrap/>
            <w:hideMark/>
          </w:tcPr>
          <w:p w14:paraId="5AE05C05"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4415.43</w:t>
            </w:r>
          </w:p>
        </w:tc>
        <w:tc>
          <w:tcPr>
            <w:tcW w:w="1141" w:type="dxa"/>
            <w:noWrap/>
            <w:hideMark/>
          </w:tcPr>
          <w:p w14:paraId="6C3719A9"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0.435</w:t>
            </w:r>
          </w:p>
        </w:tc>
      </w:tr>
      <w:tr w:rsidR="00150993" w:rsidRPr="00150993" w14:paraId="34243175"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FFD76A9"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2021</w:t>
            </w:r>
          </w:p>
        </w:tc>
        <w:tc>
          <w:tcPr>
            <w:tcW w:w="1266" w:type="dxa"/>
            <w:noWrap/>
            <w:hideMark/>
          </w:tcPr>
          <w:p w14:paraId="69BE1DE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0.594</w:t>
            </w:r>
          </w:p>
        </w:tc>
        <w:tc>
          <w:tcPr>
            <w:tcW w:w="1350" w:type="dxa"/>
            <w:noWrap/>
            <w:hideMark/>
          </w:tcPr>
          <w:p w14:paraId="3D8D8E4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69.30</w:t>
            </w:r>
          </w:p>
        </w:tc>
        <w:tc>
          <w:tcPr>
            <w:tcW w:w="1603" w:type="dxa"/>
            <w:noWrap/>
            <w:hideMark/>
          </w:tcPr>
          <w:p w14:paraId="7A97A9C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11.18</w:t>
            </w:r>
          </w:p>
        </w:tc>
        <w:tc>
          <w:tcPr>
            <w:tcW w:w="1266" w:type="dxa"/>
            <w:noWrap/>
            <w:hideMark/>
          </w:tcPr>
          <w:p w14:paraId="27585643"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5.20</w:t>
            </w:r>
          </w:p>
        </w:tc>
        <w:tc>
          <w:tcPr>
            <w:tcW w:w="1265" w:type="dxa"/>
            <w:noWrap/>
            <w:hideMark/>
          </w:tcPr>
          <w:p w14:paraId="02F219A4"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4425.37</w:t>
            </w:r>
          </w:p>
        </w:tc>
        <w:tc>
          <w:tcPr>
            <w:tcW w:w="1141" w:type="dxa"/>
            <w:noWrap/>
            <w:hideMark/>
          </w:tcPr>
          <w:p w14:paraId="1CCE5F2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0.434</w:t>
            </w:r>
          </w:p>
        </w:tc>
      </w:tr>
      <w:tr w:rsidR="00150993" w:rsidRPr="00150993" w14:paraId="24A3B667" w14:textId="77777777" w:rsidTr="00150993">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6B8A3662"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2022</w:t>
            </w:r>
          </w:p>
        </w:tc>
        <w:tc>
          <w:tcPr>
            <w:tcW w:w="1266" w:type="dxa"/>
            <w:noWrap/>
            <w:hideMark/>
          </w:tcPr>
          <w:p w14:paraId="3055487C"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0.602</w:t>
            </w:r>
          </w:p>
        </w:tc>
        <w:tc>
          <w:tcPr>
            <w:tcW w:w="1350" w:type="dxa"/>
            <w:noWrap/>
            <w:hideMark/>
          </w:tcPr>
          <w:p w14:paraId="52CA92B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70.53</w:t>
            </w:r>
          </w:p>
        </w:tc>
        <w:tc>
          <w:tcPr>
            <w:tcW w:w="1603" w:type="dxa"/>
            <w:noWrap/>
            <w:hideMark/>
          </w:tcPr>
          <w:p w14:paraId="406A5B61"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11.19</w:t>
            </w:r>
          </w:p>
        </w:tc>
        <w:tc>
          <w:tcPr>
            <w:tcW w:w="1266" w:type="dxa"/>
            <w:noWrap/>
            <w:hideMark/>
          </w:tcPr>
          <w:p w14:paraId="4B40723A"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5.20</w:t>
            </w:r>
          </w:p>
        </w:tc>
        <w:tc>
          <w:tcPr>
            <w:tcW w:w="1265" w:type="dxa"/>
            <w:noWrap/>
            <w:hideMark/>
          </w:tcPr>
          <w:p w14:paraId="026AFAA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4612.26</w:t>
            </w:r>
          </w:p>
        </w:tc>
        <w:tc>
          <w:tcPr>
            <w:tcW w:w="1141" w:type="dxa"/>
            <w:noWrap/>
            <w:hideMark/>
          </w:tcPr>
          <w:p w14:paraId="5D1FB65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0.440</w:t>
            </w:r>
          </w:p>
        </w:tc>
      </w:tr>
      <w:tr w:rsidR="00150993" w:rsidRPr="00150993" w14:paraId="28910E45" w14:textId="77777777" w:rsidTr="00150993">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14:paraId="379942C5" w14:textId="77777777" w:rsidR="00150993" w:rsidRPr="00150993" w:rsidRDefault="00150993" w:rsidP="006F3FE3">
            <w:pPr>
              <w:jc w:val="center"/>
              <w:rPr>
                <w:rFonts w:ascii="Arial" w:hAnsi="Arial" w:cs="Arial"/>
                <w:sz w:val="20"/>
                <w:szCs w:val="20"/>
              </w:rPr>
            </w:pPr>
            <w:r w:rsidRPr="00150993">
              <w:rPr>
                <w:rFonts w:ascii="Arial" w:hAnsi="Arial" w:cs="Arial"/>
                <w:sz w:val="20"/>
                <w:szCs w:val="20"/>
              </w:rPr>
              <w:t>2023</w:t>
            </w:r>
          </w:p>
        </w:tc>
        <w:tc>
          <w:tcPr>
            <w:tcW w:w="1266" w:type="dxa"/>
            <w:noWrap/>
            <w:hideMark/>
          </w:tcPr>
          <w:p w14:paraId="0DA33FA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0.606</w:t>
            </w:r>
          </w:p>
        </w:tc>
        <w:tc>
          <w:tcPr>
            <w:tcW w:w="1350" w:type="dxa"/>
            <w:noWrap/>
            <w:hideMark/>
          </w:tcPr>
          <w:p w14:paraId="4ACCE8F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70.67</w:t>
            </w:r>
          </w:p>
        </w:tc>
        <w:tc>
          <w:tcPr>
            <w:tcW w:w="1603" w:type="dxa"/>
            <w:noWrap/>
            <w:hideMark/>
          </w:tcPr>
          <w:p w14:paraId="32113D25"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11.20</w:t>
            </w:r>
          </w:p>
        </w:tc>
        <w:tc>
          <w:tcPr>
            <w:tcW w:w="1266" w:type="dxa"/>
            <w:noWrap/>
            <w:hideMark/>
          </w:tcPr>
          <w:p w14:paraId="5A6374E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5.20</w:t>
            </w:r>
          </w:p>
        </w:tc>
        <w:tc>
          <w:tcPr>
            <w:tcW w:w="1265" w:type="dxa"/>
            <w:noWrap/>
            <w:hideMark/>
          </w:tcPr>
          <w:p w14:paraId="3487BDA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4931.02</w:t>
            </w:r>
          </w:p>
        </w:tc>
        <w:tc>
          <w:tcPr>
            <w:tcW w:w="1141" w:type="dxa"/>
            <w:noWrap/>
            <w:hideMark/>
          </w:tcPr>
          <w:p w14:paraId="56843278"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0.444</w:t>
            </w:r>
          </w:p>
        </w:tc>
      </w:tr>
    </w:tbl>
    <w:p w14:paraId="5FDD3D63" w14:textId="77777777" w:rsidR="00150993" w:rsidRPr="00150993" w:rsidRDefault="00150993" w:rsidP="00150993">
      <w:pPr>
        <w:spacing w:after="120"/>
        <w:rPr>
          <w:rFonts w:ascii="Arial" w:hAnsi="Arial" w:cs="Arial"/>
          <w:i/>
          <w:iCs/>
          <w:sz w:val="18"/>
          <w:szCs w:val="18"/>
        </w:rPr>
      </w:pPr>
      <w:r w:rsidRPr="00150993">
        <w:rPr>
          <w:rFonts w:ascii="Arial" w:hAnsi="Arial" w:cs="Arial"/>
          <w:b/>
          <w:bCs/>
          <w:sz w:val="18"/>
          <w:szCs w:val="18"/>
        </w:rPr>
        <w:t>Source:</w:t>
      </w:r>
      <w:r w:rsidRPr="00150993">
        <w:rPr>
          <w:rFonts w:ascii="Arial" w:hAnsi="Arial" w:cs="Arial"/>
          <w:sz w:val="18"/>
          <w:szCs w:val="18"/>
        </w:rPr>
        <w:t xml:space="preserve"> </w:t>
      </w:r>
      <w:r w:rsidRPr="00150993">
        <w:rPr>
          <w:rFonts w:ascii="Arial" w:hAnsi="Arial" w:cs="Arial"/>
          <w:i/>
          <w:iCs/>
          <w:sz w:val="18"/>
          <w:szCs w:val="18"/>
        </w:rPr>
        <w:t>UNDP, 2024. Human Development Report 2023/24 – Statistical Annex. Data Center</w:t>
      </w:r>
    </w:p>
    <w:p w14:paraId="29DEC45C" w14:textId="28381E73" w:rsidR="00150993" w:rsidRPr="002C0761" w:rsidRDefault="002C0761" w:rsidP="002C0761">
      <w:pPr>
        <w:pStyle w:val="Caption"/>
        <w:keepNext/>
        <w:rPr>
          <w:rFonts w:ascii="Arial" w:hAnsi="Arial" w:cs="Arial"/>
          <w:i w:val="0"/>
          <w:iCs w:val="0"/>
          <w:color w:val="002060"/>
          <w:sz w:val="21"/>
          <w:szCs w:val="21"/>
        </w:rPr>
      </w:pPr>
      <w:bookmarkStart w:id="86" w:name="_Ref215216926"/>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7</w:t>
      </w:r>
      <w:r w:rsidRPr="00150993">
        <w:rPr>
          <w:rFonts w:ascii="Arial" w:eastAsiaTheme="minorHAnsi" w:hAnsi="Arial" w:cs="Arial"/>
          <w:color w:val="002060"/>
          <w:kern w:val="2"/>
          <w:sz w:val="22"/>
          <w:szCs w:val="22"/>
          <w14:ligatures w14:val="standardContextual"/>
        </w:rPr>
        <w:fldChar w:fldCharType="end"/>
      </w:r>
      <w:bookmarkEnd w:id="86"/>
      <w:r w:rsidRPr="00150993">
        <w:rPr>
          <w:rFonts w:ascii="Arial" w:eastAsiaTheme="minorHAnsi" w:hAnsi="Arial" w:cs="Arial"/>
          <w:color w:val="002060"/>
          <w:kern w:val="2"/>
          <w:sz w:val="22"/>
          <w:szCs w:val="22"/>
          <w14:ligatures w14:val="standardContextual"/>
        </w:rPr>
        <w:t xml:space="preserve"> </w:t>
      </w:r>
      <w:r w:rsidRPr="00150993">
        <w:rPr>
          <w:rFonts w:ascii="Arial" w:hAnsi="Arial" w:cs="Arial"/>
          <w:i w:val="0"/>
          <w:iCs w:val="0"/>
          <w:color w:val="002060"/>
          <w:sz w:val="21"/>
          <w:szCs w:val="21"/>
        </w:rPr>
        <w:t>Subnational Human Development Index (HDI)-Cambodia 1990-2023</w:t>
      </w:r>
    </w:p>
    <w:tbl>
      <w:tblPr>
        <w:tblStyle w:val="GridTable4-Accent5"/>
        <w:tblW w:w="9010" w:type="dxa"/>
        <w:tblLook w:val="04A0" w:firstRow="1" w:lastRow="0" w:firstColumn="1" w:lastColumn="0" w:noHBand="0" w:noVBand="1"/>
      </w:tblPr>
      <w:tblGrid>
        <w:gridCol w:w="841"/>
        <w:gridCol w:w="995"/>
        <w:gridCol w:w="950"/>
        <w:gridCol w:w="1037"/>
        <w:gridCol w:w="1062"/>
        <w:gridCol w:w="1064"/>
        <w:gridCol w:w="1051"/>
        <w:gridCol w:w="1119"/>
        <w:gridCol w:w="891"/>
      </w:tblGrid>
      <w:tr w:rsidR="002C0761" w:rsidRPr="002C0761" w14:paraId="5A9CB827" w14:textId="77777777" w:rsidTr="002C0761">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vMerge w:val="restart"/>
            <w:noWrap/>
            <w:vAlign w:val="center"/>
            <w:hideMark/>
          </w:tcPr>
          <w:p w14:paraId="3D70A626" w14:textId="77777777" w:rsidR="002C0761" w:rsidRPr="002C0761" w:rsidRDefault="002C0761" w:rsidP="002C0761">
            <w:pPr>
              <w:jc w:val="center"/>
              <w:rPr>
                <w:rFonts w:ascii="Arial" w:hAnsi="Arial" w:cs="Arial"/>
                <w:sz w:val="20"/>
                <w:szCs w:val="20"/>
              </w:rPr>
            </w:pPr>
            <w:r w:rsidRPr="002C0761">
              <w:rPr>
                <w:rFonts w:ascii="Arial" w:hAnsi="Arial" w:cs="Arial"/>
                <w:sz w:val="20"/>
                <w:szCs w:val="20"/>
              </w:rPr>
              <w:t>Year</w:t>
            </w:r>
          </w:p>
          <w:p w14:paraId="78569C19" w14:textId="13912790" w:rsidR="002C0761" w:rsidRPr="002C0761" w:rsidRDefault="002C0761" w:rsidP="002C0761">
            <w:pPr>
              <w:jc w:val="center"/>
              <w:rPr>
                <w:rFonts w:ascii="Arial" w:hAnsi="Arial" w:cs="Arial"/>
                <w:sz w:val="20"/>
                <w:szCs w:val="20"/>
              </w:rPr>
            </w:pPr>
          </w:p>
        </w:tc>
        <w:tc>
          <w:tcPr>
            <w:tcW w:w="1945" w:type="dxa"/>
            <w:gridSpan w:val="2"/>
            <w:vAlign w:val="center"/>
            <w:hideMark/>
          </w:tcPr>
          <w:p w14:paraId="2DAF59C1" w14:textId="77777777" w:rsidR="002C0761" w:rsidRPr="002C0761" w:rsidRDefault="002C0761" w:rsidP="002C07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HDI Value</w:t>
            </w:r>
          </w:p>
        </w:tc>
        <w:tc>
          <w:tcPr>
            <w:tcW w:w="2099" w:type="dxa"/>
            <w:gridSpan w:val="2"/>
            <w:vAlign w:val="center"/>
            <w:hideMark/>
          </w:tcPr>
          <w:p w14:paraId="3B12FF87" w14:textId="77777777" w:rsidR="002C0761" w:rsidRPr="002C0761" w:rsidRDefault="002C0761" w:rsidP="002C07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Life expectancy at birth</w:t>
            </w:r>
          </w:p>
        </w:tc>
        <w:tc>
          <w:tcPr>
            <w:tcW w:w="2115" w:type="dxa"/>
            <w:gridSpan w:val="2"/>
            <w:vAlign w:val="center"/>
            <w:hideMark/>
          </w:tcPr>
          <w:p w14:paraId="62E1C3A5" w14:textId="77777777" w:rsidR="002C0761" w:rsidRPr="002C0761" w:rsidRDefault="002C0761" w:rsidP="002C07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Expected years of schooling</w:t>
            </w:r>
          </w:p>
        </w:tc>
        <w:tc>
          <w:tcPr>
            <w:tcW w:w="2010" w:type="dxa"/>
            <w:gridSpan w:val="2"/>
            <w:vAlign w:val="center"/>
            <w:hideMark/>
          </w:tcPr>
          <w:p w14:paraId="0A1B7679" w14:textId="77777777" w:rsidR="002C0761" w:rsidRPr="002C0761" w:rsidRDefault="002C0761" w:rsidP="002C07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Mean years of schooling</w:t>
            </w:r>
          </w:p>
        </w:tc>
      </w:tr>
      <w:tr w:rsidR="002C0761" w:rsidRPr="002C0761" w14:paraId="5E92ADA3" w14:textId="77777777" w:rsidTr="002C076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41" w:type="dxa"/>
            <w:vMerge/>
            <w:noWrap/>
            <w:hideMark/>
          </w:tcPr>
          <w:p w14:paraId="495192D9" w14:textId="4AB5D9C8" w:rsidR="002C0761" w:rsidRPr="002C0761" w:rsidRDefault="002C0761">
            <w:pPr>
              <w:jc w:val="center"/>
              <w:rPr>
                <w:rFonts w:ascii="Arial" w:hAnsi="Arial" w:cs="Arial"/>
                <w:b w:val="0"/>
                <w:bCs w:val="0"/>
                <w:sz w:val="20"/>
                <w:szCs w:val="20"/>
              </w:rPr>
            </w:pPr>
          </w:p>
        </w:tc>
        <w:tc>
          <w:tcPr>
            <w:tcW w:w="995" w:type="dxa"/>
            <w:shd w:val="clear" w:color="auto" w:fill="323E4F" w:themeFill="text2" w:themeFillShade="BF"/>
            <w:noWrap/>
            <w:hideMark/>
          </w:tcPr>
          <w:p w14:paraId="597B7123" w14:textId="38CEC672"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 xml:space="preserve">Sihanoul Kampot Kep </w:t>
            </w:r>
          </w:p>
        </w:tc>
        <w:tc>
          <w:tcPr>
            <w:tcW w:w="950" w:type="dxa"/>
            <w:shd w:val="clear" w:color="auto" w:fill="323E4F" w:themeFill="text2" w:themeFillShade="BF"/>
            <w:hideMark/>
          </w:tcPr>
          <w:p w14:paraId="6FB0318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Koh Kong</w:t>
            </w:r>
          </w:p>
        </w:tc>
        <w:tc>
          <w:tcPr>
            <w:tcW w:w="1037" w:type="dxa"/>
            <w:shd w:val="clear" w:color="auto" w:fill="323E4F" w:themeFill="text2" w:themeFillShade="BF"/>
            <w:noWrap/>
            <w:hideMark/>
          </w:tcPr>
          <w:p w14:paraId="55697591" w14:textId="7A7960CB"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Sihanoul Kampot Kep</w:t>
            </w:r>
          </w:p>
        </w:tc>
        <w:tc>
          <w:tcPr>
            <w:tcW w:w="1062" w:type="dxa"/>
            <w:shd w:val="clear" w:color="auto" w:fill="323E4F" w:themeFill="text2" w:themeFillShade="BF"/>
            <w:hideMark/>
          </w:tcPr>
          <w:p w14:paraId="49D00E0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Koh Kong</w:t>
            </w:r>
          </w:p>
        </w:tc>
        <w:tc>
          <w:tcPr>
            <w:tcW w:w="1064" w:type="dxa"/>
            <w:shd w:val="clear" w:color="auto" w:fill="323E4F" w:themeFill="text2" w:themeFillShade="BF"/>
            <w:noWrap/>
            <w:hideMark/>
          </w:tcPr>
          <w:p w14:paraId="4DB6C78F" w14:textId="13C1948E"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Sihanoul Kampot Kep</w:t>
            </w:r>
          </w:p>
        </w:tc>
        <w:tc>
          <w:tcPr>
            <w:tcW w:w="1051" w:type="dxa"/>
            <w:shd w:val="clear" w:color="auto" w:fill="323E4F" w:themeFill="text2" w:themeFillShade="BF"/>
            <w:hideMark/>
          </w:tcPr>
          <w:p w14:paraId="7812887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Koh Kong</w:t>
            </w:r>
          </w:p>
        </w:tc>
        <w:tc>
          <w:tcPr>
            <w:tcW w:w="1119" w:type="dxa"/>
            <w:shd w:val="clear" w:color="auto" w:fill="323E4F" w:themeFill="text2" w:themeFillShade="BF"/>
            <w:noWrap/>
            <w:hideMark/>
          </w:tcPr>
          <w:p w14:paraId="7A0972E6" w14:textId="698DCDD6"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Sihanoul Kampot Kep</w:t>
            </w:r>
          </w:p>
        </w:tc>
        <w:tc>
          <w:tcPr>
            <w:tcW w:w="891" w:type="dxa"/>
            <w:shd w:val="clear" w:color="auto" w:fill="323E4F" w:themeFill="text2" w:themeFillShade="BF"/>
            <w:hideMark/>
          </w:tcPr>
          <w:p w14:paraId="5789DA9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Koh Kong</w:t>
            </w:r>
          </w:p>
        </w:tc>
      </w:tr>
      <w:tr w:rsidR="002C0761" w:rsidRPr="002C0761" w14:paraId="5D1174CF"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3C1C3290" w14:textId="77777777" w:rsidR="002C0761" w:rsidRPr="001A219D" w:rsidRDefault="002C0761">
            <w:pPr>
              <w:jc w:val="center"/>
              <w:rPr>
                <w:rFonts w:ascii="Arial" w:hAnsi="Arial" w:cs="Arial"/>
                <w:sz w:val="20"/>
                <w:szCs w:val="20"/>
              </w:rPr>
            </w:pPr>
            <w:r w:rsidRPr="001A219D">
              <w:rPr>
                <w:rFonts w:ascii="Arial" w:hAnsi="Arial" w:cs="Arial"/>
                <w:sz w:val="20"/>
                <w:szCs w:val="20"/>
              </w:rPr>
              <w:t>1990</w:t>
            </w:r>
          </w:p>
        </w:tc>
        <w:tc>
          <w:tcPr>
            <w:tcW w:w="995" w:type="dxa"/>
            <w:noWrap/>
            <w:hideMark/>
          </w:tcPr>
          <w:p w14:paraId="20CC8AD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0.378</w:t>
            </w:r>
          </w:p>
        </w:tc>
        <w:tc>
          <w:tcPr>
            <w:tcW w:w="950" w:type="dxa"/>
            <w:noWrap/>
            <w:hideMark/>
          </w:tcPr>
          <w:p w14:paraId="61F638D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0.368</w:t>
            </w:r>
          </w:p>
        </w:tc>
        <w:tc>
          <w:tcPr>
            <w:tcW w:w="1037" w:type="dxa"/>
            <w:noWrap/>
            <w:hideMark/>
          </w:tcPr>
          <w:p w14:paraId="3DF02DF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55.17</w:t>
            </w:r>
          </w:p>
        </w:tc>
        <w:tc>
          <w:tcPr>
            <w:tcW w:w="1062" w:type="dxa"/>
            <w:noWrap/>
            <w:hideMark/>
          </w:tcPr>
          <w:p w14:paraId="421FE84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58.76</w:t>
            </w:r>
          </w:p>
        </w:tc>
        <w:tc>
          <w:tcPr>
            <w:tcW w:w="1064" w:type="dxa"/>
            <w:noWrap/>
            <w:hideMark/>
          </w:tcPr>
          <w:p w14:paraId="5D1E77D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7.329</w:t>
            </w:r>
          </w:p>
        </w:tc>
        <w:tc>
          <w:tcPr>
            <w:tcW w:w="1051" w:type="dxa"/>
            <w:noWrap/>
            <w:hideMark/>
          </w:tcPr>
          <w:p w14:paraId="74E8EFC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5.427</w:t>
            </w:r>
          </w:p>
        </w:tc>
        <w:tc>
          <w:tcPr>
            <w:tcW w:w="1119" w:type="dxa"/>
            <w:noWrap/>
            <w:hideMark/>
          </w:tcPr>
          <w:p w14:paraId="2742F89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2.913</w:t>
            </w:r>
          </w:p>
        </w:tc>
        <w:tc>
          <w:tcPr>
            <w:tcW w:w="891" w:type="dxa"/>
            <w:noWrap/>
            <w:hideMark/>
          </w:tcPr>
          <w:p w14:paraId="4F46755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2.51</w:t>
            </w:r>
          </w:p>
        </w:tc>
      </w:tr>
      <w:tr w:rsidR="002C0761" w:rsidRPr="002C0761" w14:paraId="3B7E0375"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01BB04FE" w14:textId="77777777" w:rsidR="002C0761" w:rsidRPr="001A219D" w:rsidRDefault="002C0761">
            <w:pPr>
              <w:jc w:val="center"/>
              <w:rPr>
                <w:rFonts w:ascii="Arial" w:hAnsi="Arial" w:cs="Arial"/>
                <w:sz w:val="20"/>
                <w:szCs w:val="20"/>
              </w:rPr>
            </w:pPr>
            <w:r w:rsidRPr="001A219D">
              <w:rPr>
                <w:rFonts w:ascii="Arial" w:hAnsi="Arial" w:cs="Arial"/>
                <w:sz w:val="20"/>
                <w:szCs w:val="20"/>
              </w:rPr>
              <w:t>1991</w:t>
            </w:r>
          </w:p>
        </w:tc>
        <w:tc>
          <w:tcPr>
            <w:tcW w:w="995" w:type="dxa"/>
            <w:noWrap/>
            <w:hideMark/>
          </w:tcPr>
          <w:p w14:paraId="7EBB24F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0.383</w:t>
            </w:r>
          </w:p>
        </w:tc>
        <w:tc>
          <w:tcPr>
            <w:tcW w:w="950" w:type="dxa"/>
            <w:noWrap/>
            <w:hideMark/>
          </w:tcPr>
          <w:p w14:paraId="6C8512E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0.373</w:t>
            </w:r>
          </w:p>
        </w:tc>
        <w:tc>
          <w:tcPr>
            <w:tcW w:w="1037" w:type="dxa"/>
            <w:noWrap/>
            <w:hideMark/>
          </w:tcPr>
          <w:p w14:paraId="4832571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55.52</w:t>
            </w:r>
          </w:p>
        </w:tc>
        <w:tc>
          <w:tcPr>
            <w:tcW w:w="1062" w:type="dxa"/>
            <w:noWrap/>
            <w:hideMark/>
          </w:tcPr>
          <w:p w14:paraId="4E4327D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59.14</w:t>
            </w:r>
          </w:p>
        </w:tc>
        <w:tc>
          <w:tcPr>
            <w:tcW w:w="1064" w:type="dxa"/>
            <w:noWrap/>
            <w:hideMark/>
          </w:tcPr>
          <w:p w14:paraId="015BC52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7.442</w:t>
            </w:r>
          </w:p>
        </w:tc>
        <w:tc>
          <w:tcPr>
            <w:tcW w:w="1051" w:type="dxa"/>
            <w:noWrap/>
            <w:hideMark/>
          </w:tcPr>
          <w:p w14:paraId="38A6906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5.511</w:t>
            </w:r>
          </w:p>
        </w:tc>
        <w:tc>
          <w:tcPr>
            <w:tcW w:w="1119" w:type="dxa"/>
            <w:noWrap/>
            <w:hideMark/>
          </w:tcPr>
          <w:p w14:paraId="68FDA9B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2.969</w:t>
            </w:r>
          </w:p>
        </w:tc>
        <w:tc>
          <w:tcPr>
            <w:tcW w:w="891" w:type="dxa"/>
            <w:noWrap/>
            <w:hideMark/>
          </w:tcPr>
          <w:p w14:paraId="6664939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2.558</w:t>
            </w:r>
          </w:p>
        </w:tc>
      </w:tr>
      <w:tr w:rsidR="002C0761" w:rsidRPr="002C0761" w14:paraId="0CD507DC"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6C577AEA" w14:textId="77777777" w:rsidR="002C0761" w:rsidRPr="001A219D" w:rsidRDefault="002C0761">
            <w:pPr>
              <w:jc w:val="center"/>
              <w:rPr>
                <w:rFonts w:ascii="Arial" w:hAnsi="Arial" w:cs="Arial"/>
                <w:sz w:val="20"/>
                <w:szCs w:val="20"/>
              </w:rPr>
            </w:pPr>
            <w:r w:rsidRPr="001A219D">
              <w:rPr>
                <w:rFonts w:ascii="Arial" w:hAnsi="Arial" w:cs="Arial"/>
                <w:sz w:val="20"/>
                <w:szCs w:val="20"/>
              </w:rPr>
              <w:t>1992</w:t>
            </w:r>
          </w:p>
        </w:tc>
        <w:tc>
          <w:tcPr>
            <w:tcW w:w="995" w:type="dxa"/>
            <w:noWrap/>
            <w:hideMark/>
          </w:tcPr>
          <w:p w14:paraId="731353E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0.387</w:t>
            </w:r>
          </w:p>
        </w:tc>
        <w:tc>
          <w:tcPr>
            <w:tcW w:w="950" w:type="dxa"/>
            <w:noWrap/>
            <w:hideMark/>
          </w:tcPr>
          <w:p w14:paraId="47877AB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0.377</w:t>
            </w:r>
          </w:p>
        </w:tc>
        <w:tc>
          <w:tcPr>
            <w:tcW w:w="1037" w:type="dxa"/>
            <w:noWrap/>
            <w:hideMark/>
          </w:tcPr>
          <w:p w14:paraId="337CCE8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55.75</w:t>
            </w:r>
          </w:p>
        </w:tc>
        <w:tc>
          <w:tcPr>
            <w:tcW w:w="1062" w:type="dxa"/>
            <w:noWrap/>
            <w:hideMark/>
          </w:tcPr>
          <w:p w14:paraId="560BBC0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59.38</w:t>
            </w:r>
          </w:p>
        </w:tc>
        <w:tc>
          <w:tcPr>
            <w:tcW w:w="1064" w:type="dxa"/>
            <w:noWrap/>
            <w:hideMark/>
          </w:tcPr>
          <w:p w14:paraId="1B3A229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7.556</w:t>
            </w:r>
          </w:p>
        </w:tc>
        <w:tc>
          <w:tcPr>
            <w:tcW w:w="1051" w:type="dxa"/>
            <w:noWrap/>
            <w:hideMark/>
          </w:tcPr>
          <w:p w14:paraId="204E4CA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5.595</w:t>
            </w:r>
          </w:p>
        </w:tc>
        <w:tc>
          <w:tcPr>
            <w:tcW w:w="1119" w:type="dxa"/>
            <w:noWrap/>
            <w:hideMark/>
          </w:tcPr>
          <w:p w14:paraId="76DF934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3.026</w:t>
            </w:r>
          </w:p>
        </w:tc>
        <w:tc>
          <w:tcPr>
            <w:tcW w:w="891" w:type="dxa"/>
            <w:noWrap/>
            <w:hideMark/>
          </w:tcPr>
          <w:p w14:paraId="7A22319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2.607</w:t>
            </w:r>
          </w:p>
        </w:tc>
      </w:tr>
      <w:tr w:rsidR="002C0761" w:rsidRPr="002C0761" w14:paraId="7E19A5F9"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639B3798" w14:textId="77777777" w:rsidR="002C0761" w:rsidRPr="001A219D" w:rsidRDefault="002C0761">
            <w:pPr>
              <w:jc w:val="center"/>
              <w:rPr>
                <w:rFonts w:ascii="Arial" w:hAnsi="Arial" w:cs="Arial"/>
                <w:sz w:val="20"/>
                <w:szCs w:val="20"/>
              </w:rPr>
            </w:pPr>
            <w:r w:rsidRPr="001A219D">
              <w:rPr>
                <w:rFonts w:ascii="Arial" w:hAnsi="Arial" w:cs="Arial"/>
                <w:sz w:val="20"/>
                <w:szCs w:val="20"/>
              </w:rPr>
              <w:t>1993</w:t>
            </w:r>
          </w:p>
        </w:tc>
        <w:tc>
          <w:tcPr>
            <w:tcW w:w="995" w:type="dxa"/>
            <w:noWrap/>
            <w:hideMark/>
          </w:tcPr>
          <w:p w14:paraId="54B0B6A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0.39</w:t>
            </w:r>
          </w:p>
        </w:tc>
        <w:tc>
          <w:tcPr>
            <w:tcW w:w="950" w:type="dxa"/>
            <w:noWrap/>
            <w:hideMark/>
          </w:tcPr>
          <w:p w14:paraId="1A5C2F3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0.379</w:t>
            </w:r>
          </w:p>
        </w:tc>
        <w:tc>
          <w:tcPr>
            <w:tcW w:w="1037" w:type="dxa"/>
            <w:noWrap/>
            <w:hideMark/>
          </w:tcPr>
          <w:p w14:paraId="5D8BFED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55.81</w:t>
            </w:r>
          </w:p>
        </w:tc>
        <w:tc>
          <w:tcPr>
            <w:tcW w:w="1062" w:type="dxa"/>
            <w:noWrap/>
            <w:hideMark/>
          </w:tcPr>
          <w:p w14:paraId="5EBC37E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59.44</w:t>
            </w:r>
          </w:p>
        </w:tc>
        <w:tc>
          <w:tcPr>
            <w:tcW w:w="1064" w:type="dxa"/>
            <w:noWrap/>
            <w:hideMark/>
          </w:tcPr>
          <w:p w14:paraId="75B867E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7.671</w:t>
            </w:r>
          </w:p>
        </w:tc>
        <w:tc>
          <w:tcPr>
            <w:tcW w:w="1051" w:type="dxa"/>
            <w:noWrap/>
            <w:hideMark/>
          </w:tcPr>
          <w:p w14:paraId="3E783AA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5.68</w:t>
            </w:r>
          </w:p>
        </w:tc>
        <w:tc>
          <w:tcPr>
            <w:tcW w:w="1119" w:type="dxa"/>
            <w:noWrap/>
            <w:hideMark/>
          </w:tcPr>
          <w:p w14:paraId="256FEC9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3.082</w:t>
            </w:r>
          </w:p>
        </w:tc>
        <w:tc>
          <w:tcPr>
            <w:tcW w:w="891" w:type="dxa"/>
            <w:noWrap/>
            <w:hideMark/>
          </w:tcPr>
          <w:p w14:paraId="51D5473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2.655</w:t>
            </w:r>
          </w:p>
        </w:tc>
      </w:tr>
      <w:tr w:rsidR="002C0761" w:rsidRPr="002C0761" w14:paraId="255AC001"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39014CF9" w14:textId="77777777" w:rsidR="002C0761" w:rsidRPr="001A219D" w:rsidRDefault="002C0761">
            <w:pPr>
              <w:jc w:val="center"/>
              <w:rPr>
                <w:rFonts w:ascii="Arial" w:hAnsi="Arial" w:cs="Arial"/>
                <w:sz w:val="20"/>
                <w:szCs w:val="20"/>
              </w:rPr>
            </w:pPr>
            <w:r w:rsidRPr="001A219D">
              <w:rPr>
                <w:rFonts w:ascii="Arial" w:hAnsi="Arial" w:cs="Arial"/>
                <w:sz w:val="20"/>
                <w:szCs w:val="20"/>
              </w:rPr>
              <w:t>1994</w:t>
            </w:r>
          </w:p>
        </w:tc>
        <w:tc>
          <w:tcPr>
            <w:tcW w:w="995" w:type="dxa"/>
            <w:noWrap/>
            <w:hideMark/>
          </w:tcPr>
          <w:p w14:paraId="01F2CEB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0.392</w:t>
            </w:r>
          </w:p>
        </w:tc>
        <w:tc>
          <w:tcPr>
            <w:tcW w:w="950" w:type="dxa"/>
            <w:noWrap/>
            <w:hideMark/>
          </w:tcPr>
          <w:p w14:paraId="5AF014C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0.381</w:t>
            </w:r>
          </w:p>
        </w:tc>
        <w:tc>
          <w:tcPr>
            <w:tcW w:w="1037" w:type="dxa"/>
            <w:noWrap/>
            <w:hideMark/>
          </w:tcPr>
          <w:p w14:paraId="475AAE4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55.76</w:t>
            </w:r>
          </w:p>
        </w:tc>
        <w:tc>
          <w:tcPr>
            <w:tcW w:w="1062" w:type="dxa"/>
            <w:noWrap/>
            <w:hideMark/>
          </w:tcPr>
          <w:p w14:paraId="7CDDA8C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59.4</w:t>
            </w:r>
          </w:p>
        </w:tc>
        <w:tc>
          <w:tcPr>
            <w:tcW w:w="1064" w:type="dxa"/>
            <w:noWrap/>
            <w:hideMark/>
          </w:tcPr>
          <w:p w14:paraId="5EA1785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7.785</w:t>
            </w:r>
          </w:p>
        </w:tc>
        <w:tc>
          <w:tcPr>
            <w:tcW w:w="1051" w:type="dxa"/>
            <w:noWrap/>
            <w:hideMark/>
          </w:tcPr>
          <w:p w14:paraId="73939B7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5.765</w:t>
            </w:r>
          </w:p>
        </w:tc>
        <w:tc>
          <w:tcPr>
            <w:tcW w:w="1119" w:type="dxa"/>
            <w:noWrap/>
            <w:hideMark/>
          </w:tcPr>
          <w:p w14:paraId="00C024F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3.138</w:t>
            </w:r>
          </w:p>
        </w:tc>
        <w:tc>
          <w:tcPr>
            <w:tcW w:w="891" w:type="dxa"/>
            <w:noWrap/>
            <w:hideMark/>
          </w:tcPr>
          <w:p w14:paraId="6656A73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2.704</w:t>
            </w:r>
          </w:p>
        </w:tc>
      </w:tr>
      <w:tr w:rsidR="002C0761" w:rsidRPr="002C0761" w14:paraId="06316D56"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2584BA6F" w14:textId="77777777" w:rsidR="002C0761" w:rsidRPr="001A219D" w:rsidRDefault="002C0761">
            <w:pPr>
              <w:jc w:val="center"/>
              <w:rPr>
                <w:rFonts w:ascii="Arial" w:hAnsi="Arial" w:cs="Arial"/>
                <w:sz w:val="20"/>
                <w:szCs w:val="20"/>
              </w:rPr>
            </w:pPr>
            <w:r w:rsidRPr="001A219D">
              <w:rPr>
                <w:rFonts w:ascii="Arial" w:hAnsi="Arial" w:cs="Arial"/>
                <w:sz w:val="20"/>
                <w:szCs w:val="20"/>
              </w:rPr>
              <w:t>1995</w:t>
            </w:r>
          </w:p>
        </w:tc>
        <w:tc>
          <w:tcPr>
            <w:tcW w:w="995" w:type="dxa"/>
            <w:noWrap/>
            <w:hideMark/>
          </w:tcPr>
          <w:p w14:paraId="6FF1068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0.399</w:t>
            </w:r>
          </w:p>
        </w:tc>
        <w:tc>
          <w:tcPr>
            <w:tcW w:w="950" w:type="dxa"/>
            <w:noWrap/>
            <w:hideMark/>
          </w:tcPr>
          <w:p w14:paraId="0C94002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0.387</w:t>
            </w:r>
          </w:p>
        </w:tc>
        <w:tc>
          <w:tcPr>
            <w:tcW w:w="1037" w:type="dxa"/>
            <w:noWrap/>
            <w:hideMark/>
          </w:tcPr>
          <w:p w14:paraId="24D57D0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56.04</w:t>
            </w:r>
          </w:p>
        </w:tc>
        <w:tc>
          <w:tcPr>
            <w:tcW w:w="1062" w:type="dxa"/>
            <w:noWrap/>
            <w:hideMark/>
          </w:tcPr>
          <w:p w14:paraId="2D295DB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59.69</w:t>
            </w:r>
          </w:p>
        </w:tc>
        <w:tc>
          <w:tcPr>
            <w:tcW w:w="1064" w:type="dxa"/>
            <w:noWrap/>
            <w:hideMark/>
          </w:tcPr>
          <w:p w14:paraId="26FDF55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7.9</w:t>
            </w:r>
          </w:p>
        </w:tc>
        <w:tc>
          <w:tcPr>
            <w:tcW w:w="1051" w:type="dxa"/>
            <w:noWrap/>
            <w:hideMark/>
          </w:tcPr>
          <w:p w14:paraId="77BA416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5.85</w:t>
            </w:r>
          </w:p>
        </w:tc>
        <w:tc>
          <w:tcPr>
            <w:tcW w:w="1119" w:type="dxa"/>
            <w:noWrap/>
            <w:hideMark/>
          </w:tcPr>
          <w:p w14:paraId="3F6CFA9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3.195</w:t>
            </w:r>
          </w:p>
        </w:tc>
        <w:tc>
          <w:tcPr>
            <w:tcW w:w="891" w:type="dxa"/>
            <w:noWrap/>
            <w:hideMark/>
          </w:tcPr>
          <w:p w14:paraId="52D666C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2.752</w:t>
            </w:r>
          </w:p>
        </w:tc>
      </w:tr>
      <w:tr w:rsidR="002C0761" w:rsidRPr="002C0761" w14:paraId="784F897C"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313C2095" w14:textId="77777777" w:rsidR="002C0761" w:rsidRPr="001A219D" w:rsidRDefault="002C0761">
            <w:pPr>
              <w:jc w:val="center"/>
              <w:rPr>
                <w:rFonts w:ascii="Arial" w:hAnsi="Arial" w:cs="Arial"/>
                <w:sz w:val="20"/>
                <w:szCs w:val="20"/>
              </w:rPr>
            </w:pPr>
            <w:r w:rsidRPr="001A219D">
              <w:rPr>
                <w:rFonts w:ascii="Arial" w:hAnsi="Arial" w:cs="Arial"/>
                <w:sz w:val="20"/>
                <w:szCs w:val="20"/>
              </w:rPr>
              <w:t>1996</w:t>
            </w:r>
          </w:p>
        </w:tc>
        <w:tc>
          <w:tcPr>
            <w:tcW w:w="995" w:type="dxa"/>
            <w:noWrap/>
            <w:hideMark/>
          </w:tcPr>
          <w:p w14:paraId="6ABAD1A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0.402</w:t>
            </w:r>
          </w:p>
        </w:tc>
        <w:tc>
          <w:tcPr>
            <w:tcW w:w="950" w:type="dxa"/>
            <w:noWrap/>
            <w:hideMark/>
          </w:tcPr>
          <w:p w14:paraId="1C094E6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0.391</w:t>
            </w:r>
          </w:p>
        </w:tc>
        <w:tc>
          <w:tcPr>
            <w:tcW w:w="1037" w:type="dxa"/>
            <w:noWrap/>
            <w:hideMark/>
          </w:tcPr>
          <w:p w14:paraId="2C12A13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56.07</w:t>
            </w:r>
          </w:p>
        </w:tc>
        <w:tc>
          <w:tcPr>
            <w:tcW w:w="1062" w:type="dxa"/>
            <w:noWrap/>
            <w:hideMark/>
          </w:tcPr>
          <w:p w14:paraId="61C05B6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59.73</w:t>
            </w:r>
          </w:p>
        </w:tc>
        <w:tc>
          <w:tcPr>
            <w:tcW w:w="1064" w:type="dxa"/>
            <w:noWrap/>
            <w:hideMark/>
          </w:tcPr>
          <w:p w14:paraId="2B7E774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8.014</w:t>
            </w:r>
          </w:p>
        </w:tc>
        <w:tc>
          <w:tcPr>
            <w:tcW w:w="1051" w:type="dxa"/>
            <w:noWrap/>
            <w:hideMark/>
          </w:tcPr>
          <w:p w14:paraId="2DB1920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5.934</w:t>
            </w:r>
          </w:p>
        </w:tc>
        <w:tc>
          <w:tcPr>
            <w:tcW w:w="1119" w:type="dxa"/>
            <w:noWrap/>
            <w:hideMark/>
          </w:tcPr>
          <w:p w14:paraId="103B6D0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3.253</w:t>
            </w:r>
          </w:p>
        </w:tc>
        <w:tc>
          <w:tcPr>
            <w:tcW w:w="891" w:type="dxa"/>
            <w:noWrap/>
            <w:hideMark/>
          </w:tcPr>
          <w:p w14:paraId="52D2B3F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2.803</w:t>
            </w:r>
          </w:p>
        </w:tc>
      </w:tr>
      <w:tr w:rsidR="002C0761" w:rsidRPr="002C0761" w14:paraId="4D7AC509"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1E5A4A11" w14:textId="77777777" w:rsidR="002C0761" w:rsidRPr="001A219D" w:rsidRDefault="002C0761">
            <w:pPr>
              <w:jc w:val="center"/>
              <w:rPr>
                <w:rFonts w:ascii="Arial" w:hAnsi="Arial" w:cs="Arial"/>
                <w:sz w:val="20"/>
                <w:szCs w:val="20"/>
              </w:rPr>
            </w:pPr>
            <w:r w:rsidRPr="001A219D">
              <w:rPr>
                <w:rFonts w:ascii="Arial" w:hAnsi="Arial" w:cs="Arial"/>
                <w:sz w:val="20"/>
                <w:szCs w:val="20"/>
              </w:rPr>
              <w:t>1997</w:t>
            </w:r>
          </w:p>
        </w:tc>
        <w:tc>
          <w:tcPr>
            <w:tcW w:w="995" w:type="dxa"/>
            <w:noWrap/>
            <w:hideMark/>
          </w:tcPr>
          <w:p w14:paraId="08D836E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0.407</w:t>
            </w:r>
          </w:p>
        </w:tc>
        <w:tc>
          <w:tcPr>
            <w:tcW w:w="950" w:type="dxa"/>
            <w:noWrap/>
            <w:hideMark/>
          </w:tcPr>
          <w:p w14:paraId="69C0309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0.396</w:t>
            </w:r>
          </w:p>
        </w:tc>
        <w:tc>
          <w:tcPr>
            <w:tcW w:w="1037" w:type="dxa"/>
            <w:noWrap/>
            <w:hideMark/>
          </w:tcPr>
          <w:p w14:paraId="0D15BCF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56.47</w:t>
            </w:r>
          </w:p>
        </w:tc>
        <w:tc>
          <w:tcPr>
            <w:tcW w:w="1062" w:type="dxa"/>
            <w:noWrap/>
            <w:hideMark/>
          </w:tcPr>
          <w:p w14:paraId="15FE557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60.15</w:t>
            </w:r>
          </w:p>
        </w:tc>
        <w:tc>
          <w:tcPr>
            <w:tcW w:w="1064" w:type="dxa"/>
            <w:noWrap/>
            <w:hideMark/>
          </w:tcPr>
          <w:p w14:paraId="5920E5D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8.129</w:t>
            </w:r>
          </w:p>
        </w:tc>
        <w:tc>
          <w:tcPr>
            <w:tcW w:w="1051" w:type="dxa"/>
            <w:noWrap/>
            <w:hideMark/>
          </w:tcPr>
          <w:p w14:paraId="5E1DFA0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6.019</w:t>
            </w:r>
          </w:p>
        </w:tc>
        <w:tc>
          <w:tcPr>
            <w:tcW w:w="1119" w:type="dxa"/>
            <w:noWrap/>
            <w:hideMark/>
          </w:tcPr>
          <w:p w14:paraId="3F0E2D6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3.311</w:t>
            </w:r>
          </w:p>
        </w:tc>
        <w:tc>
          <w:tcPr>
            <w:tcW w:w="891" w:type="dxa"/>
            <w:noWrap/>
            <w:hideMark/>
          </w:tcPr>
          <w:p w14:paraId="1DF14F4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2.853</w:t>
            </w:r>
          </w:p>
        </w:tc>
      </w:tr>
      <w:tr w:rsidR="002C0761" w:rsidRPr="002C0761" w14:paraId="23A40B6A"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79E5C23B" w14:textId="77777777" w:rsidR="002C0761" w:rsidRPr="001A219D" w:rsidRDefault="002C0761">
            <w:pPr>
              <w:jc w:val="center"/>
              <w:rPr>
                <w:rFonts w:ascii="Arial" w:hAnsi="Arial" w:cs="Arial"/>
                <w:sz w:val="20"/>
                <w:szCs w:val="20"/>
              </w:rPr>
            </w:pPr>
            <w:r w:rsidRPr="001A219D">
              <w:rPr>
                <w:rFonts w:ascii="Arial" w:hAnsi="Arial" w:cs="Arial"/>
                <w:sz w:val="20"/>
                <w:szCs w:val="20"/>
              </w:rPr>
              <w:t>1998</w:t>
            </w:r>
          </w:p>
        </w:tc>
        <w:tc>
          <w:tcPr>
            <w:tcW w:w="995" w:type="dxa"/>
            <w:noWrap/>
            <w:hideMark/>
          </w:tcPr>
          <w:p w14:paraId="7E595B1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0.412</w:t>
            </w:r>
          </w:p>
        </w:tc>
        <w:tc>
          <w:tcPr>
            <w:tcW w:w="950" w:type="dxa"/>
            <w:noWrap/>
            <w:hideMark/>
          </w:tcPr>
          <w:p w14:paraId="4507DBA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w:t>
            </w:r>
          </w:p>
        </w:tc>
        <w:tc>
          <w:tcPr>
            <w:tcW w:w="1037" w:type="dxa"/>
            <w:noWrap/>
            <w:hideMark/>
          </w:tcPr>
          <w:p w14:paraId="5982FB0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56.75</w:t>
            </w:r>
          </w:p>
        </w:tc>
        <w:tc>
          <w:tcPr>
            <w:tcW w:w="1062" w:type="dxa"/>
            <w:noWrap/>
            <w:hideMark/>
          </w:tcPr>
          <w:p w14:paraId="10E4EF1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60.45</w:t>
            </w:r>
          </w:p>
        </w:tc>
        <w:tc>
          <w:tcPr>
            <w:tcW w:w="1064" w:type="dxa"/>
            <w:noWrap/>
            <w:hideMark/>
          </w:tcPr>
          <w:p w14:paraId="39B5445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8.243</w:t>
            </w:r>
          </w:p>
        </w:tc>
        <w:tc>
          <w:tcPr>
            <w:tcW w:w="1051" w:type="dxa"/>
            <w:noWrap/>
            <w:hideMark/>
          </w:tcPr>
          <w:p w14:paraId="7A0C52B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6.104</w:t>
            </w:r>
          </w:p>
        </w:tc>
        <w:tc>
          <w:tcPr>
            <w:tcW w:w="1119" w:type="dxa"/>
            <w:noWrap/>
            <w:hideMark/>
          </w:tcPr>
          <w:p w14:paraId="45CD1EE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3.37</w:t>
            </w:r>
          </w:p>
        </w:tc>
        <w:tc>
          <w:tcPr>
            <w:tcW w:w="891" w:type="dxa"/>
            <w:noWrap/>
            <w:hideMark/>
          </w:tcPr>
          <w:p w14:paraId="69274C3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2.904</w:t>
            </w:r>
          </w:p>
        </w:tc>
      </w:tr>
      <w:tr w:rsidR="002C0761" w:rsidRPr="002C0761" w14:paraId="26F89236"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675699C7" w14:textId="77777777" w:rsidR="002C0761" w:rsidRPr="001A219D" w:rsidRDefault="002C0761">
            <w:pPr>
              <w:jc w:val="center"/>
              <w:rPr>
                <w:rFonts w:ascii="Arial" w:hAnsi="Arial" w:cs="Arial"/>
                <w:sz w:val="20"/>
                <w:szCs w:val="20"/>
              </w:rPr>
            </w:pPr>
            <w:r w:rsidRPr="001A219D">
              <w:rPr>
                <w:rFonts w:ascii="Arial" w:hAnsi="Arial" w:cs="Arial"/>
                <w:sz w:val="20"/>
                <w:szCs w:val="20"/>
              </w:rPr>
              <w:t>1999</w:t>
            </w:r>
          </w:p>
        </w:tc>
        <w:tc>
          <w:tcPr>
            <w:tcW w:w="995" w:type="dxa"/>
            <w:noWrap/>
            <w:hideMark/>
          </w:tcPr>
          <w:p w14:paraId="005650F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0.421</w:t>
            </w:r>
          </w:p>
        </w:tc>
        <w:tc>
          <w:tcPr>
            <w:tcW w:w="950" w:type="dxa"/>
            <w:noWrap/>
            <w:hideMark/>
          </w:tcPr>
          <w:p w14:paraId="0A6C0BB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0.409</w:t>
            </w:r>
          </w:p>
        </w:tc>
        <w:tc>
          <w:tcPr>
            <w:tcW w:w="1037" w:type="dxa"/>
            <w:noWrap/>
            <w:hideMark/>
          </w:tcPr>
          <w:p w14:paraId="6E0B117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57.41</w:t>
            </w:r>
          </w:p>
        </w:tc>
        <w:tc>
          <w:tcPr>
            <w:tcW w:w="1062" w:type="dxa"/>
            <w:noWrap/>
            <w:hideMark/>
          </w:tcPr>
          <w:p w14:paraId="39AB3A6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61.15</w:t>
            </w:r>
          </w:p>
        </w:tc>
        <w:tc>
          <w:tcPr>
            <w:tcW w:w="1064" w:type="dxa"/>
            <w:noWrap/>
            <w:hideMark/>
          </w:tcPr>
          <w:p w14:paraId="78ED378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8.357</w:t>
            </w:r>
          </w:p>
        </w:tc>
        <w:tc>
          <w:tcPr>
            <w:tcW w:w="1051" w:type="dxa"/>
            <w:noWrap/>
            <w:hideMark/>
          </w:tcPr>
          <w:p w14:paraId="3F78C86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6.189</w:t>
            </w:r>
          </w:p>
        </w:tc>
        <w:tc>
          <w:tcPr>
            <w:tcW w:w="1119" w:type="dxa"/>
            <w:noWrap/>
            <w:hideMark/>
          </w:tcPr>
          <w:p w14:paraId="17AE046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3.428</w:t>
            </w:r>
          </w:p>
        </w:tc>
        <w:tc>
          <w:tcPr>
            <w:tcW w:w="891" w:type="dxa"/>
            <w:noWrap/>
            <w:hideMark/>
          </w:tcPr>
          <w:p w14:paraId="09EB67C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2.954</w:t>
            </w:r>
          </w:p>
        </w:tc>
      </w:tr>
      <w:tr w:rsidR="002C0761" w:rsidRPr="002C0761" w14:paraId="2440FC58"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290DEA73" w14:textId="77777777" w:rsidR="002C0761" w:rsidRPr="001A219D" w:rsidRDefault="002C0761">
            <w:pPr>
              <w:jc w:val="center"/>
              <w:rPr>
                <w:rFonts w:ascii="Arial" w:hAnsi="Arial" w:cs="Arial"/>
                <w:sz w:val="20"/>
                <w:szCs w:val="20"/>
              </w:rPr>
            </w:pPr>
            <w:r w:rsidRPr="001A219D">
              <w:rPr>
                <w:rFonts w:ascii="Arial" w:hAnsi="Arial" w:cs="Arial"/>
                <w:sz w:val="20"/>
                <w:szCs w:val="20"/>
              </w:rPr>
              <w:t>2000</w:t>
            </w:r>
          </w:p>
        </w:tc>
        <w:tc>
          <w:tcPr>
            <w:tcW w:w="995" w:type="dxa"/>
            <w:noWrap/>
            <w:hideMark/>
          </w:tcPr>
          <w:p w14:paraId="15E8068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0.431</w:t>
            </w:r>
          </w:p>
        </w:tc>
        <w:tc>
          <w:tcPr>
            <w:tcW w:w="950" w:type="dxa"/>
            <w:noWrap/>
            <w:hideMark/>
          </w:tcPr>
          <w:p w14:paraId="014F779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0.418</w:t>
            </w:r>
          </w:p>
        </w:tc>
        <w:tc>
          <w:tcPr>
            <w:tcW w:w="1037" w:type="dxa"/>
            <w:noWrap/>
            <w:hideMark/>
          </w:tcPr>
          <w:p w14:paraId="60AA6ED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58.34</w:t>
            </w:r>
          </w:p>
        </w:tc>
        <w:tc>
          <w:tcPr>
            <w:tcW w:w="1062" w:type="dxa"/>
            <w:noWrap/>
            <w:hideMark/>
          </w:tcPr>
          <w:p w14:paraId="056BB37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62.14</w:t>
            </w:r>
          </w:p>
        </w:tc>
        <w:tc>
          <w:tcPr>
            <w:tcW w:w="1064" w:type="dxa"/>
            <w:noWrap/>
            <w:hideMark/>
          </w:tcPr>
          <w:p w14:paraId="0FD0640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8.472</w:t>
            </w:r>
          </w:p>
        </w:tc>
        <w:tc>
          <w:tcPr>
            <w:tcW w:w="1051" w:type="dxa"/>
            <w:noWrap/>
            <w:hideMark/>
          </w:tcPr>
          <w:p w14:paraId="489A0FD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6.273</w:t>
            </w:r>
          </w:p>
        </w:tc>
        <w:tc>
          <w:tcPr>
            <w:tcW w:w="1119" w:type="dxa"/>
            <w:noWrap/>
            <w:hideMark/>
          </w:tcPr>
          <w:p w14:paraId="595DDCB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3.487</w:t>
            </w:r>
          </w:p>
        </w:tc>
        <w:tc>
          <w:tcPr>
            <w:tcW w:w="891" w:type="dxa"/>
            <w:noWrap/>
            <w:hideMark/>
          </w:tcPr>
          <w:p w14:paraId="00E9CBE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3.004</w:t>
            </w:r>
          </w:p>
        </w:tc>
      </w:tr>
      <w:tr w:rsidR="002C0761" w:rsidRPr="002C0761" w14:paraId="1B91C5ED"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6C1D8D1D" w14:textId="77777777" w:rsidR="002C0761" w:rsidRPr="001A219D" w:rsidRDefault="002C0761">
            <w:pPr>
              <w:jc w:val="center"/>
              <w:rPr>
                <w:rFonts w:ascii="Arial" w:hAnsi="Arial" w:cs="Arial"/>
                <w:sz w:val="20"/>
                <w:szCs w:val="20"/>
              </w:rPr>
            </w:pPr>
            <w:r w:rsidRPr="001A219D">
              <w:rPr>
                <w:rFonts w:ascii="Arial" w:hAnsi="Arial" w:cs="Arial"/>
                <w:sz w:val="20"/>
                <w:szCs w:val="20"/>
              </w:rPr>
              <w:t>2001</w:t>
            </w:r>
          </w:p>
        </w:tc>
        <w:tc>
          <w:tcPr>
            <w:tcW w:w="995" w:type="dxa"/>
            <w:noWrap/>
            <w:hideMark/>
          </w:tcPr>
          <w:p w14:paraId="44BB926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0.448</w:t>
            </w:r>
          </w:p>
        </w:tc>
        <w:tc>
          <w:tcPr>
            <w:tcW w:w="950" w:type="dxa"/>
            <w:noWrap/>
            <w:hideMark/>
          </w:tcPr>
          <w:p w14:paraId="6AEB404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0.432</w:t>
            </w:r>
          </w:p>
        </w:tc>
        <w:tc>
          <w:tcPr>
            <w:tcW w:w="1037" w:type="dxa"/>
            <w:noWrap/>
            <w:hideMark/>
          </w:tcPr>
          <w:p w14:paraId="5E0D774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60.11</w:t>
            </w:r>
          </w:p>
        </w:tc>
        <w:tc>
          <w:tcPr>
            <w:tcW w:w="1062" w:type="dxa"/>
            <w:noWrap/>
            <w:hideMark/>
          </w:tcPr>
          <w:p w14:paraId="45A59AF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63.27</w:t>
            </w:r>
          </w:p>
        </w:tc>
        <w:tc>
          <w:tcPr>
            <w:tcW w:w="1064" w:type="dxa"/>
            <w:noWrap/>
            <w:hideMark/>
          </w:tcPr>
          <w:p w14:paraId="7D36A3B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9.173</w:t>
            </w:r>
          </w:p>
        </w:tc>
        <w:tc>
          <w:tcPr>
            <w:tcW w:w="1051" w:type="dxa"/>
            <w:noWrap/>
            <w:hideMark/>
          </w:tcPr>
          <w:p w14:paraId="3434515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6.749</w:t>
            </w:r>
          </w:p>
        </w:tc>
        <w:tc>
          <w:tcPr>
            <w:tcW w:w="1119" w:type="dxa"/>
            <w:noWrap/>
            <w:hideMark/>
          </w:tcPr>
          <w:p w14:paraId="5622568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3.49</w:t>
            </w:r>
          </w:p>
        </w:tc>
        <w:tc>
          <w:tcPr>
            <w:tcW w:w="891" w:type="dxa"/>
            <w:noWrap/>
            <w:hideMark/>
          </w:tcPr>
          <w:p w14:paraId="7E5EF2B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3.009</w:t>
            </w:r>
          </w:p>
        </w:tc>
      </w:tr>
      <w:tr w:rsidR="002C0761" w:rsidRPr="002C0761" w14:paraId="71310A39"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4262C32E" w14:textId="77777777" w:rsidR="002C0761" w:rsidRPr="001A219D" w:rsidRDefault="002C0761">
            <w:pPr>
              <w:jc w:val="center"/>
              <w:rPr>
                <w:rFonts w:ascii="Arial" w:hAnsi="Arial" w:cs="Arial"/>
                <w:sz w:val="20"/>
                <w:szCs w:val="20"/>
              </w:rPr>
            </w:pPr>
            <w:r w:rsidRPr="001A219D">
              <w:rPr>
                <w:rFonts w:ascii="Arial" w:hAnsi="Arial" w:cs="Arial"/>
                <w:sz w:val="20"/>
                <w:szCs w:val="20"/>
              </w:rPr>
              <w:t>2002</w:t>
            </w:r>
          </w:p>
        </w:tc>
        <w:tc>
          <w:tcPr>
            <w:tcW w:w="995" w:type="dxa"/>
            <w:noWrap/>
            <w:hideMark/>
          </w:tcPr>
          <w:p w14:paraId="61E68A6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0.471</w:t>
            </w:r>
          </w:p>
        </w:tc>
        <w:tc>
          <w:tcPr>
            <w:tcW w:w="950" w:type="dxa"/>
            <w:noWrap/>
            <w:hideMark/>
          </w:tcPr>
          <w:p w14:paraId="6457C72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0.45</w:t>
            </w:r>
          </w:p>
        </w:tc>
        <w:tc>
          <w:tcPr>
            <w:tcW w:w="1037" w:type="dxa"/>
            <w:noWrap/>
            <w:hideMark/>
          </w:tcPr>
          <w:p w14:paraId="16806FE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61.8</w:t>
            </w:r>
          </w:p>
        </w:tc>
        <w:tc>
          <w:tcPr>
            <w:tcW w:w="1062" w:type="dxa"/>
            <w:noWrap/>
            <w:hideMark/>
          </w:tcPr>
          <w:p w14:paraId="5850A12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64.31</w:t>
            </w:r>
          </w:p>
        </w:tc>
        <w:tc>
          <w:tcPr>
            <w:tcW w:w="1064" w:type="dxa"/>
            <w:noWrap/>
            <w:hideMark/>
          </w:tcPr>
          <w:p w14:paraId="2842C7D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10.46</w:t>
            </w:r>
          </w:p>
        </w:tc>
        <w:tc>
          <w:tcPr>
            <w:tcW w:w="1051" w:type="dxa"/>
            <w:noWrap/>
            <w:hideMark/>
          </w:tcPr>
          <w:p w14:paraId="24F9037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7.65</w:t>
            </w:r>
          </w:p>
        </w:tc>
        <w:tc>
          <w:tcPr>
            <w:tcW w:w="1119" w:type="dxa"/>
            <w:noWrap/>
            <w:hideMark/>
          </w:tcPr>
          <w:p w14:paraId="00075C0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3.494</w:t>
            </w:r>
          </w:p>
        </w:tc>
        <w:tc>
          <w:tcPr>
            <w:tcW w:w="891" w:type="dxa"/>
            <w:noWrap/>
            <w:hideMark/>
          </w:tcPr>
          <w:p w14:paraId="35614F6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3.015</w:t>
            </w:r>
          </w:p>
        </w:tc>
      </w:tr>
      <w:tr w:rsidR="002C0761" w:rsidRPr="002C0761" w14:paraId="0A66B686"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01621D54" w14:textId="77777777" w:rsidR="002C0761" w:rsidRPr="001A219D" w:rsidRDefault="002C0761">
            <w:pPr>
              <w:jc w:val="center"/>
              <w:rPr>
                <w:rFonts w:ascii="Arial" w:hAnsi="Arial" w:cs="Arial"/>
                <w:sz w:val="20"/>
                <w:szCs w:val="20"/>
              </w:rPr>
            </w:pPr>
            <w:r w:rsidRPr="001A219D">
              <w:rPr>
                <w:rFonts w:ascii="Arial" w:hAnsi="Arial" w:cs="Arial"/>
                <w:sz w:val="20"/>
                <w:szCs w:val="20"/>
              </w:rPr>
              <w:t>2003</w:t>
            </w:r>
          </w:p>
        </w:tc>
        <w:tc>
          <w:tcPr>
            <w:tcW w:w="995" w:type="dxa"/>
            <w:noWrap/>
            <w:hideMark/>
          </w:tcPr>
          <w:p w14:paraId="2C0BD34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0.488</w:t>
            </w:r>
          </w:p>
        </w:tc>
        <w:tc>
          <w:tcPr>
            <w:tcW w:w="950" w:type="dxa"/>
            <w:noWrap/>
            <w:hideMark/>
          </w:tcPr>
          <w:p w14:paraId="5CB5AB6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0.463</w:t>
            </w:r>
          </w:p>
        </w:tc>
        <w:tc>
          <w:tcPr>
            <w:tcW w:w="1037" w:type="dxa"/>
            <w:noWrap/>
            <w:hideMark/>
          </w:tcPr>
          <w:p w14:paraId="407E6F5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63.55</w:t>
            </w:r>
          </w:p>
        </w:tc>
        <w:tc>
          <w:tcPr>
            <w:tcW w:w="1062" w:type="dxa"/>
            <w:noWrap/>
            <w:hideMark/>
          </w:tcPr>
          <w:p w14:paraId="4D83478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65.37</w:t>
            </w:r>
          </w:p>
        </w:tc>
        <w:tc>
          <w:tcPr>
            <w:tcW w:w="1064" w:type="dxa"/>
            <w:noWrap/>
            <w:hideMark/>
          </w:tcPr>
          <w:p w14:paraId="405D0DB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11.07</w:t>
            </w:r>
          </w:p>
        </w:tc>
        <w:tc>
          <w:tcPr>
            <w:tcW w:w="1051" w:type="dxa"/>
            <w:noWrap/>
            <w:hideMark/>
          </w:tcPr>
          <w:p w14:paraId="4CE329D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8.052</w:t>
            </w:r>
          </w:p>
        </w:tc>
        <w:tc>
          <w:tcPr>
            <w:tcW w:w="1119" w:type="dxa"/>
            <w:noWrap/>
            <w:hideMark/>
          </w:tcPr>
          <w:p w14:paraId="41C94EE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3.499</w:t>
            </w:r>
          </w:p>
        </w:tc>
        <w:tc>
          <w:tcPr>
            <w:tcW w:w="891" w:type="dxa"/>
            <w:noWrap/>
            <w:hideMark/>
          </w:tcPr>
          <w:p w14:paraId="62E51BC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3.021</w:t>
            </w:r>
          </w:p>
        </w:tc>
      </w:tr>
      <w:tr w:rsidR="002C0761" w:rsidRPr="002C0761" w14:paraId="04177068"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2174EC60" w14:textId="77777777" w:rsidR="002C0761" w:rsidRPr="001A219D" w:rsidRDefault="002C0761">
            <w:pPr>
              <w:jc w:val="center"/>
              <w:rPr>
                <w:rFonts w:ascii="Arial" w:hAnsi="Arial" w:cs="Arial"/>
                <w:sz w:val="20"/>
                <w:szCs w:val="20"/>
              </w:rPr>
            </w:pPr>
            <w:r w:rsidRPr="001A219D">
              <w:rPr>
                <w:rFonts w:ascii="Arial" w:hAnsi="Arial" w:cs="Arial"/>
                <w:sz w:val="20"/>
                <w:szCs w:val="20"/>
              </w:rPr>
              <w:t>2004</w:t>
            </w:r>
          </w:p>
        </w:tc>
        <w:tc>
          <w:tcPr>
            <w:tcW w:w="995" w:type="dxa"/>
            <w:noWrap/>
            <w:hideMark/>
          </w:tcPr>
          <w:p w14:paraId="1D9CF37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0.504</w:t>
            </w:r>
          </w:p>
        </w:tc>
        <w:tc>
          <w:tcPr>
            <w:tcW w:w="950" w:type="dxa"/>
            <w:noWrap/>
            <w:hideMark/>
          </w:tcPr>
          <w:p w14:paraId="29351F3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0.475</w:t>
            </w:r>
          </w:p>
        </w:tc>
        <w:tc>
          <w:tcPr>
            <w:tcW w:w="1037" w:type="dxa"/>
            <w:noWrap/>
            <w:hideMark/>
          </w:tcPr>
          <w:p w14:paraId="75FAFB3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65.03</w:t>
            </w:r>
          </w:p>
        </w:tc>
        <w:tc>
          <w:tcPr>
            <w:tcW w:w="1062" w:type="dxa"/>
            <w:noWrap/>
            <w:hideMark/>
          </w:tcPr>
          <w:p w14:paraId="388420F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66.15</w:t>
            </w:r>
          </w:p>
        </w:tc>
        <w:tc>
          <w:tcPr>
            <w:tcW w:w="1064" w:type="dxa"/>
            <w:noWrap/>
            <w:hideMark/>
          </w:tcPr>
          <w:p w14:paraId="3FF2196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11.65</w:t>
            </w:r>
          </w:p>
        </w:tc>
        <w:tc>
          <w:tcPr>
            <w:tcW w:w="1051" w:type="dxa"/>
            <w:noWrap/>
            <w:hideMark/>
          </w:tcPr>
          <w:p w14:paraId="45C60EB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8.431</w:t>
            </w:r>
          </w:p>
        </w:tc>
        <w:tc>
          <w:tcPr>
            <w:tcW w:w="1119" w:type="dxa"/>
            <w:noWrap/>
            <w:hideMark/>
          </w:tcPr>
          <w:p w14:paraId="5A2F4B1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3.503</w:t>
            </w:r>
          </w:p>
        </w:tc>
        <w:tc>
          <w:tcPr>
            <w:tcW w:w="891" w:type="dxa"/>
            <w:noWrap/>
            <w:hideMark/>
          </w:tcPr>
          <w:p w14:paraId="6360653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3.027</w:t>
            </w:r>
          </w:p>
        </w:tc>
      </w:tr>
      <w:tr w:rsidR="002C0761" w:rsidRPr="002C0761" w14:paraId="4805BBB9"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12400A92" w14:textId="77777777" w:rsidR="002C0761" w:rsidRPr="001A219D" w:rsidRDefault="002C0761">
            <w:pPr>
              <w:jc w:val="center"/>
              <w:rPr>
                <w:rFonts w:ascii="Arial" w:hAnsi="Arial" w:cs="Arial"/>
                <w:sz w:val="20"/>
                <w:szCs w:val="20"/>
              </w:rPr>
            </w:pPr>
            <w:r w:rsidRPr="001A219D">
              <w:rPr>
                <w:rFonts w:ascii="Arial" w:hAnsi="Arial" w:cs="Arial"/>
                <w:sz w:val="20"/>
                <w:szCs w:val="20"/>
              </w:rPr>
              <w:t>2005</w:t>
            </w:r>
          </w:p>
        </w:tc>
        <w:tc>
          <w:tcPr>
            <w:tcW w:w="995" w:type="dxa"/>
            <w:noWrap/>
            <w:hideMark/>
          </w:tcPr>
          <w:p w14:paraId="3DE22CC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0.517</w:t>
            </w:r>
          </w:p>
        </w:tc>
        <w:tc>
          <w:tcPr>
            <w:tcW w:w="950" w:type="dxa"/>
            <w:noWrap/>
            <w:hideMark/>
          </w:tcPr>
          <w:p w14:paraId="28DC887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0.484</w:t>
            </w:r>
          </w:p>
        </w:tc>
        <w:tc>
          <w:tcPr>
            <w:tcW w:w="1037" w:type="dxa"/>
            <w:noWrap/>
            <w:hideMark/>
          </w:tcPr>
          <w:p w14:paraId="2F6B08B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66.22</w:t>
            </w:r>
          </w:p>
        </w:tc>
        <w:tc>
          <w:tcPr>
            <w:tcW w:w="1062" w:type="dxa"/>
            <w:noWrap/>
            <w:hideMark/>
          </w:tcPr>
          <w:p w14:paraId="383AB1D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66.63</w:t>
            </w:r>
          </w:p>
        </w:tc>
        <w:tc>
          <w:tcPr>
            <w:tcW w:w="1064" w:type="dxa"/>
            <w:noWrap/>
            <w:hideMark/>
          </w:tcPr>
          <w:p w14:paraId="3EC48E7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11.84</w:t>
            </w:r>
          </w:p>
        </w:tc>
        <w:tc>
          <w:tcPr>
            <w:tcW w:w="1051" w:type="dxa"/>
            <w:noWrap/>
            <w:hideMark/>
          </w:tcPr>
          <w:p w14:paraId="159B636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8.529</w:t>
            </w:r>
          </w:p>
        </w:tc>
        <w:tc>
          <w:tcPr>
            <w:tcW w:w="1119" w:type="dxa"/>
            <w:noWrap/>
            <w:hideMark/>
          </w:tcPr>
          <w:p w14:paraId="0540071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3.508</w:t>
            </w:r>
          </w:p>
        </w:tc>
        <w:tc>
          <w:tcPr>
            <w:tcW w:w="891" w:type="dxa"/>
            <w:noWrap/>
            <w:hideMark/>
          </w:tcPr>
          <w:p w14:paraId="045B923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3.033</w:t>
            </w:r>
          </w:p>
        </w:tc>
      </w:tr>
      <w:tr w:rsidR="002C0761" w:rsidRPr="002C0761" w14:paraId="0BFCB94C"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1EFF7D54" w14:textId="77777777" w:rsidR="002C0761" w:rsidRPr="001A219D" w:rsidRDefault="002C0761">
            <w:pPr>
              <w:jc w:val="center"/>
              <w:rPr>
                <w:rFonts w:ascii="Arial" w:hAnsi="Arial" w:cs="Arial"/>
                <w:sz w:val="20"/>
                <w:szCs w:val="20"/>
              </w:rPr>
            </w:pPr>
            <w:r w:rsidRPr="001A219D">
              <w:rPr>
                <w:rFonts w:ascii="Arial" w:hAnsi="Arial" w:cs="Arial"/>
                <w:sz w:val="20"/>
                <w:szCs w:val="20"/>
              </w:rPr>
              <w:t>2006</w:t>
            </w:r>
          </w:p>
        </w:tc>
        <w:tc>
          <w:tcPr>
            <w:tcW w:w="995" w:type="dxa"/>
            <w:noWrap/>
            <w:hideMark/>
          </w:tcPr>
          <w:p w14:paraId="4A77C02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0.526</w:t>
            </w:r>
          </w:p>
        </w:tc>
        <w:tc>
          <w:tcPr>
            <w:tcW w:w="950" w:type="dxa"/>
            <w:noWrap/>
            <w:hideMark/>
          </w:tcPr>
          <w:p w14:paraId="6F14752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0.499</w:t>
            </w:r>
          </w:p>
        </w:tc>
        <w:tc>
          <w:tcPr>
            <w:tcW w:w="1037" w:type="dxa"/>
            <w:noWrap/>
            <w:hideMark/>
          </w:tcPr>
          <w:p w14:paraId="7EE0690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66.54</w:t>
            </w:r>
          </w:p>
        </w:tc>
        <w:tc>
          <w:tcPr>
            <w:tcW w:w="1062" w:type="dxa"/>
            <w:noWrap/>
            <w:hideMark/>
          </w:tcPr>
          <w:p w14:paraId="022B4E5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66.84</w:t>
            </w:r>
          </w:p>
        </w:tc>
        <w:tc>
          <w:tcPr>
            <w:tcW w:w="1064" w:type="dxa"/>
            <w:noWrap/>
            <w:hideMark/>
          </w:tcPr>
          <w:p w14:paraId="526892F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11.95</w:t>
            </w:r>
          </w:p>
        </w:tc>
        <w:tc>
          <w:tcPr>
            <w:tcW w:w="1051" w:type="dxa"/>
            <w:noWrap/>
            <w:hideMark/>
          </w:tcPr>
          <w:p w14:paraId="10DA7B7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9.077</w:t>
            </w:r>
          </w:p>
        </w:tc>
        <w:tc>
          <w:tcPr>
            <w:tcW w:w="1119" w:type="dxa"/>
            <w:noWrap/>
            <w:hideMark/>
          </w:tcPr>
          <w:p w14:paraId="28BECF5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3.637</w:t>
            </w:r>
          </w:p>
        </w:tc>
        <w:tc>
          <w:tcPr>
            <w:tcW w:w="891" w:type="dxa"/>
            <w:noWrap/>
            <w:hideMark/>
          </w:tcPr>
          <w:p w14:paraId="3B24C09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3.148</w:t>
            </w:r>
          </w:p>
        </w:tc>
      </w:tr>
      <w:tr w:rsidR="002C0761" w:rsidRPr="002C0761" w14:paraId="6A8E63A7"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795D4FAE" w14:textId="77777777" w:rsidR="002C0761" w:rsidRPr="001A219D" w:rsidRDefault="002C0761">
            <w:pPr>
              <w:jc w:val="center"/>
              <w:rPr>
                <w:rFonts w:ascii="Arial" w:hAnsi="Arial" w:cs="Arial"/>
                <w:sz w:val="20"/>
                <w:szCs w:val="20"/>
              </w:rPr>
            </w:pPr>
            <w:r w:rsidRPr="001A219D">
              <w:rPr>
                <w:rFonts w:ascii="Arial" w:hAnsi="Arial" w:cs="Arial"/>
                <w:sz w:val="20"/>
                <w:szCs w:val="20"/>
              </w:rPr>
              <w:t>2007</w:t>
            </w:r>
          </w:p>
        </w:tc>
        <w:tc>
          <w:tcPr>
            <w:tcW w:w="995" w:type="dxa"/>
            <w:noWrap/>
            <w:hideMark/>
          </w:tcPr>
          <w:p w14:paraId="0BC6B37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0.532</w:t>
            </w:r>
          </w:p>
        </w:tc>
        <w:tc>
          <w:tcPr>
            <w:tcW w:w="950" w:type="dxa"/>
            <w:noWrap/>
            <w:hideMark/>
          </w:tcPr>
          <w:p w14:paraId="60DF630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0.513</w:t>
            </w:r>
          </w:p>
        </w:tc>
        <w:tc>
          <w:tcPr>
            <w:tcW w:w="1037" w:type="dxa"/>
            <w:noWrap/>
            <w:hideMark/>
          </w:tcPr>
          <w:p w14:paraId="74E7B18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66.78</w:t>
            </w:r>
          </w:p>
        </w:tc>
        <w:tc>
          <w:tcPr>
            <w:tcW w:w="1062" w:type="dxa"/>
            <w:noWrap/>
            <w:hideMark/>
          </w:tcPr>
          <w:p w14:paraId="77917C2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66.97</w:t>
            </w:r>
          </w:p>
        </w:tc>
        <w:tc>
          <w:tcPr>
            <w:tcW w:w="1064" w:type="dxa"/>
            <w:noWrap/>
            <w:hideMark/>
          </w:tcPr>
          <w:p w14:paraId="2354B95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11.89</w:t>
            </w:r>
          </w:p>
        </w:tc>
        <w:tc>
          <w:tcPr>
            <w:tcW w:w="1051" w:type="dxa"/>
            <w:noWrap/>
            <w:hideMark/>
          </w:tcPr>
          <w:p w14:paraId="0457EC7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9.491</w:t>
            </w:r>
          </w:p>
        </w:tc>
        <w:tc>
          <w:tcPr>
            <w:tcW w:w="1119" w:type="dxa"/>
            <w:noWrap/>
            <w:hideMark/>
          </w:tcPr>
          <w:p w14:paraId="3C18711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3.765</w:t>
            </w:r>
          </w:p>
        </w:tc>
        <w:tc>
          <w:tcPr>
            <w:tcW w:w="891" w:type="dxa"/>
            <w:noWrap/>
            <w:hideMark/>
          </w:tcPr>
          <w:p w14:paraId="10B77EF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3.263</w:t>
            </w:r>
          </w:p>
        </w:tc>
      </w:tr>
      <w:tr w:rsidR="002C0761" w:rsidRPr="002C0761" w14:paraId="5500657B"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7391F806" w14:textId="77777777" w:rsidR="002C0761" w:rsidRPr="001A219D" w:rsidRDefault="002C0761">
            <w:pPr>
              <w:jc w:val="center"/>
              <w:rPr>
                <w:rFonts w:ascii="Arial" w:hAnsi="Arial" w:cs="Arial"/>
                <w:sz w:val="20"/>
                <w:szCs w:val="20"/>
              </w:rPr>
            </w:pPr>
            <w:r w:rsidRPr="001A219D">
              <w:rPr>
                <w:rFonts w:ascii="Arial" w:hAnsi="Arial" w:cs="Arial"/>
                <w:sz w:val="20"/>
                <w:szCs w:val="20"/>
              </w:rPr>
              <w:t>2008</w:t>
            </w:r>
          </w:p>
        </w:tc>
        <w:tc>
          <w:tcPr>
            <w:tcW w:w="995" w:type="dxa"/>
            <w:noWrap/>
            <w:hideMark/>
          </w:tcPr>
          <w:p w14:paraId="41E4EFC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0.535</w:t>
            </w:r>
          </w:p>
        </w:tc>
        <w:tc>
          <w:tcPr>
            <w:tcW w:w="950" w:type="dxa"/>
            <w:noWrap/>
            <w:hideMark/>
          </w:tcPr>
          <w:p w14:paraId="06CF407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0.522</w:t>
            </w:r>
          </w:p>
        </w:tc>
        <w:tc>
          <w:tcPr>
            <w:tcW w:w="1037" w:type="dxa"/>
            <w:noWrap/>
            <w:hideMark/>
          </w:tcPr>
          <w:p w14:paraId="57E9F92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67.08</w:t>
            </w:r>
          </w:p>
        </w:tc>
        <w:tc>
          <w:tcPr>
            <w:tcW w:w="1062" w:type="dxa"/>
            <w:noWrap/>
            <w:hideMark/>
          </w:tcPr>
          <w:p w14:paraId="4607ABF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67.17</w:t>
            </w:r>
          </w:p>
        </w:tc>
        <w:tc>
          <w:tcPr>
            <w:tcW w:w="1064" w:type="dxa"/>
            <w:noWrap/>
            <w:hideMark/>
          </w:tcPr>
          <w:p w14:paraId="2F5D5DC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11.71</w:t>
            </w:r>
          </w:p>
        </w:tc>
        <w:tc>
          <w:tcPr>
            <w:tcW w:w="1051" w:type="dxa"/>
            <w:noWrap/>
            <w:hideMark/>
          </w:tcPr>
          <w:p w14:paraId="2BE276F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9.795</w:t>
            </w:r>
          </w:p>
        </w:tc>
        <w:tc>
          <w:tcPr>
            <w:tcW w:w="1119" w:type="dxa"/>
            <w:noWrap/>
            <w:hideMark/>
          </w:tcPr>
          <w:p w14:paraId="29FB21B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3.878</w:t>
            </w:r>
          </w:p>
        </w:tc>
        <w:tc>
          <w:tcPr>
            <w:tcW w:w="891" w:type="dxa"/>
            <w:noWrap/>
            <w:hideMark/>
          </w:tcPr>
          <w:p w14:paraId="2248917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3.365</w:t>
            </w:r>
          </w:p>
        </w:tc>
      </w:tr>
      <w:tr w:rsidR="002C0761" w:rsidRPr="002C0761" w14:paraId="08D56742"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0B41F9D3" w14:textId="77777777" w:rsidR="002C0761" w:rsidRPr="001A219D" w:rsidRDefault="002C0761">
            <w:pPr>
              <w:jc w:val="center"/>
              <w:rPr>
                <w:rFonts w:ascii="Arial" w:hAnsi="Arial" w:cs="Arial"/>
                <w:sz w:val="20"/>
                <w:szCs w:val="20"/>
              </w:rPr>
            </w:pPr>
            <w:r w:rsidRPr="001A219D">
              <w:rPr>
                <w:rFonts w:ascii="Arial" w:hAnsi="Arial" w:cs="Arial"/>
                <w:sz w:val="20"/>
                <w:szCs w:val="20"/>
              </w:rPr>
              <w:t>2009</w:t>
            </w:r>
          </w:p>
        </w:tc>
        <w:tc>
          <w:tcPr>
            <w:tcW w:w="995" w:type="dxa"/>
            <w:noWrap/>
            <w:hideMark/>
          </w:tcPr>
          <w:p w14:paraId="7D19DAD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0.535</w:t>
            </w:r>
          </w:p>
        </w:tc>
        <w:tc>
          <w:tcPr>
            <w:tcW w:w="950" w:type="dxa"/>
            <w:noWrap/>
            <w:hideMark/>
          </w:tcPr>
          <w:p w14:paraId="63ED0CA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0.528</w:t>
            </w:r>
          </w:p>
        </w:tc>
        <w:tc>
          <w:tcPr>
            <w:tcW w:w="1037" w:type="dxa"/>
            <w:noWrap/>
            <w:hideMark/>
          </w:tcPr>
          <w:p w14:paraId="180B0C1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67.63</w:t>
            </w:r>
          </w:p>
        </w:tc>
        <w:tc>
          <w:tcPr>
            <w:tcW w:w="1062" w:type="dxa"/>
            <w:noWrap/>
            <w:hideMark/>
          </w:tcPr>
          <w:p w14:paraId="7ADC2C7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67.62</w:t>
            </w:r>
          </w:p>
        </w:tc>
        <w:tc>
          <w:tcPr>
            <w:tcW w:w="1064" w:type="dxa"/>
            <w:noWrap/>
            <w:hideMark/>
          </w:tcPr>
          <w:p w14:paraId="6BA1D39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11.7</w:t>
            </w:r>
          </w:p>
        </w:tc>
        <w:tc>
          <w:tcPr>
            <w:tcW w:w="1051" w:type="dxa"/>
            <w:noWrap/>
            <w:hideMark/>
          </w:tcPr>
          <w:p w14:paraId="3A3E973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10.23</w:t>
            </w:r>
          </w:p>
        </w:tc>
        <w:tc>
          <w:tcPr>
            <w:tcW w:w="1119" w:type="dxa"/>
            <w:noWrap/>
            <w:hideMark/>
          </w:tcPr>
          <w:p w14:paraId="0E3C6A6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3.8</w:t>
            </w:r>
          </w:p>
        </w:tc>
        <w:tc>
          <w:tcPr>
            <w:tcW w:w="891" w:type="dxa"/>
            <w:noWrap/>
            <w:hideMark/>
          </w:tcPr>
          <w:p w14:paraId="3ECAE58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3.3</w:t>
            </w:r>
          </w:p>
        </w:tc>
      </w:tr>
      <w:tr w:rsidR="002C0761" w:rsidRPr="002C0761" w14:paraId="31E9E52D"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7DE70D50" w14:textId="77777777" w:rsidR="002C0761" w:rsidRPr="001A219D" w:rsidRDefault="002C0761">
            <w:pPr>
              <w:jc w:val="center"/>
              <w:rPr>
                <w:rFonts w:ascii="Arial" w:hAnsi="Arial" w:cs="Arial"/>
                <w:sz w:val="20"/>
                <w:szCs w:val="20"/>
              </w:rPr>
            </w:pPr>
            <w:r w:rsidRPr="001A219D">
              <w:rPr>
                <w:rFonts w:ascii="Arial" w:hAnsi="Arial" w:cs="Arial"/>
                <w:sz w:val="20"/>
                <w:szCs w:val="20"/>
              </w:rPr>
              <w:t>2010</w:t>
            </w:r>
          </w:p>
        </w:tc>
        <w:tc>
          <w:tcPr>
            <w:tcW w:w="995" w:type="dxa"/>
            <w:noWrap/>
            <w:hideMark/>
          </w:tcPr>
          <w:p w14:paraId="23F6BB1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0.537</w:t>
            </w:r>
          </w:p>
        </w:tc>
        <w:tc>
          <w:tcPr>
            <w:tcW w:w="950" w:type="dxa"/>
            <w:noWrap/>
            <w:hideMark/>
          </w:tcPr>
          <w:p w14:paraId="4B73182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0.536</w:t>
            </w:r>
          </w:p>
        </w:tc>
        <w:tc>
          <w:tcPr>
            <w:tcW w:w="1037" w:type="dxa"/>
            <w:noWrap/>
            <w:hideMark/>
          </w:tcPr>
          <w:p w14:paraId="1973352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67.47</w:t>
            </w:r>
          </w:p>
        </w:tc>
        <w:tc>
          <w:tcPr>
            <w:tcW w:w="1062" w:type="dxa"/>
            <w:noWrap/>
            <w:hideMark/>
          </w:tcPr>
          <w:p w14:paraId="73CA61C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67.36</w:t>
            </w:r>
          </w:p>
        </w:tc>
        <w:tc>
          <w:tcPr>
            <w:tcW w:w="1064" w:type="dxa"/>
            <w:noWrap/>
            <w:hideMark/>
          </w:tcPr>
          <w:p w14:paraId="3616A00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11.7</w:t>
            </w:r>
          </w:p>
        </w:tc>
        <w:tc>
          <w:tcPr>
            <w:tcW w:w="1051" w:type="dxa"/>
            <w:noWrap/>
            <w:hideMark/>
          </w:tcPr>
          <w:p w14:paraId="1D06335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10.65</w:t>
            </w:r>
          </w:p>
        </w:tc>
        <w:tc>
          <w:tcPr>
            <w:tcW w:w="1119" w:type="dxa"/>
            <w:noWrap/>
            <w:hideMark/>
          </w:tcPr>
          <w:p w14:paraId="11EC61A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3.745</w:t>
            </w:r>
          </w:p>
        </w:tc>
        <w:tc>
          <w:tcPr>
            <w:tcW w:w="891" w:type="dxa"/>
            <w:noWrap/>
            <w:hideMark/>
          </w:tcPr>
          <w:p w14:paraId="346C183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3.256</w:t>
            </w:r>
          </w:p>
        </w:tc>
      </w:tr>
      <w:tr w:rsidR="002C0761" w:rsidRPr="002C0761" w14:paraId="02C74EA5"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7509B81A" w14:textId="77777777" w:rsidR="002C0761" w:rsidRPr="001A219D" w:rsidRDefault="002C0761">
            <w:pPr>
              <w:jc w:val="center"/>
              <w:rPr>
                <w:rFonts w:ascii="Arial" w:hAnsi="Arial" w:cs="Arial"/>
                <w:sz w:val="20"/>
                <w:szCs w:val="20"/>
              </w:rPr>
            </w:pPr>
            <w:r w:rsidRPr="001A219D">
              <w:rPr>
                <w:rFonts w:ascii="Arial" w:hAnsi="Arial" w:cs="Arial"/>
                <w:sz w:val="20"/>
                <w:szCs w:val="20"/>
              </w:rPr>
              <w:t>2011</w:t>
            </w:r>
          </w:p>
        </w:tc>
        <w:tc>
          <w:tcPr>
            <w:tcW w:w="995" w:type="dxa"/>
            <w:noWrap/>
            <w:hideMark/>
          </w:tcPr>
          <w:p w14:paraId="10E8A59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0.544</w:t>
            </w:r>
          </w:p>
        </w:tc>
        <w:tc>
          <w:tcPr>
            <w:tcW w:w="950" w:type="dxa"/>
            <w:noWrap/>
            <w:hideMark/>
          </w:tcPr>
          <w:p w14:paraId="4825A4A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0.549</w:t>
            </w:r>
          </w:p>
        </w:tc>
        <w:tc>
          <w:tcPr>
            <w:tcW w:w="1037" w:type="dxa"/>
            <w:noWrap/>
            <w:hideMark/>
          </w:tcPr>
          <w:p w14:paraId="6729FB0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68.45</w:t>
            </w:r>
          </w:p>
        </w:tc>
        <w:tc>
          <w:tcPr>
            <w:tcW w:w="1062" w:type="dxa"/>
            <w:noWrap/>
            <w:hideMark/>
          </w:tcPr>
          <w:p w14:paraId="5090E28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68.08</w:t>
            </w:r>
          </w:p>
        </w:tc>
        <w:tc>
          <w:tcPr>
            <w:tcW w:w="1064" w:type="dxa"/>
            <w:noWrap/>
            <w:hideMark/>
          </w:tcPr>
          <w:p w14:paraId="614F802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11.72</w:t>
            </w:r>
          </w:p>
        </w:tc>
        <w:tc>
          <w:tcPr>
            <w:tcW w:w="1051" w:type="dxa"/>
            <w:noWrap/>
            <w:hideMark/>
          </w:tcPr>
          <w:p w14:paraId="41F5397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11.08</w:t>
            </w:r>
          </w:p>
        </w:tc>
        <w:tc>
          <w:tcPr>
            <w:tcW w:w="1119" w:type="dxa"/>
            <w:noWrap/>
            <w:hideMark/>
          </w:tcPr>
          <w:p w14:paraId="77AA01B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3.763</w:t>
            </w:r>
          </w:p>
        </w:tc>
        <w:tc>
          <w:tcPr>
            <w:tcW w:w="891" w:type="dxa"/>
            <w:noWrap/>
            <w:hideMark/>
          </w:tcPr>
          <w:p w14:paraId="500FA20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3.419</w:t>
            </w:r>
          </w:p>
        </w:tc>
      </w:tr>
      <w:tr w:rsidR="002C0761" w:rsidRPr="002C0761" w14:paraId="75B0D119"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3320C597" w14:textId="77777777" w:rsidR="002C0761" w:rsidRPr="001A219D" w:rsidRDefault="002C0761">
            <w:pPr>
              <w:jc w:val="center"/>
              <w:rPr>
                <w:rFonts w:ascii="Arial" w:hAnsi="Arial" w:cs="Arial"/>
                <w:sz w:val="20"/>
                <w:szCs w:val="20"/>
              </w:rPr>
            </w:pPr>
            <w:r w:rsidRPr="001A219D">
              <w:rPr>
                <w:rFonts w:ascii="Arial" w:hAnsi="Arial" w:cs="Arial"/>
                <w:sz w:val="20"/>
                <w:szCs w:val="20"/>
              </w:rPr>
              <w:t>2012</w:t>
            </w:r>
          </w:p>
        </w:tc>
        <w:tc>
          <w:tcPr>
            <w:tcW w:w="995" w:type="dxa"/>
            <w:noWrap/>
            <w:hideMark/>
          </w:tcPr>
          <w:p w14:paraId="0B490DC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0.55</w:t>
            </w:r>
          </w:p>
        </w:tc>
        <w:tc>
          <w:tcPr>
            <w:tcW w:w="950" w:type="dxa"/>
            <w:noWrap/>
            <w:hideMark/>
          </w:tcPr>
          <w:p w14:paraId="0CA310B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0.561</w:t>
            </w:r>
          </w:p>
        </w:tc>
        <w:tc>
          <w:tcPr>
            <w:tcW w:w="1037" w:type="dxa"/>
            <w:noWrap/>
            <w:hideMark/>
          </w:tcPr>
          <w:p w14:paraId="66C532D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69.23</w:t>
            </w:r>
          </w:p>
        </w:tc>
        <w:tc>
          <w:tcPr>
            <w:tcW w:w="1062" w:type="dxa"/>
            <w:noWrap/>
            <w:hideMark/>
          </w:tcPr>
          <w:p w14:paraId="363D483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68.6</w:t>
            </w:r>
          </w:p>
        </w:tc>
        <w:tc>
          <w:tcPr>
            <w:tcW w:w="1064" w:type="dxa"/>
            <w:noWrap/>
            <w:hideMark/>
          </w:tcPr>
          <w:p w14:paraId="6807359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11.74</w:t>
            </w:r>
          </w:p>
        </w:tc>
        <w:tc>
          <w:tcPr>
            <w:tcW w:w="1051" w:type="dxa"/>
            <w:noWrap/>
            <w:hideMark/>
          </w:tcPr>
          <w:p w14:paraId="77A0187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11.53</w:t>
            </w:r>
          </w:p>
        </w:tc>
        <w:tc>
          <w:tcPr>
            <w:tcW w:w="1119" w:type="dxa"/>
            <w:noWrap/>
            <w:hideMark/>
          </w:tcPr>
          <w:p w14:paraId="53D70D3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3.775</w:t>
            </w:r>
          </w:p>
        </w:tc>
        <w:tc>
          <w:tcPr>
            <w:tcW w:w="891" w:type="dxa"/>
            <w:noWrap/>
            <w:hideMark/>
          </w:tcPr>
          <w:p w14:paraId="7C236A4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3.568</w:t>
            </w:r>
          </w:p>
        </w:tc>
      </w:tr>
      <w:tr w:rsidR="002C0761" w:rsidRPr="002C0761" w14:paraId="03988038"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1B52ABFD" w14:textId="77777777" w:rsidR="002C0761" w:rsidRPr="001A219D" w:rsidRDefault="002C0761">
            <w:pPr>
              <w:jc w:val="center"/>
              <w:rPr>
                <w:rFonts w:ascii="Arial" w:hAnsi="Arial" w:cs="Arial"/>
                <w:sz w:val="20"/>
                <w:szCs w:val="20"/>
              </w:rPr>
            </w:pPr>
            <w:r w:rsidRPr="001A219D">
              <w:rPr>
                <w:rFonts w:ascii="Arial" w:hAnsi="Arial" w:cs="Arial"/>
                <w:sz w:val="20"/>
                <w:szCs w:val="20"/>
              </w:rPr>
              <w:t>2013</w:t>
            </w:r>
          </w:p>
        </w:tc>
        <w:tc>
          <w:tcPr>
            <w:tcW w:w="995" w:type="dxa"/>
            <w:noWrap/>
            <w:hideMark/>
          </w:tcPr>
          <w:p w14:paraId="4D9CBEC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0.556</w:t>
            </w:r>
          </w:p>
        </w:tc>
        <w:tc>
          <w:tcPr>
            <w:tcW w:w="950" w:type="dxa"/>
            <w:noWrap/>
            <w:hideMark/>
          </w:tcPr>
          <w:p w14:paraId="114FEF8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0.573</w:t>
            </w:r>
          </w:p>
        </w:tc>
        <w:tc>
          <w:tcPr>
            <w:tcW w:w="1037" w:type="dxa"/>
            <w:noWrap/>
            <w:hideMark/>
          </w:tcPr>
          <w:p w14:paraId="42A3CA1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69.89</w:t>
            </w:r>
          </w:p>
        </w:tc>
        <w:tc>
          <w:tcPr>
            <w:tcW w:w="1062" w:type="dxa"/>
            <w:noWrap/>
            <w:hideMark/>
          </w:tcPr>
          <w:p w14:paraId="208D480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69.01</w:t>
            </w:r>
          </w:p>
        </w:tc>
        <w:tc>
          <w:tcPr>
            <w:tcW w:w="1064" w:type="dxa"/>
            <w:noWrap/>
            <w:hideMark/>
          </w:tcPr>
          <w:p w14:paraId="6710DC5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11.75</w:t>
            </w:r>
          </w:p>
        </w:tc>
        <w:tc>
          <w:tcPr>
            <w:tcW w:w="1051" w:type="dxa"/>
            <w:noWrap/>
            <w:hideMark/>
          </w:tcPr>
          <w:p w14:paraId="0CE16DA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11.98</w:t>
            </w:r>
          </w:p>
        </w:tc>
        <w:tc>
          <w:tcPr>
            <w:tcW w:w="1119" w:type="dxa"/>
            <w:noWrap/>
            <w:hideMark/>
          </w:tcPr>
          <w:p w14:paraId="3F38E2D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3.782</w:t>
            </w:r>
          </w:p>
        </w:tc>
        <w:tc>
          <w:tcPr>
            <w:tcW w:w="891" w:type="dxa"/>
            <w:noWrap/>
            <w:hideMark/>
          </w:tcPr>
          <w:p w14:paraId="0463CC1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3.702</w:t>
            </w:r>
          </w:p>
        </w:tc>
      </w:tr>
      <w:tr w:rsidR="002C0761" w:rsidRPr="002C0761" w14:paraId="086BC112"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0C7BA83B" w14:textId="77777777" w:rsidR="002C0761" w:rsidRPr="001A219D" w:rsidRDefault="002C0761">
            <w:pPr>
              <w:jc w:val="center"/>
              <w:rPr>
                <w:rFonts w:ascii="Arial" w:hAnsi="Arial" w:cs="Arial"/>
                <w:sz w:val="20"/>
                <w:szCs w:val="20"/>
              </w:rPr>
            </w:pPr>
            <w:r w:rsidRPr="001A219D">
              <w:rPr>
                <w:rFonts w:ascii="Arial" w:hAnsi="Arial" w:cs="Arial"/>
                <w:sz w:val="20"/>
                <w:szCs w:val="20"/>
              </w:rPr>
              <w:t>2014</w:t>
            </w:r>
          </w:p>
        </w:tc>
        <w:tc>
          <w:tcPr>
            <w:tcW w:w="995" w:type="dxa"/>
            <w:noWrap/>
            <w:hideMark/>
          </w:tcPr>
          <w:p w14:paraId="7EF1A8A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0.562</w:t>
            </w:r>
          </w:p>
        </w:tc>
        <w:tc>
          <w:tcPr>
            <w:tcW w:w="950" w:type="dxa"/>
            <w:noWrap/>
            <w:hideMark/>
          </w:tcPr>
          <w:p w14:paraId="17DF60D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0.585</w:t>
            </w:r>
          </w:p>
        </w:tc>
        <w:tc>
          <w:tcPr>
            <w:tcW w:w="1037" w:type="dxa"/>
            <w:noWrap/>
            <w:hideMark/>
          </w:tcPr>
          <w:p w14:paraId="6F91DF1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70.59</w:t>
            </w:r>
          </w:p>
        </w:tc>
        <w:tc>
          <w:tcPr>
            <w:tcW w:w="1062" w:type="dxa"/>
            <w:noWrap/>
            <w:hideMark/>
          </w:tcPr>
          <w:p w14:paraId="4A28FCF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69.46</w:t>
            </w:r>
          </w:p>
        </w:tc>
        <w:tc>
          <w:tcPr>
            <w:tcW w:w="1064" w:type="dxa"/>
            <w:noWrap/>
            <w:hideMark/>
          </w:tcPr>
          <w:p w14:paraId="217CF71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11.77</w:t>
            </w:r>
          </w:p>
        </w:tc>
        <w:tc>
          <w:tcPr>
            <w:tcW w:w="1051" w:type="dxa"/>
            <w:noWrap/>
            <w:hideMark/>
          </w:tcPr>
          <w:p w14:paraId="521F9D5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12.46</w:t>
            </w:r>
          </w:p>
        </w:tc>
        <w:tc>
          <w:tcPr>
            <w:tcW w:w="1119" w:type="dxa"/>
            <w:noWrap/>
            <w:hideMark/>
          </w:tcPr>
          <w:p w14:paraId="21E3319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3.784</w:t>
            </w:r>
          </w:p>
        </w:tc>
        <w:tc>
          <w:tcPr>
            <w:tcW w:w="891" w:type="dxa"/>
            <w:noWrap/>
            <w:hideMark/>
          </w:tcPr>
          <w:p w14:paraId="23F1A5A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3.823</w:t>
            </w:r>
          </w:p>
        </w:tc>
      </w:tr>
      <w:tr w:rsidR="002C0761" w:rsidRPr="002C0761" w14:paraId="726DB7BB"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28DA9021" w14:textId="77777777" w:rsidR="002C0761" w:rsidRPr="001A219D" w:rsidRDefault="002C0761">
            <w:pPr>
              <w:jc w:val="center"/>
              <w:rPr>
                <w:rFonts w:ascii="Arial" w:hAnsi="Arial" w:cs="Arial"/>
                <w:sz w:val="20"/>
                <w:szCs w:val="20"/>
              </w:rPr>
            </w:pPr>
            <w:r w:rsidRPr="001A219D">
              <w:rPr>
                <w:rFonts w:ascii="Arial" w:hAnsi="Arial" w:cs="Arial"/>
                <w:sz w:val="20"/>
                <w:szCs w:val="20"/>
              </w:rPr>
              <w:t>2015</w:t>
            </w:r>
          </w:p>
        </w:tc>
        <w:tc>
          <w:tcPr>
            <w:tcW w:w="995" w:type="dxa"/>
            <w:noWrap/>
            <w:hideMark/>
          </w:tcPr>
          <w:p w14:paraId="63D80B7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0.563</w:t>
            </w:r>
          </w:p>
        </w:tc>
        <w:tc>
          <w:tcPr>
            <w:tcW w:w="950" w:type="dxa"/>
            <w:noWrap/>
            <w:hideMark/>
          </w:tcPr>
          <w:p w14:paraId="723DC1E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0.58</w:t>
            </w:r>
          </w:p>
        </w:tc>
        <w:tc>
          <w:tcPr>
            <w:tcW w:w="1037" w:type="dxa"/>
            <w:noWrap/>
            <w:hideMark/>
          </w:tcPr>
          <w:p w14:paraId="4643BE2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70.37</w:t>
            </w:r>
          </w:p>
        </w:tc>
        <w:tc>
          <w:tcPr>
            <w:tcW w:w="1062" w:type="dxa"/>
            <w:noWrap/>
            <w:hideMark/>
          </w:tcPr>
          <w:p w14:paraId="2FE31A9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69.73</w:t>
            </w:r>
          </w:p>
        </w:tc>
        <w:tc>
          <w:tcPr>
            <w:tcW w:w="1064" w:type="dxa"/>
            <w:noWrap/>
            <w:hideMark/>
          </w:tcPr>
          <w:p w14:paraId="3680CC3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11.56</w:t>
            </w:r>
          </w:p>
        </w:tc>
        <w:tc>
          <w:tcPr>
            <w:tcW w:w="1051" w:type="dxa"/>
            <w:noWrap/>
            <w:hideMark/>
          </w:tcPr>
          <w:p w14:paraId="0626D89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11.94</w:t>
            </w:r>
          </w:p>
        </w:tc>
        <w:tc>
          <w:tcPr>
            <w:tcW w:w="1119" w:type="dxa"/>
            <w:noWrap/>
            <w:hideMark/>
          </w:tcPr>
          <w:p w14:paraId="1B4EAE7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3.835</w:t>
            </w:r>
          </w:p>
        </w:tc>
        <w:tc>
          <w:tcPr>
            <w:tcW w:w="891" w:type="dxa"/>
            <w:noWrap/>
            <w:hideMark/>
          </w:tcPr>
          <w:p w14:paraId="348877E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3.797</w:t>
            </w:r>
          </w:p>
        </w:tc>
      </w:tr>
      <w:tr w:rsidR="002C0761" w:rsidRPr="002C0761" w14:paraId="00340DAE"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762E6BB4" w14:textId="77777777" w:rsidR="002C0761" w:rsidRPr="001A219D" w:rsidRDefault="002C0761">
            <w:pPr>
              <w:jc w:val="center"/>
              <w:rPr>
                <w:rFonts w:ascii="Arial" w:hAnsi="Arial" w:cs="Arial"/>
                <w:sz w:val="20"/>
                <w:szCs w:val="20"/>
              </w:rPr>
            </w:pPr>
            <w:r w:rsidRPr="001A219D">
              <w:rPr>
                <w:rFonts w:ascii="Arial" w:hAnsi="Arial" w:cs="Arial"/>
                <w:sz w:val="20"/>
                <w:szCs w:val="20"/>
              </w:rPr>
              <w:t>2016</w:t>
            </w:r>
          </w:p>
        </w:tc>
        <w:tc>
          <w:tcPr>
            <w:tcW w:w="995" w:type="dxa"/>
            <w:noWrap/>
            <w:hideMark/>
          </w:tcPr>
          <w:p w14:paraId="6DE6D27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0.568</w:t>
            </w:r>
          </w:p>
        </w:tc>
        <w:tc>
          <w:tcPr>
            <w:tcW w:w="950" w:type="dxa"/>
            <w:noWrap/>
            <w:hideMark/>
          </w:tcPr>
          <w:p w14:paraId="4B245B9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0.578</w:t>
            </w:r>
          </w:p>
        </w:tc>
        <w:tc>
          <w:tcPr>
            <w:tcW w:w="1037" w:type="dxa"/>
            <w:noWrap/>
            <w:hideMark/>
          </w:tcPr>
          <w:p w14:paraId="4CD9C92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70.38</w:t>
            </w:r>
          </w:p>
        </w:tc>
        <w:tc>
          <w:tcPr>
            <w:tcW w:w="1062" w:type="dxa"/>
            <w:noWrap/>
            <w:hideMark/>
          </w:tcPr>
          <w:p w14:paraId="5A05CFB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70.2</w:t>
            </w:r>
          </w:p>
        </w:tc>
        <w:tc>
          <w:tcPr>
            <w:tcW w:w="1064" w:type="dxa"/>
            <w:noWrap/>
            <w:hideMark/>
          </w:tcPr>
          <w:p w14:paraId="2BFE08A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11.34</w:t>
            </w:r>
          </w:p>
        </w:tc>
        <w:tc>
          <w:tcPr>
            <w:tcW w:w="1051" w:type="dxa"/>
            <w:noWrap/>
            <w:hideMark/>
          </w:tcPr>
          <w:p w14:paraId="4B9DD2F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11.4</w:t>
            </w:r>
          </w:p>
        </w:tc>
        <w:tc>
          <w:tcPr>
            <w:tcW w:w="1119" w:type="dxa"/>
            <w:noWrap/>
            <w:hideMark/>
          </w:tcPr>
          <w:p w14:paraId="00B33CB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4.098</w:t>
            </w:r>
          </w:p>
        </w:tc>
        <w:tc>
          <w:tcPr>
            <w:tcW w:w="891" w:type="dxa"/>
            <w:noWrap/>
            <w:hideMark/>
          </w:tcPr>
          <w:p w14:paraId="772C793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3.977</w:t>
            </w:r>
          </w:p>
        </w:tc>
      </w:tr>
      <w:tr w:rsidR="002C0761" w:rsidRPr="002C0761" w14:paraId="617B7739"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67FD763E" w14:textId="77777777" w:rsidR="002C0761" w:rsidRPr="001A219D" w:rsidRDefault="002C0761">
            <w:pPr>
              <w:jc w:val="center"/>
              <w:rPr>
                <w:rFonts w:ascii="Arial" w:hAnsi="Arial" w:cs="Arial"/>
                <w:sz w:val="20"/>
                <w:szCs w:val="20"/>
              </w:rPr>
            </w:pPr>
            <w:r w:rsidRPr="001A219D">
              <w:rPr>
                <w:rFonts w:ascii="Arial" w:hAnsi="Arial" w:cs="Arial"/>
                <w:sz w:val="20"/>
                <w:szCs w:val="20"/>
              </w:rPr>
              <w:t>2017</w:t>
            </w:r>
          </w:p>
        </w:tc>
        <w:tc>
          <w:tcPr>
            <w:tcW w:w="995" w:type="dxa"/>
            <w:noWrap/>
            <w:hideMark/>
          </w:tcPr>
          <w:p w14:paraId="01AE24E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0.572</w:t>
            </w:r>
          </w:p>
        </w:tc>
        <w:tc>
          <w:tcPr>
            <w:tcW w:w="950" w:type="dxa"/>
            <w:noWrap/>
            <w:hideMark/>
          </w:tcPr>
          <w:p w14:paraId="10CAAE3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0.576</w:t>
            </w:r>
          </w:p>
        </w:tc>
        <w:tc>
          <w:tcPr>
            <w:tcW w:w="1037" w:type="dxa"/>
            <w:noWrap/>
            <w:hideMark/>
          </w:tcPr>
          <w:p w14:paraId="4A8AA7A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70.33</w:t>
            </w:r>
          </w:p>
        </w:tc>
        <w:tc>
          <w:tcPr>
            <w:tcW w:w="1062" w:type="dxa"/>
            <w:noWrap/>
            <w:hideMark/>
          </w:tcPr>
          <w:p w14:paraId="444EDEE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70.62</w:t>
            </w:r>
          </w:p>
        </w:tc>
        <w:tc>
          <w:tcPr>
            <w:tcW w:w="1064" w:type="dxa"/>
            <w:noWrap/>
            <w:hideMark/>
          </w:tcPr>
          <w:p w14:paraId="20CA1BF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11.11</w:t>
            </w:r>
          </w:p>
        </w:tc>
        <w:tc>
          <w:tcPr>
            <w:tcW w:w="1051" w:type="dxa"/>
            <w:noWrap/>
            <w:hideMark/>
          </w:tcPr>
          <w:p w14:paraId="049F704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10.85</w:t>
            </w:r>
          </w:p>
        </w:tc>
        <w:tc>
          <w:tcPr>
            <w:tcW w:w="1119" w:type="dxa"/>
            <w:noWrap/>
            <w:hideMark/>
          </w:tcPr>
          <w:p w14:paraId="73A236D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4.358</w:t>
            </w:r>
          </w:p>
        </w:tc>
        <w:tc>
          <w:tcPr>
            <w:tcW w:w="891" w:type="dxa"/>
            <w:noWrap/>
            <w:hideMark/>
          </w:tcPr>
          <w:p w14:paraId="311DDB8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4.146</w:t>
            </w:r>
          </w:p>
        </w:tc>
      </w:tr>
      <w:tr w:rsidR="002C0761" w:rsidRPr="002C0761" w14:paraId="4D8DD0DF"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5899B3DA" w14:textId="77777777" w:rsidR="002C0761" w:rsidRPr="001A219D" w:rsidRDefault="002C0761">
            <w:pPr>
              <w:jc w:val="center"/>
              <w:rPr>
                <w:rFonts w:ascii="Arial" w:hAnsi="Arial" w:cs="Arial"/>
                <w:sz w:val="20"/>
                <w:szCs w:val="20"/>
              </w:rPr>
            </w:pPr>
            <w:r w:rsidRPr="001A219D">
              <w:rPr>
                <w:rFonts w:ascii="Arial" w:hAnsi="Arial" w:cs="Arial"/>
                <w:sz w:val="20"/>
                <w:szCs w:val="20"/>
              </w:rPr>
              <w:t>2018</w:t>
            </w:r>
          </w:p>
        </w:tc>
        <w:tc>
          <w:tcPr>
            <w:tcW w:w="995" w:type="dxa"/>
            <w:noWrap/>
            <w:hideMark/>
          </w:tcPr>
          <w:p w14:paraId="1B958C7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0.575</w:t>
            </w:r>
          </w:p>
        </w:tc>
        <w:tc>
          <w:tcPr>
            <w:tcW w:w="950" w:type="dxa"/>
            <w:noWrap/>
            <w:hideMark/>
          </w:tcPr>
          <w:p w14:paraId="533B462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0.572</w:t>
            </w:r>
          </w:p>
        </w:tc>
        <w:tc>
          <w:tcPr>
            <w:tcW w:w="1037" w:type="dxa"/>
            <w:noWrap/>
            <w:hideMark/>
          </w:tcPr>
          <w:p w14:paraId="23FFA04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70.03</w:t>
            </w:r>
          </w:p>
        </w:tc>
        <w:tc>
          <w:tcPr>
            <w:tcW w:w="1062" w:type="dxa"/>
            <w:noWrap/>
            <w:hideMark/>
          </w:tcPr>
          <w:p w14:paraId="20B4E0F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70.79</w:t>
            </w:r>
          </w:p>
        </w:tc>
        <w:tc>
          <w:tcPr>
            <w:tcW w:w="1064" w:type="dxa"/>
            <w:noWrap/>
            <w:hideMark/>
          </w:tcPr>
          <w:p w14:paraId="56284D4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10.84</w:t>
            </w:r>
          </w:p>
        </w:tc>
        <w:tc>
          <w:tcPr>
            <w:tcW w:w="1051" w:type="dxa"/>
            <w:noWrap/>
            <w:hideMark/>
          </w:tcPr>
          <w:p w14:paraId="6328C6C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10.25</w:t>
            </w:r>
          </w:p>
        </w:tc>
        <w:tc>
          <w:tcPr>
            <w:tcW w:w="1119" w:type="dxa"/>
            <w:noWrap/>
            <w:hideMark/>
          </w:tcPr>
          <w:p w14:paraId="2E5E860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4.615</w:t>
            </w:r>
          </w:p>
        </w:tc>
        <w:tc>
          <w:tcPr>
            <w:tcW w:w="891" w:type="dxa"/>
            <w:noWrap/>
            <w:hideMark/>
          </w:tcPr>
          <w:p w14:paraId="7B497EA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4.305</w:t>
            </w:r>
          </w:p>
        </w:tc>
      </w:tr>
      <w:tr w:rsidR="002C0761" w:rsidRPr="002C0761" w14:paraId="5D1F3F16"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5492D7FF" w14:textId="77777777" w:rsidR="002C0761" w:rsidRPr="001A219D" w:rsidRDefault="002C0761">
            <w:pPr>
              <w:jc w:val="center"/>
              <w:rPr>
                <w:rFonts w:ascii="Arial" w:hAnsi="Arial" w:cs="Arial"/>
                <w:sz w:val="20"/>
                <w:szCs w:val="20"/>
              </w:rPr>
            </w:pPr>
            <w:r w:rsidRPr="001A219D">
              <w:rPr>
                <w:rFonts w:ascii="Arial" w:hAnsi="Arial" w:cs="Arial"/>
                <w:sz w:val="20"/>
                <w:szCs w:val="20"/>
              </w:rPr>
              <w:t>2019</w:t>
            </w:r>
          </w:p>
        </w:tc>
        <w:tc>
          <w:tcPr>
            <w:tcW w:w="995" w:type="dxa"/>
            <w:noWrap/>
            <w:hideMark/>
          </w:tcPr>
          <w:p w14:paraId="20753B7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0.578</w:t>
            </w:r>
          </w:p>
        </w:tc>
        <w:tc>
          <w:tcPr>
            <w:tcW w:w="950" w:type="dxa"/>
            <w:noWrap/>
            <w:hideMark/>
          </w:tcPr>
          <w:p w14:paraId="4C75FD7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0.568</w:t>
            </w:r>
          </w:p>
        </w:tc>
        <w:tc>
          <w:tcPr>
            <w:tcW w:w="1037" w:type="dxa"/>
            <w:noWrap/>
            <w:hideMark/>
          </w:tcPr>
          <w:p w14:paraId="6588DC5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69.83</w:t>
            </w:r>
          </w:p>
        </w:tc>
        <w:tc>
          <w:tcPr>
            <w:tcW w:w="1062" w:type="dxa"/>
            <w:noWrap/>
            <w:hideMark/>
          </w:tcPr>
          <w:p w14:paraId="4E7B202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71.04</w:t>
            </w:r>
          </w:p>
        </w:tc>
        <w:tc>
          <w:tcPr>
            <w:tcW w:w="1064" w:type="dxa"/>
            <w:noWrap/>
            <w:hideMark/>
          </w:tcPr>
          <w:p w14:paraId="648E14E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10.57</w:t>
            </w:r>
          </w:p>
        </w:tc>
        <w:tc>
          <w:tcPr>
            <w:tcW w:w="1051" w:type="dxa"/>
            <w:noWrap/>
            <w:hideMark/>
          </w:tcPr>
          <w:p w14:paraId="39C4780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9.638</w:t>
            </w:r>
          </w:p>
        </w:tc>
        <w:tc>
          <w:tcPr>
            <w:tcW w:w="1119" w:type="dxa"/>
            <w:noWrap/>
            <w:hideMark/>
          </w:tcPr>
          <w:p w14:paraId="413D480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4.87</w:t>
            </w:r>
          </w:p>
        </w:tc>
        <w:tc>
          <w:tcPr>
            <w:tcW w:w="891" w:type="dxa"/>
            <w:noWrap/>
            <w:hideMark/>
          </w:tcPr>
          <w:p w14:paraId="6702450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4.453</w:t>
            </w:r>
          </w:p>
        </w:tc>
      </w:tr>
      <w:tr w:rsidR="002C0761" w:rsidRPr="002C0761" w14:paraId="74E52350" w14:textId="77777777" w:rsidTr="002C0761">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12C42083" w14:textId="77777777" w:rsidR="002C0761" w:rsidRPr="001A219D" w:rsidRDefault="002C0761">
            <w:pPr>
              <w:jc w:val="center"/>
              <w:rPr>
                <w:rFonts w:ascii="Arial" w:hAnsi="Arial" w:cs="Arial"/>
                <w:sz w:val="20"/>
                <w:szCs w:val="20"/>
              </w:rPr>
            </w:pPr>
            <w:r w:rsidRPr="001A219D">
              <w:rPr>
                <w:rFonts w:ascii="Arial" w:hAnsi="Arial" w:cs="Arial"/>
                <w:sz w:val="20"/>
                <w:szCs w:val="20"/>
              </w:rPr>
              <w:t>2020</w:t>
            </w:r>
          </w:p>
        </w:tc>
        <w:tc>
          <w:tcPr>
            <w:tcW w:w="995" w:type="dxa"/>
            <w:noWrap/>
            <w:hideMark/>
          </w:tcPr>
          <w:p w14:paraId="091FFC3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0.574</w:t>
            </w:r>
          </w:p>
        </w:tc>
        <w:tc>
          <w:tcPr>
            <w:tcW w:w="950" w:type="dxa"/>
            <w:noWrap/>
            <w:hideMark/>
          </w:tcPr>
          <w:p w14:paraId="2B1A729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0.557</w:t>
            </w:r>
          </w:p>
        </w:tc>
        <w:tc>
          <w:tcPr>
            <w:tcW w:w="1037" w:type="dxa"/>
            <w:noWrap/>
            <w:hideMark/>
          </w:tcPr>
          <w:p w14:paraId="30A9CFD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69.24</w:t>
            </w:r>
          </w:p>
        </w:tc>
        <w:tc>
          <w:tcPr>
            <w:tcW w:w="1062" w:type="dxa"/>
            <w:noWrap/>
            <w:hideMark/>
          </w:tcPr>
          <w:p w14:paraId="7D97103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70.88</w:t>
            </w:r>
          </w:p>
        </w:tc>
        <w:tc>
          <w:tcPr>
            <w:tcW w:w="1064" w:type="dxa"/>
            <w:noWrap/>
            <w:hideMark/>
          </w:tcPr>
          <w:p w14:paraId="275524A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10.29</w:t>
            </w:r>
          </w:p>
        </w:tc>
        <w:tc>
          <w:tcPr>
            <w:tcW w:w="1051" w:type="dxa"/>
            <w:noWrap/>
            <w:hideMark/>
          </w:tcPr>
          <w:p w14:paraId="086B260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9.009</w:t>
            </w:r>
          </w:p>
        </w:tc>
        <w:tc>
          <w:tcPr>
            <w:tcW w:w="1119" w:type="dxa"/>
            <w:noWrap/>
            <w:hideMark/>
          </w:tcPr>
          <w:p w14:paraId="119DD55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5.039</w:t>
            </w:r>
          </w:p>
        </w:tc>
        <w:tc>
          <w:tcPr>
            <w:tcW w:w="891" w:type="dxa"/>
            <w:noWrap/>
            <w:hideMark/>
          </w:tcPr>
          <w:p w14:paraId="6F0D864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4.518</w:t>
            </w:r>
          </w:p>
        </w:tc>
      </w:tr>
      <w:tr w:rsidR="002C0761" w:rsidRPr="002C0761" w14:paraId="26564467" w14:textId="77777777" w:rsidTr="002C0761">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14:paraId="1588A5E2" w14:textId="77777777" w:rsidR="002C0761" w:rsidRPr="001A219D" w:rsidRDefault="002C0761">
            <w:pPr>
              <w:jc w:val="center"/>
              <w:rPr>
                <w:rFonts w:ascii="Arial" w:hAnsi="Arial" w:cs="Arial"/>
                <w:sz w:val="20"/>
                <w:szCs w:val="20"/>
              </w:rPr>
            </w:pPr>
            <w:r w:rsidRPr="001A219D">
              <w:rPr>
                <w:rFonts w:ascii="Arial" w:hAnsi="Arial" w:cs="Arial"/>
                <w:sz w:val="20"/>
                <w:szCs w:val="20"/>
              </w:rPr>
              <w:t>2021</w:t>
            </w:r>
          </w:p>
        </w:tc>
        <w:tc>
          <w:tcPr>
            <w:tcW w:w="995" w:type="dxa"/>
            <w:noWrap/>
            <w:hideMark/>
          </w:tcPr>
          <w:p w14:paraId="36507F4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0.57</w:t>
            </w:r>
          </w:p>
        </w:tc>
        <w:tc>
          <w:tcPr>
            <w:tcW w:w="950" w:type="dxa"/>
            <w:noWrap/>
            <w:hideMark/>
          </w:tcPr>
          <w:p w14:paraId="492FBF2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0.545</w:t>
            </w:r>
          </w:p>
        </w:tc>
        <w:tc>
          <w:tcPr>
            <w:tcW w:w="1037" w:type="dxa"/>
            <w:noWrap/>
            <w:hideMark/>
          </w:tcPr>
          <w:p w14:paraId="47C423E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68.11</w:t>
            </w:r>
          </w:p>
        </w:tc>
        <w:tc>
          <w:tcPr>
            <w:tcW w:w="1062" w:type="dxa"/>
            <w:noWrap/>
            <w:hideMark/>
          </w:tcPr>
          <w:p w14:paraId="4AA19F9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70.16</w:t>
            </w:r>
          </w:p>
        </w:tc>
        <w:tc>
          <w:tcPr>
            <w:tcW w:w="1064" w:type="dxa"/>
            <w:noWrap/>
            <w:hideMark/>
          </w:tcPr>
          <w:p w14:paraId="3573714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9.982</w:t>
            </w:r>
          </w:p>
        </w:tc>
        <w:tc>
          <w:tcPr>
            <w:tcW w:w="1051" w:type="dxa"/>
            <w:noWrap/>
            <w:hideMark/>
          </w:tcPr>
          <w:p w14:paraId="28CE082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8.353</w:t>
            </w:r>
          </w:p>
        </w:tc>
        <w:tc>
          <w:tcPr>
            <w:tcW w:w="1119" w:type="dxa"/>
            <w:noWrap/>
            <w:hideMark/>
          </w:tcPr>
          <w:p w14:paraId="031B01E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5.207</w:t>
            </w:r>
          </w:p>
        </w:tc>
        <w:tc>
          <w:tcPr>
            <w:tcW w:w="891" w:type="dxa"/>
            <w:noWrap/>
            <w:hideMark/>
          </w:tcPr>
          <w:p w14:paraId="3E24D6E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4.577</w:t>
            </w:r>
          </w:p>
        </w:tc>
      </w:tr>
      <w:tr w:rsidR="002C0761" w:rsidRPr="002C0761" w14:paraId="30805CE9" w14:textId="77777777" w:rsidTr="002C0761">
        <w:trPr>
          <w:trHeight w:val="340"/>
        </w:trPr>
        <w:tc>
          <w:tcPr>
            <w:cnfStyle w:val="001000000000" w:firstRow="0" w:lastRow="0" w:firstColumn="1" w:lastColumn="0" w:oddVBand="0" w:evenVBand="0" w:oddHBand="0" w:evenHBand="0" w:firstRowFirstColumn="0" w:firstRowLastColumn="0" w:lastRowFirstColumn="0" w:lastRowLastColumn="0"/>
            <w:tcW w:w="841" w:type="dxa"/>
            <w:noWrap/>
            <w:hideMark/>
          </w:tcPr>
          <w:p w14:paraId="568AE906" w14:textId="77777777" w:rsidR="002C0761" w:rsidRPr="001A219D" w:rsidRDefault="002C0761">
            <w:pPr>
              <w:jc w:val="center"/>
              <w:rPr>
                <w:rFonts w:ascii="Arial" w:hAnsi="Arial" w:cs="Arial"/>
                <w:sz w:val="20"/>
                <w:szCs w:val="20"/>
              </w:rPr>
            </w:pPr>
            <w:r w:rsidRPr="001A219D">
              <w:rPr>
                <w:rFonts w:ascii="Arial" w:hAnsi="Arial" w:cs="Arial"/>
                <w:sz w:val="20"/>
                <w:szCs w:val="20"/>
              </w:rPr>
              <w:t>2022</w:t>
            </w:r>
          </w:p>
        </w:tc>
        <w:tc>
          <w:tcPr>
            <w:tcW w:w="995" w:type="dxa"/>
            <w:noWrap/>
            <w:hideMark/>
          </w:tcPr>
          <w:p w14:paraId="2A1A819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0.573</w:t>
            </w:r>
          </w:p>
        </w:tc>
        <w:tc>
          <w:tcPr>
            <w:tcW w:w="950" w:type="dxa"/>
            <w:noWrap/>
            <w:hideMark/>
          </w:tcPr>
          <w:p w14:paraId="55E9713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0.548</w:t>
            </w:r>
          </w:p>
        </w:tc>
        <w:tc>
          <w:tcPr>
            <w:tcW w:w="1037" w:type="dxa"/>
            <w:noWrap/>
            <w:hideMark/>
          </w:tcPr>
          <w:p w14:paraId="77A9272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68.41</w:t>
            </w:r>
          </w:p>
        </w:tc>
        <w:tc>
          <w:tcPr>
            <w:tcW w:w="1062" w:type="dxa"/>
            <w:noWrap/>
            <w:hideMark/>
          </w:tcPr>
          <w:p w14:paraId="2F4F79F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70.47</w:t>
            </w:r>
          </w:p>
        </w:tc>
        <w:tc>
          <w:tcPr>
            <w:tcW w:w="1064" w:type="dxa"/>
            <w:noWrap/>
            <w:hideMark/>
          </w:tcPr>
          <w:p w14:paraId="1706527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9.982</w:t>
            </w:r>
          </w:p>
        </w:tc>
        <w:tc>
          <w:tcPr>
            <w:tcW w:w="1051" w:type="dxa"/>
            <w:noWrap/>
            <w:hideMark/>
          </w:tcPr>
          <w:p w14:paraId="689599D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8.353</w:t>
            </w:r>
          </w:p>
        </w:tc>
        <w:tc>
          <w:tcPr>
            <w:tcW w:w="1119" w:type="dxa"/>
            <w:noWrap/>
            <w:hideMark/>
          </w:tcPr>
          <w:p w14:paraId="4E3C5A7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5.207</w:t>
            </w:r>
          </w:p>
        </w:tc>
        <w:tc>
          <w:tcPr>
            <w:tcW w:w="891" w:type="dxa"/>
            <w:noWrap/>
            <w:hideMark/>
          </w:tcPr>
          <w:p w14:paraId="7C67ADB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4.577</w:t>
            </w:r>
          </w:p>
        </w:tc>
      </w:tr>
    </w:tbl>
    <w:p w14:paraId="33B75E62" w14:textId="354BFDE5" w:rsidR="002C0761" w:rsidRPr="006D15D1" w:rsidRDefault="002C0761" w:rsidP="002C0761">
      <w:pPr>
        <w:spacing w:after="120"/>
        <w:rPr>
          <w:rFonts w:ascii="Arial" w:hAnsi="Arial" w:cs="Arial"/>
          <w:i/>
          <w:iCs/>
          <w:sz w:val="18"/>
          <w:szCs w:val="18"/>
        </w:rPr>
      </w:pPr>
      <w:r w:rsidRPr="006D15D1">
        <w:rPr>
          <w:rFonts w:ascii="Arial" w:hAnsi="Arial" w:cs="Arial"/>
          <w:b/>
          <w:bCs/>
          <w:i/>
          <w:iCs/>
          <w:sz w:val="18"/>
          <w:szCs w:val="18"/>
        </w:rPr>
        <w:t>Source:</w:t>
      </w:r>
      <w:r w:rsidRPr="006D15D1">
        <w:rPr>
          <w:rFonts w:ascii="Arial" w:hAnsi="Arial" w:cs="Arial"/>
          <w:i/>
          <w:iCs/>
          <w:sz w:val="18"/>
          <w:szCs w:val="18"/>
        </w:rPr>
        <w:t xml:space="preserve"> Global Data Lab, 2025.</w:t>
      </w:r>
    </w:p>
    <w:p w14:paraId="2F7EECB7" w14:textId="71BC3B93" w:rsidR="005938F3" w:rsidRPr="00150993" w:rsidRDefault="00341CC0" w:rsidP="005938F3">
      <w:pPr>
        <w:pStyle w:val="Caption"/>
        <w:jc w:val="both"/>
        <w:rPr>
          <w:rFonts w:ascii="Arial" w:eastAsiaTheme="minorHAnsi" w:hAnsi="Arial" w:cs="Arial"/>
          <w:b/>
          <w:bCs/>
          <w:i w:val="0"/>
          <w:iCs w:val="0"/>
          <w:color w:val="0070C0"/>
          <w:kern w:val="2"/>
          <w:sz w:val="22"/>
          <w:szCs w:val="22"/>
          <w14:ligatures w14:val="standardContextual"/>
        </w:rPr>
      </w:pPr>
      <w:r>
        <w:rPr>
          <w:rFonts w:ascii="Arial" w:eastAsiaTheme="minorHAnsi" w:hAnsi="Arial" w:cs="Arial"/>
          <w:b/>
          <w:bCs/>
          <w:i w:val="0"/>
          <w:iCs w:val="0"/>
          <w:color w:val="0070C0"/>
          <w:kern w:val="2"/>
          <w:sz w:val="22"/>
          <w:szCs w:val="22"/>
          <w14:ligatures w14:val="standardContextual"/>
        </w:rPr>
        <w:t>C.</w:t>
      </w:r>
      <w:r w:rsidR="00F1210A" w:rsidRPr="00150993">
        <w:rPr>
          <w:rFonts w:ascii="Arial" w:eastAsiaTheme="minorHAnsi" w:hAnsi="Arial" w:cs="Arial"/>
          <w:b/>
          <w:bCs/>
          <w:i w:val="0"/>
          <w:iCs w:val="0"/>
          <w:color w:val="0070C0"/>
          <w:kern w:val="2"/>
          <w:sz w:val="22"/>
          <w:szCs w:val="22"/>
          <w14:ligatures w14:val="standardContextual"/>
        </w:rPr>
        <w:t xml:space="preserve"> </w:t>
      </w:r>
      <w:r w:rsidR="005938F3" w:rsidRPr="00150993">
        <w:rPr>
          <w:rFonts w:ascii="Arial" w:eastAsiaTheme="minorHAnsi" w:hAnsi="Arial" w:cs="Arial"/>
          <w:b/>
          <w:bCs/>
          <w:i w:val="0"/>
          <w:iCs w:val="0"/>
          <w:color w:val="0070C0"/>
          <w:kern w:val="2"/>
          <w:sz w:val="22"/>
          <w:szCs w:val="22"/>
          <w14:ligatures w14:val="standardContextual"/>
        </w:rPr>
        <w:t>Economic activities</w:t>
      </w:r>
    </w:p>
    <w:p w14:paraId="09D7208E" w14:textId="20B73527" w:rsidR="005938F3" w:rsidRPr="00150993" w:rsidRDefault="005938F3" w:rsidP="005938F3">
      <w:pPr>
        <w:pStyle w:val="NormalWeb"/>
        <w:jc w:val="both"/>
        <w:rPr>
          <w:rFonts w:ascii="Arial" w:hAnsi="Arial" w:cs="Arial"/>
          <w:sz w:val="22"/>
          <w:szCs w:val="22"/>
        </w:rPr>
      </w:pPr>
      <w:r w:rsidRPr="00150993">
        <w:rPr>
          <w:rFonts w:ascii="Arial" w:hAnsi="Arial" w:cs="Arial"/>
          <w:sz w:val="22"/>
          <w:szCs w:val="22"/>
        </w:rPr>
        <w:t>Economic indicators describe the structure and dynamics of Cambodia’s economy, with emphasis on sectors that are important for coastal livelihoods. Key variables include GDP per capita (current and constant prices), sectoral shares of GDP (agriculture, industry, services), and, where data permit, the contribution of fisheries, tourism, ports and related coastal activities. National series are taken from World Bank World Development Indicators and national accounts; coastal insights draw on sector studies, blue-economy assessments and project documents. The annex documents how current-price values are converted to constant terms, how growth rates are calculated, and how qualitative statements on coastal economic importance are derived from available evidence.</w:t>
      </w:r>
    </w:p>
    <w:p w14:paraId="6070E338" w14:textId="3DACCBAE" w:rsidR="00F1210A" w:rsidRPr="00150993" w:rsidRDefault="002911A3" w:rsidP="00F726C6">
      <w:pPr>
        <w:pStyle w:val="Caption"/>
        <w:keepNext/>
        <w:spacing w:before="240" w:after="120"/>
        <w:rPr>
          <w:rFonts w:ascii="Arial" w:eastAsiaTheme="minorHAnsi" w:hAnsi="Arial" w:cs="Arial"/>
          <w:color w:val="002060"/>
          <w:kern w:val="2"/>
          <w:sz w:val="22"/>
          <w:szCs w:val="22"/>
          <w14:ligatures w14:val="standardContextual"/>
        </w:rPr>
      </w:pPr>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8</w:t>
      </w:r>
      <w:r w:rsidRPr="00150993">
        <w:rPr>
          <w:rFonts w:ascii="Arial" w:eastAsiaTheme="minorHAnsi" w:hAnsi="Arial" w:cs="Arial"/>
          <w:color w:val="002060"/>
          <w:kern w:val="2"/>
          <w:sz w:val="22"/>
          <w:szCs w:val="22"/>
          <w14:ligatures w14:val="standardContextual"/>
        </w:rPr>
        <w:fldChar w:fldCharType="end"/>
      </w:r>
      <w:r>
        <w:rPr>
          <w:rFonts w:ascii="Arial" w:eastAsiaTheme="minorHAnsi" w:hAnsi="Arial" w:cs="Arial"/>
          <w:color w:val="002060"/>
          <w:kern w:val="2"/>
          <w:sz w:val="22"/>
          <w:szCs w:val="22"/>
          <w14:ligatures w14:val="standardContextual"/>
        </w:rPr>
        <w:t xml:space="preserve"> </w:t>
      </w:r>
      <w:r w:rsidR="00150993" w:rsidRPr="00150993">
        <w:rPr>
          <w:rFonts w:ascii="Arial" w:eastAsiaTheme="minorHAnsi" w:hAnsi="Arial" w:cs="Arial"/>
          <w:color w:val="002060"/>
          <w:kern w:val="2"/>
          <w:sz w:val="22"/>
          <w:szCs w:val="22"/>
          <w14:ligatures w14:val="standardContextual"/>
        </w:rPr>
        <w:t>Economic activity indicators: data sources, metadata, &amp; aeesement methods</w:t>
      </w:r>
    </w:p>
    <w:tbl>
      <w:tblPr>
        <w:tblStyle w:val="GridTable4-Accent5"/>
        <w:tblW w:w="0" w:type="auto"/>
        <w:tblLook w:val="04A0" w:firstRow="1" w:lastRow="0" w:firstColumn="1" w:lastColumn="0" w:noHBand="0" w:noVBand="1"/>
      </w:tblPr>
      <w:tblGrid>
        <w:gridCol w:w="1545"/>
        <w:gridCol w:w="1545"/>
        <w:gridCol w:w="1294"/>
        <w:gridCol w:w="1488"/>
        <w:gridCol w:w="1283"/>
        <w:gridCol w:w="1855"/>
      </w:tblGrid>
      <w:tr w:rsidR="00F726C6" w:rsidRPr="00150993" w14:paraId="16EB787C" w14:textId="77777777" w:rsidTr="00F121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2955289" w14:textId="77777777" w:rsidR="00F1210A" w:rsidRPr="00150993" w:rsidRDefault="00F1210A">
            <w:pPr>
              <w:jc w:val="center"/>
              <w:rPr>
                <w:rFonts w:ascii="Arial" w:hAnsi="Arial" w:cs="Arial"/>
                <w:sz w:val="20"/>
                <w:szCs w:val="20"/>
              </w:rPr>
            </w:pPr>
            <w:r w:rsidRPr="00150993">
              <w:rPr>
                <w:rFonts w:ascii="Arial" w:hAnsi="Arial" w:cs="Arial"/>
                <w:sz w:val="20"/>
                <w:szCs w:val="20"/>
              </w:rPr>
              <w:t>Indicator</w:t>
            </w:r>
          </w:p>
        </w:tc>
        <w:tc>
          <w:tcPr>
            <w:tcW w:w="0" w:type="auto"/>
            <w:hideMark/>
          </w:tcPr>
          <w:p w14:paraId="158C3461" w14:textId="77777777" w:rsidR="00F1210A" w:rsidRPr="00150993"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Definition &amp; Unit</w:t>
            </w:r>
          </w:p>
        </w:tc>
        <w:tc>
          <w:tcPr>
            <w:tcW w:w="0" w:type="auto"/>
            <w:hideMark/>
          </w:tcPr>
          <w:p w14:paraId="3EC22237" w14:textId="77777777" w:rsidR="00F1210A" w:rsidRPr="00150993"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Spatial Coverage</w:t>
            </w:r>
          </w:p>
        </w:tc>
        <w:tc>
          <w:tcPr>
            <w:tcW w:w="0" w:type="auto"/>
            <w:hideMark/>
          </w:tcPr>
          <w:p w14:paraId="38A75B91" w14:textId="77777777" w:rsidR="00F1210A" w:rsidRPr="00150993"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Time Series Availability</w:t>
            </w:r>
          </w:p>
        </w:tc>
        <w:tc>
          <w:tcPr>
            <w:tcW w:w="0" w:type="auto"/>
            <w:hideMark/>
          </w:tcPr>
          <w:p w14:paraId="07709D60" w14:textId="77777777" w:rsidR="00F1210A" w:rsidRPr="00150993"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Data Sources</w:t>
            </w:r>
          </w:p>
        </w:tc>
        <w:tc>
          <w:tcPr>
            <w:tcW w:w="0" w:type="auto"/>
            <w:hideMark/>
          </w:tcPr>
          <w:p w14:paraId="06521B3C" w14:textId="77777777" w:rsidR="00F1210A" w:rsidRPr="00150993"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Computation / Notes</w:t>
            </w:r>
          </w:p>
        </w:tc>
      </w:tr>
      <w:tr w:rsidR="00F726C6" w:rsidRPr="00150993" w14:paraId="30BF770A"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279DC8D" w14:textId="77777777" w:rsidR="00F1210A" w:rsidRPr="001A219D" w:rsidRDefault="00F1210A">
            <w:pPr>
              <w:rPr>
                <w:rFonts w:ascii="Arial" w:hAnsi="Arial" w:cs="Arial"/>
                <w:sz w:val="20"/>
                <w:szCs w:val="20"/>
              </w:rPr>
            </w:pPr>
            <w:r w:rsidRPr="001A219D">
              <w:rPr>
                <w:rFonts w:ascii="Arial" w:hAnsi="Arial" w:cs="Arial"/>
                <w:sz w:val="20"/>
                <w:szCs w:val="20"/>
              </w:rPr>
              <w:t>GDP per capita</w:t>
            </w:r>
          </w:p>
        </w:tc>
        <w:tc>
          <w:tcPr>
            <w:tcW w:w="0" w:type="auto"/>
            <w:hideMark/>
          </w:tcPr>
          <w:p w14:paraId="780EED34"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US$/person (current + constant)</w:t>
            </w:r>
          </w:p>
        </w:tc>
        <w:tc>
          <w:tcPr>
            <w:tcW w:w="0" w:type="auto"/>
            <w:hideMark/>
          </w:tcPr>
          <w:p w14:paraId="6FAED7E1"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w:t>
            </w:r>
          </w:p>
        </w:tc>
        <w:tc>
          <w:tcPr>
            <w:tcW w:w="0" w:type="auto"/>
            <w:hideMark/>
          </w:tcPr>
          <w:p w14:paraId="219CB379"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150993">
              <w:rPr>
                <w:rStyle w:val="Strong"/>
                <w:rFonts w:ascii="Arial" w:eastAsiaTheme="majorEastAsia" w:hAnsi="Arial" w:cs="Arial"/>
                <w:b w:val="0"/>
                <w:bCs w:val="0"/>
                <w:sz w:val="20"/>
                <w:szCs w:val="20"/>
              </w:rPr>
              <w:t>1995–2024</w:t>
            </w:r>
            <w:r w:rsidRPr="00150993">
              <w:rPr>
                <w:rFonts w:ascii="Arial" w:hAnsi="Arial" w:cs="Arial"/>
                <w:b/>
                <w:bCs/>
                <w:sz w:val="20"/>
                <w:szCs w:val="20"/>
              </w:rPr>
              <w:t xml:space="preserve"> </w:t>
            </w:r>
            <w:r w:rsidRPr="00150993">
              <w:rPr>
                <w:rFonts w:ascii="Arial" w:hAnsi="Arial" w:cs="Arial"/>
                <w:sz w:val="20"/>
                <w:szCs w:val="20"/>
              </w:rPr>
              <w:t>(annual)</w:t>
            </w:r>
          </w:p>
        </w:tc>
        <w:tc>
          <w:tcPr>
            <w:tcW w:w="0" w:type="auto"/>
            <w:hideMark/>
          </w:tcPr>
          <w:p w14:paraId="139DEF9E"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World Bank WDI</w:t>
            </w:r>
          </w:p>
        </w:tc>
        <w:tc>
          <w:tcPr>
            <w:tcW w:w="0" w:type="auto"/>
            <w:hideMark/>
          </w:tcPr>
          <w:p w14:paraId="2CFE3EE4"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Constant series used for long-term trends; current for comparison.</w:t>
            </w:r>
          </w:p>
        </w:tc>
      </w:tr>
      <w:tr w:rsidR="00F1210A" w:rsidRPr="00150993" w14:paraId="627EF8FC" w14:textId="77777777" w:rsidTr="00F1210A">
        <w:tc>
          <w:tcPr>
            <w:cnfStyle w:val="001000000000" w:firstRow="0" w:lastRow="0" w:firstColumn="1" w:lastColumn="0" w:oddVBand="0" w:evenVBand="0" w:oddHBand="0" w:evenHBand="0" w:firstRowFirstColumn="0" w:firstRowLastColumn="0" w:lastRowFirstColumn="0" w:lastRowLastColumn="0"/>
            <w:tcW w:w="0" w:type="auto"/>
            <w:hideMark/>
          </w:tcPr>
          <w:p w14:paraId="3C4675AD" w14:textId="77777777" w:rsidR="00F1210A" w:rsidRPr="001A219D" w:rsidRDefault="00F1210A">
            <w:pPr>
              <w:rPr>
                <w:rFonts w:ascii="Arial" w:hAnsi="Arial" w:cs="Arial"/>
                <w:sz w:val="20"/>
                <w:szCs w:val="20"/>
              </w:rPr>
            </w:pPr>
            <w:r w:rsidRPr="001A219D">
              <w:rPr>
                <w:rFonts w:ascii="Arial" w:hAnsi="Arial" w:cs="Arial"/>
                <w:sz w:val="20"/>
                <w:szCs w:val="20"/>
              </w:rPr>
              <w:t>Sectoral GDP shares</w:t>
            </w:r>
          </w:p>
        </w:tc>
        <w:tc>
          <w:tcPr>
            <w:tcW w:w="0" w:type="auto"/>
            <w:hideMark/>
          </w:tcPr>
          <w:p w14:paraId="761D4CC7"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 of GDP from agriculture, industry, services</w:t>
            </w:r>
          </w:p>
        </w:tc>
        <w:tc>
          <w:tcPr>
            <w:tcW w:w="0" w:type="auto"/>
            <w:hideMark/>
          </w:tcPr>
          <w:p w14:paraId="5D1773D0"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w:t>
            </w:r>
          </w:p>
        </w:tc>
        <w:tc>
          <w:tcPr>
            <w:tcW w:w="0" w:type="auto"/>
            <w:hideMark/>
          </w:tcPr>
          <w:p w14:paraId="67C2E6C6"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150993">
              <w:rPr>
                <w:rStyle w:val="Strong"/>
                <w:rFonts w:ascii="Arial" w:eastAsiaTheme="majorEastAsia" w:hAnsi="Arial" w:cs="Arial"/>
                <w:b w:val="0"/>
                <w:bCs w:val="0"/>
                <w:sz w:val="20"/>
                <w:szCs w:val="20"/>
              </w:rPr>
              <w:t>1995–2024</w:t>
            </w:r>
          </w:p>
        </w:tc>
        <w:tc>
          <w:tcPr>
            <w:tcW w:w="0" w:type="auto"/>
            <w:hideMark/>
          </w:tcPr>
          <w:p w14:paraId="3B1C2F91"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WDI; National Accounts</w:t>
            </w:r>
          </w:p>
        </w:tc>
        <w:tc>
          <w:tcPr>
            <w:tcW w:w="0" w:type="auto"/>
            <w:hideMark/>
          </w:tcPr>
          <w:p w14:paraId="4359AE42"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Interpreted for coastal economy via sector profiles (tourism, fisheries).</w:t>
            </w:r>
          </w:p>
        </w:tc>
      </w:tr>
      <w:tr w:rsidR="00F726C6" w:rsidRPr="00150993" w14:paraId="3851483F"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C22C1AD" w14:textId="77777777" w:rsidR="00F1210A" w:rsidRPr="001A219D" w:rsidRDefault="00F1210A">
            <w:pPr>
              <w:rPr>
                <w:rFonts w:ascii="Arial" w:hAnsi="Arial" w:cs="Arial"/>
                <w:sz w:val="20"/>
                <w:szCs w:val="20"/>
              </w:rPr>
            </w:pPr>
            <w:r w:rsidRPr="001A219D">
              <w:rPr>
                <w:rFonts w:ascii="Arial" w:hAnsi="Arial" w:cs="Arial"/>
                <w:sz w:val="20"/>
                <w:szCs w:val="20"/>
              </w:rPr>
              <w:t>Fisheries contribution</w:t>
            </w:r>
          </w:p>
        </w:tc>
        <w:tc>
          <w:tcPr>
            <w:tcW w:w="0" w:type="auto"/>
            <w:hideMark/>
          </w:tcPr>
          <w:p w14:paraId="1C6CD36E"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 GDP or value added</w:t>
            </w:r>
          </w:p>
        </w:tc>
        <w:tc>
          <w:tcPr>
            <w:tcW w:w="0" w:type="auto"/>
            <w:hideMark/>
          </w:tcPr>
          <w:p w14:paraId="15F7E4AD"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(coastal relevance)</w:t>
            </w:r>
          </w:p>
        </w:tc>
        <w:tc>
          <w:tcPr>
            <w:tcW w:w="0" w:type="auto"/>
            <w:hideMark/>
          </w:tcPr>
          <w:p w14:paraId="620C7FC9"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Varies by study</w:t>
            </w:r>
          </w:p>
        </w:tc>
        <w:tc>
          <w:tcPr>
            <w:tcW w:w="0" w:type="auto"/>
            <w:hideMark/>
          </w:tcPr>
          <w:p w14:paraId="148F320A"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World Bank CCDR; FiA; PEMSEA &amp; MoE</w:t>
            </w:r>
          </w:p>
        </w:tc>
        <w:tc>
          <w:tcPr>
            <w:tcW w:w="0" w:type="auto"/>
            <w:hideMark/>
          </w:tcPr>
          <w:p w14:paraId="547F7250"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Not annual; compiled from specialized assessments.</w:t>
            </w:r>
          </w:p>
        </w:tc>
      </w:tr>
      <w:tr w:rsidR="00F1210A" w:rsidRPr="00150993" w14:paraId="3C2DDC3B" w14:textId="77777777" w:rsidTr="00F1210A">
        <w:tc>
          <w:tcPr>
            <w:cnfStyle w:val="001000000000" w:firstRow="0" w:lastRow="0" w:firstColumn="1" w:lastColumn="0" w:oddVBand="0" w:evenVBand="0" w:oddHBand="0" w:evenHBand="0" w:firstRowFirstColumn="0" w:firstRowLastColumn="0" w:lastRowFirstColumn="0" w:lastRowLastColumn="0"/>
            <w:tcW w:w="0" w:type="auto"/>
            <w:hideMark/>
          </w:tcPr>
          <w:p w14:paraId="214D62EB" w14:textId="77777777" w:rsidR="00F1210A" w:rsidRPr="001A219D" w:rsidRDefault="00F1210A">
            <w:pPr>
              <w:rPr>
                <w:rFonts w:ascii="Arial" w:hAnsi="Arial" w:cs="Arial"/>
                <w:sz w:val="20"/>
                <w:szCs w:val="20"/>
              </w:rPr>
            </w:pPr>
            <w:r w:rsidRPr="001A219D">
              <w:rPr>
                <w:rFonts w:ascii="Arial" w:hAnsi="Arial" w:cs="Arial"/>
                <w:sz w:val="20"/>
                <w:szCs w:val="20"/>
              </w:rPr>
              <w:t>Tourism activity</w:t>
            </w:r>
          </w:p>
        </w:tc>
        <w:tc>
          <w:tcPr>
            <w:tcW w:w="0" w:type="auto"/>
            <w:hideMark/>
          </w:tcPr>
          <w:p w14:paraId="30D89688"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Arrivals, receipts</w:t>
            </w:r>
          </w:p>
        </w:tc>
        <w:tc>
          <w:tcPr>
            <w:tcW w:w="0" w:type="auto"/>
            <w:hideMark/>
          </w:tcPr>
          <w:p w14:paraId="0013ABFD"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coastal inference</w:t>
            </w:r>
          </w:p>
        </w:tc>
        <w:tc>
          <w:tcPr>
            <w:tcW w:w="0" w:type="auto"/>
            <w:hideMark/>
          </w:tcPr>
          <w:p w14:paraId="0DB9AE74"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1995–2024</w:t>
            </w:r>
          </w:p>
        </w:tc>
        <w:tc>
          <w:tcPr>
            <w:tcW w:w="0" w:type="auto"/>
            <w:hideMark/>
          </w:tcPr>
          <w:p w14:paraId="27664BB2"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MoT; project reports</w:t>
            </w:r>
          </w:p>
        </w:tc>
        <w:tc>
          <w:tcPr>
            <w:tcW w:w="0" w:type="auto"/>
            <w:hideMark/>
          </w:tcPr>
          <w:p w14:paraId="1A72AB99"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Coastal-specific tourism data limited; interpret qualitatively.</w:t>
            </w:r>
          </w:p>
        </w:tc>
      </w:tr>
      <w:tr w:rsidR="00F726C6" w:rsidRPr="00150993" w14:paraId="157B8ABA"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666A07F" w14:textId="77777777" w:rsidR="00F1210A" w:rsidRPr="001A219D" w:rsidRDefault="00F1210A">
            <w:pPr>
              <w:rPr>
                <w:rFonts w:ascii="Arial" w:hAnsi="Arial" w:cs="Arial"/>
                <w:sz w:val="20"/>
                <w:szCs w:val="20"/>
              </w:rPr>
            </w:pPr>
            <w:r w:rsidRPr="001A219D">
              <w:rPr>
                <w:rFonts w:ascii="Arial" w:hAnsi="Arial" w:cs="Arial"/>
                <w:sz w:val="20"/>
                <w:szCs w:val="20"/>
              </w:rPr>
              <w:t>Port &amp; SEZ activity</w:t>
            </w:r>
          </w:p>
        </w:tc>
        <w:tc>
          <w:tcPr>
            <w:tcW w:w="0" w:type="auto"/>
            <w:hideMark/>
          </w:tcPr>
          <w:p w14:paraId="6A27F28A"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Cargo volumes, employment</w:t>
            </w:r>
          </w:p>
        </w:tc>
        <w:tc>
          <w:tcPr>
            <w:tcW w:w="0" w:type="auto"/>
            <w:hideMark/>
          </w:tcPr>
          <w:p w14:paraId="19908023"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Preah Sihanouk; Phnom Penh</w:t>
            </w:r>
          </w:p>
        </w:tc>
        <w:tc>
          <w:tcPr>
            <w:tcW w:w="0" w:type="auto"/>
            <w:hideMark/>
          </w:tcPr>
          <w:p w14:paraId="579076AF"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2010–2024 (irregular)</w:t>
            </w:r>
          </w:p>
        </w:tc>
        <w:tc>
          <w:tcPr>
            <w:tcW w:w="0" w:type="auto"/>
            <w:hideMark/>
          </w:tcPr>
          <w:p w14:paraId="5C260BB6"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MPWT; SEZ reports</w:t>
            </w:r>
          </w:p>
        </w:tc>
        <w:tc>
          <w:tcPr>
            <w:tcW w:w="0" w:type="auto"/>
            <w:hideMark/>
          </w:tcPr>
          <w:p w14:paraId="3A9C33C9"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Used to contextualize coastal economic structure.</w:t>
            </w:r>
          </w:p>
        </w:tc>
      </w:tr>
      <w:tr w:rsidR="00F1210A" w:rsidRPr="00150993" w14:paraId="6767804D" w14:textId="77777777" w:rsidTr="00F1210A">
        <w:tc>
          <w:tcPr>
            <w:cnfStyle w:val="001000000000" w:firstRow="0" w:lastRow="0" w:firstColumn="1" w:lastColumn="0" w:oddVBand="0" w:evenVBand="0" w:oddHBand="0" w:evenHBand="0" w:firstRowFirstColumn="0" w:firstRowLastColumn="0" w:lastRowFirstColumn="0" w:lastRowLastColumn="0"/>
            <w:tcW w:w="0" w:type="auto"/>
            <w:hideMark/>
          </w:tcPr>
          <w:p w14:paraId="3F85B9D8" w14:textId="77777777" w:rsidR="00F1210A" w:rsidRPr="001A219D" w:rsidRDefault="00F1210A">
            <w:pPr>
              <w:rPr>
                <w:rFonts w:ascii="Arial" w:hAnsi="Arial" w:cs="Arial"/>
                <w:sz w:val="20"/>
                <w:szCs w:val="20"/>
              </w:rPr>
            </w:pPr>
            <w:r w:rsidRPr="001A219D">
              <w:rPr>
                <w:rFonts w:ascii="Arial" w:hAnsi="Arial" w:cs="Arial"/>
                <w:sz w:val="20"/>
                <w:szCs w:val="20"/>
              </w:rPr>
              <w:t>Employment structure</w:t>
            </w:r>
          </w:p>
        </w:tc>
        <w:tc>
          <w:tcPr>
            <w:tcW w:w="0" w:type="auto"/>
            <w:hideMark/>
          </w:tcPr>
          <w:p w14:paraId="083756C2"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 employment by sector</w:t>
            </w:r>
          </w:p>
        </w:tc>
        <w:tc>
          <w:tcPr>
            <w:tcW w:w="0" w:type="auto"/>
            <w:hideMark/>
          </w:tcPr>
          <w:p w14:paraId="4E08084C"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 limited coastal</w:t>
            </w:r>
          </w:p>
        </w:tc>
        <w:tc>
          <w:tcPr>
            <w:tcW w:w="0" w:type="auto"/>
            <w:hideMark/>
          </w:tcPr>
          <w:p w14:paraId="253331D0"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 xml:space="preserve">LFS years: </w:t>
            </w:r>
            <w:r w:rsidRPr="00150993">
              <w:rPr>
                <w:rStyle w:val="Strong"/>
                <w:rFonts w:ascii="Arial" w:eastAsiaTheme="majorEastAsia" w:hAnsi="Arial" w:cs="Arial"/>
                <w:b w:val="0"/>
                <w:bCs w:val="0"/>
                <w:sz w:val="20"/>
                <w:szCs w:val="20"/>
              </w:rPr>
              <w:t>2012, 2015, 2019, 2021–2023</w:t>
            </w:r>
          </w:p>
        </w:tc>
        <w:tc>
          <w:tcPr>
            <w:tcW w:w="0" w:type="auto"/>
            <w:hideMark/>
          </w:tcPr>
          <w:p w14:paraId="380AC91C"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NIS Labour Force Survey</w:t>
            </w:r>
          </w:p>
        </w:tc>
        <w:tc>
          <w:tcPr>
            <w:tcW w:w="0" w:type="auto"/>
            <w:hideMark/>
          </w:tcPr>
          <w:p w14:paraId="10D21B21" w14:textId="77777777" w:rsidR="00F1210A" w:rsidRPr="00150993"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50993">
              <w:rPr>
                <w:rFonts w:ascii="Arial" w:hAnsi="Arial" w:cs="Arial"/>
                <w:sz w:val="20"/>
                <w:szCs w:val="20"/>
              </w:rPr>
              <w:t>Used qualitatively to describe livelihood dependency.</w:t>
            </w:r>
          </w:p>
        </w:tc>
      </w:tr>
      <w:tr w:rsidR="00F726C6" w:rsidRPr="00150993" w14:paraId="608A2E04" w14:textId="77777777" w:rsidTr="00F121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8B1F679" w14:textId="77777777" w:rsidR="00F1210A" w:rsidRPr="001A219D" w:rsidRDefault="00F1210A">
            <w:pPr>
              <w:rPr>
                <w:rFonts w:ascii="Arial" w:hAnsi="Arial" w:cs="Arial"/>
                <w:sz w:val="20"/>
                <w:szCs w:val="20"/>
              </w:rPr>
            </w:pPr>
            <w:r w:rsidRPr="001A219D">
              <w:rPr>
                <w:rFonts w:ascii="Arial" w:hAnsi="Arial" w:cs="Arial"/>
                <w:sz w:val="20"/>
                <w:szCs w:val="20"/>
              </w:rPr>
              <w:t>Informality &amp; migration flows</w:t>
            </w:r>
          </w:p>
        </w:tc>
        <w:tc>
          <w:tcPr>
            <w:tcW w:w="0" w:type="auto"/>
            <w:hideMark/>
          </w:tcPr>
          <w:p w14:paraId="2E493409"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Share of informal workers; migration volumes</w:t>
            </w:r>
          </w:p>
        </w:tc>
        <w:tc>
          <w:tcPr>
            <w:tcW w:w="0" w:type="auto"/>
            <w:hideMark/>
          </w:tcPr>
          <w:p w14:paraId="495DF9F6"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National</w:t>
            </w:r>
          </w:p>
        </w:tc>
        <w:tc>
          <w:tcPr>
            <w:tcW w:w="0" w:type="auto"/>
            <w:hideMark/>
          </w:tcPr>
          <w:p w14:paraId="354B3127"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Intermittent</w:t>
            </w:r>
          </w:p>
        </w:tc>
        <w:tc>
          <w:tcPr>
            <w:tcW w:w="0" w:type="auto"/>
            <w:hideMark/>
          </w:tcPr>
          <w:p w14:paraId="20A97664"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ILO; World Bank</w:t>
            </w:r>
          </w:p>
        </w:tc>
        <w:tc>
          <w:tcPr>
            <w:tcW w:w="0" w:type="auto"/>
            <w:hideMark/>
          </w:tcPr>
          <w:p w14:paraId="202FB046" w14:textId="77777777" w:rsidR="00F1210A" w:rsidRPr="00150993"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50993">
              <w:rPr>
                <w:rFonts w:ascii="Arial" w:hAnsi="Arial" w:cs="Arial"/>
                <w:sz w:val="20"/>
                <w:szCs w:val="20"/>
              </w:rPr>
              <w:t>No consistent coastal time-series; used as narrative support.</w:t>
            </w:r>
          </w:p>
        </w:tc>
      </w:tr>
    </w:tbl>
    <w:p w14:paraId="77DD901F" w14:textId="7C173DF9" w:rsidR="00F1210A" w:rsidRPr="00F46EAA" w:rsidRDefault="00F46EAA" w:rsidP="00F46EAA">
      <w:pPr>
        <w:pStyle w:val="Caption"/>
        <w:keepNext/>
        <w:spacing w:before="240" w:after="120"/>
        <w:rPr>
          <w:rFonts w:ascii="Arial" w:eastAsiaTheme="minorHAnsi" w:hAnsi="Arial" w:cs="Arial"/>
          <w:color w:val="002060"/>
          <w:kern w:val="2"/>
          <w:sz w:val="22"/>
          <w:szCs w:val="22"/>
          <w14:ligatures w14:val="standardContextual"/>
        </w:rPr>
      </w:pPr>
      <w:bookmarkStart w:id="87" w:name="_Ref215218876"/>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9</w:t>
      </w:r>
      <w:r w:rsidRPr="00150993">
        <w:rPr>
          <w:rFonts w:ascii="Arial" w:eastAsiaTheme="minorHAnsi" w:hAnsi="Arial" w:cs="Arial"/>
          <w:color w:val="002060"/>
          <w:kern w:val="2"/>
          <w:sz w:val="22"/>
          <w:szCs w:val="22"/>
          <w14:ligatures w14:val="standardContextual"/>
        </w:rPr>
        <w:fldChar w:fldCharType="end"/>
      </w:r>
      <w:bookmarkEnd w:id="87"/>
      <w:r>
        <w:rPr>
          <w:rFonts w:ascii="Arial" w:eastAsiaTheme="minorHAnsi" w:hAnsi="Arial" w:cs="Arial"/>
          <w:color w:val="002060"/>
          <w:kern w:val="2"/>
          <w:sz w:val="22"/>
          <w:szCs w:val="22"/>
          <w14:ligatures w14:val="standardContextual"/>
        </w:rPr>
        <w:t xml:space="preserve"> Cambodia’s e</w:t>
      </w:r>
      <w:r w:rsidRPr="00150993">
        <w:rPr>
          <w:rFonts w:ascii="Arial" w:eastAsiaTheme="minorHAnsi" w:hAnsi="Arial" w:cs="Arial"/>
          <w:color w:val="002060"/>
          <w:kern w:val="2"/>
          <w:sz w:val="22"/>
          <w:szCs w:val="22"/>
          <w14:ligatures w14:val="standardContextual"/>
        </w:rPr>
        <w:t xml:space="preserve">conomic </w:t>
      </w:r>
      <w:r>
        <w:rPr>
          <w:rFonts w:ascii="Arial" w:eastAsiaTheme="minorHAnsi" w:hAnsi="Arial" w:cs="Arial"/>
          <w:color w:val="002060"/>
          <w:kern w:val="2"/>
          <w:sz w:val="22"/>
          <w:szCs w:val="22"/>
          <w14:ligatures w14:val="standardContextual"/>
        </w:rPr>
        <w:t xml:space="preserve">key </w:t>
      </w:r>
      <w:r w:rsidRPr="00150993">
        <w:rPr>
          <w:rFonts w:ascii="Arial" w:eastAsiaTheme="minorHAnsi" w:hAnsi="Arial" w:cs="Arial"/>
          <w:color w:val="002060"/>
          <w:kern w:val="2"/>
          <w:sz w:val="22"/>
          <w:szCs w:val="22"/>
          <w14:ligatures w14:val="standardContextual"/>
        </w:rPr>
        <w:t>indicators</w:t>
      </w:r>
      <w:r>
        <w:rPr>
          <w:rFonts w:ascii="Arial" w:eastAsiaTheme="minorHAnsi" w:hAnsi="Arial" w:cs="Arial"/>
          <w:color w:val="002060"/>
          <w:kern w:val="2"/>
          <w:sz w:val="22"/>
          <w:szCs w:val="22"/>
          <w14:ligatures w14:val="standardContextual"/>
        </w:rPr>
        <w:t xml:space="preserve"> (1995-2024)</w:t>
      </w:r>
    </w:p>
    <w:tbl>
      <w:tblPr>
        <w:tblStyle w:val="GridTable4-Accent5"/>
        <w:tblW w:w="8926" w:type="dxa"/>
        <w:tblLook w:val="04A0" w:firstRow="1" w:lastRow="0" w:firstColumn="1" w:lastColumn="0" w:noHBand="0" w:noVBand="1"/>
      </w:tblPr>
      <w:tblGrid>
        <w:gridCol w:w="1300"/>
        <w:gridCol w:w="1300"/>
        <w:gridCol w:w="1300"/>
        <w:gridCol w:w="1300"/>
        <w:gridCol w:w="1300"/>
        <w:gridCol w:w="1300"/>
        <w:gridCol w:w="1126"/>
      </w:tblGrid>
      <w:tr w:rsidR="002C0761" w:rsidRPr="002C0761" w14:paraId="19B9C3BB" w14:textId="77777777" w:rsidTr="00D960AA">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vMerge w:val="restart"/>
            <w:vAlign w:val="center"/>
            <w:hideMark/>
          </w:tcPr>
          <w:p w14:paraId="58500A84" w14:textId="77777777" w:rsidR="002C0761" w:rsidRPr="001A219D" w:rsidRDefault="002C0761" w:rsidP="00F46EAA">
            <w:pPr>
              <w:jc w:val="center"/>
              <w:rPr>
                <w:rFonts w:ascii="Arial" w:hAnsi="Arial" w:cs="Arial"/>
                <w:sz w:val="20"/>
                <w:szCs w:val="20"/>
              </w:rPr>
            </w:pPr>
            <w:r w:rsidRPr="001A219D">
              <w:rPr>
                <w:rFonts w:ascii="Arial" w:hAnsi="Arial" w:cs="Arial"/>
                <w:sz w:val="20"/>
                <w:szCs w:val="20"/>
              </w:rPr>
              <w:t>Year</w:t>
            </w:r>
          </w:p>
        </w:tc>
        <w:tc>
          <w:tcPr>
            <w:tcW w:w="2600" w:type="dxa"/>
            <w:gridSpan w:val="2"/>
            <w:noWrap/>
            <w:vAlign w:val="center"/>
            <w:hideMark/>
          </w:tcPr>
          <w:p w14:paraId="11B042BF" w14:textId="77777777" w:rsidR="002C0761" w:rsidRPr="002C0761" w:rsidRDefault="002C0761" w:rsidP="002C07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GDP per capita</w:t>
            </w:r>
          </w:p>
        </w:tc>
        <w:tc>
          <w:tcPr>
            <w:tcW w:w="2600" w:type="dxa"/>
            <w:gridSpan w:val="2"/>
            <w:noWrap/>
            <w:vAlign w:val="center"/>
            <w:hideMark/>
          </w:tcPr>
          <w:p w14:paraId="31FD563B" w14:textId="2F954459" w:rsidR="002C0761" w:rsidRPr="002C0761" w:rsidRDefault="001A219D" w:rsidP="002C07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A219D">
              <w:rPr>
                <w:rFonts w:ascii="Arial" w:hAnsi="Arial" w:cs="Arial"/>
                <w:sz w:val="20"/>
                <w:szCs w:val="20"/>
              </w:rPr>
              <w:t>Agriculture, forestry, and fishing, value added</w:t>
            </w:r>
          </w:p>
        </w:tc>
        <w:tc>
          <w:tcPr>
            <w:tcW w:w="2426" w:type="dxa"/>
            <w:gridSpan w:val="2"/>
            <w:noWrap/>
            <w:vAlign w:val="center"/>
            <w:hideMark/>
          </w:tcPr>
          <w:p w14:paraId="5EE1DBCA" w14:textId="1C960C08" w:rsidR="002C0761" w:rsidRPr="001A219D" w:rsidRDefault="002C0761" w:rsidP="002C076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A219D">
              <w:rPr>
                <w:rFonts w:ascii="Arial" w:hAnsi="Arial" w:cs="Arial"/>
                <w:sz w:val="20"/>
                <w:szCs w:val="20"/>
              </w:rPr>
              <w:t>Services value added</w:t>
            </w:r>
          </w:p>
        </w:tc>
      </w:tr>
      <w:tr w:rsidR="002C0761" w:rsidRPr="002C0761" w14:paraId="7E0E7823" w14:textId="77777777" w:rsidTr="00D960AA">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1300" w:type="dxa"/>
            <w:vMerge/>
            <w:hideMark/>
          </w:tcPr>
          <w:p w14:paraId="06968D44" w14:textId="77777777" w:rsidR="002C0761" w:rsidRPr="002C0761" w:rsidRDefault="002C0761">
            <w:pPr>
              <w:rPr>
                <w:rFonts w:ascii="Arial" w:hAnsi="Arial" w:cs="Arial"/>
                <w:color w:val="FFFFFF" w:themeColor="background1"/>
                <w:sz w:val="20"/>
                <w:szCs w:val="20"/>
              </w:rPr>
            </w:pPr>
          </w:p>
        </w:tc>
        <w:tc>
          <w:tcPr>
            <w:tcW w:w="1300" w:type="dxa"/>
            <w:shd w:val="clear" w:color="auto" w:fill="8496B0" w:themeFill="text2" w:themeFillTint="99"/>
            <w:vAlign w:val="center"/>
            <w:hideMark/>
          </w:tcPr>
          <w:p w14:paraId="58B6233F" w14:textId="1091E3A1" w:rsidR="002C0761" w:rsidRPr="002C0761" w:rsidRDefault="002C0761" w:rsidP="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Current US$</w:t>
            </w:r>
          </w:p>
        </w:tc>
        <w:tc>
          <w:tcPr>
            <w:tcW w:w="1300" w:type="dxa"/>
            <w:shd w:val="clear" w:color="auto" w:fill="8496B0" w:themeFill="text2" w:themeFillTint="99"/>
            <w:vAlign w:val="center"/>
            <w:hideMark/>
          </w:tcPr>
          <w:p w14:paraId="5E7314E8" w14:textId="22BDD73E" w:rsidR="002C0761" w:rsidRPr="002C0761" w:rsidRDefault="002C0761" w:rsidP="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2015 US$</w:t>
            </w:r>
          </w:p>
        </w:tc>
        <w:tc>
          <w:tcPr>
            <w:tcW w:w="1300" w:type="dxa"/>
            <w:shd w:val="clear" w:color="auto" w:fill="8496B0" w:themeFill="text2" w:themeFillTint="99"/>
            <w:vAlign w:val="center"/>
            <w:hideMark/>
          </w:tcPr>
          <w:p w14:paraId="7FF5ED22" w14:textId="2E825C38" w:rsidR="002C0761" w:rsidRPr="002C0761" w:rsidRDefault="002C0761" w:rsidP="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Pr>
                <w:rFonts w:ascii="Arial" w:hAnsi="Arial" w:cs="Arial"/>
                <w:color w:val="FFFFFF" w:themeColor="background1"/>
                <w:sz w:val="20"/>
                <w:szCs w:val="20"/>
              </w:rPr>
              <w:t>C</w:t>
            </w:r>
            <w:r w:rsidRPr="002C0761">
              <w:rPr>
                <w:rFonts w:ascii="Arial" w:hAnsi="Arial" w:cs="Arial"/>
                <w:color w:val="FFFFFF" w:themeColor="background1"/>
                <w:sz w:val="20"/>
                <w:szCs w:val="20"/>
              </w:rPr>
              <w:t>onstant 2015 US$ - Billion</w:t>
            </w:r>
          </w:p>
        </w:tc>
        <w:tc>
          <w:tcPr>
            <w:tcW w:w="1300" w:type="dxa"/>
            <w:shd w:val="clear" w:color="auto" w:fill="8496B0" w:themeFill="text2" w:themeFillTint="99"/>
            <w:noWrap/>
            <w:vAlign w:val="center"/>
            <w:hideMark/>
          </w:tcPr>
          <w:p w14:paraId="18971DED" w14:textId="77777777" w:rsidR="002C0761" w:rsidRPr="002C0761" w:rsidRDefault="002C0761" w:rsidP="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 of GDP</w:t>
            </w:r>
          </w:p>
        </w:tc>
        <w:tc>
          <w:tcPr>
            <w:tcW w:w="1300" w:type="dxa"/>
            <w:shd w:val="clear" w:color="auto" w:fill="8496B0" w:themeFill="text2" w:themeFillTint="99"/>
            <w:vAlign w:val="center"/>
            <w:hideMark/>
          </w:tcPr>
          <w:p w14:paraId="7863C837" w14:textId="49BB38E4" w:rsidR="002C0761" w:rsidRPr="002C0761" w:rsidRDefault="00F46EAA" w:rsidP="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Pr>
                <w:rFonts w:ascii="Arial" w:hAnsi="Arial" w:cs="Arial"/>
                <w:color w:val="FFFFFF" w:themeColor="background1"/>
                <w:sz w:val="20"/>
                <w:szCs w:val="20"/>
              </w:rPr>
              <w:t>C</w:t>
            </w:r>
            <w:r w:rsidR="002C0761" w:rsidRPr="002C0761">
              <w:rPr>
                <w:rFonts w:ascii="Arial" w:hAnsi="Arial" w:cs="Arial"/>
                <w:color w:val="FFFFFF" w:themeColor="background1"/>
                <w:sz w:val="20"/>
                <w:szCs w:val="20"/>
              </w:rPr>
              <w:t>onstant 2015 US$ - Billion</w:t>
            </w:r>
          </w:p>
        </w:tc>
        <w:tc>
          <w:tcPr>
            <w:tcW w:w="1126" w:type="dxa"/>
            <w:shd w:val="clear" w:color="auto" w:fill="8496B0" w:themeFill="text2" w:themeFillTint="99"/>
            <w:noWrap/>
            <w:vAlign w:val="center"/>
            <w:hideMark/>
          </w:tcPr>
          <w:p w14:paraId="2704CBE3" w14:textId="77777777" w:rsidR="002C0761" w:rsidRPr="002C0761" w:rsidRDefault="002C0761" w:rsidP="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0"/>
                <w:szCs w:val="20"/>
              </w:rPr>
            </w:pPr>
            <w:r w:rsidRPr="002C0761">
              <w:rPr>
                <w:rFonts w:ascii="Arial" w:hAnsi="Arial" w:cs="Arial"/>
                <w:color w:val="FFFFFF" w:themeColor="background1"/>
                <w:sz w:val="20"/>
                <w:szCs w:val="20"/>
              </w:rPr>
              <w:t>% of GDP</w:t>
            </w:r>
          </w:p>
        </w:tc>
      </w:tr>
      <w:tr w:rsidR="002C0761" w:rsidRPr="002C0761" w14:paraId="6E3FC710"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C23CB28" w14:textId="77777777" w:rsidR="002C0761" w:rsidRPr="001A219D" w:rsidRDefault="002C0761">
            <w:pPr>
              <w:jc w:val="center"/>
              <w:rPr>
                <w:rFonts w:ascii="Arial" w:hAnsi="Arial" w:cs="Arial"/>
                <w:sz w:val="20"/>
                <w:szCs w:val="20"/>
              </w:rPr>
            </w:pPr>
            <w:r w:rsidRPr="001A219D">
              <w:rPr>
                <w:rFonts w:ascii="Arial" w:hAnsi="Arial" w:cs="Arial"/>
                <w:sz w:val="20"/>
                <w:szCs w:val="20"/>
              </w:rPr>
              <w:t>1995</w:t>
            </w:r>
          </w:p>
        </w:tc>
        <w:tc>
          <w:tcPr>
            <w:tcW w:w="1300" w:type="dxa"/>
            <w:noWrap/>
            <w:hideMark/>
          </w:tcPr>
          <w:p w14:paraId="54357B7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343.49</w:t>
            </w:r>
          </w:p>
        </w:tc>
        <w:tc>
          <w:tcPr>
            <w:tcW w:w="1300" w:type="dxa"/>
            <w:noWrap/>
            <w:hideMark/>
          </w:tcPr>
          <w:p w14:paraId="22CF994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520.93</w:t>
            </w:r>
          </w:p>
        </w:tc>
        <w:tc>
          <w:tcPr>
            <w:tcW w:w="1300" w:type="dxa"/>
            <w:noWrap/>
            <w:hideMark/>
          </w:tcPr>
          <w:p w14:paraId="1138AA2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2.26</w:t>
            </w:r>
          </w:p>
        </w:tc>
        <w:tc>
          <w:tcPr>
            <w:tcW w:w="1300" w:type="dxa"/>
            <w:noWrap/>
            <w:hideMark/>
          </w:tcPr>
          <w:p w14:paraId="45E3DD0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47.72</w:t>
            </w:r>
          </w:p>
        </w:tc>
        <w:tc>
          <w:tcPr>
            <w:tcW w:w="1300" w:type="dxa"/>
            <w:noWrap/>
            <w:hideMark/>
          </w:tcPr>
          <w:p w14:paraId="51A326F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1.95</w:t>
            </w:r>
          </w:p>
        </w:tc>
        <w:tc>
          <w:tcPr>
            <w:tcW w:w="1126" w:type="dxa"/>
            <w:noWrap/>
            <w:hideMark/>
          </w:tcPr>
          <w:p w14:paraId="7B1BA2C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34.192</w:t>
            </w:r>
          </w:p>
        </w:tc>
      </w:tr>
      <w:tr w:rsidR="002C0761" w:rsidRPr="002C0761" w14:paraId="0E6C1C5F"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FC4A1E2" w14:textId="77777777" w:rsidR="002C0761" w:rsidRPr="001A219D" w:rsidRDefault="002C0761">
            <w:pPr>
              <w:jc w:val="center"/>
              <w:rPr>
                <w:rFonts w:ascii="Arial" w:hAnsi="Arial" w:cs="Arial"/>
                <w:sz w:val="20"/>
                <w:szCs w:val="20"/>
              </w:rPr>
            </w:pPr>
            <w:r w:rsidRPr="001A219D">
              <w:rPr>
                <w:rFonts w:ascii="Arial" w:hAnsi="Arial" w:cs="Arial"/>
                <w:sz w:val="20"/>
                <w:szCs w:val="20"/>
              </w:rPr>
              <w:t>1996</w:t>
            </w:r>
          </w:p>
        </w:tc>
        <w:tc>
          <w:tcPr>
            <w:tcW w:w="1300" w:type="dxa"/>
            <w:hideMark/>
          </w:tcPr>
          <w:p w14:paraId="5583125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324.66</w:t>
            </w:r>
          </w:p>
        </w:tc>
        <w:tc>
          <w:tcPr>
            <w:tcW w:w="1300" w:type="dxa"/>
            <w:noWrap/>
            <w:hideMark/>
          </w:tcPr>
          <w:p w14:paraId="2062CEF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511.67</w:t>
            </w:r>
          </w:p>
        </w:tc>
        <w:tc>
          <w:tcPr>
            <w:tcW w:w="1300" w:type="dxa"/>
            <w:noWrap/>
            <w:hideMark/>
          </w:tcPr>
          <w:p w14:paraId="09AAF19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2.32</w:t>
            </w:r>
          </w:p>
        </w:tc>
        <w:tc>
          <w:tcPr>
            <w:tcW w:w="1300" w:type="dxa"/>
            <w:noWrap/>
            <w:hideMark/>
          </w:tcPr>
          <w:p w14:paraId="7E03CEA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44.46</w:t>
            </w:r>
          </w:p>
        </w:tc>
        <w:tc>
          <w:tcPr>
            <w:tcW w:w="1300" w:type="dxa"/>
            <w:noWrap/>
            <w:hideMark/>
          </w:tcPr>
          <w:p w14:paraId="731AD1F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2.13</w:t>
            </w:r>
          </w:p>
        </w:tc>
        <w:tc>
          <w:tcPr>
            <w:tcW w:w="1126" w:type="dxa"/>
            <w:noWrap/>
            <w:hideMark/>
          </w:tcPr>
          <w:p w14:paraId="66F6356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35.981</w:t>
            </w:r>
          </w:p>
        </w:tc>
      </w:tr>
      <w:tr w:rsidR="002C0761" w:rsidRPr="002C0761" w14:paraId="6C26806F"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4891B76" w14:textId="77777777" w:rsidR="002C0761" w:rsidRPr="001A219D" w:rsidRDefault="002C0761">
            <w:pPr>
              <w:jc w:val="center"/>
              <w:rPr>
                <w:rFonts w:ascii="Arial" w:hAnsi="Arial" w:cs="Arial"/>
                <w:sz w:val="20"/>
                <w:szCs w:val="20"/>
              </w:rPr>
            </w:pPr>
            <w:r w:rsidRPr="001A219D">
              <w:rPr>
                <w:rFonts w:ascii="Arial" w:hAnsi="Arial" w:cs="Arial"/>
                <w:sz w:val="20"/>
                <w:szCs w:val="20"/>
              </w:rPr>
              <w:t>1997</w:t>
            </w:r>
          </w:p>
        </w:tc>
        <w:tc>
          <w:tcPr>
            <w:tcW w:w="1300" w:type="dxa"/>
            <w:hideMark/>
          </w:tcPr>
          <w:p w14:paraId="7AEF6B7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297.59</w:t>
            </w:r>
          </w:p>
        </w:tc>
        <w:tc>
          <w:tcPr>
            <w:tcW w:w="1300" w:type="dxa"/>
            <w:noWrap/>
            <w:hideMark/>
          </w:tcPr>
          <w:p w14:paraId="4DFB6A4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496.77</w:t>
            </w:r>
          </w:p>
        </w:tc>
        <w:tc>
          <w:tcPr>
            <w:tcW w:w="1300" w:type="dxa"/>
            <w:noWrap/>
            <w:hideMark/>
          </w:tcPr>
          <w:p w14:paraId="41293E4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2.35</w:t>
            </w:r>
          </w:p>
        </w:tc>
        <w:tc>
          <w:tcPr>
            <w:tcW w:w="1300" w:type="dxa"/>
            <w:noWrap/>
            <w:hideMark/>
          </w:tcPr>
          <w:p w14:paraId="6646CF6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44.45</w:t>
            </w:r>
          </w:p>
        </w:tc>
        <w:tc>
          <w:tcPr>
            <w:tcW w:w="1300" w:type="dxa"/>
            <w:noWrap/>
            <w:hideMark/>
          </w:tcPr>
          <w:p w14:paraId="458FA9A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2.19</w:t>
            </w:r>
          </w:p>
        </w:tc>
        <w:tc>
          <w:tcPr>
            <w:tcW w:w="1126" w:type="dxa"/>
            <w:noWrap/>
            <w:hideMark/>
          </w:tcPr>
          <w:p w14:paraId="336CB34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35.088</w:t>
            </w:r>
          </w:p>
        </w:tc>
      </w:tr>
      <w:tr w:rsidR="002C0761" w:rsidRPr="002C0761" w14:paraId="4E5619F0"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C1A13C5" w14:textId="77777777" w:rsidR="002C0761" w:rsidRPr="001A219D" w:rsidRDefault="002C0761">
            <w:pPr>
              <w:jc w:val="center"/>
              <w:rPr>
                <w:rFonts w:ascii="Arial" w:hAnsi="Arial" w:cs="Arial"/>
                <w:sz w:val="20"/>
                <w:szCs w:val="20"/>
              </w:rPr>
            </w:pPr>
            <w:r w:rsidRPr="001A219D">
              <w:rPr>
                <w:rFonts w:ascii="Arial" w:hAnsi="Arial" w:cs="Arial"/>
                <w:sz w:val="20"/>
                <w:szCs w:val="20"/>
              </w:rPr>
              <w:t>1998</w:t>
            </w:r>
          </w:p>
        </w:tc>
        <w:tc>
          <w:tcPr>
            <w:tcW w:w="1300" w:type="dxa"/>
            <w:hideMark/>
          </w:tcPr>
          <w:p w14:paraId="2F75205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258.78</w:t>
            </w:r>
          </w:p>
        </w:tc>
        <w:tc>
          <w:tcPr>
            <w:tcW w:w="1300" w:type="dxa"/>
            <w:noWrap/>
            <w:hideMark/>
          </w:tcPr>
          <w:p w14:paraId="3B66972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499.02</w:t>
            </w:r>
          </w:p>
        </w:tc>
        <w:tc>
          <w:tcPr>
            <w:tcW w:w="1300" w:type="dxa"/>
            <w:noWrap/>
            <w:hideMark/>
          </w:tcPr>
          <w:p w14:paraId="69C17C1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2.46</w:t>
            </w:r>
          </w:p>
        </w:tc>
        <w:tc>
          <w:tcPr>
            <w:tcW w:w="1300" w:type="dxa"/>
            <w:noWrap/>
            <w:hideMark/>
          </w:tcPr>
          <w:p w14:paraId="3EC1B4A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44.48</w:t>
            </w:r>
          </w:p>
        </w:tc>
        <w:tc>
          <w:tcPr>
            <w:tcW w:w="1300" w:type="dxa"/>
            <w:noWrap/>
            <w:hideMark/>
          </w:tcPr>
          <w:p w14:paraId="283B422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2.30</w:t>
            </w:r>
          </w:p>
        </w:tc>
        <w:tc>
          <w:tcPr>
            <w:tcW w:w="1126" w:type="dxa"/>
            <w:noWrap/>
            <w:hideMark/>
          </w:tcPr>
          <w:p w14:paraId="0465BED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34.804</w:t>
            </w:r>
          </w:p>
        </w:tc>
      </w:tr>
      <w:tr w:rsidR="002C0761" w:rsidRPr="002C0761" w14:paraId="40F577EF"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82DE700" w14:textId="77777777" w:rsidR="002C0761" w:rsidRPr="001A219D" w:rsidRDefault="002C0761">
            <w:pPr>
              <w:jc w:val="center"/>
              <w:rPr>
                <w:rFonts w:ascii="Arial" w:hAnsi="Arial" w:cs="Arial"/>
                <w:sz w:val="20"/>
                <w:szCs w:val="20"/>
              </w:rPr>
            </w:pPr>
            <w:r w:rsidRPr="001A219D">
              <w:rPr>
                <w:rFonts w:ascii="Arial" w:hAnsi="Arial" w:cs="Arial"/>
                <w:sz w:val="20"/>
                <w:szCs w:val="20"/>
              </w:rPr>
              <w:t>1999</w:t>
            </w:r>
          </w:p>
        </w:tc>
        <w:tc>
          <w:tcPr>
            <w:tcW w:w="1300" w:type="dxa"/>
            <w:hideMark/>
          </w:tcPr>
          <w:p w14:paraId="7403CA8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286.75</w:t>
            </w:r>
          </w:p>
        </w:tc>
        <w:tc>
          <w:tcPr>
            <w:tcW w:w="1300" w:type="dxa"/>
            <w:noWrap/>
            <w:hideMark/>
          </w:tcPr>
          <w:p w14:paraId="507DB3F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552.90</w:t>
            </w:r>
          </w:p>
        </w:tc>
        <w:tc>
          <w:tcPr>
            <w:tcW w:w="1300" w:type="dxa"/>
            <w:noWrap/>
            <w:hideMark/>
          </w:tcPr>
          <w:p w14:paraId="016D448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2.55</w:t>
            </w:r>
          </w:p>
        </w:tc>
        <w:tc>
          <w:tcPr>
            <w:tcW w:w="1300" w:type="dxa"/>
            <w:noWrap/>
            <w:hideMark/>
          </w:tcPr>
          <w:p w14:paraId="57EA9AF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40.90</w:t>
            </w:r>
          </w:p>
        </w:tc>
        <w:tc>
          <w:tcPr>
            <w:tcW w:w="1300" w:type="dxa"/>
            <w:noWrap/>
            <w:hideMark/>
          </w:tcPr>
          <w:p w14:paraId="5E47470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2.63</w:t>
            </w:r>
          </w:p>
        </w:tc>
        <w:tc>
          <w:tcPr>
            <w:tcW w:w="1126" w:type="dxa"/>
            <w:noWrap/>
            <w:hideMark/>
          </w:tcPr>
          <w:p w14:paraId="6F7D9CC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35.442</w:t>
            </w:r>
          </w:p>
        </w:tc>
      </w:tr>
      <w:tr w:rsidR="002C0761" w:rsidRPr="002C0761" w14:paraId="3DB8BF44"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406D149" w14:textId="77777777" w:rsidR="002C0761" w:rsidRPr="001A219D" w:rsidRDefault="002C0761">
            <w:pPr>
              <w:jc w:val="center"/>
              <w:rPr>
                <w:rFonts w:ascii="Arial" w:hAnsi="Arial" w:cs="Arial"/>
                <w:sz w:val="20"/>
                <w:szCs w:val="20"/>
              </w:rPr>
            </w:pPr>
            <w:r w:rsidRPr="001A219D">
              <w:rPr>
                <w:rFonts w:ascii="Arial" w:hAnsi="Arial" w:cs="Arial"/>
                <w:sz w:val="20"/>
                <w:szCs w:val="20"/>
              </w:rPr>
              <w:t>2000</w:t>
            </w:r>
          </w:p>
        </w:tc>
        <w:tc>
          <w:tcPr>
            <w:tcW w:w="1300" w:type="dxa"/>
            <w:hideMark/>
          </w:tcPr>
          <w:p w14:paraId="34979F9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296.43</w:t>
            </w:r>
          </w:p>
        </w:tc>
        <w:tc>
          <w:tcPr>
            <w:tcW w:w="1300" w:type="dxa"/>
            <w:noWrap/>
            <w:hideMark/>
          </w:tcPr>
          <w:p w14:paraId="37D2DF1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598.56</w:t>
            </w:r>
          </w:p>
        </w:tc>
        <w:tc>
          <w:tcPr>
            <w:tcW w:w="1300" w:type="dxa"/>
            <w:noWrap/>
            <w:hideMark/>
          </w:tcPr>
          <w:p w14:paraId="2FC550C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2.61</w:t>
            </w:r>
          </w:p>
        </w:tc>
        <w:tc>
          <w:tcPr>
            <w:tcW w:w="1300" w:type="dxa"/>
            <w:noWrap/>
            <w:hideMark/>
          </w:tcPr>
          <w:p w14:paraId="3FB8601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35.53</w:t>
            </w:r>
          </w:p>
        </w:tc>
        <w:tc>
          <w:tcPr>
            <w:tcW w:w="1300" w:type="dxa"/>
            <w:noWrap/>
            <w:hideMark/>
          </w:tcPr>
          <w:p w14:paraId="1F4C54D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2.87</w:t>
            </w:r>
          </w:p>
        </w:tc>
        <w:tc>
          <w:tcPr>
            <w:tcW w:w="1126" w:type="dxa"/>
            <w:noWrap/>
            <w:hideMark/>
          </w:tcPr>
          <w:p w14:paraId="4E5F6BD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36.715</w:t>
            </w:r>
          </w:p>
        </w:tc>
      </w:tr>
      <w:tr w:rsidR="002C0761" w:rsidRPr="002C0761" w14:paraId="5B967EE0"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38E7B53" w14:textId="77777777" w:rsidR="002C0761" w:rsidRPr="001A219D" w:rsidRDefault="002C0761">
            <w:pPr>
              <w:jc w:val="center"/>
              <w:rPr>
                <w:rFonts w:ascii="Arial" w:hAnsi="Arial" w:cs="Arial"/>
                <w:sz w:val="20"/>
                <w:szCs w:val="20"/>
              </w:rPr>
            </w:pPr>
            <w:r w:rsidRPr="001A219D">
              <w:rPr>
                <w:rFonts w:ascii="Arial" w:hAnsi="Arial" w:cs="Arial"/>
                <w:sz w:val="20"/>
                <w:szCs w:val="20"/>
              </w:rPr>
              <w:t>2001</w:t>
            </w:r>
          </w:p>
        </w:tc>
        <w:tc>
          <w:tcPr>
            <w:tcW w:w="1300" w:type="dxa"/>
            <w:hideMark/>
          </w:tcPr>
          <w:p w14:paraId="3C1E275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327.50</w:t>
            </w:r>
          </w:p>
        </w:tc>
        <w:tc>
          <w:tcPr>
            <w:tcW w:w="1300" w:type="dxa"/>
            <w:noWrap/>
            <w:hideMark/>
          </w:tcPr>
          <w:p w14:paraId="6BD94A0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632.83</w:t>
            </w:r>
          </w:p>
        </w:tc>
        <w:tc>
          <w:tcPr>
            <w:tcW w:w="1300" w:type="dxa"/>
            <w:noWrap/>
            <w:hideMark/>
          </w:tcPr>
          <w:p w14:paraId="09FA5C5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2.70</w:t>
            </w:r>
          </w:p>
        </w:tc>
        <w:tc>
          <w:tcPr>
            <w:tcW w:w="1300" w:type="dxa"/>
            <w:noWrap/>
            <w:hideMark/>
          </w:tcPr>
          <w:p w14:paraId="64B64A0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32.97</w:t>
            </w:r>
          </w:p>
        </w:tc>
        <w:tc>
          <w:tcPr>
            <w:tcW w:w="1300" w:type="dxa"/>
            <w:noWrap/>
            <w:hideMark/>
          </w:tcPr>
          <w:p w14:paraId="4041E99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3.15</w:t>
            </w:r>
          </w:p>
        </w:tc>
        <w:tc>
          <w:tcPr>
            <w:tcW w:w="1126" w:type="dxa"/>
            <w:noWrap/>
            <w:hideMark/>
          </w:tcPr>
          <w:p w14:paraId="3BAC49C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38.058</w:t>
            </w:r>
          </w:p>
        </w:tc>
      </w:tr>
      <w:tr w:rsidR="002C0761" w:rsidRPr="002C0761" w14:paraId="651BD9C5"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78E4AB1" w14:textId="77777777" w:rsidR="002C0761" w:rsidRPr="001A219D" w:rsidRDefault="002C0761">
            <w:pPr>
              <w:jc w:val="center"/>
              <w:rPr>
                <w:rFonts w:ascii="Arial" w:hAnsi="Arial" w:cs="Arial"/>
                <w:sz w:val="20"/>
                <w:szCs w:val="20"/>
              </w:rPr>
            </w:pPr>
            <w:r w:rsidRPr="001A219D">
              <w:rPr>
                <w:rFonts w:ascii="Arial" w:hAnsi="Arial" w:cs="Arial"/>
                <w:sz w:val="20"/>
                <w:szCs w:val="20"/>
              </w:rPr>
              <w:t>2002</w:t>
            </w:r>
          </w:p>
        </w:tc>
        <w:tc>
          <w:tcPr>
            <w:tcW w:w="1300" w:type="dxa"/>
            <w:hideMark/>
          </w:tcPr>
          <w:p w14:paraId="68D430A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350.15</w:t>
            </w:r>
          </w:p>
        </w:tc>
        <w:tc>
          <w:tcPr>
            <w:tcW w:w="1300" w:type="dxa"/>
            <w:noWrap/>
            <w:hideMark/>
          </w:tcPr>
          <w:p w14:paraId="2F5C6EE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662.19</w:t>
            </w:r>
          </w:p>
        </w:tc>
        <w:tc>
          <w:tcPr>
            <w:tcW w:w="1300" w:type="dxa"/>
            <w:noWrap/>
            <w:hideMark/>
          </w:tcPr>
          <w:p w14:paraId="0816AE9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2.63</w:t>
            </w:r>
          </w:p>
        </w:tc>
        <w:tc>
          <w:tcPr>
            <w:tcW w:w="1300" w:type="dxa"/>
            <w:noWrap/>
            <w:hideMark/>
          </w:tcPr>
          <w:p w14:paraId="6935A70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29.61</w:t>
            </w:r>
          </w:p>
        </w:tc>
        <w:tc>
          <w:tcPr>
            <w:tcW w:w="1300" w:type="dxa"/>
            <w:noWrap/>
            <w:hideMark/>
          </w:tcPr>
          <w:p w14:paraId="4A56C51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3.41</w:t>
            </w:r>
          </w:p>
        </w:tc>
        <w:tc>
          <w:tcPr>
            <w:tcW w:w="1126" w:type="dxa"/>
            <w:noWrap/>
            <w:hideMark/>
          </w:tcPr>
          <w:p w14:paraId="7DD4BB2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38.999</w:t>
            </w:r>
          </w:p>
        </w:tc>
      </w:tr>
      <w:tr w:rsidR="002C0761" w:rsidRPr="002C0761" w14:paraId="687D6411"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87E5346" w14:textId="77777777" w:rsidR="002C0761" w:rsidRPr="001A219D" w:rsidRDefault="002C0761">
            <w:pPr>
              <w:jc w:val="center"/>
              <w:rPr>
                <w:rFonts w:ascii="Arial" w:hAnsi="Arial" w:cs="Arial"/>
                <w:sz w:val="20"/>
                <w:szCs w:val="20"/>
              </w:rPr>
            </w:pPr>
            <w:r w:rsidRPr="001A219D">
              <w:rPr>
                <w:rFonts w:ascii="Arial" w:hAnsi="Arial" w:cs="Arial"/>
                <w:sz w:val="20"/>
                <w:szCs w:val="20"/>
              </w:rPr>
              <w:t>2003</w:t>
            </w:r>
          </w:p>
        </w:tc>
        <w:tc>
          <w:tcPr>
            <w:tcW w:w="1300" w:type="dxa"/>
            <w:hideMark/>
          </w:tcPr>
          <w:p w14:paraId="214D962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386.69</w:t>
            </w:r>
          </w:p>
        </w:tc>
        <w:tc>
          <w:tcPr>
            <w:tcW w:w="1300" w:type="dxa"/>
            <w:noWrap/>
            <w:hideMark/>
          </w:tcPr>
          <w:p w14:paraId="3886E5A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719.33</w:t>
            </w:r>
          </w:p>
        </w:tc>
        <w:tc>
          <w:tcPr>
            <w:tcW w:w="1300" w:type="dxa"/>
            <w:noWrap/>
            <w:hideMark/>
          </w:tcPr>
          <w:p w14:paraId="2A2454E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2.95</w:t>
            </w:r>
          </w:p>
        </w:tc>
        <w:tc>
          <w:tcPr>
            <w:tcW w:w="1300" w:type="dxa"/>
            <w:noWrap/>
            <w:hideMark/>
          </w:tcPr>
          <w:p w14:paraId="4EDA5F6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29.47</w:t>
            </w:r>
          </w:p>
        </w:tc>
        <w:tc>
          <w:tcPr>
            <w:tcW w:w="1300" w:type="dxa"/>
            <w:noWrap/>
            <w:hideMark/>
          </w:tcPr>
          <w:p w14:paraId="2A8B272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3.72</w:t>
            </w:r>
          </w:p>
        </w:tc>
        <w:tc>
          <w:tcPr>
            <w:tcW w:w="1126" w:type="dxa"/>
            <w:noWrap/>
            <w:hideMark/>
          </w:tcPr>
          <w:p w14:paraId="376994C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38.730</w:t>
            </w:r>
          </w:p>
        </w:tc>
      </w:tr>
      <w:tr w:rsidR="002C0761" w:rsidRPr="002C0761" w14:paraId="4B4A87E0"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D74CED9" w14:textId="77777777" w:rsidR="002C0761" w:rsidRPr="001A219D" w:rsidRDefault="002C0761">
            <w:pPr>
              <w:jc w:val="center"/>
              <w:rPr>
                <w:rFonts w:ascii="Arial" w:hAnsi="Arial" w:cs="Arial"/>
                <w:sz w:val="20"/>
                <w:szCs w:val="20"/>
              </w:rPr>
            </w:pPr>
            <w:r w:rsidRPr="001A219D">
              <w:rPr>
                <w:rFonts w:ascii="Arial" w:hAnsi="Arial" w:cs="Arial"/>
                <w:sz w:val="20"/>
                <w:szCs w:val="20"/>
              </w:rPr>
              <w:t>2004</w:t>
            </w:r>
          </w:p>
        </w:tc>
        <w:tc>
          <w:tcPr>
            <w:tcW w:w="1300" w:type="dxa"/>
            <w:hideMark/>
          </w:tcPr>
          <w:p w14:paraId="7530192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444.20</w:t>
            </w:r>
          </w:p>
        </w:tc>
        <w:tc>
          <w:tcPr>
            <w:tcW w:w="1300" w:type="dxa"/>
            <w:noWrap/>
            <w:hideMark/>
          </w:tcPr>
          <w:p w14:paraId="51428B9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775.85</w:t>
            </w:r>
          </w:p>
        </w:tc>
        <w:tc>
          <w:tcPr>
            <w:tcW w:w="1300" w:type="dxa"/>
            <w:noWrap/>
            <w:hideMark/>
          </w:tcPr>
          <w:p w14:paraId="00F3162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2.94</w:t>
            </w:r>
          </w:p>
        </w:tc>
        <w:tc>
          <w:tcPr>
            <w:tcW w:w="1300" w:type="dxa"/>
            <w:noWrap/>
            <w:hideMark/>
          </w:tcPr>
          <w:p w14:paraId="08A4886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26.63</w:t>
            </w:r>
          </w:p>
        </w:tc>
        <w:tc>
          <w:tcPr>
            <w:tcW w:w="1300" w:type="dxa"/>
            <w:noWrap/>
            <w:hideMark/>
          </w:tcPr>
          <w:p w14:paraId="2B122C9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4.16</w:t>
            </w:r>
          </w:p>
        </w:tc>
        <w:tc>
          <w:tcPr>
            <w:tcW w:w="1126" w:type="dxa"/>
            <w:noWrap/>
            <w:hideMark/>
          </w:tcPr>
          <w:p w14:paraId="7345794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39.444</w:t>
            </w:r>
          </w:p>
        </w:tc>
      </w:tr>
      <w:tr w:rsidR="002C0761" w:rsidRPr="002C0761" w14:paraId="2AA600BC"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54B6DFA" w14:textId="77777777" w:rsidR="002C0761" w:rsidRPr="001A219D" w:rsidRDefault="002C0761">
            <w:pPr>
              <w:jc w:val="center"/>
              <w:rPr>
                <w:rFonts w:ascii="Arial" w:hAnsi="Arial" w:cs="Arial"/>
                <w:sz w:val="20"/>
                <w:szCs w:val="20"/>
              </w:rPr>
            </w:pPr>
            <w:r w:rsidRPr="001A219D">
              <w:rPr>
                <w:rFonts w:ascii="Arial" w:hAnsi="Arial" w:cs="Arial"/>
                <w:sz w:val="20"/>
                <w:szCs w:val="20"/>
              </w:rPr>
              <w:t>2005</w:t>
            </w:r>
          </w:p>
        </w:tc>
        <w:tc>
          <w:tcPr>
            <w:tcW w:w="1300" w:type="dxa"/>
            <w:hideMark/>
          </w:tcPr>
          <w:p w14:paraId="39C6BBE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525.80</w:t>
            </w:r>
          </w:p>
        </w:tc>
        <w:tc>
          <w:tcPr>
            <w:tcW w:w="1300" w:type="dxa"/>
            <w:noWrap/>
            <w:hideMark/>
          </w:tcPr>
          <w:p w14:paraId="1822791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866.34</w:t>
            </w:r>
          </w:p>
        </w:tc>
        <w:tc>
          <w:tcPr>
            <w:tcW w:w="1300" w:type="dxa"/>
            <w:noWrap/>
            <w:hideMark/>
          </w:tcPr>
          <w:p w14:paraId="7D8C0C5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3.42</w:t>
            </w:r>
          </w:p>
        </w:tc>
        <w:tc>
          <w:tcPr>
            <w:tcW w:w="1300" w:type="dxa"/>
            <w:noWrap/>
            <w:hideMark/>
          </w:tcPr>
          <w:p w14:paraId="00C3680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27.45</w:t>
            </w:r>
          </w:p>
        </w:tc>
        <w:tc>
          <w:tcPr>
            <w:tcW w:w="1300" w:type="dxa"/>
            <w:noWrap/>
            <w:hideMark/>
          </w:tcPr>
          <w:p w14:paraId="637A0A4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4.66</w:t>
            </w:r>
          </w:p>
        </w:tc>
        <w:tc>
          <w:tcPr>
            <w:tcW w:w="1126" w:type="dxa"/>
            <w:noWrap/>
            <w:hideMark/>
          </w:tcPr>
          <w:p w14:paraId="5BE9927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39.354</w:t>
            </w:r>
          </w:p>
        </w:tc>
      </w:tr>
      <w:tr w:rsidR="002C0761" w:rsidRPr="002C0761" w14:paraId="6BEDC2A6"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D76E3AB" w14:textId="77777777" w:rsidR="002C0761" w:rsidRPr="001A219D" w:rsidRDefault="002C0761">
            <w:pPr>
              <w:jc w:val="center"/>
              <w:rPr>
                <w:rFonts w:ascii="Arial" w:hAnsi="Arial" w:cs="Arial"/>
                <w:sz w:val="20"/>
                <w:szCs w:val="20"/>
              </w:rPr>
            </w:pPr>
            <w:r w:rsidRPr="001A219D">
              <w:rPr>
                <w:rFonts w:ascii="Arial" w:hAnsi="Arial" w:cs="Arial"/>
                <w:sz w:val="20"/>
                <w:szCs w:val="20"/>
              </w:rPr>
              <w:t>2006</w:t>
            </w:r>
          </w:p>
        </w:tc>
        <w:tc>
          <w:tcPr>
            <w:tcW w:w="1300" w:type="dxa"/>
            <w:hideMark/>
          </w:tcPr>
          <w:p w14:paraId="1508F9E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612.25</w:t>
            </w:r>
          </w:p>
        </w:tc>
        <w:tc>
          <w:tcPr>
            <w:tcW w:w="1300" w:type="dxa"/>
            <w:noWrap/>
            <w:hideMark/>
          </w:tcPr>
          <w:p w14:paraId="1466EFA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947.07</w:t>
            </w:r>
          </w:p>
        </w:tc>
        <w:tc>
          <w:tcPr>
            <w:tcW w:w="1300" w:type="dxa"/>
            <w:noWrap/>
            <w:hideMark/>
          </w:tcPr>
          <w:p w14:paraId="4C04950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3.62</w:t>
            </w:r>
          </w:p>
        </w:tc>
        <w:tc>
          <w:tcPr>
            <w:tcW w:w="1300" w:type="dxa"/>
            <w:noWrap/>
            <w:hideMark/>
          </w:tcPr>
          <w:p w14:paraId="66D5688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26.29</w:t>
            </w:r>
          </w:p>
        </w:tc>
        <w:tc>
          <w:tcPr>
            <w:tcW w:w="1300" w:type="dxa"/>
            <w:noWrap/>
            <w:hideMark/>
          </w:tcPr>
          <w:p w14:paraId="24181E7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5.17</w:t>
            </w:r>
          </w:p>
        </w:tc>
        <w:tc>
          <w:tcPr>
            <w:tcW w:w="1126" w:type="dxa"/>
            <w:noWrap/>
            <w:hideMark/>
          </w:tcPr>
          <w:p w14:paraId="4C54CA9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39.113</w:t>
            </w:r>
          </w:p>
        </w:tc>
      </w:tr>
      <w:tr w:rsidR="002C0761" w:rsidRPr="002C0761" w14:paraId="7CDD620F"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B513D70" w14:textId="77777777" w:rsidR="002C0761" w:rsidRPr="001A219D" w:rsidRDefault="002C0761">
            <w:pPr>
              <w:jc w:val="center"/>
              <w:rPr>
                <w:rFonts w:ascii="Arial" w:hAnsi="Arial" w:cs="Arial"/>
                <w:sz w:val="20"/>
                <w:szCs w:val="20"/>
              </w:rPr>
            </w:pPr>
            <w:r w:rsidRPr="001A219D">
              <w:rPr>
                <w:rFonts w:ascii="Arial" w:hAnsi="Arial" w:cs="Arial"/>
                <w:sz w:val="20"/>
                <w:szCs w:val="20"/>
              </w:rPr>
              <w:t>2007</w:t>
            </w:r>
          </w:p>
        </w:tc>
        <w:tc>
          <w:tcPr>
            <w:tcW w:w="1300" w:type="dxa"/>
            <w:hideMark/>
          </w:tcPr>
          <w:p w14:paraId="16AEB12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731.69</w:t>
            </w:r>
          </w:p>
        </w:tc>
        <w:tc>
          <w:tcPr>
            <w:tcW w:w="1300" w:type="dxa"/>
            <w:noWrap/>
            <w:hideMark/>
          </w:tcPr>
          <w:p w14:paraId="46CEF93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1,030.23</w:t>
            </w:r>
          </w:p>
        </w:tc>
        <w:tc>
          <w:tcPr>
            <w:tcW w:w="1300" w:type="dxa"/>
            <w:noWrap/>
            <w:hideMark/>
          </w:tcPr>
          <w:p w14:paraId="0D3C6B5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3.83</w:t>
            </w:r>
          </w:p>
        </w:tc>
        <w:tc>
          <w:tcPr>
            <w:tcW w:w="1300" w:type="dxa"/>
            <w:noWrap/>
            <w:hideMark/>
          </w:tcPr>
          <w:p w14:paraId="61EF65D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25.47</w:t>
            </w:r>
          </w:p>
        </w:tc>
        <w:tc>
          <w:tcPr>
            <w:tcW w:w="1300" w:type="dxa"/>
            <w:noWrap/>
            <w:hideMark/>
          </w:tcPr>
          <w:p w14:paraId="3823A70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5.72</w:t>
            </w:r>
          </w:p>
        </w:tc>
        <w:tc>
          <w:tcPr>
            <w:tcW w:w="1126" w:type="dxa"/>
            <w:noWrap/>
            <w:hideMark/>
          </w:tcPr>
          <w:p w14:paraId="4ACB85E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39.167</w:t>
            </w:r>
          </w:p>
        </w:tc>
      </w:tr>
      <w:tr w:rsidR="002C0761" w:rsidRPr="002C0761" w14:paraId="3E322CA9"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5407C38C" w14:textId="77777777" w:rsidR="002C0761" w:rsidRPr="001A219D" w:rsidRDefault="002C0761">
            <w:pPr>
              <w:jc w:val="center"/>
              <w:rPr>
                <w:rFonts w:ascii="Arial" w:hAnsi="Arial" w:cs="Arial"/>
                <w:sz w:val="20"/>
                <w:szCs w:val="20"/>
              </w:rPr>
            </w:pPr>
            <w:r w:rsidRPr="001A219D">
              <w:rPr>
                <w:rFonts w:ascii="Arial" w:hAnsi="Arial" w:cs="Arial"/>
                <w:sz w:val="20"/>
                <w:szCs w:val="20"/>
              </w:rPr>
              <w:t>2008</w:t>
            </w:r>
          </w:p>
        </w:tc>
        <w:tc>
          <w:tcPr>
            <w:tcW w:w="1300" w:type="dxa"/>
            <w:hideMark/>
          </w:tcPr>
          <w:p w14:paraId="48E5B37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866.28</w:t>
            </w:r>
          </w:p>
        </w:tc>
        <w:tc>
          <w:tcPr>
            <w:tcW w:w="1300" w:type="dxa"/>
            <w:noWrap/>
            <w:hideMark/>
          </w:tcPr>
          <w:p w14:paraId="2F23B64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1,090.57</w:t>
            </w:r>
          </w:p>
        </w:tc>
        <w:tc>
          <w:tcPr>
            <w:tcW w:w="1300" w:type="dxa"/>
            <w:noWrap/>
            <w:hideMark/>
          </w:tcPr>
          <w:p w14:paraId="0813880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4.06</w:t>
            </w:r>
          </w:p>
        </w:tc>
        <w:tc>
          <w:tcPr>
            <w:tcW w:w="1300" w:type="dxa"/>
            <w:noWrap/>
            <w:hideMark/>
          </w:tcPr>
          <w:p w14:paraId="7057032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28.03</w:t>
            </w:r>
          </w:p>
        </w:tc>
        <w:tc>
          <w:tcPr>
            <w:tcW w:w="1300" w:type="dxa"/>
            <w:noWrap/>
            <w:hideMark/>
          </w:tcPr>
          <w:p w14:paraId="5521FF3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6.25</w:t>
            </w:r>
          </w:p>
        </w:tc>
        <w:tc>
          <w:tcPr>
            <w:tcW w:w="1126" w:type="dxa"/>
            <w:noWrap/>
            <w:hideMark/>
          </w:tcPr>
          <w:p w14:paraId="14488C1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39.486</w:t>
            </w:r>
          </w:p>
        </w:tc>
      </w:tr>
      <w:tr w:rsidR="002C0761" w:rsidRPr="002C0761" w14:paraId="4351D48F"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5E829FC" w14:textId="77777777" w:rsidR="002C0761" w:rsidRPr="001A219D" w:rsidRDefault="002C0761">
            <w:pPr>
              <w:jc w:val="center"/>
              <w:rPr>
                <w:rFonts w:ascii="Arial" w:hAnsi="Arial" w:cs="Arial"/>
                <w:sz w:val="20"/>
                <w:szCs w:val="20"/>
              </w:rPr>
            </w:pPr>
            <w:r w:rsidRPr="001A219D">
              <w:rPr>
                <w:rFonts w:ascii="Arial" w:hAnsi="Arial" w:cs="Arial"/>
                <w:sz w:val="20"/>
                <w:szCs w:val="20"/>
              </w:rPr>
              <w:t>2009</w:t>
            </w:r>
          </w:p>
        </w:tc>
        <w:tc>
          <w:tcPr>
            <w:tcW w:w="1300" w:type="dxa"/>
            <w:hideMark/>
          </w:tcPr>
          <w:p w14:paraId="569F732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875.75</w:t>
            </w:r>
          </w:p>
        </w:tc>
        <w:tc>
          <w:tcPr>
            <w:tcW w:w="1300" w:type="dxa"/>
            <w:noWrap/>
            <w:hideMark/>
          </w:tcPr>
          <w:p w14:paraId="3E125BE4"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1,117.26</w:t>
            </w:r>
          </w:p>
        </w:tc>
        <w:tc>
          <w:tcPr>
            <w:tcW w:w="1300" w:type="dxa"/>
            <w:noWrap/>
            <w:hideMark/>
          </w:tcPr>
          <w:p w14:paraId="615C0BC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4.28</w:t>
            </w:r>
          </w:p>
        </w:tc>
        <w:tc>
          <w:tcPr>
            <w:tcW w:w="1300" w:type="dxa"/>
            <w:noWrap/>
            <w:hideMark/>
          </w:tcPr>
          <w:p w14:paraId="233D866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28.09</w:t>
            </w:r>
          </w:p>
        </w:tc>
        <w:tc>
          <w:tcPr>
            <w:tcW w:w="1300" w:type="dxa"/>
            <w:noWrap/>
            <w:hideMark/>
          </w:tcPr>
          <w:p w14:paraId="0A58CE9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6.52</w:t>
            </w:r>
          </w:p>
        </w:tc>
        <w:tc>
          <w:tcPr>
            <w:tcW w:w="1126" w:type="dxa"/>
            <w:noWrap/>
            <w:hideMark/>
          </w:tcPr>
          <w:p w14:paraId="0BFB50A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39.788</w:t>
            </w:r>
          </w:p>
        </w:tc>
      </w:tr>
      <w:tr w:rsidR="002C0761" w:rsidRPr="002C0761" w14:paraId="49F8BAF6"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5544D23" w14:textId="77777777" w:rsidR="002C0761" w:rsidRPr="001A219D" w:rsidRDefault="002C0761">
            <w:pPr>
              <w:jc w:val="center"/>
              <w:rPr>
                <w:rFonts w:ascii="Arial" w:hAnsi="Arial" w:cs="Arial"/>
                <w:sz w:val="20"/>
                <w:szCs w:val="20"/>
              </w:rPr>
            </w:pPr>
            <w:r w:rsidRPr="001A219D">
              <w:rPr>
                <w:rFonts w:ascii="Arial" w:hAnsi="Arial" w:cs="Arial"/>
                <w:sz w:val="20"/>
                <w:szCs w:val="20"/>
              </w:rPr>
              <w:t>2010</w:t>
            </w:r>
          </w:p>
        </w:tc>
        <w:tc>
          <w:tcPr>
            <w:tcW w:w="1300" w:type="dxa"/>
            <w:hideMark/>
          </w:tcPr>
          <w:p w14:paraId="7E2013B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952.27</w:t>
            </w:r>
          </w:p>
        </w:tc>
        <w:tc>
          <w:tcPr>
            <w:tcW w:w="1300" w:type="dxa"/>
            <w:noWrap/>
            <w:hideMark/>
          </w:tcPr>
          <w:p w14:paraId="2FA1A28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1,155.85</w:t>
            </w:r>
          </w:p>
        </w:tc>
        <w:tc>
          <w:tcPr>
            <w:tcW w:w="1300" w:type="dxa"/>
            <w:noWrap/>
            <w:hideMark/>
          </w:tcPr>
          <w:p w14:paraId="66E42A4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4.47</w:t>
            </w:r>
          </w:p>
        </w:tc>
        <w:tc>
          <w:tcPr>
            <w:tcW w:w="1300" w:type="dxa"/>
            <w:noWrap/>
            <w:hideMark/>
          </w:tcPr>
          <w:p w14:paraId="5A36792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27.87</w:t>
            </w:r>
          </w:p>
        </w:tc>
        <w:tc>
          <w:tcPr>
            <w:tcW w:w="1300" w:type="dxa"/>
            <w:noWrap/>
            <w:hideMark/>
          </w:tcPr>
          <w:p w14:paraId="76D1953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6.85</w:t>
            </w:r>
          </w:p>
        </w:tc>
        <w:tc>
          <w:tcPr>
            <w:tcW w:w="1126" w:type="dxa"/>
            <w:noWrap/>
            <w:hideMark/>
          </w:tcPr>
          <w:p w14:paraId="615661F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39.721</w:t>
            </w:r>
          </w:p>
        </w:tc>
      </w:tr>
      <w:tr w:rsidR="002C0761" w:rsidRPr="002C0761" w14:paraId="7A651825"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62949BB" w14:textId="77777777" w:rsidR="002C0761" w:rsidRPr="001A219D" w:rsidRDefault="002C0761">
            <w:pPr>
              <w:jc w:val="center"/>
              <w:rPr>
                <w:rFonts w:ascii="Arial" w:hAnsi="Arial" w:cs="Arial"/>
                <w:sz w:val="20"/>
                <w:szCs w:val="20"/>
              </w:rPr>
            </w:pPr>
            <w:r w:rsidRPr="001A219D">
              <w:rPr>
                <w:rFonts w:ascii="Arial" w:hAnsi="Arial" w:cs="Arial"/>
                <w:sz w:val="20"/>
                <w:szCs w:val="20"/>
              </w:rPr>
              <w:t>2011</w:t>
            </w:r>
          </w:p>
        </w:tc>
        <w:tc>
          <w:tcPr>
            <w:tcW w:w="1300" w:type="dxa"/>
            <w:hideMark/>
          </w:tcPr>
          <w:p w14:paraId="58FE670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1,088.98</w:t>
            </w:r>
          </w:p>
        </w:tc>
        <w:tc>
          <w:tcPr>
            <w:tcW w:w="1300" w:type="dxa"/>
            <w:noWrap/>
            <w:hideMark/>
          </w:tcPr>
          <w:p w14:paraId="32C30DB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1,221.39</w:t>
            </w:r>
          </w:p>
        </w:tc>
        <w:tc>
          <w:tcPr>
            <w:tcW w:w="1300" w:type="dxa"/>
            <w:noWrap/>
            <w:hideMark/>
          </w:tcPr>
          <w:p w14:paraId="7FF2430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4.58</w:t>
            </w:r>
          </w:p>
        </w:tc>
        <w:tc>
          <w:tcPr>
            <w:tcW w:w="1300" w:type="dxa"/>
            <w:noWrap/>
            <w:hideMark/>
          </w:tcPr>
          <w:p w14:paraId="0C03498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28.04</w:t>
            </w:r>
          </w:p>
        </w:tc>
        <w:tc>
          <w:tcPr>
            <w:tcW w:w="1300" w:type="dxa"/>
            <w:noWrap/>
            <w:hideMark/>
          </w:tcPr>
          <w:p w14:paraId="75297B9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7.31</w:t>
            </w:r>
          </w:p>
        </w:tc>
        <w:tc>
          <w:tcPr>
            <w:tcW w:w="1126" w:type="dxa"/>
            <w:noWrap/>
            <w:hideMark/>
          </w:tcPr>
          <w:p w14:paraId="53763F3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39.083</w:t>
            </w:r>
          </w:p>
        </w:tc>
      </w:tr>
      <w:tr w:rsidR="002C0761" w:rsidRPr="002C0761" w14:paraId="42DEC123"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35C2F7E" w14:textId="77777777" w:rsidR="002C0761" w:rsidRPr="001A219D" w:rsidRDefault="002C0761">
            <w:pPr>
              <w:jc w:val="center"/>
              <w:rPr>
                <w:rFonts w:ascii="Arial" w:hAnsi="Arial" w:cs="Arial"/>
                <w:sz w:val="20"/>
                <w:szCs w:val="20"/>
              </w:rPr>
            </w:pPr>
            <w:r w:rsidRPr="001A219D">
              <w:rPr>
                <w:rFonts w:ascii="Arial" w:hAnsi="Arial" w:cs="Arial"/>
                <w:sz w:val="20"/>
                <w:szCs w:val="20"/>
              </w:rPr>
              <w:t>2012</w:t>
            </w:r>
          </w:p>
        </w:tc>
        <w:tc>
          <w:tcPr>
            <w:tcW w:w="1300" w:type="dxa"/>
            <w:hideMark/>
          </w:tcPr>
          <w:p w14:paraId="5296A58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1,192.80</w:t>
            </w:r>
          </w:p>
        </w:tc>
        <w:tc>
          <w:tcPr>
            <w:tcW w:w="1300" w:type="dxa"/>
            <w:noWrap/>
            <w:hideMark/>
          </w:tcPr>
          <w:p w14:paraId="7859F59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1,295.25</w:t>
            </w:r>
          </w:p>
        </w:tc>
        <w:tc>
          <w:tcPr>
            <w:tcW w:w="1300" w:type="dxa"/>
            <w:noWrap/>
            <w:hideMark/>
          </w:tcPr>
          <w:p w14:paraId="2E2F031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4.78</w:t>
            </w:r>
          </w:p>
        </w:tc>
        <w:tc>
          <w:tcPr>
            <w:tcW w:w="1300" w:type="dxa"/>
            <w:noWrap/>
            <w:hideMark/>
          </w:tcPr>
          <w:p w14:paraId="5C953DA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26.80</w:t>
            </w:r>
          </w:p>
        </w:tc>
        <w:tc>
          <w:tcPr>
            <w:tcW w:w="1300" w:type="dxa"/>
            <w:noWrap/>
            <w:hideMark/>
          </w:tcPr>
          <w:p w14:paraId="646A018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7.93</w:t>
            </w:r>
          </w:p>
        </w:tc>
        <w:tc>
          <w:tcPr>
            <w:tcW w:w="1126" w:type="dxa"/>
            <w:noWrap/>
            <w:hideMark/>
          </w:tcPr>
          <w:p w14:paraId="51C9B98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39.400</w:t>
            </w:r>
          </w:p>
        </w:tc>
      </w:tr>
      <w:tr w:rsidR="002C0761" w:rsidRPr="002C0761" w14:paraId="421EB685"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76A440CA" w14:textId="77777777" w:rsidR="002C0761" w:rsidRPr="001A219D" w:rsidRDefault="002C0761">
            <w:pPr>
              <w:jc w:val="center"/>
              <w:rPr>
                <w:rFonts w:ascii="Arial" w:hAnsi="Arial" w:cs="Arial"/>
                <w:sz w:val="20"/>
                <w:szCs w:val="20"/>
              </w:rPr>
            </w:pPr>
            <w:r w:rsidRPr="001A219D">
              <w:rPr>
                <w:rFonts w:ascii="Arial" w:hAnsi="Arial" w:cs="Arial"/>
                <w:sz w:val="20"/>
                <w:szCs w:val="20"/>
              </w:rPr>
              <w:t>2013</w:t>
            </w:r>
          </w:p>
        </w:tc>
        <w:tc>
          <w:tcPr>
            <w:tcW w:w="1300" w:type="dxa"/>
            <w:hideMark/>
          </w:tcPr>
          <w:p w14:paraId="165686D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1,305.66</w:t>
            </w:r>
          </w:p>
        </w:tc>
        <w:tc>
          <w:tcPr>
            <w:tcW w:w="1300" w:type="dxa"/>
            <w:noWrap/>
            <w:hideMark/>
          </w:tcPr>
          <w:p w14:paraId="10807AF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1,376.30</w:t>
            </w:r>
          </w:p>
        </w:tc>
        <w:tc>
          <w:tcPr>
            <w:tcW w:w="1300" w:type="dxa"/>
            <w:noWrap/>
            <w:hideMark/>
          </w:tcPr>
          <w:p w14:paraId="2BFA35C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4.83</w:t>
            </w:r>
          </w:p>
        </w:tc>
        <w:tc>
          <w:tcPr>
            <w:tcW w:w="1300" w:type="dxa"/>
            <w:noWrap/>
            <w:hideMark/>
          </w:tcPr>
          <w:p w14:paraId="38EE5AF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24.45</w:t>
            </w:r>
          </w:p>
        </w:tc>
        <w:tc>
          <w:tcPr>
            <w:tcW w:w="1300" w:type="dxa"/>
            <w:noWrap/>
            <w:hideMark/>
          </w:tcPr>
          <w:p w14:paraId="2B25056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8.69</w:t>
            </w:r>
          </w:p>
        </w:tc>
        <w:tc>
          <w:tcPr>
            <w:tcW w:w="1126" w:type="dxa"/>
            <w:noWrap/>
            <w:hideMark/>
          </w:tcPr>
          <w:p w14:paraId="464E3A4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40.406</w:t>
            </w:r>
          </w:p>
        </w:tc>
      </w:tr>
      <w:tr w:rsidR="002C0761" w:rsidRPr="002C0761" w14:paraId="3E1BAA61"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F4CE868" w14:textId="77777777" w:rsidR="002C0761" w:rsidRPr="001A219D" w:rsidRDefault="002C0761">
            <w:pPr>
              <w:jc w:val="center"/>
              <w:rPr>
                <w:rFonts w:ascii="Arial" w:hAnsi="Arial" w:cs="Arial"/>
                <w:sz w:val="20"/>
                <w:szCs w:val="20"/>
              </w:rPr>
            </w:pPr>
            <w:r w:rsidRPr="001A219D">
              <w:rPr>
                <w:rFonts w:ascii="Arial" w:hAnsi="Arial" w:cs="Arial"/>
                <w:sz w:val="20"/>
                <w:szCs w:val="20"/>
              </w:rPr>
              <w:t>2014</w:t>
            </w:r>
          </w:p>
        </w:tc>
        <w:tc>
          <w:tcPr>
            <w:tcW w:w="1300" w:type="dxa"/>
            <w:hideMark/>
          </w:tcPr>
          <w:p w14:paraId="347C9A5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1,431.56</w:t>
            </w:r>
          </w:p>
        </w:tc>
        <w:tc>
          <w:tcPr>
            <w:tcW w:w="1300" w:type="dxa"/>
            <w:noWrap/>
            <w:hideMark/>
          </w:tcPr>
          <w:p w14:paraId="2B39330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1,464.53</w:t>
            </w:r>
          </w:p>
        </w:tc>
        <w:tc>
          <w:tcPr>
            <w:tcW w:w="1300" w:type="dxa"/>
            <w:noWrap/>
            <w:hideMark/>
          </w:tcPr>
          <w:p w14:paraId="4C66607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4.86</w:t>
            </w:r>
          </w:p>
        </w:tc>
        <w:tc>
          <w:tcPr>
            <w:tcW w:w="1300" w:type="dxa"/>
            <w:noWrap/>
            <w:hideMark/>
          </w:tcPr>
          <w:p w14:paraId="0E8F8A6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22.19</w:t>
            </w:r>
          </w:p>
        </w:tc>
        <w:tc>
          <w:tcPr>
            <w:tcW w:w="1300" w:type="dxa"/>
            <w:noWrap/>
            <w:hideMark/>
          </w:tcPr>
          <w:p w14:paraId="33BE3F3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9.54</w:t>
            </w:r>
          </w:p>
        </w:tc>
        <w:tc>
          <w:tcPr>
            <w:tcW w:w="1126" w:type="dxa"/>
            <w:noWrap/>
            <w:hideMark/>
          </w:tcPr>
          <w:p w14:paraId="248C86C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41.689</w:t>
            </w:r>
          </w:p>
        </w:tc>
      </w:tr>
      <w:tr w:rsidR="002C0761" w:rsidRPr="002C0761" w14:paraId="71C28547"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6643184" w14:textId="77777777" w:rsidR="002C0761" w:rsidRPr="001A219D" w:rsidRDefault="002C0761">
            <w:pPr>
              <w:jc w:val="center"/>
              <w:rPr>
                <w:rFonts w:ascii="Arial" w:hAnsi="Arial" w:cs="Arial"/>
                <w:sz w:val="20"/>
                <w:szCs w:val="20"/>
              </w:rPr>
            </w:pPr>
            <w:r w:rsidRPr="001A219D">
              <w:rPr>
                <w:rFonts w:ascii="Arial" w:hAnsi="Arial" w:cs="Arial"/>
                <w:sz w:val="20"/>
                <w:szCs w:val="20"/>
              </w:rPr>
              <w:t>2015</w:t>
            </w:r>
          </w:p>
        </w:tc>
        <w:tc>
          <w:tcPr>
            <w:tcW w:w="1300" w:type="dxa"/>
            <w:hideMark/>
          </w:tcPr>
          <w:p w14:paraId="0CCC6C7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1,547.32</w:t>
            </w:r>
          </w:p>
        </w:tc>
        <w:tc>
          <w:tcPr>
            <w:tcW w:w="1300" w:type="dxa"/>
            <w:noWrap/>
            <w:hideMark/>
          </w:tcPr>
          <w:p w14:paraId="196A176E"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1,547.32</w:t>
            </w:r>
          </w:p>
        </w:tc>
        <w:tc>
          <w:tcPr>
            <w:tcW w:w="1300" w:type="dxa"/>
            <w:noWrap/>
            <w:hideMark/>
          </w:tcPr>
          <w:p w14:paraId="161196A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4.87</w:t>
            </w:r>
          </w:p>
        </w:tc>
        <w:tc>
          <w:tcPr>
            <w:tcW w:w="1300" w:type="dxa"/>
            <w:noWrap/>
            <w:hideMark/>
          </w:tcPr>
          <w:p w14:paraId="3BCD474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20.14</w:t>
            </w:r>
          </w:p>
        </w:tc>
        <w:tc>
          <w:tcPr>
            <w:tcW w:w="1300" w:type="dxa"/>
            <w:noWrap/>
            <w:hideMark/>
          </w:tcPr>
          <w:p w14:paraId="4D345AF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10.20</w:t>
            </w:r>
          </w:p>
        </w:tc>
        <w:tc>
          <w:tcPr>
            <w:tcW w:w="1126" w:type="dxa"/>
            <w:noWrap/>
            <w:hideMark/>
          </w:tcPr>
          <w:p w14:paraId="6C9380D6"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42.206</w:t>
            </w:r>
          </w:p>
        </w:tc>
      </w:tr>
      <w:tr w:rsidR="002C0761" w:rsidRPr="002C0761" w14:paraId="2B9203A9"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4E7FF897" w14:textId="77777777" w:rsidR="002C0761" w:rsidRPr="001A219D" w:rsidRDefault="002C0761">
            <w:pPr>
              <w:jc w:val="center"/>
              <w:rPr>
                <w:rFonts w:ascii="Arial" w:hAnsi="Arial" w:cs="Arial"/>
                <w:sz w:val="20"/>
                <w:szCs w:val="20"/>
              </w:rPr>
            </w:pPr>
            <w:r w:rsidRPr="001A219D">
              <w:rPr>
                <w:rFonts w:ascii="Arial" w:hAnsi="Arial" w:cs="Arial"/>
                <w:sz w:val="20"/>
                <w:szCs w:val="20"/>
              </w:rPr>
              <w:t>2016</w:t>
            </w:r>
          </w:p>
        </w:tc>
        <w:tc>
          <w:tcPr>
            <w:tcW w:w="1300" w:type="dxa"/>
            <w:hideMark/>
          </w:tcPr>
          <w:p w14:paraId="1E70A62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1,675.20</w:t>
            </w:r>
          </w:p>
        </w:tc>
        <w:tc>
          <w:tcPr>
            <w:tcW w:w="1300" w:type="dxa"/>
            <w:noWrap/>
            <w:hideMark/>
          </w:tcPr>
          <w:p w14:paraId="62A3E6B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1,645.47</w:t>
            </w:r>
          </w:p>
        </w:tc>
        <w:tc>
          <w:tcPr>
            <w:tcW w:w="1300" w:type="dxa"/>
            <w:noWrap/>
            <w:hideMark/>
          </w:tcPr>
          <w:p w14:paraId="44D6B03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4.93</w:t>
            </w:r>
          </w:p>
        </w:tc>
        <w:tc>
          <w:tcPr>
            <w:tcW w:w="1300" w:type="dxa"/>
            <w:noWrap/>
            <w:hideMark/>
          </w:tcPr>
          <w:p w14:paraId="7B329DCB"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18.91</w:t>
            </w:r>
          </w:p>
        </w:tc>
        <w:tc>
          <w:tcPr>
            <w:tcW w:w="1300" w:type="dxa"/>
            <w:noWrap/>
            <w:hideMark/>
          </w:tcPr>
          <w:p w14:paraId="5FDC6BF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10.90</w:t>
            </w:r>
          </w:p>
        </w:tc>
        <w:tc>
          <w:tcPr>
            <w:tcW w:w="1126" w:type="dxa"/>
            <w:noWrap/>
            <w:hideMark/>
          </w:tcPr>
          <w:p w14:paraId="26266F8C"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41.764</w:t>
            </w:r>
          </w:p>
        </w:tc>
      </w:tr>
      <w:tr w:rsidR="002C0761" w:rsidRPr="002C0761" w14:paraId="5A23FF3E"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1BA32DE8" w14:textId="77777777" w:rsidR="002C0761" w:rsidRPr="001A219D" w:rsidRDefault="002C0761">
            <w:pPr>
              <w:jc w:val="center"/>
              <w:rPr>
                <w:rFonts w:ascii="Arial" w:hAnsi="Arial" w:cs="Arial"/>
                <w:sz w:val="20"/>
                <w:szCs w:val="20"/>
              </w:rPr>
            </w:pPr>
            <w:r w:rsidRPr="001A219D">
              <w:rPr>
                <w:rFonts w:ascii="Arial" w:hAnsi="Arial" w:cs="Arial"/>
                <w:sz w:val="20"/>
                <w:szCs w:val="20"/>
              </w:rPr>
              <w:t>2017</w:t>
            </w:r>
          </w:p>
        </w:tc>
        <w:tc>
          <w:tcPr>
            <w:tcW w:w="1300" w:type="dxa"/>
            <w:hideMark/>
          </w:tcPr>
          <w:p w14:paraId="5E24EA02"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1,826.35</w:t>
            </w:r>
          </w:p>
        </w:tc>
        <w:tc>
          <w:tcPr>
            <w:tcW w:w="1300" w:type="dxa"/>
            <w:noWrap/>
            <w:hideMark/>
          </w:tcPr>
          <w:p w14:paraId="4932289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1,753.94</w:t>
            </w:r>
          </w:p>
        </w:tc>
        <w:tc>
          <w:tcPr>
            <w:tcW w:w="1300" w:type="dxa"/>
            <w:noWrap/>
            <w:hideMark/>
          </w:tcPr>
          <w:p w14:paraId="244B145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5.02</w:t>
            </w:r>
          </w:p>
        </w:tc>
        <w:tc>
          <w:tcPr>
            <w:tcW w:w="1300" w:type="dxa"/>
            <w:noWrap/>
            <w:hideMark/>
          </w:tcPr>
          <w:p w14:paraId="6F5873B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17.87</w:t>
            </w:r>
          </w:p>
        </w:tc>
        <w:tc>
          <w:tcPr>
            <w:tcW w:w="1300" w:type="dxa"/>
            <w:noWrap/>
            <w:hideMark/>
          </w:tcPr>
          <w:p w14:paraId="2F5C4E6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11.66</w:t>
            </w:r>
          </w:p>
        </w:tc>
        <w:tc>
          <w:tcPr>
            <w:tcW w:w="1126" w:type="dxa"/>
            <w:noWrap/>
            <w:hideMark/>
          </w:tcPr>
          <w:p w14:paraId="0339C41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41.418</w:t>
            </w:r>
          </w:p>
        </w:tc>
      </w:tr>
      <w:tr w:rsidR="002C0761" w:rsidRPr="002C0761" w14:paraId="5F35796D"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203CE69" w14:textId="77777777" w:rsidR="002C0761" w:rsidRPr="001A219D" w:rsidRDefault="002C0761">
            <w:pPr>
              <w:jc w:val="center"/>
              <w:rPr>
                <w:rFonts w:ascii="Arial" w:hAnsi="Arial" w:cs="Arial"/>
                <w:sz w:val="20"/>
                <w:szCs w:val="20"/>
              </w:rPr>
            </w:pPr>
            <w:r w:rsidRPr="001A219D">
              <w:rPr>
                <w:rFonts w:ascii="Arial" w:hAnsi="Arial" w:cs="Arial"/>
                <w:sz w:val="20"/>
                <w:szCs w:val="20"/>
              </w:rPr>
              <w:t>2018</w:t>
            </w:r>
          </w:p>
        </w:tc>
        <w:tc>
          <w:tcPr>
            <w:tcW w:w="1300" w:type="dxa"/>
            <w:noWrap/>
            <w:hideMark/>
          </w:tcPr>
          <w:p w14:paraId="5712574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2,036.67</w:t>
            </w:r>
          </w:p>
        </w:tc>
        <w:tc>
          <w:tcPr>
            <w:tcW w:w="1300" w:type="dxa"/>
            <w:noWrap/>
            <w:hideMark/>
          </w:tcPr>
          <w:p w14:paraId="75AC17E9"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1,884.28</w:t>
            </w:r>
          </w:p>
        </w:tc>
        <w:tc>
          <w:tcPr>
            <w:tcW w:w="1300" w:type="dxa"/>
            <w:noWrap/>
            <w:hideMark/>
          </w:tcPr>
          <w:p w14:paraId="661E37E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5.07</w:t>
            </w:r>
          </w:p>
        </w:tc>
        <w:tc>
          <w:tcPr>
            <w:tcW w:w="1300" w:type="dxa"/>
            <w:noWrap/>
            <w:hideMark/>
          </w:tcPr>
          <w:p w14:paraId="3053BFA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16.50</w:t>
            </w:r>
          </w:p>
        </w:tc>
        <w:tc>
          <w:tcPr>
            <w:tcW w:w="1300" w:type="dxa"/>
            <w:noWrap/>
            <w:hideMark/>
          </w:tcPr>
          <w:p w14:paraId="17EB897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12.49</w:t>
            </w:r>
          </w:p>
        </w:tc>
        <w:tc>
          <w:tcPr>
            <w:tcW w:w="1126" w:type="dxa"/>
            <w:noWrap/>
            <w:hideMark/>
          </w:tcPr>
          <w:p w14:paraId="4205450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40.220</w:t>
            </w:r>
          </w:p>
        </w:tc>
      </w:tr>
      <w:tr w:rsidR="002C0761" w:rsidRPr="002C0761" w14:paraId="3CC716E8"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218035AC" w14:textId="77777777" w:rsidR="002C0761" w:rsidRPr="001A219D" w:rsidRDefault="002C0761">
            <w:pPr>
              <w:jc w:val="center"/>
              <w:rPr>
                <w:rFonts w:ascii="Arial" w:hAnsi="Arial" w:cs="Arial"/>
                <w:sz w:val="20"/>
                <w:szCs w:val="20"/>
              </w:rPr>
            </w:pPr>
            <w:r w:rsidRPr="001A219D">
              <w:rPr>
                <w:rFonts w:ascii="Arial" w:hAnsi="Arial" w:cs="Arial"/>
                <w:sz w:val="20"/>
                <w:szCs w:val="20"/>
              </w:rPr>
              <w:t>2019</w:t>
            </w:r>
          </w:p>
        </w:tc>
        <w:tc>
          <w:tcPr>
            <w:tcW w:w="1300" w:type="dxa"/>
            <w:noWrap/>
            <w:hideMark/>
          </w:tcPr>
          <w:p w14:paraId="4E97D09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2,225.88</w:t>
            </w:r>
          </w:p>
        </w:tc>
        <w:tc>
          <w:tcPr>
            <w:tcW w:w="1300" w:type="dxa"/>
            <w:noWrap/>
            <w:hideMark/>
          </w:tcPr>
          <w:p w14:paraId="312AFBA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2,008.32</w:t>
            </w:r>
          </w:p>
        </w:tc>
        <w:tc>
          <w:tcPr>
            <w:tcW w:w="1300" w:type="dxa"/>
            <w:noWrap/>
            <w:hideMark/>
          </w:tcPr>
          <w:p w14:paraId="5905806C"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5.05</w:t>
            </w:r>
          </w:p>
        </w:tc>
        <w:tc>
          <w:tcPr>
            <w:tcW w:w="1300" w:type="dxa"/>
            <w:noWrap/>
            <w:hideMark/>
          </w:tcPr>
          <w:p w14:paraId="431C9D01"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15.44</w:t>
            </w:r>
          </w:p>
        </w:tc>
        <w:tc>
          <w:tcPr>
            <w:tcW w:w="1300" w:type="dxa"/>
            <w:noWrap/>
            <w:hideMark/>
          </w:tcPr>
          <w:p w14:paraId="3BC00D2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13.30</w:t>
            </w:r>
          </w:p>
        </w:tc>
        <w:tc>
          <w:tcPr>
            <w:tcW w:w="1126" w:type="dxa"/>
            <w:noWrap/>
            <w:hideMark/>
          </w:tcPr>
          <w:p w14:paraId="51C63AB5"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39.138</w:t>
            </w:r>
          </w:p>
        </w:tc>
      </w:tr>
      <w:tr w:rsidR="002C0761" w:rsidRPr="002C0761" w14:paraId="67A4DA7D"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CC6A45D" w14:textId="77777777" w:rsidR="002C0761" w:rsidRPr="001A219D" w:rsidRDefault="002C0761">
            <w:pPr>
              <w:jc w:val="center"/>
              <w:rPr>
                <w:rFonts w:ascii="Arial" w:hAnsi="Arial" w:cs="Arial"/>
                <w:sz w:val="20"/>
                <w:szCs w:val="20"/>
              </w:rPr>
            </w:pPr>
            <w:r w:rsidRPr="001A219D">
              <w:rPr>
                <w:rFonts w:ascii="Arial" w:hAnsi="Arial" w:cs="Arial"/>
                <w:sz w:val="20"/>
                <w:szCs w:val="20"/>
              </w:rPr>
              <w:t>2020</w:t>
            </w:r>
          </w:p>
        </w:tc>
        <w:tc>
          <w:tcPr>
            <w:tcW w:w="1300" w:type="dxa"/>
            <w:noWrap/>
            <w:hideMark/>
          </w:tcPr>
          <w:p w14:paraId="2B9C54B6"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2,081.74</w:t>
            </w:r>
          </w:p>
        </w:tc>
        <w:tc>
          <w:tcPr>
            <w:tcW w:w="1300" w:type="dxa"/>
            <w:noWrap/>
            <w:hideMark/>
          </w:tcPr>
          <w:p w14:paraId="276A8430"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1,908.63</w:t>
            </w:r>
          </w:p>
        </w:tc>
        <w:tc>
          <w:tcPr>
            <w:tcW w:w="1300" w:type="dxa"/>
            <w:noWrap/>
            <w:hideMark/>
          </w:tcPr>
          <w:p w14:paraId="3C5DF68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5.08</w:t>
            </w:r>
          </w:p>
        </w:tc>
        <w:tc>
          <w:tcPr>
            <w:tcW w:w="1300" w:type="dxa"/>
            <w:noWrap/>
            <w:hideMark/>
          </w:tcPr>
          <w:p w14:paraId="7BC6C798"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17.04</w:t>
            </w:r>
          </w:p>
        </w:tc>
        <w:tc>
          <w:tcPr>
            <w:tcW w:w="1300" w:type="dxa"/>
            <w:noWrap/>
            <w:hideMark/>
          </w:tcPr>
          <w:p w14:paraId="13E4016A"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12.42</w:t>
            </w:r>
          </w:p>
        </w:tc>
        <w:tc>
          <w:tcPr>
            <w:tcW w:w="1126" w:type="dxa"/>
            <w:noWrap/>
            <w:hideMark/>
          </w:tcPr>
          <w:p w14:paraId="2D170844"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39.144</w:t>
            </w:r>
          </w:p>
        </w:tc>
      </w:tr>
      <w:tr w:rsidR="002C0761" w:rsidRPr="002C0761" w14:paraId="5289DAA1"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A5ED9AF" w14:textId="77777777" w:rsidR="002C0761" w:rsidRPr="001A219D" w:rsidRDefault="002C0761">
            <w:pPr>
              <w:jc w:val="center"/>
              <w:rPr>
                <w:rFonts w:ascii="Arial" w:hAnsi="Arial" w:cs="Arial"/>
                <w:sz w:val="20"/>
                <w:szCs w:val="20"/>
              </w:rPr>
            </w:pPr>
            <w:r w:rsidRPr="001A219D">
              <w:rPr>
                <w:rFonts w:ascii="Arial" w:hAnsi="Arial" w:cs="Arial"/>
                <w:sz w:val="20"/>
                <w:szCs w:val="20"/>
              </w:rPr>
              <w:t>2021</w:t>
            </w:r>
          </w:p>
        </w:tc>
        <w:tc>
          <w:tcPr>
            <w:tcW w:w="1300" w:type="dxa"/>
            <w:noWrap/>
            <w:hideMark/>
          </w:tcPr>
          <w:p w14:paraId="63D1D41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2,167.40</w:t>
            </w:r>
          </w:p>
        </w:tc>
        <w:tc>
          <w:tcPr>
            <w:tcW w:w="1300" w:type="dxa"/>
            <w:noWrap/>
            <w:hideMark/>
          </w:tcPr>
          <w:p w14:paraId="03C2FF3B"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1,938.76</w:t>
            </w:r>
          </w:p>
        </w:tc>
        <w:tc>
          <w:tcPr>
            <w:tcW w:w="1300" w:type="dxa"/>
            <w:noWrap/>
            <w:hideMark/>
          </w:tcPr>
          <w:p w14:paraId="6AC631BA"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5.16</w:t>
            </w:r>
          </w:p>
        </w:tc>
        <w:tc>
          <w:tcPr>
            <w:tcW w:w="1300" w:type="dxa"/>
            <w:noWrap/>
            <w:hideMark/>
          </w:tcPr>
          <w:p w14:paraId="506EAEB8"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16.90</w:t>
            </w:r>
          </w:p>
        </w:tc>
        <w:tc>
          <w:tcPr>
            <w:tcW w:w="1300" w:type="dxa"/>
            <w:noWrap/>
            <w:hideMark/>
          </w:tcPr>
          <w:p w14:paraId="4131B65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12.19</w:t>
            </w:r>
          </w:p>
        </w:tc>
        <w:tc>
          <w:tcPr>
            <w:tcW w:w="1126" w:type="dxa"/>
            <w:noWrap/>
            <w:hideMark/>
          </w:tcPr>
          <w:p w14:paraId="2B2C035D"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36.487</w:t>
            </w:r>
          </w:p>
        </w:tc>
      </w:tr>
      <w:tr w:rsidR="002C0761" w:rsidRPr="002C0761" w14:paraId="06E0393A" w14:textId="77777777" w:rsidTr="00D960AA">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0D953625" w14:textId="77777777" w:rsidR="002C0761" w:rsidRPr="001A219D" w:rsidRDefault="002C0761">
            <w:pPr>
              <w:jc w:val="center"/>
              <w:rPr>
                <w:rFonts w:ascii="Arial" w:hAnsi="Arial" w:cs="Arial"/>
                <w:sz w:val="20"/>
                <w:szCs w:val="20"/>
              </w:rPr>
            </w:pPr>
            <w:r w:rsidRPr="001A219D">
              <w:rPr>
                <w:rFonts w:ascii="Arial" w:hAnsi="Arial" w:cs="Arial"/>
                <w:sz w:val="20"/>
                <w:szCs w:val="20"/>
              </w:rPr>
              <w:t>2022</w:t>
            </w:r>
          </w:p>
        </w:tc>
        <w:tc>
          <w:tcPr>
            <w:tcW w:w="1300" w:type="dxa"/>
            <w:noWrap/>
            <w:hideMark/>
          </w:tcPr>
          <w:p w14:paraId="304AF33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2,325.03</w:t>
            </w:r>
          </w:p>
        </w:tc>
        <w:tc>
          <w:tcPr>
            <w:tcW w:w="1300" w:type="dxa"/>
            <w:noWrap/>
            <w:hideMark/>
          </w:tcPr>
          <w:p w14:paraId="46628E8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2,011.27</w:t>
            </w:r>
          </w:p>
        </w:tc>
        <w:tc>
          <w:tcPr>
            <w:tcW w:w="1300" w:type="dxa"/>
            <w:noWrap/>
            <w:hideMark/>
          </w:tcPr>
          <w:p w14:paraId="4E01C3C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5.19</w:t>
            </w:r>
          </w:p>
        </w:tc>
        <w:tc>
          <w:tcPr>
            <w:tcW w:w="1300" w:type="dxa"/>
            <w:noWrap/>
            <w:hideMark/>
          </w:tcPr>
          <w:p w14:paraId="34C1809E"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16.54</w:t>
            </w:r>
          </w:p>
        </w:tc>
        <w:tc>
          <w:tcPr>
            <w:tcW w:w="1300" w:type="dxa"/>
            <w:noWrap/>
            <w:hideMark/>
          </w:tcPr>
          <w:p w14:paraId="7E6FEB8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12.63</w:t>
            </w:r>
          </w:p>
        </w:tc>
        <w:tc>
          <w:tcPr>
            <w:tcW w:w="1126" w:type="dxa"/>
            <w:noWrap/>
            <w:hideMark/>
          </w:tcPr>
          <w:p w14:paraId="26AAF0AF"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36.385</w:t>
            </w:r>
          </w:p>
        </w:tc>
      </w:tr>
      <w:tr w:rsidR="002C0761" w:rsidRPr="002C0761" w14:paraId="51C2D5C9" w14:textId="77777777" w:rsidTr="00D960AA">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63001CC4" w14:textId="77777777" w:rsidR="002C0761" w:rsidRPr="001A219D" w:rsidRDefault="002C0761">
            <w:pPr>
              <w:jc w:val="center"/>
              <w:rPr>
                <w:rFonts w:ascii="Arial" w:hAnsi="Arial" w:cs="Arial"/>
                <w:sz w:val="20"/>
                <w:szCs w:val="20"/>
              </w:rPr>
            </w:pPr>
            <w:r w:rsidRPr="001A219D">
              <w:rPr>
                <w:rFonts w:ascii="Arial" w:hAnsi="Arial" w:cs="Arial"/>
                <w:sz w:val="20"/>
                <w:szCs w:val="20"/>
              </w:rPr>
              <w:t>2023</w:t>
            </w:r>
          </w:p>
        </w:tc>
        <w:tc>
          <w:tcPr>
            <w:tcW w:w="1300" w:type="dxa"/>
            <w:noWrap/>
            <w:hideMark/>
          </w:tcPr>
          <w:p w14:paraId="165C7BF9"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2,429.75</w:t>
            </w:r>
          </w:p>
        </w:tc>
        <w:tc>
          <w:tcPr>
            <w:tcW w:w="1300" w:type="dxa"/>
            <w:noWrap/>
            <w:hideMark/>
          </w:tcPr>
          <w:p w14:paraId="750CC11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2,085.06</w:t>
            </w:r>
          </w:p>
        </w:tc>
        <w:tc>
          <w:tcPr>
            <w:tcW w:w="1300" w:type="dxa"/>
            <w:noWrap/>
            <w:hideMark/>
          </w:tcPr>
          <w:p w14:paraId="0558940F"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5.25</w:t>
            </w:r>
          </w:p>
        </w:tc>
        <w:tc>
          <w:tcPr>
            <w:tcW w:w="1300" w:type="dxa"/>
            <w:noWrap/>
            <w:hideMark/>
          </w:tcPr>
          <w:p w14:paraId="3234AAF0"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17.08</w:t>
            </w:r>
          </w:p>
        </w:tc>
        <w:tc>
          <w:tcPr>
            <w:tcW w:w="1300" w:type="dxa"/>
            <w:noWrap/>
            <w:hideMark/>
          </w:tcPr>
          <w:p w14:paraId="298E8877"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13.39</w:t>
            </w:r>
          </w:p>
        </w:tc>
        <w:tc>
          <w:tcPr>
            <w:tcW w:w="1126" w:type="dxa"/>
            <w:noWrap/>
            <w:hideMark/>
          </w:tcPr>
          <w:p w14:paraId="5C15F773" w14:textId="77777777" w:rsidR="002C0761" w:rsidRPr="002C0761" w:rsidRDefault="002C0761">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C0761">
              <w:rPr>
                <w:rFonts w:ascii="Arial" w:hAnsi="Arial" w:cs="Arial"/>
                <w:sz w:val="20"/>
                <w:szCs w:val="20"/>
              </w:rPr>
              <w:t>36.152</w:t>
            </w:r>
          </w:p>
        </w:tc>
      </w:tr>
      <w:tr w:rsidR="002C0761" w:rsidRPr="002C0761" w14:paraId="738D37D7" w14:textId="77777777" w:rsidTr="00D960A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300" w:type="dxa"/>
            <w:noWrap/>
            <w:hideMark/>
          </w:tcPr>
          <w:p w14:paraId="3A906626" w14:textId="77777777" w:rsidR="002C0761" w:rsidRPr="001A219D" w:rsidRDefault="002C0761">
            <w:pPr>
              <w:jc w:val="center"/>
              <w:rPr>
                <w:rFonts w:ascii="Arial" w:hAnsi="Arial" w:cs="Arial"/>
                <w:sz w:val="20"/>
                <w:szCs w:val="20"/>
              </w:rPr>
            </w:pPr>
            <w:r w:rsidRPr="001A219D">
              <w:rPr>
                <w:rFonts w:ascii="Arial" w:hAnsi="Arial" w:cs="Arial"/>
                <w:sz w:val="20"/>
                <w:szCs w:val="20"/>
              </w:rPr>
              <w:t>2024</w:t>
            </w:r>
          </w:p>
        </w:tc>
        <w:tc>
          <w:tcPr>
            <w:tcW w:w="1300" w:type="dxa"/>
            <w:noWrap/>
            <w:hideMark/>
          </w:tcPr>
          <w:p w14:paraId="50AB8962"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2,627.88</w:t>
            </w:r>
          </w:p>
        </w:tc>
        <w:tc>
          <w:tcPr>
            <w:tcW w:w="1300" w:type="dxa"/>
            <w:noWrap/>
            <w:hideMark/>
          </w:tcPr>
          <w:p w14:paraId="5FC25CAD"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2,183.56</w:t>
            </w:r>
          </w:p>
        </w:tc>
        <w:tc>
          <w:tcPr>
            <w:tcW w:w="1300" w:type="dxa"/>
            <w:noWrap/>
            <w:hideMark/>
          </w:tcPr>
          <w:p w14:paraId="3E6A3E27"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5.30</w:t>
            </w:r>
          </w:p>
        </w:tc>
        <w:tc>
          <w:tcPr>
            <w:tcW w:w="1300" w:type="dxa"/>
            <w:noWrap/>
            <w:hideMark/>
          </w:tcPr>
          <w:p w14:paraId="0CDF27D3"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16.58</w:t>
            </w:r>
          </w:p>
        </w:tc>
        <w:tc>
          <w:tcPr>
            <w:tcW w:w="1300" w:type="dxa"/>
            <w:noWrap/>
            <w:hideMark/>
          </w:tcPr>
          <w:p w14:paraId="68079255"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13.97</w:t>
            </w:r>
          </w:p>
        </w:tc>
        <w:tc>
          <w:tcPr>
            <w:tcW w:w="1126" w:type="dxa"/>
            <w:noWrap/>
            <w:hideMark/>
          </w:tcPr>
          <w:p w14:paraId="0585A811" w14:textId="77777777" w:rsidR="002C0761" w:rsidRPr="002C0761" w:rsidRDefault="002C0761">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C0761">
              <w:rPr>
                <w:rFonts w:ascii="Arial" w:hAnsi="Arial" w:cs="Arial"/>
                <w:sz w:val="20"/>
                <w:szCs w:val="20"/>
              </w:rPr>
              <w:t>35.595</w:t>
            </w:r>
          </w:p>
        </w:tc>
      </w:tr>
    </w:tbl>
    <w:p w14:paraId="5B89AF2D" w14:textId="66F0CB84" w:rsidR="002C0761" w:rsidRPr="006D15D1" w:rsidRDefault="00F46EAA" w:rsidP="00F46EAA">
      <w:pPr>
        <w:pStyle w:val="NormalWeb"/>
        <w:spacing w:before="0" w:beforeAutospacing="0"/>
        <w:jc w:val="both"/>
        <w:rPr>
          <w:rFonts w:ascii="Arial" w:hAnsi="Arial" w:cs="Arial"/>
          <w:i/>
          <w:iCs/>
          <w:sz w:val="22"/>
          <w:szCs w:val="22"/>
        </w:rPr>
      </w:pPr>
      <w:r w:rsidRPr="006D15D1">
        <w:rPr>
          <w:rFonts w:ascii="Arial" w:hAnsi="Arial" w:cs="Arial"/>
          <w:b/>
          <w:bCs/>
          <w:i/>
          <w:iCs/>
          <w:sz w:val="18"/>
          <w:szCs w:val="18"/>
        </w:rPr>
        <w:t>Source:</w:t>
      </w:r>
      <w:r w:rsidRPr="006D15D1">
        <w:rPr>
          <w:rFonts w:ascii="Arial" w:hAnsi="Arial" w:cs="Arial"/>
          <w:i/>
          <w:iCs/>
          <w:sz w:val="18"/>
          <w:szCs w:val="18"/>
        </w:rPr>
        <w:t xml:space="preserve"> World Bank, 2025. World Development Indicators (WDI)</w:t>
      </w:r>
    </w:p>
    <w:p w14:paraId="3F1D399B" w14:textId="408DD64E" w:rsidR="005938F3" w:rsidRPr="00150993" w:rsidRDefault="00341CC0" w:rsidP="005938F3">
      <w:pPr>
        <w:pStyle w:val="Caption"/>
        <w:jc w:val="both"/>
        <w:rPr>
          <w:rFonts w:ascii="Arial" w:eastAsiaTheme="minorHAnsi" w:hAnsi="Arial" w:cs="Arial"/>
          <w:b/>
          <w:bCs/>
          <w:i w:val="0"/>
          <w:iCs w:val="0"/>
          <w:color w:val="0070C0"/>
          <w:kern w:val="2"/>
          <w:sz w:val="22"/>
          <w:szCs w:val="22"/>
          <w14:ligatures w14:val="standardContextual"/>
        </w:rPr>
      </w:pPr>
      <w:r>
        <w:rPr>
          <w:rFonts w:ascii="Arial" w:eastAsiaTheme="minorHAnsi" w:hAnsi="Arial" w:cs="Arial"/>
          <w:b/>
          <w:bCs/>
          <w:i w:val="0"/>
          <w:iCs w:val="0"/>
          <w:color w:val="0070C0"/>
          <w:kern w:val="2"/>
          <w:sz w:val="22"/>
          <w:szCs w:val="22"/>
          <w14:ligatures w14:val="standardContextual"/>
        </w:rPr>
        <w:t>D.</w:t>
      </w:r>
      <w:r w:rsidR="00F1210A" w:rsidRPr="00150993">
        <w:rPr>
          <w:rFonts w:ascii="Arial" w:eastAsiaTheme="minorHAnsi" w:hAnsi="Arial" w:cs="Arial"/>
          <w:b/>
          <w:bCs/>
          <w:i w:val="0"/>
          <w:iCs w:val="0"/>
          <w:color w:val="0070C0"/>
          <w:kern w:val="2"/>
          <w:sz w:val="22"/>
          <w:szCs w:val="22"/>
          <w14:ligatures w14:val="standardContextual"/>
        </w:rPr>
        <w:t xml:space="preserve"> </w:t>
      </w:r>
      <w:r w:rsidR="005938F3" w:rsidRPr="00150993">
        <w:rPr>
          <w:rFonts w:ascii="Arial" w:eastAsiaTheme="minorHAnsi" w:hAnsi="Arial" w:cs="Arial"/>
          <w:b/>
          <w:bCs/>
          <w:i w:val="0"/>
          <w:iCs w:val="0"/>
          <w:color w:val="0070C0"/>
          <w:kern w:val="2"/>
          <w:sz w:val="22"/>
          <w:szCs w:val="22"/>
          <w14:ligatures w14:val="standardContextual"/>
        </w:rPr>
        <w:t>Climate-related threats</w:t>
      </w:r>
    </w:p>
    <w:p w14:paraId="1D08906D" w14:textId="034D14A2" w:rsidR="005938F3" w:rsidRPr="00150993" w:rsidRDefault="005938F3" w:rsidP="005938F3">
      <w:pPr>
        <w:pStyle w:val="NormalWeb"/>
        <w:jc w:val="both"/>
        <w:rPr>
          <w:rFonts w:ascii="Arial" w:hAnsi="Arial" w:cs="Arial"/>
          <w:sz w:val="22"/>
          <w:szCs w:val="22"/>
        </w:rPr>
      </w:pPr>
      <w:r w:rsidRPr="00150993">
        <w:rPr>
          <w:rFonts w:ascii="Arial" w:hAnsi="Arial" w:cs="Arial"/>
          <w:sz w:val="22"/>
          <w:szCs w:val="22"/>
        </w:rPr>
        <w:t>Climate-related threat indicators summarize the frequency and severity of hazard events and the underlying climate trends affecting coastal communities. They include counts of major floods, droughts and storms; associated deaths, people affected and economic losses; and long-term trends in temperature, rainfall variability and sea-level rise. Disaster statistics are compiled from EM-DAT and national disaster-management records, while climate trends and projections use the World Bank Climate Change Knowledge Portal and national hydro-meteorological datasets. Indicators are normalised where appropriate (e.g. losses per capita) and, when possible, disaggregated to coastal provinces. The annex explains event classifications, treatment of missing values, and the limitations of historical records when interpreting climate-risk patterns.</w:t>
      </w:r>
    </w:p>
    <w:p w14:paraId="16D9CE47" w14:textId="70026E10" w:rsidR="00F1210A" w:rsidRPr="00150993" w:rsidRDefault="002911A3" w:rsidP="00150993">
      <w:pPr>
        <w:pStyle w:val="Caption"/>
        <w:keepNext/>
        <w:spacing w:before="240" w:after="120"/>
        <w:rPr>
          <w:rFonts w:ascii="Arial" w:eastAsiaTheme="minorHAnsi" w:hAnsi="Arial" w:cs="Arial"/>
          <w:color w:val="002060"/>
          <w:kern w:val="2"/>
          <w:sz w:val="22"/>
          <w:szCs w:val="22"/>
          <w14:ligatures w14:val="standardContextual"/>
        </w:rPr>
      </w:pPr>
      <w:r w:rsidRPr="00150993">
        <w:rPr>
          <w:rFonts w:ascii="Arial" w:eastAsiaTheme="minorHAnsi" w:hAnsi="Arial" w:cs="Arial"/>
          <w:color w:val="002060"/>
          <w:kern w:val="2"/>
          <w:sz w:val="22"/>
          <w:szCs w:val="22"/>
          <w14:ligatures w14:val="standardContextual"/>
        </w:rPr>
        <w:t>Annex Table 2-</w:t>
      </w:r>
      <w:r w:rsidRPr="00150993">
        <w:rPr>
          <w:rFonts w:ascii="Arial" w:eastAsiaTheme="minorHAnsi" w:hAnsi="Arial" w:cs="Arial"/>
          <w:color w:val="002060"/>
          <w:kern w:val="2"/>
          <w:sz w:val="22"/>
          <w:szCs w:val="22"/>
          <w14:ligatures w14:val="standardContextual"/>
        </w:rPr>
        <w:fldChar w:fldCharType="begin"/>
      </w:r>
      <w:r w:rsidRPr="00150993">
        <w:rPr>
          <w:rFonts w:ascii="Arial" w:eastAsiaTheme="minorHAnsi" w:hAnsi="Arial" w:cs="Arial"/>
          <w:color w:val="002060"/>
          <w:kern w:val="2"/>
          <w:sz w:val="22"/>
          <w:szCs w:val="22"/>
          <w14:ligatures w14:val="standardContextual"/>
        </w:rPr>
        <w:instrText xml:space="preserve"> SEQ Annex_Table_2- \* ARABIC </w:instrText>
      </w:r>
      <w:r w:rsidRPr="00150993">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10</w:t>
      </w:r>
      <w:r w:rsidRPr="00150993">
        <w:rPr>
          <w:rFonts w:ascii="Arial" w:eastAsiaTheme="minorHAnsi" w:hAnsi="Arial" w:cs="Arial"/>
          <w:color w:val="002060"/>
          <w:kern w:val="2"/>
          <w:sz w:val="22"/>
          <w:szCs w:val="22"/>
          <w14:ligatures w14:val="standardContextual"/>
        </w:rPr>
        <w:fldChar w:fldCharType="end"/>
      </w:r>
      <w:r w:rsidRPr="00150993">
        <w:rPr>
          <w:rFonts w:ascii="Arial" w:eastAsiaTheme="minorHAnsi" w:hAnsi="Arial" w:cs="Arial"/>
          <w:color w:val="002060"/>
          <w:kern w:val="2"/>
          <w:sz w:val="22"/>
          <w:szCs w:val="22"/>
          <w14:ligatures w14:val="standardContextual"/>
        </w:rPr>
        <w:t xml:space="preserve"> </w:t>
      </w:r>
      <w:r w:rsidR="00150993" w:rsidRPr="00150993">
        <w:rPr>
          <w:rFonts w:ascii="Arial" w:eastAsiaTheme="minorHAnsi" w:hAnsi="Arial" w:cs="Arial"/>
          <w:color w:val="002060"/>
          <w:kern w:val="2"/>
          <w:sz w:val="22"/>
          <w:szCs w:val="22"/>
          <w14:ligatures w14:val="standardContextual"/>
        </w:rPr>
        <w:t>Climate-related threats: data sources, metadata, metadata, &amp; aeesement methods</w:t>
      </w:r>
    </w:p>
    <w:tbl>
      <w:tblPr>
        <w:tblStyle w:val="GridTable4-Accent5"/>
        <w:tblW w:w="0" w:type="auto"/>
        <w:tblLook w:val="04A0" w:firstRow="1" w:lastRow="0" w:firstColumn="1" w:lastColumn="0" w:noHBand="0" w:noVBand="1"/>
      </w:tblPr>
      <w:tblGrid>
        <w:gridCol w:w="1554"/>
        <w:gridCol w:w="1457"/>
        <w:gridCol w:w="1248"/>
        <w:gridCol w:w="1398"/>
        <w:gridCol w:w="1345"/>
        <w:gridCol w:w="2008"/>
      </w:tblGrid>
      <w:tr w:rsidR="00D905C9" w:rsidRPr="00D905C9" w14:paraId="4FBC4C3A" w14:textId="77777777" w:rsidTr="001509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C2E2E42" w14:textId="77777777" w:rsidR="00F1210A" w:rsidRPr="00D905C9" w:rsidRDefault="00F1210A">
            <w:pPr>
              <w:jc w:val="center"/>
              <w:rPr>
                <w:rFonts w:ascii="Arial" w:hAnsi="Arial" w:cs="Arial"/>
                <w:sz w:val="20"/>
                <w:szCs w:val="20"/>
              </w:rPr>
            </w:pPr>
            <w:r w:rsidRPr="00D905C9">
              <w:rPr>
                <w:rFonts w:ascii="Arial" w:hAnsi="Arial" w:cs="Arial"/>
                <w:sz w:val="20"/>
                <w:szCs w:val="20"/>
              </w:rPr>
              <w:t>Indicator</w:t>
            </w:r>
          </w:p>
        </w:tc>
        <w:tc>
          <w:tcPr>
            <w:tcW w:w="0" w:type="auto"/>
            <w:hideMark/>
          </w:tcPr>
          <w:p w14:paraId="22B17731" w14:textId="77777777" w:rsidR="00F1210A" w:rsidRPr="00D905C9"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Definition &amp; Unit</w:t>
            </w:r>
          </w:p>
        </w:tc>
        <w:tc>
          <w:tcPr>
            <w:tcW w:w="0" w:type="auto"/>
            <w:hideMark/>
          </w:tcPr>
          <w:p w14:paraId="0D3644C8" w14:textId="77777777" w:rsidR="00F1210A" w:rsidRPr="00D905C9"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Spatial Coverage</w:t>
            </w:r>
          </w:p>
        </w:tc>
        <w:tc>
          <w:tcPr>
            <w:tcW w:w="0" w:type="auto"/>
            <w:hideMark/>
          </w:tcPr>
          <w:p w14:paraId="75F9660C" w14:textId="77777777" w:rsidR="00F1210A" w:rsidRPr="00D905C9"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Time Series Availability</w:t>
            </w:r>
          </w:p>
        </w:tc>
        <w:tc>
          <w:tcPr>
            <w:tcW w:w="0" w:type="auto"/>
            <w:hideMark/>
          </w:tcPr>
          <w:p w14:paraId="7BCCDFCE" w14:textId="77777777" w:rsidR="00F1210A" w:rsidRPr="00D905C9"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Data Sources</w:t>
            </w:r>
          </w:p>
        </w:tc>
        <w:tc>
          <w:tcPr>
            <w:tcW w:w="0" w:type="auto"/>
            <w:hideMark/>
          </w:tcPr>
          <w:p w14:paraId="7DB2CF01" w14:textId="77777777" w:rsidR="00F1210A" w:rsidRPr="00D905C9" w:rsidRDefault="00F1210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Methods / Notes</w:t>
            </w:r>
          </w:p>
        </w:tc>
      </w:tr>
      <w:tr w:rsidR="00D905C9" w:rsidRPr="00D905C9" w14:paraId="0EBB2319" w14:textId="77777777" w:rsidTr="001509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F2000AC" w14:textId="77777777" w:rsidR="00F1210A" w:rsidRPr="001A219D" w:rsidRDefault="00F1210A">
            <w:pPr>
              <w:rPr>
                <w:rFonts w:ascii="Arial" w:hAnsi="Arial" w:cs="Arial"/>
                <w:sz w:val="20"/>
                <w:szCs w:val="20"/>
              </w:rPr>
            </w:pPr>
            <w:r w:rsidRPr="001A219D">
              <w:rPr>
                <w:rFonts w:ascii="Arial" w:hAnsi="Arial" w:cs="Arial"/>
                <w:sz w:val="20"/>
                <w:szCs w:val="20"/>
              </w:rPr>
              <w:t>Rainfall variability</w:t>
            </w:r>
          </w:p>
        </w:tc>
        <w:tc>
          <w:tcPr>
            <w:tcW w:w="0" w:type="auto"/>
            <w:hideMark/>
          </w:tcPr>
          <w:p w14:paraId="39C6C4F7"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Annual &amp; seasonal rainfall (mm)</w:t>
            </w:r>
          </w:p>
        </w:tc>
        <w:tc>
          <w:tcPr>
            <w:tcW w:w="0" w:type="auto"/>
            <w:hideMark/>
          </w:tcPr>
          <w:p w14:paraId="197F0296"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National</w:t>
            </w:r>
          </w:p>
        </w:tc>
        <w:tc>
          <w:tcPr>
            <w:tcW w:w="0" w:type="auto"/>
            <w:hideMark/>
          </w:tcPr>
          <w:p w14:paraId="3892F994"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1960–2023</w:t>
            </w:r>
          </w:p>
        </w:tc>
        <w:tc>
          <w:tcPr>
            <w:tcW w:w="0" w:type="auto"/>
            <w:hideMark/>
          </w:tcPr>
          <w:p w14:paraId="797D685F"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WB CCKP; hydro-met records</w:t>
            </w:r>
          </w:p>
        </w:tc>
        <w:tc>
          <w:tcPr>
            <w:tcW w:w="0" w:type="auto"/>
            <w:hideMark/>
          </w:tcPr>
          <w:p w14:paraId="5B19FAE6"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Variability assessed using coefficient of variation and seasonal anomalies.</w:t>
            </w:r>
          </w:p>
        </w:tc>
      </w:tr>
      <w:tr w:rsidR="00D905C9" w:rsidRPr="00D905C9" w14:paraId="027D4BBF" w14:textId="77777777" w:rsidTr="00150993">
        <w:tc>
          <w:tcPr>
            <w:cnfStyle w:val="001000000000" w:firstRow="0" w:lastRow="0" w:firstColumn="1" w:lastColumn="0" w:oddVBand="0" w:evenVBand="0" w:oddHBand="0" w:evenHBand="0" w:firstRowFirstColumn="0" w:firstRowLastColumn="0" w:lastRowFirstColumn="0" w:lastRowLastColumn="0"/>
            <w:tcW w:w="0" w:type="auto"/>
            <w:hideMark/>
          </w:tcPr>
          <w:p w14:paraId="3C3E2BE2" w14:textId="77777777" w:rsidR="00F1210A" w:rsidRPr="001A219D" w:rsidRDefault="00F1210A">
            <w:pPr>
              <w:rPr>
                <w:rFonts w:ascii="Arial" w:hAnsi="Arial" w:cs="Arial"/>
                <w:sz w:val="20"/>
                <w:szCs w:val="20"/>
              </w:rPr>
            </w:pPr>
            <w:r w:rsidRPr="001A219D">
              <w:rPr>
                <w:rFonts w:ascii="Arial" w:hAnsi="Arial" w:cs="Arial"/>
                <w:sz w:val="20"/>
                <w:szCs w:val="20"/>
              </w:rPr>
              <w:t>Sea-level rise projections</w:t>
            </w:r>
          </w:p>
        </w:tc>
        <w:tc>
          <w:tcPr>
            <w:tcW w:w="0" w:type="auto"/>
            <w:hideMark/>
          </w:tcPr>
          <w:p w14:paraId="3826409D"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cm relative to baseline</w:t>
            </w:r>
          </w:p>
        </w:tc>
        <w:tc>
          <w:tcPr>
            <w:tcW w:w="0" w:type="auto"/>
            <w:hideMark/>
          </w:tcPr>
          <w:p w14:paraId="2E8993C3"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Coastal provinces</w:t>
            </w:r>
          </w:p>
        </w:tc>
        <w:tc>
          <w:tcPr>
            <w:tcW w:w="0" w:type="auto"/>
            <w:hideMark/>
          </w:tcPr>
          <w:p w14:paraId="6EF679AD"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 xml:space="preserve">Projections to </w:t>
            </w:r>
            <w:r w:rsidRPr="00D905C9">
              <w:rPr>
                <w:rStyle w:val="Strong"/>
                <w:rFonts w:ascii="Arial" w:eastAsiaTheme="majorEastAsia" w:hAnsi="Arial" w:cs="Arial"/>
                <w:b w:val="0"/>
                <w:bCs w:val="0"/>
                <w:sz w:val="20"/>
                <w:szCs w:val="20"/>
              </w:rPr>
              <w:t>2050/2100</w:t>
            </w:r>
          </w:p>
        </w:tc>
        <w:tc>
          <w:tcPr>
            <w:tcW w:w="0" w:type="auto"/>
            <w:hideMark/>
          </w:tcPr>
          <w:p w14:paraId="00A6D9E3"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WB CCKP (IPCC AR6 pathways)</w:t>
            </w:r>
          </w:p>
        </w:tc>
        <w:tc>
          <w:tcPr>
            <w:tcW w:w="0" w:type="auto"/>
            <w:hideMark/>
          </w:tcPr>
          <w:p w14:paraId="1C018CA5"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Range-based (low–high scenarios); province-level interpretation.</w:t>
            </w:r>
          </w:p>
        </w:tc>
      </w:tr>
      <w:tr w:rsidR="00D905C9" w:rsidRPr="00D905C9" w14:paraId="1E3BDBBD" w14:textId="77777777" w:rsidTr="001509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BCF870A" w14:textId="77777777" w:rsidR="00F1210A" w:rsidRPr="001A219D" w:rsidRDefault="00F1210A">
            <w:pPr>
              <w:rPr>
                <w:rFonts w:ascii="Arial" w:hAnsi="Arial" w:cs="Arial"/>
                <w:sz w:val="20"/>
                <w:szCs w:val="20"/>
              </w:rPr>
            </w:pPr>
            <w:r w:rsidRPr="001A219D">
              <w:rPr>
                <w:rFonts w:ascii="Arial" w:hAnsi="Arial" w:cs="Arial"/>
                <w:sz w:val="20"/>
                <w:szCs w:val="20"/>
              </w:rPr>
              <w:t>Flood events</w:t>
            </w:r>
          </w:p>
        </w:tc>
        <w:tc>
          <w:tcPr>
            <w:tcW w:w="0" w:type="auto"/>
            <w:hideMark/>
          </w:tcPr>
          <w:p w14:paraId="037C3FA7"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Number of events; people affected; damage</w:t>
            </w:r>
          </w:p>
        </w:tc>
        <w:tc>
          <w:tcPr>
            <w:tcW w:w="0" w:type="auto"/>
            <w:hideMark/>
          </w:tcPr>
          <w:p w14:paraId="50A28E32"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National &amp; provincial</w:t>
            </w:r>
          </w:p>
        </w:tc>
        <w:tc>
          <w:tcPr>
            <w:tcW w:w="0" w:type="auto"/>
            <w:hideMark/>
          </w:tcPr>
          <w:p w14:paraId="0735EFEB"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Style w:val="Strong"/>
                <w:rFonts w:ascii="Arial" w:eastAsiaTheme="majorEastAsia" w:hAnsi="Arial" w:cs="Arial"/>
                <w:b w:val="0"/>
                <w:bCs w:val="0"/>
                <w:sz w:val="20"/>
                <w:szCs w:val="20"/>
              </w:rPr>
              <w:t>2000–2024</w:t>
            </w:r>
          </w:p>
        </w:tc>
        <w:tc>
          <w:tcPr>
            <w:tcW w:w="0" w:type="auto"/>
            <w:hideMark/>
          </w:tcPr>
          <w:p w14:paraId="3B41BAC6"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EM-DAT; NCDM</w:t>
            </w:r>
          </w:p>
        </w:tc>
        <w:tc>
          <w:tcPr>
            <w:tcW w:w="0" w:type="auto"/>
            <w:hideMark/>
          </w:tcPr>
          <w:p w14:paraId="63A724CE"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Event classification standardised; damages expressed in ‘000 US$.</w:t>
            </w:r>
          </w:p>
        </w:tc>
      </w:tr>
      <w:tr w:rsidR="00D905C9" w:rsidRPr="00D905C9" w14:paraId="5111CEE1" w14:textId="77777777" w:rsidTr="00150993">
        <w:tc>
          <w:tcPr>
            <w:cnfStyle w:val="001000000000" w:firstRow="0" w:lastRow="0" w:firstColumn="1" w:lastColumn="0" w:oddVBand="0" w:evenVBand="0" w:oddHBand="0" w:evenHBand="0" w:firstRowFirstColumn="0" w:firstRowLastColumn="0" w:lastRowFirstColumn="0" w:lastRowLastColumn="0"/>
            <w:tcW w:w="0" w:type="auto"/>
            <w:hideMark/>
          </w:tcPr>
          <w:p w14:paraId="7969A086" w14:textId="77777777" w:rsidR="00F1210A" w:rsidRPr="001A219D" w:rsidRDefault="00F1210A">
            <w:pPr>
              <w:rPr>
                <w:rFonts w:ascii="Arial" w:hAnsi="Arial" w:cs="Arial"/>
                <w:sz w:val="20"/>
                <w:szCs w:val="20"/>
              </w:rPr>
            </w:pPr>
            <w:r w:rsidRPr="001A219D">
              <w:rPr>
                <w:rFonts w:ascii="Arial" w:hAnsi="Arial" w:cs="Arial"/>
                <w:sz w:val="20"/>
                <w:szCs w:val="20"/>
              </w:rPr>
              <w:t>Drought events</w:t>
            </w:r>
          </w:p>
        </w:tc>
        <w:tc>
          <w:tcPr>
            <w:tcW w:w="0" w:type="auto"/>
            <w:hideMark/>
          </w:tcPr>
          <w:p w14:paraId="64401DBA"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Number of events; affected population</w:t>
            </w:r>
          </w:p>
        </w:tc>
        <w:tc>
          <w:tcPr>
            <w:tcW w:w="0" w:type="auto"/>
            <w:hideMark/>
          </w:tcPr>
          <w:p w14:paraId="0AC15BE3"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National &amp; provincial</w:t>
            </w:r>
          </w:p>
        </w:tc>
        <w:tc>
          <w:tcPr>
            <w:tcW w:w="0" w:type="auto"/>
            <w:hideMark/>
          </w:tcPr>
          <w:p w14:paraId="36EEDBD9"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2000–2024</w:t>
            </w:r>
          </w:p>
        </w:tc>
        <w:tc>
          <w:tcPr>
            <w:tcW w:w="0" w:type="auto"/>
            <w:hideMark/>
          </w:tcPr>
          <w:p w14:paraId="0474D925"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EM-DAT; national records</w:t>
            </w:r>
          </w:p>
        </w:tc>
        <w:tc>
          <w:tcPr>
            <w:tcW w:w="0" w:type="auto"/>
            <w:hideMark/>
          </w:tcPr>
          <w:p w14:paraId="11BB1498"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Data patchy pre-2010; descriptive trend only.</w:t>
            </w:r>
          </w:p>
        </w:tc>
      </w:tr>
      <w:tr w:rsidR="00D905C9" w:rsidRPr="00D905C9" w14:paraId="2A77A766" w14:textId="77777777" w:rsidTr="001509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33A6867" w14:textId="77777777" w:rsidR="00F1210A" w:rsidRPr="001A219D" w:rsidRDefault="00F1210A">
            <w:pPr>
              <w:rPr>
                <w:rFonts w:ascii="Arial" w:hAnsi="Arial" w:cs="Arial"/>
                <w:sz w:val="20"/>
                <w:szCs w:val="20"/>
              </w:rPr>
            </w:pPr>
            <w:r w:rsidRPr="001A219D">
              <w:rPr>
                <w:rFonts w:ascii="Arial" w:hAnsi="Arial" w:cs="Arial"/>
                <w:sz w:val="20"/>
                <w:szCs w:val="20"/>
              </w:rPr>
              <w:t>Storms &amp; coastal hazards</w:t>
            </w:r>
          </w:p>
        </w:tc>
        <w:tc>
          <w:tcPr>
            <w:tcW w:w="0" w:type="auto"/>
            <w:hideMark/>
          </w:tcPr>
          <w:p w14:paraId="62C40903"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 of events; affected areas</w:t>
            </w:r>
          </w:p>
        </w:tc>
        <w:tc>
          <w:tcPr>
            <w:tcW w:w="0" w:type="auto"/>
            <w:hideMark/>
          </w:tcPr>
          <w:p w14:paraId="159AB0E1"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National; coastal areas</w:t>
            </w:r>
          </w:p>
        </w:tc>
        <w:tc>
          <w:tcPr>
            <w:tcW w:w="0" w:type="auto"/>
            <w:hideMark/>
          </w:tcPr>
          <w:p w14:paraId="6A8053B8"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2000–2024</w:t>
            </w:r>
          </w:p>
        </w:tc>
        <w:tc>
          <w:tcPr>
            <w:tcW w:w="0" w:type="auto"/>
            <w:hideMark/>
          </w:tcPr>
          <w:p w14:paraId="5818AB95"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EM-DAT; DRM reports</w:t>
            </w:r>
          </w:p>
        </w:tc>
        <w:tc>
          <w:tcPr>
            <w:tcW w:w="0" w:type="auto"/>
            <w:hideMark/>
          </w:tcPr>
          <w:p w14:paraId="457B68FE" w14:textId="77777777" w:rsidR="00F1210A" w:rsidRPr="00D905C9" w:rsidRDefault="00F1210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905C9">
              <w:rPr>
                <w:rFonts w:ascii="Arial" w:hAnsi="Arial" w:cs="Arial"/>
                <w:sz w:val="20"/>
                <w:szCs w:val="20"/>
              </w:rPr>
              <w:t>Used to identify exposure hotspots.</w:t>
            </w:r>
          </w:p>
        </w:tc>
      </w:tr>
      <w:tr w:rsidR="00D905C9" w:rsidRPr="00D905C9" w14:paraId="0B7724C9" w14:textId="77777777" w:rsidTr="00150993">
        <w:tc>
          <w:tcPr>
            <w:cnfStyle w:val="001000000000" w:firstRow="0" w:lastRow="0" w:firstColumn="1" w:lastColumn="0" w:oddVBand="0" w:evenVBand="0" w:oddHBand="0" w:evenHBand="0" w:firstRowFirstColumn="0" w:firstRowLastColumn="0" w:lastRowFirstColumn="0" w:lastRowLastColumn="0"/>
            <w:tcW w:w="0" w:type="auto"/>
            <w:hideMark/>
          </w:tcPr>
          <w:p w14:paraId="4B5DC6B3" w14:textId="77777777" w:rsidR="00F1210A" w:rsidRPr="001A219D" w:rsidRDefault="00F1210A">
            <w:pPr>
              <w:rPr>
                <w:rFonts w:ascii="Arial" w:hAnsi="Arial" w:cs="Arial"/>
                <w:sz w:val="20"/>
                <w:szCs w:val="20"/>
              </w:rPr>
            </w:pPr>
            <w:r w:rsidRPr="001A219D">
              <w:rPr>
                <w:rFonts w:ascii="Arial" w:hAnsi="Arial" w:cs="Arial"/>
                <w:sz w:val="20"/>
                <w:szCs w:val="20"/>
              </w:rPr>
              <w:t>Climate vulnerability factors</w:t>
            </w:r>
          </w:p>
        </w:tc>
        <w:tc>
          <w:tcPr>
            <w:tcW w:w="0" w:type="auto"/>
            <w:hideMark/>
          </w:tcPr>
          <w:p w14:paraId="679CA847"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Exposure + sensitivity + adaptive capacity</w:t>
            </w:r>
          </w:p>
        </w:tc>
        <w:tc>
          <w:tcPr>
            <w:tcW w:w="0" w:type="auto"/>
            <w:hideMark/>
          </w:tcPr>
          <w:p w14:paraId="7FF0912B"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National; provincial</w:t>
            </w:r>
          </w:p>
        </w:tc>
        <w:tc>
          <w:tcPr>
            <w:tcW w:w="0" w:type="auto"/>
            <w:hideMark/>
          </w:tcPr>
          <w:p w14:paraId="4AFE159B"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Cross-sectional</w:t>
            </w:r>
          </w:p>
        </w:tc>
        <w:tc>
          <w:tcPr>
            <w:tcW w:w="0" w:type="auto"/>
            <w:hideMark/>
          </w:tcPr>
          <w:p w14:paraId="108FC63C"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Derived from multiple indicators</w:t>
            </w:r>
          </w:p>
        </w:tc>
        <w:tc>
          <w:tcPr>
            <w:tcW w:w="0" w:type="auto"/>
            <w:hideMark/>
          </w:tcPr>
          <w:p w14:paraId="76B4A6FD" w14:textId="77777777" w:rsidR="00F1210A" w:rsidRPr="00D905C9" w:rsidRDefault="00F1210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905C9">
              <w:rPr>
                <w:rFonts w:ascii="Arial" w:hAnsi="Arial" w:cs="Arial"/>
                <w:sz w:val="20"/>
                <w:szCs w:val="20"/>
              </w:rPr>
              <w:t>Composite index (qualitative); no time-series.</w:t>
            </w:r>
          </w:p>
        </w:tc>
      </w:tr>
    </w:tbl>
    <w:p w14:paraId="354831D6" w14:textId="6F3A1DAA" w:rsidR="00F94948" w:rsidRPr="00150993" w:rsidRDefault="00F94948" w:rsidP="00150993">
      <w:pPr>
        <w:pStyle w:val="Caption"/>
        <w:jc w:val="both"/>
        <w:rPr>
          <w:rFonts w:ascii="Arial" w:hAnsi="Arial" w:cs="Arial"/>
          <w:i w:val="0"/>
          <w:iCs w:val="0"/>
          <w:color w:val="0070C0"/>
          <w:sz w:val="21"/>
          <w:szCs w:val="21"/>
        </w:rPr>
      </w:pPr>
    </w:p>
    <w:p w14:paraId="759A0B83" w14:textId="3A5839AB" w:rsidR="00150993" w:rsidRPr="00D905C9" w:rsidRDefault="00150993" w:rsidP="00150993">
      <w:pPr>
        <w:pStyle w:val="Caption"/>
        <w:keepNext/>
        <w:spacing w:before="240" w:after="120"/>
        <w:rPr>
          <w:rFonts w:ascii="Arial" w:eastAsiaTheme="minorHAnsi" w:hAnsi="Arial" w:cs="Arial"/>
          <w:color w:val="002060"/>
          <w:kern w:val="2"/>
          <w:sz w:val="22"/>
          <w:szCs w:val="22"/>
          <w14:ligatures w14:val="standardContextual"/>
        </w:rPr>
      </w:pPr>
      <w:bookmarkStart w:id="88" w:name="_Ref215217014"/>
      <w:r w:rsidRPr="00D905C9">
        <w:rPr>
          <w:rFonts w:ascii="Arial" w:eastAsiaTheme="minorHAnsi" w:hAnsi="Arial" w:cs="Arial"/>
          <w:color w:val="002060"/>
          <w:kern w:val="2"/>
          <w:sz w:val="22"/>
          <w:szCs w:val="22"/>
          <w14:ligatures w14:val="standardContextual"/>
        </w:rPr>
        <w:t>Annex Table 2-</w:t>
      </w:r>
      <w:r w:rsidRPr="00D905C9">
        <w:rPr>
          <w:rFonts w:ascii="Arial" w:eastAsiaTheme="minorHAnsi" w:hAnsi="Arial" w:cs="Arial"/>
          <w:color w:val="002060"/>
          <w:kern w:val="2"/>
          <w:sz w:val="22"/>
          <w:szCs w:val="22"/>
          <w14:ligatures w14:val="standardContextual"/>
        </w:rPr>
        <w:fldChar w:fldCharType="begin"/>
      </w:r>
      <w:r w:rsidRPr="00D905C9">
        <w:rPr>
          <w:rFonts w:ascii="Arial" w:eastAsiaTheme="minorHAnsi" w:hAnsi="Arial" w:cs="Arial"/>
          <w:color w:val="002060"/>
          <w:kern w:val="2"/>
          <w:sz w:val="22"/>
          <w:szCs w:val="22"/>
          <w14:ligatures w14:val="standardContextual"/>
        </w:rPr>
        <w:instrText xml:space="preserve"> SEQ Annex_Table_2- \* ARABIC </w:instrText>
      </w:r>
      <w:r w:rsidRPr="00D905C9">
        <w:rPr>
          <w:rFonts w:ascii="Arial" w:eastAsiaTheme="minorHAnsi" w:hAnsi="Arial" w:cs="Arial"/>
          <w:color w:val="002060"/>
          <w:kern w:val="2"/>
          <w:sz w:val="22"/>
          <w:szCs w:val="22"/>
          <w14:ligatures w14:val="standardContextual"/>
        </w:rPr>
        <w:fldChar w:fldCharType="separate"/>
      </w:r>
      <w:r w:rsidR="005A16C1">
        <w:rPr>
          <w:rFonts w:ascii="Arial" w:eastAsiaTheme="minorHAnsi" w:hAnsi="Arial" w:cs="Arial"/>
          <w:noProof/>
          <w:color w:val="002060"/>
          <w:kern w:val="2"/>
          <w:sz w:val="22"/>
          <w:szCs w:val="22"/>
          <w14:ligatures w14:val="standardContextual"/>
        </w:rPr>
        <w:t>11</w:t>
      </w:r>
      <w:r w:rsidRPr="00D905C9">
        <w:rPr>
          <w:rFonts w:ascii="Arial" w:eastAsiaTheme="minorHAnsi" w:hAnsi="Arial" w:cs="Arial"/>
          <w:color w:val="002060"/>
          <w:kern w:val="2"/>
          <w:sz w:val="22"/>
          <w:szCs w:val="22"/>
          <w14:ligatures w14:val="standardContextual"/>
        </w:rPr>
        <w:fldChar w:fldCharType="end"/>
      </w:r>
      <w:bookmarkEnd w:id="88"/>
      <w:r w:rsidRPr="00D905C9">
        <w:rPr>
          <w:rFonts w:ascii="Arial" w:eastAsiaTheme="minorHAnsi" w:hAnsi="Arial" w:cs="Arial"/>
          <w:color w:val="002060"/>
          <w:kern w:val="2"/>
          <w:sz w:val="22"/>
          <w:szCs w:val="22"/>
          <w14:ligatures w14:val="standardContextual"/>
        </w:rPr>
        <w:t xml:space="preserve"> Summary of Major Climate- and Weather-Related Disasters in Cambodia, 2000–2023 (EM-DAT and CFE-DMHA Compilation)</w:t>
      </w:r>
    </w:p>
    <w:tbl>
      <w:tblPr>
        <w:tblStyle w:val="GridTable4-Accent5"/>
        <w:tblW w:w="9067" w:type="dxa"/>
        <w:tblLook w:val="04A0" w:firstRow="1" w:lastRow="0" w:firstColumn="1" w:lastColumn="0" w:noHBand="0" w:noVBand="1"/>
      </w:tblPr>
      <w:tblGrid>
        <w:gridCol w:w="1390"/>
        <w:gridCol w:w="2515"/>
        <w:gridCol w:w="626"/>
        <w:gridCol w:w="817"/>
        <w:gridCol w:w="817"/>
        <w:gridCol w:w="993"/>
        <w:gridCol w:w="917"/>
        <w:gridCol w:w="992"/>
      </w:tblGrid>
      <w:tr w:rsidR="001A219D" w:rsidRPr="00150993" w14:paraId="60502BC4" w14:textId="77777777" w:rsidTr="006F3FE3">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1292" w:type="dxa"/>
            <w:noWrap/>
            <w:vAlign w:val="center"/>
            <w:hideMark/>
          </w:tcPr>
          <w:p w14:paraId="31B89747" w14:textId="77777777" w:rsidR="00150993" w:rsidRPr="00150993" w:rsidRDefault="00150993" w:rsidP="006F3FE3">
            <w:pPr>
              <w:jc w:val="center"/>
              <w:rPr>
                <w:rFonts w:ascii="Arial" w:hAnsi="Arial" w:cs="Arial"/>
                <w:sz w:val="16"/>
                <w:szCs w:val="16"/>
              </w:rPr>
            </w:pPr>
            <w:r w:rsidRPr="00150993">
              <w:rPr>
                <w:rFonts w:ascii="Arial" w:hAnsi="Arial" w:cs="Arial"/>
                <w:sz w:val="16"/>
                <w:szCs w:val="16"/>
              </w:rPr>
              <w:t>Disaster Subtype</w:t>
            </w:r>
          </w:p>
        </w:tc>
        <w:tc>
          <w:tcPr>
            <w:tcW w:w="2814" w:type="dxa"/>
            <w:vAlign w:val="center"/>
            <w:hideMark/>
          </w:tcPr>
          <w:p w14:paraId="11904DD8" w14:textId="184AD6A3" w:rsidR="00150993" w:rsidRPr="00150993"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150993">
              <w:rPr>
                <w:rFonts w:ascii="Arial" w:hAnsi="Arial" w:cs="Arial"/>
                <w:sz w:val="16"/>
                <w:szCs w:val="16"/>
              </w:rPr>
              <w:t>Location</w:t>
            </w:r>
            <w:r w:rsidR="001A219D">
              <w:rPr>
                <w:rFonts w:ascii="Arial" w:hAnsi="Arial" w:cs="Arial"/>
                <w:sz w:val="16"/>
                <w:szCs w:val="16"/>
              </w:rPr>
              <w:t>s</w:t>
            </w:r>
          </w:p>
        </w:tc>
        <w:tc>
          <w:tcPr>
            <w:tcW w:w="626" w:type="dxa"/>
            <w:noWrap/>
            <w:vAlign w:val="center"/>
            <w:hideMark/>
          </w:tcPr>
          <w:p w14:paraId="68072325" w14:textId="77777777" w:rsidR="00150993" w:rsidRPr="001A219D"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A219D">
              <w:rPr>
                <w:rFonts w:ascii="Arial" w:hAnsi="Arial" w:cs="Arial"/>
                <w:sz w:val="18"/>
                <w:szCs w:val="18"/>
              </w:rPr>
              <w:t>Year</w:t>
            </w:r>
          </w:p>
        </w:tc>
        <w:tc>
          <w:tcPr>
            <w:tcW w:w="750" w:type="dxa"/>
            <w:noWrap/>
            <w:vAlign w:val="center"/>
            <w:hideMark/>
          </w:tcPr>
          <w:p w14:paraId="74DC2DD0" w14:textId="77777777" w:rsidR="00150993" w:rsidRPr="001A219D"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A219D">
              <w:rPr>
                <w:rFonts w:ascii="Arial" w:hAnsi="Arial" w:cs="Arial"/>
                <w:sz w:val="18"/>
                <w:szCs w:val="18"/>
              </w:rPr>
              <w:t>Total Deaths</w:t>
            </w:r>
          </w:p>
        </w:tc>
        <w:tc>
          <w:tcPr>
            <w:tcW w:w="750" w:type="dxa"/>
            <w:noWrap/>
            <w:vAlign w:val="center"/>
            <w:hideMark/>
          </w:tcPr>
          <w:p w14:paraId="3DD66991" w14:textId="77777777" w:rsidR="00150993" w:rsidRPr="001A219D"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A219D">
              <w:rPr>
                <w:rFonts w:ascii="Arial" w:hAnsi="Arial" w:cs="Arial"/>
                <w:sz w:val="18"/>
                <w:szCs w:val="18"/>
              </w:rPr>
              <w:t>No. Injured</w:t>
            </w:r>
          </w:p>
        </w:tc>
        <w:tc>
          <w:tcPr>
            <w:tcW w:w="993" w:type="dxa"/>
            <w:noWrap/>
            <w:vAlign w:val="center"/>
            <w:hideMark/>
          </w:tcPr>
          <w:p w14:paraId="659CB3D1" w14:textId="77777777" w:rsidR="00150993" w:rsidRPr="001A219D"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A219D">
              <w:rPr>
                <w:rFonts w:ascii="Arial" w:hAnsi="Arial" w:cs="Arial"/>
                <w:sz w:val="18"/>
                <w:szCs w:val="18"/>
              </w:rPr>
              <w:t>No. Affected</w:t>
            </w:r>
          </w:p>
        </w:tc>
        <w:tc>
          <w:tcPr>
            <w:tcW w:w="850" w:type="dxa"/>
            <w:noWrap/>
            <w:vAlign w:val="center"/>
            <w:hideMark/>
          </w:tcPr>
          <w:p w14:paraId="47AB5874" w14:textId="77777777" w:rsidR="00150993" w:rsidRPr="001A219D"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A219D">
              <w:rPr>
                <w:rFonts w:ascii="Arial" w:hAnsi="Arial" w:cs="Arial"/>
                <w:sz w:val="18"/>
                <w:szCs w:val="18"/>
              </w:rPr>
              <w:t>Total Damage ('000 US$)</w:t>
            </w:r>
          </w:p>
        </w:tc>
        <w:tc>
          <w:tcPr>
            <w:tcW w:w="992" w:type="dxa"/>
            <w:noWrap/>
            <w:vAlign w:val="center"/>
            <w:hideMark/>
          </w:tcPr>
          <w:p w14:paraId="136D39D4" w14:textId="77777777" w:rsidR="00150993" w:rsidRPr="001A219D" w:rsidRDefault="00150993" w:rsidP="006F3FE3">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A219D">
              <w:rPr>
                <w:rFonts w:ascii="Arial" w:hAnsi="Arial" w:cs="Arial"/>
                <w:sz w:val="18"/>
                <w:szCs w:val="18"/>
              </w:rPr>
              <w:t>Total Damage, Adjusted ('000 US$)</w:t>
            </w:r>
          </w:p>
        </w:tc>
      </w:tr>
      <w:tr w:rsidR="001A219D" w:rsidRPr="00150993" w14:paraId="3BDD2B50" w14:textId="77777777" w:rsidTr="006F3FE3">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292" w:type="dxa"/>
            <w:noWrap/>
            <w:hideMark/>
          </w:tcPr>
          <w:p w14:paraId="7EABEF6B"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250CC75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Stung Treng, Kratie, Koh Kong, Kampong Cham, Pursat, Kampong Thom, Takeo, Siem Reap, Otdar Meanchey, Kampot, Svay Rieng, Kandal, Phnom Penh, Prey Veng, Kampong Chhnang, Ratanak Kiri, Preah Vihear, Battambang, Banteay Meanchey, Kampong Speu provinces</w:t>
            </w:r>
          </w:p>
        </w:tc>
        <w:tc>
          <w:tcPr>
            <w:tcW w:w="626" w:type="dxa"/>
            <w:noWrap/>
            <w:hideMark/>
          </w:tcPr>
          <w:p w14:paraId="76475A8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2000</w:t>
            </w:r>
          </w:p>
        </w:tc>
        <w:tc>
          <w:tcPr>
            <w:tcW w:w="750" w:type="dxa"/>
            <w:noWrap/>
            <w:hideMark/>
          </w:tcPr>
          <w:p w14:paraId="2A698AD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347</w:t>
            </w:r>
          </w:p>
        </w:tc>
        <w:tc>
          <w:tcPr>
            <w:tcW w:w="750" w:type="dxa"/>
            <w:noWrap/>
            <w:hideMark/>
          </w:tcPr>
          <w:p w14:paraId="2DFF6BBD"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53</w:t>
            </w:r>
          </w:p>
        </w:tc>
        <w:tc>
          <w:tcPr>
            <w:tcW w:w="993" w:type="dxa"/>
            <w:noWrap/>
            <w:hideMark/>
          </w:tcPr>
          <w:p w14:paraId="3AD4F625"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3448000</w:t>
            </w:r>
          </w:p>
        </w:tc>
        <w:tc>
          <w:tcPr>
            <w:tcW w:w="850" w:type="dxa"/>
            <w:noWrap/>
            <w:hideMark/>
          </w:tcPr>
          <w:p w14:paraId="16F3C40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160000</w:t>
            </w:r>
          </w:p>
        </w:tc>
        <w:tc>
          <w:tcPr>
            <w:tcW w:w="992" w:type="dxa"/>
            <w:noWrap/>
            <w:hideMark/>
          </w:tcPr>
          <w:p w14:paraId="20B43189"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291465</w:t>
            </w:r>
          </w:p>
        </w:tc>
      </w:tr>
      <w:tr w:rsidR="00150993" w:rsidRPr="00150993" w14:paraId="43F9F025" w14:textId="77777777" w:rsidTr="006F3FE3">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2ED36E09"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00311E2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Stung Treng, Kratie, Kampong Cham provinces</w:t>
            </w:r>
          </w:p>
        </w:tc>
        <w:tc>
          <w:tcPr>
            <w:tcW w:w="626" w:type="dxa"/>
            <w:noWrap/>
            <w:hideMark/>
          </w:tcPr>
          <w:p w14:paraId="775F3BB9"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2001</w:t>
            </w:r>
          </w:p>
        </w:tc>
        <w:tc>
          <w:tcPr>
            <w:tcW w:w="750" w:type="dxa"/>
            <w:noWrap/>
            <w:hideMark/>
          </w:tcPr>
          <w:p w14:paraId="1B831BD3"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56</w:t>
            </w:r>
          </w:p>
        </w:tc>
        <w:tc>
          <w:tcPr>
            <w:tcW w:w="750" w:type="dxa"/>
            <w:noWrap/>
            <w:hideMark/>
          </w:tcPr>
          <w:p w14:paraId="0FCF3A0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1BF115BA"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1669182</w:t>
            </w:r>
          </w:p>
        </w:tc>
        <w:tc>
          <w:tcPr>
            <w:tcW w:w="850" w:type="dxa"/>
            <w:noWrap/>
            <w:hideMark/>
          </w:tcPr>
          <w:p w14:paraId="0ADB407D"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15000</w:t>
            </w:r>
          </w:p>
        </w:tc>
        <w:tc>
          <w:tcPr>
            <w:tcW w:w="992" w:type="dxa"/>
            <w:noWrap/>
            <w:hideMark/>
          </w:tcPr>
          <w:p w14:paraId="1845AC9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26574</w:t>
            </w:r>
          </w:p>
        </w:tc>
      </w:tr>
      <w:tr w:rsidR="001A219D" w:rsidRPr="00150993" w14:paraId="5482F3F0" w14:textId="77777777" w:rsidTr="006F3FE3">
        <w:trPr>
          <w:cnfStyle w:val="000000100000" w:firstRow="0" w:lastRow="0" w:firstColumn="0" w:lastColumn="0" w:oddVBand="0" w:evenVBand="0" w:oddHBand="1" w:evenHBand="0" w:firstRowFirstColumn="0" w:firstRowLastColumn="0" w:lastRowFirstColumn="0" w:lastRowLastColumn="0"/>
          <w:trHeight w:val="1386"/>
        </w:trPr>
        <w:tc>
          <w:tcPr>
            <w:cnfStyle w:val="001000000000" w:firstRow="0" w:lastRow="0" w:firstColumn="1" w:lastColumn="0" w:oddVBand="0" w:evenVBand="0" w:oddHBand="0" w:evenHBand="0" w:firstRowFirstColumn="0" w:firstRowLastColumn="0" w:lastRowFirstColumn="0" w:lastRowLastColumn="0"/>
            <w:tcW w:w="1292" w:type="dxa"/>
            <w:noWrap/>
            <w:hideMark/>
          </w:tcPr>
          <w:p w14:paraId="667EA17E"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Drought</w:t>
            </w:r>
          </w:p>
        </w:tc>
        <w:tc>
          <w:tcPr>
            <w:tcW w:w="2814" w:type="dxa"/>
            <w:hideMark/>
          </w:tcPr>
          <w:p w14:paraId="230647C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Cham, Kampong Chhnang, Kampong Speu, Kampong Thom, Kampot, Kandal, Kep, Koh Kong, Kratie, Phnom Penh, Preah Sihanouk, Prey Veng, Pursat, Svay Rieng, Takeo provinces</w:t>
            </w:r>
          </w:p>
        </w:tc>
        <w:tc>
          <w:tcPr>
            <w:tcW w:w="626" w:type="dxa"/>
            <w:noWrap/>
            <w:hideMark/>
          </w:tcPr>
          <w:p w14:paraId="42FB5695"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2001</w:t>
            </w:r>
          </w:p>
        </w:tc>
        <w:tc>
          <w:tcPr>
            <w:tcW w:w="750" w:type="dxa"/>
            <w:noWrap/>
            <w:hideMark/>
          </w:tcPr>
          <w:p w14:paraId="3F35770F"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750" w:type="dxa"/>
            <w:noWrap/>
            <w:hideMark/>
          </w:tcPr>
          <w:p w14:paraId="012547A1"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3" w:type="dxa"/>
            <w:noWrap/>
            <w:hideMark/>
          </w:tcPr>
          <w:p w14:paraId="0E39A26A"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300000</w:t>
            </w:r>
          </w:p>
        </w:tc>
        <w:tc>
          <w:tcPr>
            <w:tcW w:w="850" w:type="dxa"/>
            <w:noWrap/>
            <w:hideMark/>
          </w:tcPr>
          <w:p w14:paraId="5418757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2" w:type="dxa"/>
            <w:noWrap/>
            <w:hideMark/>
          </w:tcPr>
          <w:p w14:paraId="495ECA47"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03F12B9E" w14:textId="77777777" w:rsidTr="006F3FE3">
        <w:trPr>
          <w:trHeight w:val="958"/>
        </w:trPr>
        <w:tc>
          <w:tcPr>
            <w:cnfStyle w:val="001000000000" w:firstRow="0" w:lastRow="0" w:firstColumn="1" w:lastColumn="0" w:oddVBand="0" w:evenVBand="0" w:oddHBand="0" w:evenHBand="0" w:firstRowFirstColumn="0" w:firstRowLastColumn="0" w:lastRowFirstColumn="0" w:lastRowLastColumn="0"/>
            <w:tcW w:w="1292" w:type="dxa"/>
            <w:noWrap/>
            <w:hideMark/>
          </w:tcPr>
          <w:p w14:paraId="3ED5187A"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1018D57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Kandal, Stung Treng, Prey Veng, Takeo, Kampong Chhnang, Banteay Meanchey, Svay Rieng, Kampong Speu, Kratie, Pursat, Kampot provinces</w:t>
            </w:r>
          </w:p>
        </w:tc>
        <w:tc>
          <w:tcPr>
            <w:tcW w:w="626" w:type="dxa"/>
            <w:noWrap/>
            <w:hideMark/>
          </w:tcPr>
          <w:p w14:paraId="23C110B7"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2002</w:t>
            </w:r>
          </w:p>
        </w:tc>
        <w:tc>
          <w:tcPr>
            <w:tcW w:w="750" w:type="dxa"/>
            <w:noWrap/>
            <w:hideMark/>
          </w:tcPr>
          <w:p w14:paraId="40AB0CF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29</w:t>
            </w:r>
          </w:p>
        </w:tc>
        <w:tc>
          <w:tcPr>
            <w:tcW w:w="750" w:type="dxa"/>
            <w:noWrap/>
            <w:hideMark/>
          </w:tcPr>
          <w:p w14:paraId="7D1CC9A0"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546FE8EC"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1470000</w:t>
            </w:r>
          </w:p>
        </w:tc>
        <w:tc>
          <w:tcPr>
            <w:tcW w:w="850" w:type="dxa"/>
            <w:noWrap/>
            <w:hideMark/>
          </w:tcPr>
          <w:p w14:paraId="644791DB"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100</w:t>
            </w:r>
          </w:p>
        </w:tc>
        <w:tc>
          <w:tcPr>
            <w:tcW w:w="992" w:type="dxa"/>
            <w:noWrap/>
            <w:hideMark/>
          </w:tcPr>
          <w:p w14:paraId="28B35C85"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174</w:t>
            </w:r>
          </w:p>
        </w:tc>
      </w:tr>
      <w:tr w:rsidR="001A219D" w:rsidRPr="00150993" w14:paraId="1DB37E03" w14:textId="77777777" w:rsidTr="006F3FE3">
        <w:trPr>
          <w:cnfStyle w:val="000000100000" w:firstRow="0" w:lastRow="0" w:firstColumn="0" w:lastColumn="0" w:oddVBand="0" w:evenVBand="0" w:oddHBand="1" w:evenHBand="0" w:firstRowFirstColumn="0" w:firstRowLastColumn="0" w:lastRowFirstColumn="0" w:lastRowLastColumn="0"/>
          <w:trHeight w:val="779"/>
        </w:trPr>
        <w:tc>
          <w:tcPr>
            <w:cnfStyle w:val="001000000000" w:firstRow="0" w:lastRow="0" w:firstColumn="1" w:lastColumn="0" w:oddVBand="0" w:evenVBand="0" w:oddHBand="0" w:evenHBand="0" w:firstRowFirstColumn="0" w:firstRowLastColumn="0" w:lastRowFirstColumn="0" w:lastRowLastColumn="0"/>
            <w:tcW w:w="1292" w:type="dxa"/>
            <w:noWrap/>
            <w:hideMark/>
          </w:tcPr>
          <w:p w14:paraId="562302F2"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Drought</w:t>
            </w:r>
          </w:p>
        </w:tc>
        <w:tc>
          <w:tcPr>
            <w:tcW w:w="2814" w:type="dxa"/>
            <w:hideMark/>
          </w:tcPr>
          <w:p w14:paraId="1834E0BF"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Takeo, Kampot, Kampong Speu, Kampong Chhnang, Kandal, Prey Veng, Phnom Penh,Otdar Meanchey, Banteay Meanchey, Pursat, Battambang provinces</w:t>
            </w:r>
          </w:p>
        </w:tc>
        <w:tc>
          <w:tcPr>
            <w:tcW w:w="626" w:type="dxa"/>
            <w:noWrap/>
            <w:hideMark/>
          </w:tcPr>
          <w:p w14:paraId="3F9EC94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2002</w:t>
            </w:r>
          </w:p>
        </w:tc>
        <w:tc>
          <w:tcPr>
            <w:tcW w:w="750" w:type="dxa"/>
            <w:noWrap/>
            <w:hideMark/>
          </w:tcPr>
          <w:p w14:paraId="499C134A"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750" w:type="dxa"/>
            <w:noWrap/>
            <w:hideMark/>
          </w:tcPr>
          <w:p w14:paraId="039CD2B5"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3" w:type="dxa"/>
            <w:noWrap/>
            <w:hideMark/>
          </w:tcPr>
          <w:p w14:paraId="324C0E8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650000</w:t>
            </w:r>
          </w:p>
        </w:tc>
        <w:tc>
          <w:tcPr>
            <w:tcW w:w="850" w:type="dxa"/>
            <w:noWrap/>
            <w:hideMark/>
          </w:tcPr>
          <w:p w14:paraId="2AD6CB7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38000</w:t>
            </w:r>
          </w:p>
        </w:tc>
        <w:tc>
          <w:tcPr>
            <w:tcW w:w="992" w:type="dxa"/>
            <w:noWrap/>
            <w:hideMark/>
          </w:tcPr>
          <w:p w14:paraId="0D47FCA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66269</w:t>
            </w:r>
          </w:p>
        </w:tc>
      </w:tr>
      <w:tr w:rsidR="00150993" w:rsidRPr="00150993" w14:paraId="4F63F6B4" w14:textId="77777777" w:rsidTr="006F3FE3">
        <w:trPr>
          <w:trHeight w:val="713"/>
        </w:trPr>
        <w:tc>
          <w:tcPr>
            <w:cnfStyle w:val="001000000000" w:firstRow="0" w:lastRow="0" w:firstColumn="1" w:lastColumn="0" w:oddVBand="0" w:evenVBand="0" w:oddHBand="0" w:evenHBand="0" w:firstRowFirstColumn="0" w:firstRowLastColumn="0" w:lastRowFirstColumn="0" w:lastRowLastColumn="0"/>
            <w:tcW w:w="1292" w:type="dxa"/>
            <w:noWrap/>
            <w:hideMark/>
          </w:tcPr>
          <w:p w14:paraId="09F6048C"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3E191EF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Cham, Kampong Chhnang, Kampong Speu, Kampong Thom, Kampot, Kandal, Kratie, Phnom Penh, Preah Vihear, Prey Veng, Stung Treng, Takeo provinces</w:t>
            </w:r>
          </w:p>
        </w:tc>
        <w:tc>
          <w:tcPr>
            <w:tcW w:w="626" w:type="dxa"/>
            <w:noWrap/>
            <w:hideMark/>
          </w:tcPr>
          <w:p w14:paraId="64C5B4BB"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2004</w:t>
            </w:r>
          </w:p>
        </w:tc>
        <w:tc>
          <w:tcPr>
            <w:tcW w:w="750" w:type="dxa"/>
            <w:noWrap/>
            <w:hideMark/>
          </w:tcPr>
          <w:p w14:paraId="0FB3635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750" w:type="dxa"/>
            <w:noWrap/>
            <w:hideMark/>
          </w:tcPr>
          <w:p w14:paraId="6FF5FE27"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3" w:type="dxa"/>
            <w:noWrap/>
            <w:hideMark/>
          </w:tcPr>
          <w:p w14:paraId="4B24154E"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850" w:type="dxa"/>
            <w:noWrap/>
            <w:hideMark/>
          </w:tcPr>
          <w:p w14:paraId="425223FB"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2" w:type="dxa"/>
            <w:noWrap/>
            <w:hideMark/>
          </w:tcPr>
          <w:p w14:paraId="643B3B6F"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2C101966" w14:textId="77777777" w:rsidTr="006F3FE3">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48FC2803"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0C97E60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Kratie, Kampong Cham, Kandal, Prey Veng, Siem Reap provinces</w:t>
            </w:r>
          </w:p>
        </w:tc>
        <w:tc>
          <w:tcPr>
            <w:tcW w:w="626" w:type="dxa"/>
            <w:noWrap/>
            <w:hideMark/>
          </w:tcPr>
          <w:p w14:paraId="3A5FE2A6"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2005</w:t>
            </w:r>
          </w:p>
        </w:tc>
        <w:tc>
          <w:tcPr>
            <w:tcW w:w="750" w:type="dxa"/>
            <w:noWrap/>
            <w:hideMark/>
          </w:tcPr>
          <w:p w14:paraId="0B86C0D1"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16</w:t>
            </w:r>
          </w:p>
        </w:tc>
        <w:tc>
          <w:tcPr>
            <w:tcW w:w="750" w:type="dxa"/>
            <w:noWrap/>
            <w:hideMark/>
          </w:tcPr>
          <w:p w14:paraId="4B9FC27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3" w:type="dxa"/>
            <w:noWrap/>
            <w:hideMark/>
          </w:tcPr>
          <w:p w14:paraId="4AF4B72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850" w:type="dxa"/>
            <w:noWrap/>
            <w:hideMark/>
          </w:tcPr>
          <w:p w14:paraId="29227403"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2" w:type="dxa"/>
            <w:noWrap/>
            <w:hideMark/>
          </w:tcPr>
          <w:p w14:paraId="29C956B5"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00F53D09" w14:textId="77777777" w:rsidTr="006F3FE3">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00AB2803"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Drought</w:t>
            </w:r>
          </w:p>
        </w:tc>
        <w:tc>
          <w:tcPr>
            <w:tcW w:w="2814" w:type="dxa"/>
            <w:hideMark/>
          </w:tcPr>
          <w:p w14:paraId="412AB948"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Speu province</w:t>
            </w:r>
          </w:p>
        </w:tc>
        <w:tc>
          <w:tcPr>
            <w:tcW w:w="626" w:type="dxa"/>
            <w:noWrap/>
            <w:hideMark/>
          </w:tcPr>
          <w:p w14:paraId="1F12CFDC"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2005</w:t>
            </w:r>
          </w:p>
        </w:tc>
        <w:tc>
          <w:tcPr>
            <w:tcW w:w="750" w:type="dxa"/>
            <w:noWrap/>
            <w:hideMark/>
          </w:tcPr>
          <w:p w14:paraId="2FBCDB8D"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750" w:type="dxa"/>
            <w:noWrap/>
            <w:hideMark/>
          </w:tcPr>
          <w:p w14:paraId="7B3F85A3"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3" w:type="dxa"/>
            <w:noWrap/>
            <w:hideMark/>
          </w:tcPr>
          <w:p w14:paraId="4EF6C11D"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600000</w:t>
            </w:r>
          </w:p>
        </w:tc>
        <w:tc>
          <w:tcPr>
            <w:tcW w:w="850" w:type="dxa"/>
            <w:noWrap/>
            <w:hideMark/>
          </w:tcPr>
          <w:p w14:paraId="6B5B5BF6"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2AE3D1D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4EE13A1C" w14:textId="77777777" w:rsidTr="006F3FE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5B332A48"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54E9E5D8"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Koh Kong province</w:t>
            </w:r>
          </w:p>
        </w:tc>
        <w:tc>
          <w:tcPr>
            <w:tcW w:w="626" w:type="dxa"/>
            <w:noWrap/>
            <w:hideMark/>
          </w:tcPr>
          <w:p w14:paraId="2C23850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2006</w:t>
            </w:r>
          </w:p>
        </w:tc>
        <w:tc>
          <w:tcPr>
            <w:tcW w:w="750" w:type="dxa"/>
            <w:noWrap/>
            <w:hideMark/>
          </w:tcPr>
          <w:p w14:paraId="69B35D85"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750" w:type="dxa"/>
            <w:noWrap/>
            <w:hideMark/>
          </w:tcPr>
          <w:p w14:paraId="21179A73"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3" w:type="dxa"/>
            <w:noWrap/>
            <w:hideMark/>
          </w:tcPr>
          <w:p w14:paraId="218CED2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5000</w:t>
            </w:r>
          </w:p>
        </w:tc>
        <w:tc>
          <w:tcPr>
            <w:tcW w:w="850" w:type="dxa"/>
            <w:noWrap/>
            <w:hideMark/>
          </w:tcPr>
          <w:p w14:paraId="367357B9"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2" w:type="dxa"/>
            <w:noWrap/>
            <w:hideMark/>
          </w:tcPr>
          <w:p w14:paraId="01F92A87"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3E103CEB" w14:textId="77777777" w:rsidTr="006F3FE3">
        <w:trPr>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317F1F70"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74E5DF4E"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Seila district (Koh Kong province), Phnom Penh, Kampong Speu, Kampot, Ratanak Kiri, Mondul Kiri provinces</w:t>
            </w:r>
          </w:p>
        </w:tc>
        <w:tc>
          <w:tcPr>
            <w:tcW w:w="626" w:type="dxa"/>
            <w:noWrap/>
            <w:hideMark/>
          </w:tcPr>
          <w:p w14:paraId="31B4A873"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2006</w:t>
            </w:r>
          </w:p>
        </w:tc>
        <w:tc>
          <w:tcPr>
            <w:tcW w:w="750" w:type="dxa"/>
            <w:noWrap/>
            <w:hideMark/>
          </w:tcPr>
          <w:p w14:paraId="7AAF1A0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w:t>
            </w:r>
          </w:p>
        </w:tc>
        <w:tc>
          <w:tcPr>
            <w:tcW w:w="750" w:type="dxa"/>
            <w:noWrap/>
            <w:hideMark/>
          </w:tcPr>
          <w:p w14:paraId="2A860E48"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73DE9953"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33000</w:t>
            </w:r>
          </w:p>
        </w:tc>
        <w:tc>
          <w:tcPr>
            <w:tcW w:w="850" w:type="dxa"/>
            <w:noWrap/>
            <w:hideMark/>
          </w:tcPr>
          <w:p w14:paraId="3DACF5B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2F5A80E9"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6955B95B" w14:textId="77777777" w:rsidTr="006F3FE3">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0FFDC7C9"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15E6174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Thom, Ratanak Kiri, Preah Vihear provinces</w:t>
            </w:r>
          </w:p>
        </w:tc>
        <w:tc>
          <w:tcPr>
            <w:tcW w:w="626" w:type="dxa"/>
            <w:noWrap/>
            <w:hideMark/>
          </w:tcPr>
          <w:p w14:paraId="3717CD8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2007</w:t>
            </w:r>
          </w:p>
        </w:tc>
        <w:tc>
          <w:tcPr>
            <w:tcW w:w="750" w:type="dxa"/>
            <w:noWrap/>
            <w:hideMark/>
          </w:tcPr>
          <w:p w14:paraId="273523AA"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w:t>
            </w:r>
          </w:p>
        </w:tc>
        <w:tc>
          <w:tcPr>
            <w:tcW w:w="750" w:type="dxa"/>
            <w:noWrap/>
            <w:hideMark/>
          </w:tcPr>
          <w:p w14:paraId="3CA60640"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3" w:type="dxa"/>
            <w:noWrap/>
            <w:hideMark/>
          </w:tcPr>
          <w:p w14:paraId="484AA8C1"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19000</w:t>
            </w:r>
          </w:p>
        </w:tc>
        <w:tc>
          <w:tcPr>
            <w:tcW w:w="850" w:type="dxa"/>
            <w:noWrap/>
            <w:hideMark/>
          </w:tcPr>
          <w:p w14:paraId="7338D657"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1000</w:t>
            </w:r>
          </w:p>
        </w:tc>
        <w:tc>
          <w:tcPr>
            <w:tcW w:w="992" w:type="dxa"/>
            <w:noWrap/>
            <w:hideMark/>
          </w:tcPr>
          <w:p w14:paraId="6683CCD3"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1513</w:t>
            </w:r>
          </w:p>
        </w:tc>
      </w:tr>
      <w:tr w:rsidR="00150993" w:rsidRPr="00150993" w14:paraId="2569A01A" w14:textId="77777777" w:rsidTr="006F3FE3">
        <w:trPr>
          <w:trHeight w:val="69"/>
        </w:trPr>
        <w:tc>
          <w:tcPr>
            <w:cnfStyle w:val="001000000000" w:firstRow="0" w:lastRow="0" w:firstColumn="1" w:lastColumn="0" w:oddVBand="0" w:evenVBand="0" w:oddHBand="0" w:evenHBand="0" w:firstRowFirstColumn="0" w:firstRowLastColumn="0" w:lastRowFirstColumn="0" w:lastRowLastColumn="0"/>
            <w:tcW w:w="1292" w:type="dxa"/>
            <w:noWrap/>
            <w:hideMark/>
          </w:tcPr>
          <w:p w14:paraId="18B4B7D2"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Tropical cyclone</w:t>
            </w:r>
          </w:p>
        </w:tc>
        <w:tc>
          <w:tcPr>
            <w:tcW w:w="2814" w:type="dxa"/>
            <w:hideMark/>
          </w:tcPr>
          <w:p w14:paraId="67FCAC02"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Thom, Kratie, Mondul Kiri, Preah Vihear, Ratanak Kiri, Stung Treng provinces</w:t>
            </w:r>
          </w:p>
        </w:tc>
        <w:tc>
          <w:tcPr>
            <w:tcW w:w="626" w:type="dxa"/>
            <w:noWrap/>
            <w:hideMark/>
          </w:tcPr>
          <w:p w14:paraId="635FB5D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2009</w:t>
            </w:r>
          </w:p>
        </w:tc>
        <w:tc>
          <w:tcPr>
            <w:tcW w:w="750" w:type="dxa"/>
            <w:noWrap/>
            <w:hideMark/>
          </w:tcPr>
          <w:p w14:paraId="69CF251C"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17</w:t>
            </w:r>
          </w:p>
        </w:tc>
        <w:tc>
          <w:tcPr>
            <w:tcW w:w="750" w:type="dxa"/>
            <w:noWrap/>
            <w:hideMark/>
          </w:tcPr>
          <w:p w14:paraId="4ACF8B9F"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91</w:t>
            </w:r>
          </w:p>
        </w:tc>
        <w:tc>
          <w:tcPr>
            <w:tcW w:w="993" w:type="dxa"/>
            <w:noWrap/>
            <w:hideMark/>
          </w:tcPr>
          <w:p w14:paraId="172C348C"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178000</w:t>
            </w:r>
          </w:p>
        </w:tc>
        <w:tc>
          <w:tcPr>
            <w:tcW w:w="850" w:type="dxa"/>
            <w:noWrap/>
            <w:hideMark/>
          </w:tcPr>
          <w:p w14:paraId="15E893E9"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167F1C33"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091437A6" w14:textId="77777777" w:rsidTr="006F3FE3">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602FDB89"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Tropical cyclone</w:t>
            </w:r>
          </w:p>
        </w:tc>
        <w:tc>
          <w:tcPr>
            <w:tcW w:w="2814" w:type="dxa"/>
            <w:hideMark/>
          </w:tcPr>
          <w:p w14:paraId="27060BA9"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Kaoh Nheaek district (Mondul Kiri province)</w:t>
            </w:r>
          </w:p>
        </w:tc>
        <w:tc>
          <w:tcPr>
            <w:tcW w:w="626" w:type="dxa"/>
            <w:noWrap/>
            <w:hideMark/>
          </w:tcPr>
          <w:p w14:paraId="2DFA13A9"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2009</w:t>
            </w:r>
          </w:p>
        </w:tc>
        <w:tc>
          <w:tcPr>
            <w:tcW w:w="750" w:type="dxa"/>
            <w:noWrap/>
            <w:hideMark/>
          </w:tcPr>
          <w:p w14:paraId="6DD0F5E3"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w:t>
            </w:r>
          </w:p>
        </w:tc>
        <w:tc>
          <w:tcPr>
            <w:tcW w:w="750" w:type="dxa"/>
            <w:noWrap/>
            <w:hideMark/>
          </w:tcPr>
          <w:p w14:paraId="0475E7DA"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3" w:type="dxa"/>
            <w:noWrap/>
            <w:hideMark/>
          </w:tcPr>
          <w:p w14:paraId="3A4C3657"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850" w:type="dxa"/>
            <w:noWrap/>
            <w:hideMark/>
          </w:tcPr>
          <w:p w14:paraId="18CD7E86"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2" w:type="dxa"/>
            <w:noWrap/>
            <w:hideMark/>
          </w:tcPr>
          <w:p w14:paraId="1E7BA92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4535BB74" w14:textId="77777777" w:rsidTr="006F3FE3">
        <w:trPr>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67A79AEB"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23EF0B61"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Banteay Meanchey, Battambang, Otdar Meanchey, Pailin, Preah Vihear, Pursat provinces</w:t>
            </w:r>
          </w:p>
        </w:tc>
        <w:tc>
          <w:tcPr>
            <w:tcW w:w="626" w:type="dxa"/>
            <w:noWrap/>
            <w:hideMark/>
          </w:tcPr>
          <w:p w14:paraId="2494523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2010</w:t>
            </w:r>
          </w:p>
        </w:tc>
        <w:tc>
          <w:tcPr>
            <w:tcW w:w="750" w:type="dxa"/>
            <w:noWrap/>
            <w:hideMark/>
          </w:tcPr>
          <w:p w14:paraId="6922065A"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8</w:t>
            </w:r>
          </w:p>
        </w:tc>
        <w:tc>
          <w:tcPr>
            <w:tcW w:w="750" w:type="dxa"/>
            <w:noWrap/>
            <w:hideMark/>
          </w:tcPr>
          <w:p w14:paraId="595AA1C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04FC5B0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850" w:type="dxa"/>
            <w:noWrap/>
            <w:hideMark/>
          </w:tcPr>
          <w:p w14:paraId="603C12CC"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70000</w:t>
            </w:r>
          </w:p>
        </w:tc>
        <w:tc>
          <w:tcPr>
            <w:tcW w:w="992" w:type="dxa"/>
            <w:noWrap/>
            <w:hideMark/>
          </w:tcPr>
          <w:p w14:paraId="7BAA095A"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100700</w:t>
            </w:r>
          </w:p>
        </w:tc>
      </w:tr>
      <w:tr w:rsidR="001A219D" w:rsidRPr="00150993" w14:paraId="30CD09CD" w14:textId="77777777" w:rsidTr="006F3FE3">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292" w:type="dxa"/>
            <w:noWrap/>
            <w:hideMark/>
          </w:tcPr>
          <w:p w14:paraId="3965316D"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7A25E5BB"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Kandal, Kampong Thom, Prey Veng, Kampong Cham, Kratie, Battambang, Kampong Chhnang, Preah Vihear, Pursat provinces</w:t>
            </w:r>
          </w:p>
        </w:tc>
        <w:tc>
          <w:tcPr>
            <w:tcW w:w="626" w:type="dxa"/>
            <w:noWrap/>
            <w:hideMark/>
          </w:tcPr>
          <w:p w14:paraId="1AEB2D8C"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2011</w:t>
            </w:r>
          </w:p>
        </w:tc>
        <w:tc>
          <w:tcPr>
            <w:tcW w:w="750" w:type="dxa"/>
            <w:noWrap/>
            <w:hideMark/>
          </w:tcPr>
          <w:p w14:paraId="4B3F1C0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247</w:t>
            </w:r>
          </w:p>
        </w:tc>
        <w:tc>
          <w:tcPr>
            <w:tcW w:w="750" w:type="dxa"/>
            <w:noWrap/>
            <w:hideMark/>
          </w:tcPr>
          <w:p w14:paraId="4F229C3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23</w:t>
            </w:r>
          </w:p>
        </w:tc>
        <w:tc>
          <w:tcPr>
            <w:tcW w:w="993" w:type="dxa"/>
            <w:noWrap/>
            <w:hideMark/>
          </w:tcPr>
          <w:p w14:paraId="7DCFF73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1640000</w:t>
            </w:r>
          </w:p>
        </w:tc>
        <w:tc>
          <w:tcPr>
            <w:tcW w:w="850" w:type="dxa"/>
            <w:noWrap/>
            <w:hideMark/>
          </w:tcPr>
          <w:p w14:paraId="2E4C083F"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521000</w:t>
            </w:r>
          </w:p>
        </w:tc>
        <w:tc>
          <w:tcPr>
            <w:tcW w:w="992" w:type="dxa"/>
            <w:noWrap/>
            <w:hideMark/>
          </w:tcPr>
          <w:p w14:paraId="35E517C1"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726561</w:t>
            </w:r>
          </w:p>
        </w:tc>
      </w:tr>
      <w:tr w:rsidR="00150993" w:rsidRPr="00150993" w14:paraId="7E52CD1D" w14:textId="77777777" w:rsidTr="006F3FE3">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44FDCA46"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Flash flood</w:t>
            </w:r>
          </w:p>
        </w:tc>
        <w:tc>
          <w:tcPr>
            <w:tcW w:w="2814" w:type="dxa"/>
            <w:hideMark/>
          </w:tcPr>
          <w:p w14:paraId="5745C03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Banteay Meanchey province</w:t>
            </w:r>
          </w:p>
        </w:tc>
        <w:tc>
          <w:tcPr>
            <w:tcW w:w="626" w:type="dxa"/>
            <w:noWrap/>
            <w:hideMark/>
          </w:tcPr>
          <w:p w14:paraId="29ECB1B6"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2012</w:t>
            </w:r>
          </w:p>
        </w:tc>
        <w:tc>
          <w:tcPr>
            <w:tcW w:w="750" w:type="dxa"/>
            <w:noWrap/>
            <w:hideMark/>
          </w:tcPr>
          <w:p w14:paraId="786A6CE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14</w:t>
            </w:r>
          </w:p>
        </w:tc>
        <w:tc>
          <w:tcPr>
            <w:tcW w:w="750" w:type="dxa"/>
            <w:noWrap/>
            <w:hideMark/>
          </w:tcPr>
          <w:p w14:paraId="25DFE4CF"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1959906D"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71500</w:t>
            </w:r>
          </w:p>
        </w:tc>
        <w:tc>
          <w:tcPr>
            <w:tcW w:w="850" w:type="dxa"/>
            <w:noWrap/>
            <w:hideMark/>
          </w:tcPr>
          <w:p w14:paraId="1C06540E"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39D3683D"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1DB990C4" w14:textId="77777777" w:rsidTr="006F3FE3">
        <w:trPr>
          <w:cnfStyle w:val="000000100000" w:firstRow="0" w:lastRow="0" w:firstColumn="0" w:lastColumn="0" w:oddVBand="0" w:evenVBand="0" w:oddHBand="1" w:evenHBand="0" w:firstRowFirstColumn="0" w:firstRowLastColumn="0" w:lastRowFirstColumn="0" w:lastRowLastColumn="0"/>
          <w:trHeight w:val="94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4993D363"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Riverine flood</w:t>
            </w:r>
          </w:p>
        </w:tc>
        <w:tc>
          <w:tcPr>
            <w:tcW w:w="2814" w:type="dxa"/>
            <w:hideMark/>
          </w:tcPr>
          <w:p w14:paraId="47214E90"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Battambang, Banteay Meanchey, Kampong Cham, Prey Veng, Kandal, Siem Reap, Kratie, Kampong Thom, Otdar Meanchey, Stung Treng, Pursat, Kampong Chhnang, Ratanak Kiri, Preah Vihear, Svay Rieng, Phnom Penh, Takeo, Pailin, Kampot provinces</w:t>
            </w:r>
          </w:p>
        </w:tc>
        <w:tc>
          <w:tcPr>
            <w:tcW w:w="626" w:type="dxa"/>
            <w:noWrap/>
            <w:hideMark/>
          </w:tcPr>
          <w:p w14:paraId="63CFBCB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2013</w:t>
            </w:r>
          </w:p>
        </w:tc>
        <w:tc>
          <w:tcPr>
            <w:tcW w:w="750" w:type="dxa"/>
            <w:noWrap/>
            <w:hideMark/>
          </w:tcPr>
          <w:p w14:paraId="33884AA5"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w:t>
            </w:r>
          </w:p>
        </w:tc>
        <w:tc>
          <w:tcPr>
            <w:tcW w:w="750" w:type="dxa"/>
            <w:noWrap/>
            <w:hideMark/>
          </w:tcPr>
          <w:p w14:paraId="0EA46753"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3" w:type="dxa"/>
            <w:noWrap/>
            <w:hideMark/>
          </w:tcPr>
          <w:p w14:paraId="541C8449"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1500000</w:t>
            </w:r>
          </w:p>
        </w:tc>
        <w:tc>
          <w:tcPr>
            <w:tcW w:w="850" w:type="dxa"/>
            <w:noWrap/>
            <w:hideMark/>
          </w:tcPr>
          <w:p w14:paraId="650BDA01"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500000</w:t>
            </w:r>
          </w:p>
        </w:tc>
        <w:tc>
          <w:tcPr>
            <w:tcW w:w="992" w:type="dxa"/>
            <w:noWrap/>
            <w:hideMark/>
          </w:tcPr>
          <w:p w14:paraId="12B75160"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673276</w:t>
            </w:r>
          </w:p>
        </w:tc>
      </w:tr>
      <w:tr w:rsidR="00150993" w:rsidRPr="00150993" w14:paraId="652523A0" w14:textId="77777777" w:rsidTr="006F3FE3">
        <w:trPr>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72F36E37"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Flash flood</w:t>
            </w:r>
          </w:p>
        </w:tc>
        <w:tc>
          <w:tcPr>
            <w:tcW w:w="2814" w:type="dxa"/>
            <w:hideMark/>
          </w:tcPr>
          <w:p w14:paraId="7FD82AF7"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Cham, Kampong Chhnang, Kampong Speu, Kampong Thom, Kampot, Kandal, Kratie, Phnom Penh, Preah Vihear, Prey Veng, Stung Treng, Takeo provinces</w:t>
            </w:r>
          </w:p>
        </w:tc>
        <w:tc>
          <w:tcPr>
            <w:tcW w:w="626" w:type="dxa"/>
            <w:noWrap/>
            <w:hideMark/>
          </w:tcPr>
          <w:p w14:paraId="22F530A8"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2014</w:t>
            </w:r>
          </w:p>
        </w:tc>
        <w:tc>
          <w:tcPr>
            <w:tcW w:w="750" w:type="dxa"/>
            <w:noWrap/>
            <w:hideMark/>
          </w:tcPr>
          <w:p w14:paraId="3358584D"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45</w:t>
            </w:r>
          </w:p>
        </w:tc>
        <w:tc>
          <w:tcPr>
            <w:tcW w:w="750" w:type="dxa"/>
            <w:noWrap/>
            <w:hideMark/>
          </w:tcPr>
          <w:p w14:paraId="5F404F7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4134C193"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472500</w:t>
            </w:r>
          </w:p>
        </w:tc>
        <w:tc>
          <w:tcPr>
            <w:tcW w:w="850" w:type="dxa"/>
            <w:noWrap/>
            <w:hideMark/>
          </w:tcPr>
          <w:p w14:paraId="1FF2F33B"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2000</w:t>
            </w:r>
          </w:p>
        </w:tc>
        <w:tc>
          <w:tcPr>
            <w:tcW w:w="992" w:type="dxa"/>
            <w:noWrap/>
            <w:hideMark/>
          </w:tcPr>
          <w:p w14:paraId="4669D535"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2650</w:t>
            </w:r>
          </w:p>
        </w:tc>
      </w:tr>
      <w:tr w:rsidR="001A219D" w:rsidRPr="00150993" w14:paraId="1E78BA8C" w14:textId="77777777" w:rsidTr="006F3FE3">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5CD49501"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Flood (General)</w:t>
            </w:r>
          </w:p>
        </w:tc>
        <w:tc>
          <w:tcPr>
            <w:tcW w:w="2814" w:type="dxa"/>
            <w:hideMark/>
          </w:tcPr>
          <w:p w14:paraId="62652612"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Teuk Chhou District (Kampot) (Mak Prang, Kampong Kreng, Stoeung Keo, Trapang Thum and Prey Khmum communes)</w:t>
            </w:r>
          </w:p>
        </w:tc>
        <w:tc>
          <w:tcPr>
            <w:tcW w:w="626" w:type="dxa"/>
            <w:noWrap/>
            <w:hideMark/>
          </w:tcPr>
          <w:p w14:paraId="5D72712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2015</w:t>
            </w:r>
          </w:p>
        </w:tc>
        <w:tc>
          <w:tcPr>
            <w:tcW w:w="750" w:type="dxa"/>
            <w:noWrap/>
            <w:hideMark/>
          </w:tcPr>
          <w:p w14:paraId="0A6BE599"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750" w:type="dxa"/>
            <w:noWrap/>
            <w:hideMark/>
          </w:tcPr>
          <w:p w14:paraId="6853DEC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3" w:type="dxa"/>
            <w:noWrap/>
            <w:hideMark/>
          </w:tcPr>
          <w:p w14:paraId="7497052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22000</w:t>
            </w:r>
          </w:p>
        </w:tc>
        <w:tc>
          <w:tcPr>
            <w:tcW w:w="850" w:type="dxa"/>
            <w:noWrap/>
            <w:hideMark/>
          </w:tcPr>
          <w:p w14:paraId="60ACDF10"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2" w:type="dxa"/>
            <w:noWrap/>
            <w:hideMark/>
          </w:tcPr>
          <w:p w14:paraId="62F65070"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55FBFF55" w14:textId="77777777" w:rsidTr="006F3FE3">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189948E1"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Tropical cyclone</w:t>
            </w:r>
          </w:p>
        </w:tc>
        <w:tc>
          <w:tcPr>
            <w:tcW w:w="2814" w:type="dxa"/>
            <w:hideMark/>
          </w:tcPr>
          <w:p w14:paraId="4B8DA62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Battambang province</w:t>
            </w:r>
          </w:p>
        </w:tc>
        <w:tc>
          <w:tcPr>
            <w:tcW w:w="626" w:type="dxa"/>
            <w:noWrap/>
            <w:hideMark/>
          </w:tcPr>
          <w:p w14:paraId="142CB5F0"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2015</w:t>
            </w:r>
          </w:p>
        </w:tc>
        <w:tc>
          <w:tcPr>
            <w:tcW w:w="750" w:type="dxa"/>
            <w:noWrap/>
            <w:hideMark/>
          </w:tcPr>
          <w:p w14:paraId="124C6466"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750" w:type="dxa"/>
            <w:noWrap/>
            <w:hideMark/>
          </w:tcPr>
          <w:p w14:paraId="17B456FA"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3" w:type="dxa"/>
            <w:noWrap/>
            <w:hideMark/>
          </w:tcPr>
          <w:p w14:paraId="7C7977F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6300</w:t>
            </w:r>
          </w:p>
        </w:tc>
        <w:tc>
          <w:tcPr>
            <w:tcW w:w="850" w:type="dxa"/>
            <w:noWrap/>
            <w:hideMark/>
          </w:tcPr>
          <w:p w14:paraId="5AFBC240"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0757FFC6"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1DDD81F8" w14:textId="77777777" w:rsidTr="006F3FE3">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3F7F46C1"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Drought</w:t>
            </w:r>
          </w:p>
        </w:tc>
        <w:tc>
          <w:tcPr>
            <w:tcW w:w="2814" w:type="dxa"/>
            <w:hideMark/>
          </w:tcPr>
          <w:p w14:paraId="10CA4304"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Banteay Meanchey, Battambang, Pursat, Kampong Speu provinces</w:t>
            </w:r>
          </w:p>
        </w:tc>
        <w:tc>
          <w:tcPr>
            <w:tcW w:w="626" w:type="dxa"/>
            <w:noWrap/>
            <w:hideMark/>
          </w:tcPr>
          <w:p w14:paraId="3A79AF5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2016</w:t>
            </w:r>
          </w:p>
        </w:tc>
        <w:tc>
          <w:tcPr>
            <w:tcW w:w="750" w:type="dxa"/>
            <w:noWrap/>
            <w:hideMark/>
          </w:tcPr>
          <w:p w14:paraId="69479F79"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750" w:type="dxa"/>
            <w:noWrap/>
            <w:hideMark/>
          </w:tcPr>
          <w:p w14:paraId="7BBDD81E"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3" w:type="dxa"/>
            <w:noWrap/>
            <w:hideMark/>
          </w:tcPr>
          <w:p w14:paraId="3D18FE1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2500000</w:t>
            </w:r>
          </w:p>
        </w:tc>
        <w:tc>
          <w:tcPr>
            <w:tcW w:w="850" w:type="dxa"/>
            <w:noWrap/>
            <w:hideMark/>
          </w:tcPr>
          <w:p w14:paraId="02D7C61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2" w:type="dxa"/>
            <w:noWrap/>
            <w:hideMark/>
          </w:tcPr>
          <w:p w14:paraId="2AD73A1F"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7F26E348" w14:textId="77777777" w:rsidTr="006F3FE3">
        <w:trPr>
          <w:trHeight w:val="23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55CFD53E"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Flood (General)</w:t>
            </w:r>
          </w:p>
        </w:tc>
        <w:tc>
          <w:tcPr>
            <w:tcW w:w="2814" w:type="dxa"/>
            <w:hideMark/>
          </w:tcPr>
          <w:p w14:paraId="213496AC"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Siem Pang District, Steung Treng Town, Siem Bok,Sesan, Thalaborivat; Kampong Speu, Battambang, Koh Kong, Phreah Sihanouk , Kampot provinces</w:t>
            </w:r>
          </w:p>
        </w:tc>
        <w:tc>
          <w:tcPr>
            <w:tcW w:w="626" w:type="dxa"/>
            <w:noWrap/>
            <w:hideMark/>
          </w:tcPr>
          <w:p w14:paraId="7985149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2018</w:t>
            </w:r>
          </w:p>
        </w:tc>
        <w:tc>
          <w:tcPr>
            <w:tcW w:w="750" w:type="dxa"/>
            <w:noWrap/>
            <w:hideMark/>
          </w:tcPr>
          <w:p w14:paraId="017378A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750" w:type="dxa"/>
            <w:noWrap/>
            <w:hideMark/>
          </w:tcPr>
          <w:p w14:paraId="45E7DD4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3" w:type="dxa"/>
            <w:noWrap/>
            <w:hideMark/>
          </w:tcPr>
          <w:p w14:paraId="6B1FF0DC"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5817</w:t>
            </w:r>
          </w:p>
        </w:tc>
        <w:tc>
          <w:tcPr>
            <w:tcW w:w="850" w:type="dxa"/>
            <w:noWrap/>
            <w:hideMark/>
          </w:tcPr>
          <w:p w14:paraId="436822F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0D11CE60"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1C459DEA" w14:textId="77777777" w:rsidTr="006F3FE3">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14:paraId="11EA3A05"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Flood (General)</w:t>
            </w:r>
          </w:p>
        </w:tc>
        <w:tc>
          <w:tcPr>
            <w:tcW w:w="2814" w:type="dxa"/>
            <w:hideMark/>
          </w:tcPr>
          <w:p w14:paraId="61C084D7"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Stung Treng, Kratie, Kampong Cham and Tbong Khmum</w:t>
            </w:r>
          </w:p>
        </w:tc>
        <w:tc>
          <w:tcPr>
            <w:tcW w:w="626" w:type="dxa"/>
            <w:noWrap/>
            <w:hideMark/>
          </w:tcPr>
          <w:p w14:paraId="31B520B2"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2019</w:t>
            </w:r>
          </w:p>
        </w:tc>
        <w:tc>
          <w:tcPr>
            <w:tcW w:w="750" w:type="dxa"/>
            <w:noWrap/>
            <w:hideMark/>
          </w:tcPr>
          <w:p w14:paraId="0CB4186C"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12</w:t>
            </w:r>
          </w:p>
        </w:tc>
        <w:tc>
          <w:tcPr>
            <w:tcW w:w="750" w:type="dxa"/>
            <w:noWrap/>
            <w:hideMark/>
          </w:tcPr>
          <w:p w14:paraId="74198CD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3" w:type="dxa"/>
            <w:noWrap/>
            <w:hideMark/>
          </w:tcPr>
          <w:p w14:paraId="133D41B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435000</w:t>
            </w:r>
          </w:p>
        </w:tc>
        <w:tc>
          <w:tcPr>
            <w:tcW w:w="850" w:type="dxa"/>
            <w:noWrap/>
            <w:hideMark/>
          </w:tcPr>
          <w:p w14:paraId="300EDE13"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2" w:type="dxa"/>
            <w:noWrap/>
            <w:hideMark/>
          </w:tcPr>
          <w:p w14:paraId="456A5B8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74B9FEFE" w14:textId="77777777" w:rsidTr="006F3FE3">
        <w:trPr>
          <w:trHeight w:val="129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35C7CE02"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Tropical cyclone</w:t>
            </w:r>
          </w:p>
        </w:tc>
        <w:tc>
          <w:tcPr>
            <w:tcW w:w="2814" w:type="dxa"/>
            <w:hideMark/>
          </w:tcPr>
          <w:p w14:paraId="4D36FED0"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Pursat, Battambang, Pailin, Kampong Speu, Kampong Chhnang, Banteay Meanchey, Kampong Thom, Phnom Penh, Kandal, Sway Rieng, Stung Treng, Takao, Siem Reap, Preah Videar, Oddar Meanchey Provinces.</w:t>
            </w:r>
          </w:p>
        </w:tc>
        <w:tc>
          <w:tcPr>
            <w:tcW w:w="626" w:type="dxa"/>
            <w:noWrap/>
            <w:hideMark/>
          </w:tcPr>
          <w:p w14:paraId="51DA5478"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2020</w:t>
            </w:r>
          </w:p>
        </w:tc>
        <w:tc>
          <w:tcPr>
            <w:tcW w:w="750" w:type="dxa"/>
            <w:noWrap/>
            <w:hideMark/>
          </w:tcPr>
          <w:p w14:paraId="3FE7507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44</w:t>
            </w:r>
          </w:p>
        </w:tc>
        <w:tc>
          <w:tcPr>
            <w:tcW w:w="750" w:type="dxa"/>
            <w:noWrap/>
            <w:hideMark/>
          </w:tcPr>
          <w:p w14:paraId="2805D88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03501527"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759360</w:t>
            </w:r>
          </w:p>
        </w:tc>
        <w:tc>
          <w:tcPr>
            <w:tcW w:w="850" w:type="dxa"/>
            <w:noWrap/>
            <w:hideMark/>
          </w:tcPr>
          <w:p w14:paraId="32481A70"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100000</w:t>
            </w:r>
          </w:p>
        </w:tc>
        <w:tc>
          <w:tcPr>
            <w:tcW w:w="992" w:type="dxa"/>
            <w:noWrap/>
            <w:hideMark/>
          </w:tcPr>
          <w:p w14:paraId="132B070B"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121204</w:t>
            </w:r>
          </w:p>
        </w:tc>
      </w:tr>
      <w:tr w:rsidR="001A219D" w:rsidRPr="00150993" w14:paraId="3F743BCB" w14:textId="77777777" w:rsidTr="006F3FE3">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292" w:type="dxa"/>
            <w:noWrap/>
            <w:hideMark/>
          </w:tcPr>
          <w:p w14:paraId="1E7859DA"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Tropical cyclone</w:t>
            </w:r>
          </w:p>
        </w:tc>
        <w:tc>
          <w:tcPr>
            <w:tcW w:w="2814" w:type="dxa"/>
            <w:hideMark/>
          </w:tcPr>
          <w:p w14:paraId="0A1BB22D"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Battambang, Preah Sihanouk and Koh Kong Provinces.</w:t>
            </w:r>
          </w:p>
        </w:tc>
        <w:tc>
          <w:tcPr>
            <w:tcW w:w="626" w:type="dxa"/>
            <w:noWrap/>
            <w:hideMark/>
          </w:tcPr>
          <w:p w14:paraId="638F21BE"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2020</w:t>
            </w:r>
          </w:p>
        </w:tc>
        <w:tc>
          <w:tcPr>
            <w:tcW w:w="750" w:type="dxa"/>
            <w:noWrap/>
            <w:hideMark/>
          </w:tcPr>
          <w:p w14:paraId="050E551D"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750" w:type="dxa"/>
            <w:noWrap/>
            <w:hideMark/>
          </w:tcPr>
          <w:p w14:paraId="11E3D9E8"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3" w:type="dxa"/>
            <w:noWrap/>
            <w:hideMark/>
          </w:tcPr>
          <w:p w14:paraId="6D2B5EBD"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850" w:type="dxa"/>
            <w:noWrap/>
            <w:hideMark/>
          </w:tcPr>
          <w:p w14:paraId="33DE611C"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2" w:type="dxa"/>
            <w:noWrap/>
            <w:hideMark/>
          </w:tcPr>
          <w:p w14:paraId="7540511A"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327A6E54" w14:textId="77777777" w:rsidTr="006F3FE3">
        <w:trPr>
          <w:trHeight w:val="68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6926C392"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Flood (General)</w:t>
            </w:r>
          </w:p>
        </w:tc>
        <w:tc>
          <w:tcPr>
            <w:tcW w:w="2814" w:type="dxa"/>
            <w:hideMark/>
          </w:tcPr>
          <w:p w14:paraId="0F29964D"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Poipet and Malai districts (Banteay Meanchey Province)</w:t>
            </w:r>
          </w:p>
        </w:tc>
        <w:tc>
          <w:tcPr>
            <w:tcW w:w="626" w:type="dxa"/>
            <w:noWrap/>
            <w:hideMark/>
          </w:tcPr>
          <w:p w14:paraId="4977CEC8"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2021</w:t>
            </w:r>
          </w:p>
        </w:tc>
        <w:tc>
          <w:tcPr>
            <w:tcW w:w="750" w:type="dxa"/>
            <w:noWrap/>
            <w:hideMark/>
          </w:tcPr>
          <w:p w14:paraId="14449B16"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750" w:type="dxa"/>
            <w:noWrap/>
            <w:hideMark/>
          </w:tcPr>
          <w:p w14:paraId="26FE58F6"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3" w:type="dxa"/>
            <w:noWrap/>
            <w:hideMark/>
          </w:tcPr>
          <w:p w14:paraId="06A7912A"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500</w:t>
            </w:r>
          </w:p>
        </w:tc>
        <w:tc>
          <w:tcPr>
            <w:tcW w:w="850" w:type="dxa"/>
            <w:noWrap/>
            <w:hideMark/>
          </w:tcPr>
          <w:p w14:paraId="6578A9C9"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61166054"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76261745" w14:textId="77777777" w:rsidTr="006F3FE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1DE75101"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Flood (General)</w:t>
            </w:r>
          </w:p>
        </w:tc>
        <w:tc>
          <w:tcPr>
            <w:tcW w:w="2814" w:type="dxa"/>
            <w:hideMark/>
          </w:tcPr>
          <w:p w14:paraId="4E1B4796"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Kampong Speu Province</w:t>
            </w:r>
          </w:p>
        </w:tc>
        <w:tc>
          <w:tcPr>
            <w:tcW w:w="626" w:type="dxa"/>
            <w:noWrap/>
            <w:hideMark/>
          </w:tcPr>
          <w:p w14:paraId="0796367D"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2021</w:t>
            </w:r>
          </w:p>
        </w:tc>
        <w:tc>
          <w:tcPr>
            <w:tcW w:w="750" w:type="dxa"/>
            <w:noWrap/>
            <w:hideMark/>
          </w:tcPr>
          <w:p w14:paraId="28B50997"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750" w:type="dxa"/>
            <w:noWrap/>
            <w:hideMark/>
          </w:tcPr>
          <w:p w14:paraId="443DB7D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3" w:type="dxa"/>
            <w:noWrap/>
            <w:hideMark/>
          </w:tcPr>
          <w:p w14:paraId="0EC20EEB"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225</w:t>
            </w:r>
          </w:p>
        </w:tc>
        <w:tc>
          <w:tcPr>
            <w:tcW w:w="850" w:type="dxa"/>
            <w:noWrap/>
            <w:hideMark/>
          </w:tcPr>
          <w:p w14:paraId="45C30B1D"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2" w:type="dxa"/>
            <w:noWrap/>
            <w:hideMark/>
          </w:tcPr>
          <w:p w14:paraId="668E24C9"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6830EF2D" w14:textId="77777777" w:rsidTr="006F3FE3">
        <w:trPr>
          <w:trHeight w:val="102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2E57B39E"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Flood (General)</w:t>
            </w:r>
          </w:p>
        </w:tc>
        <w:tc>
          <w:tcPr>
            <w:tcW w:w="2814" w:type="dxa"/>
            <w:hideMark/>
          </w:tcPr>
          <w:p w14:paraId="7592907B"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Daun Kok and Anlong Svay villages, Sangkat Boeung Thom, Khan Kampoul, Phnom Penh</w:t>
            </w:r>
          </w:p>
        </w:tc>
        <w:tc>
          <w:tcPr>
            <w:tcW w:w="626" w:type="dxa"/>
            <w:noWrap/>
            <w:hideMark/>
          </w:tcPr>
          <w:p w14:paraId="12BDC7F5"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2021</w:t>
            </w:r>
          </w:p>
        </w:tc>
        <w:tc>
          <w:tcPr>
            <w:tcW w:w="750" w:type="dxa"/>
            <w:noWrap/>
            <w:hideMark/>
          </w:tcPr>
          <w:p w14:paraId="15ACAC7E"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750" w:type="dxa"/>
            <w:noWrap/>
            <w:hideMark/>
          </w:tcPr>
          <w:p w14:paraId="1C6210E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3" w:type="dxa"/>
            <w:noWrap/>
            <w:hideMark/>
          </w:tcPr>
          <w:p w14:paraId="792E369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12500</w:t>
            </w:r>
          </w:p>
        </w:tc>
        <w:tc>
          <w:tcPr>
            <w:tcW w:w="850" w:type="dxa"/>
            <w:noWrap/>
            <w:hideMark/>
          </w:tcPr>
          <w:p w14:paraId="7CF046AB"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28D400D7"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4F3F2B40" w14:textId="77777777" w:rsidTr="006F3FE3">
        <w:trPr>
          <w:cnfStyle w:val="000000100000" w:firstRow="0" w:lastRow="0" w:firstColumn="0" w:lastColumn="0" w:oddVBand="0" w:evenVBand="0" w:oddHBand="1" w:evenHBand="0" w:firstRowFirstColumn="0" w:firstRowLastColumn="0" w:lastRowFirstColumn="0" w:lastRowLastColumn="0"/>
          <w:trHeight w:val="83"/>
        </w:trPr>
        <w:tc>
          <w:tcPr>
            <w:cnfStyle w:val="001000000000" w:firstRow="0" w:lastRow="0" w:firstColumn="1" w:lastColumn="0" w:oddVBand="0" w:evenVBand="0" w:oddHBand="0" w:evenHBand="0" w:firstRowFirstColumn="0" w:firstRowLastColumn="0" w:lastRowFirstColumn="0" w:lastRowLastColumn="0"/>
            <w:tcW w:w="1292" w:type="dxa"/>
            <w:noWrap/>
            <w:hideMark/>
          </w:tcPr>
          <w:p w14:paraId="38547E98"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Severe weather</w:t>
            </w:r>
          </w:p>
        </w:tc>
        <w:tc>
          <w:tcPr>
            <w:tcW w:w="2814" w:type="dxa"/>
            <w:hideMark/>
          </w:tcPr>
          <w:p w14:paraId="1C89609E" w14:textId="77777777" w:rsidR="00150993" w:rsidRPr="00150993"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Banteay Ampil district (Oddar Meanchey province); Battambang province; Krakor District (Pursat province)</w:t>
            </w:r>
          </w:p>
        </w:tc>
        <w:tc>
          <w:tcPr>
            <w:tcW w:w="626" w:type="dxa"/>
            <w:noWrap/>
            <w:hideMark/>
          </w:tcPr>
          <w:p w14:paraId="5D4C473E"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2021</w:t>
            </w:r>
          </w:p>
        </w:tc>
        <w:tc>
          <w:tcPr>
            <w:tcW w:w="750" w:type="dxa"/>
            <w:noWrap/>
            <w:hideMark/>
          </w:tcPr>
          <w:p w14:paraId="5255F80E"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w:t>
            </w:r>
          </w:p>
        </w:tc>
        <w:tc>
          <w:tcPr>
            <w:tcW w:w="750" w:type="dxa"/>
            <w:noWrap/>
            <w:hideMark/>
          </w:tcPr>
          <w:p w14:paraId="471A0575"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w:t>
            </w:r>
          </w:p>
        </w:tc>
        <w:tc>
          <w:tcPr>
            <w:tcW w:w="993" w:type="dxa"/>
            <w:noWrap/>
            <w:hideMark/>
          </w:tcPr>
          <w:p w14:paraId="4C502136"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500</w:t>
            </w:r>
          </w:p>
        </w:tc>
        <w:tc>
          <w:tcPr>
            <w:tcW w:w="850" w:type="dxa"/>
            <w:noWrap/>
            <w:hideMark/>
          </w:tcPr>
          <w:p w14:paraId="3916E7F0"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2" w:type="dxa"/>
            <w:noWrap/>
            <w:hideMark/>
          </w:tcPr>
          <w:p w14:paraId="3ECCBB6D"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60A72687" w14:textId="77777777" w:rsidTr="006F3FE3">
        <w:trPr>
          <w:trHeight w:val="68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456B0A3F"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Flood (General)</w:t>
            </w:r>
          </w:p>
        </w:tc>
        <w:tc>
          <w:tcPr>
            <w:tcW w:w="2814" w:type="dxa"/>
            <w:hideMark/>
          </w:tcPr>
          <w:p w14:paraId="3674DE1E" w14:textId="77777777" w:rsidR="00150993" w:rsidRPr="00150993"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sidRPr="00150993">
              <w:rPr>
                <w:rFonts w:ascii="Arial" w:hAnsi="Arial" w:cs="Arial"/>
                <w:color w:val="000000"/>
                <w:sz w:val="16"/>
                <w:szCs w:val="16"/>
              </w:rPr>
              <w:t>Meanchey, Oddar Meanchey Province</w:t>
            </w:r>
          </w:p>
        </w:tc>
        <w:tc>
          <w:tcPr>
            <w:tcW w:w="626" w:type="dxa"/>
            <w:noWrap/>
            <w:hideMark/>
          </w:tcPr>
          <w:p w14:paraId="3C79E676"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2022</w:t>
            </w:r>
          </w:p>
        </w:tc>
        <w:tc>
          <w:tcPr>
            <w:tcW w:w="750" w:type="dxa"/>
            <w:noWrap/>
            <w:hideMark/>
          </w:tcPr>
          <w:p w14:paraId="2B8B143C"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15</w:t>
            </w:r>
          </w:p>
        </w:tc>
        <w:tc>
          <w:tcPr>
            <w:tcW w:w="750" w:type="dxa"/>
            <w:noWrap/>
            <w:hideMark/>
          </w:tcPr>
          <w:p w14:paraId="119413B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3" w:type="dxa"/>
            <w:noWrap/>
            <w:hideMark/>
          </w:tcPr>
          <w:p w14:paraId="78C45B98"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167770</w:t>
            </w:r>
          </w:p>
        </w:tc>
        <w:tc>
          <w:tcPr>
            <w:tcW w:w="850" w:type="dxa"/>
            <w:noWrap/>
            <w:hideMark/>
          </w:tcPr>
          <w:p w14:paraId="1FFABE7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7168E85D"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1A219D" w:rsidRPr="00150993" w14:paraId="714E9409" w14:textId="77777777" w:rsidTr="006F3FE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077DF4DE"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Storm surge</w:t>
            </w:r>
          </w:p>
        </w:tc>
        <w:tc>
          <w:tcPr>
            <w:tcW w:w="2814" w:type="dxa"/>
            <w:hideMark/>
          </w:tcPr>
          <w:p w14:paraId="0627AABD" w14:textId="62690AC8" w:rsidR="00150993" w:rsidRPr="00150993" w:rsidRDefault="001A219D"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16"/>
              </w:rPr>
            </w:pPr>
            <w:r>
              <w:rPr>
                <w:rFonts w:ascii="Arial" w:hAnsi="Arial" w:cs="Arial"/>
                <w:color w:val="000000"/>
                <w:sz w:val="16"/>
                <w:szCs w:val="16"/>
              </w:rPr>
              <w:t>National</w:t>
            </w:r>
          </w:p>
        </w:tc>
        <w:tc>
          <w:tcPr>
            <w:tcW w:w="626" w:type="dxa"/>
            <w:noWrap/>
            <w:hideMark/>
          </w:tcPr>
          <w:p w14:paraId="3ACDD01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2022</w:t>
            </w:r>
          </w:p>
        </w:tc>
        <w:tc>
          <w:tcPr>
            <w:tcW w:w="750" w:type="dxa"/>
            <w:noWrap/>
            <w:hideMark/>
          </w:tcPr>
          <w:p w14:paraId="04B46AAF"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16</w:t>
            </w:r>
          </w:p>
        </w:tc>
        <w:tc>
          <w:tcPr>
            <w:tcW w:w="750" w:type="dxa"/>
            <w:noWrap/>
            <w:hideMark/>
          </w:tcPr>
          <w:p w14:paraId="186D5FC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tcW w:w="993" w:type="dxa"/>
            <w:noWrap/>
            <w:hideMark/>
          </w:tcPr>
          <w:p w14:paraId="36FFB1C7"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850" w:type="dxa"/>
            <w:noWrap/>
            <w:hideMark/>
          </w:tcPr>
          <w:p w14:paraId="0A53F564"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992" w:type="dxa"/>
            <w:noWrap/>
            <w:hideMark/>
          </w:tcPr>
          <w:p w14:paraId="51F9A57D" w14:textId="77777777" w:rsidR="00150993" w:rsidRPr="001A219D" w:rsidRDefault="00150993" w:rsidP="006F3FE3">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150993" w:rsidRPr="00150993" w14:paraId="58AEE175" w14:textId="77777777" w:rsidTr="006F3FE3">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14:paraId="6E91FF20" w14:textId="77777777" w:rsidR="00150993" w:rsidRPr="001A219D" w:rsidRDefault="00150993" w:rsidP="006F3FE3">
            <w:pPr>
              <w:jc w:val="center"/>
              <w:rPr>
                <w:rFonts w:ascii="Arial" w:hAnsi="Arial" w:cs="Arial"/>
                <w:color w:val="000000"/>
                <w:sz w:val="16"/>
                <w:szCs w:val="16"/>
              </w:rPr>
            </w:pPr>
            <w:r w:rsidRPr="001A219D">
              <w:rPr>
                <w:rFonts w:ascii="Arial" w:hAnsi="Arial" w:cs="Arial"/>
                <w:color w:val="000000"/>
                <w:sz w:val="16"/>
                <w:szCs w:val="16"/>
              </w:rPr>
              <w:t>Lightning/ Thunderstorms</w:t>
            </w:r>
          </w:p>
        </w:tc>
        <w:tc>
          <w:tcPr>
            <w:tcW w:w="2814" w:type="dxa"/>
            <w:hideMark/>
          </w:tcPr>
          <w:p w14:paraId="71F55127" w14:textId="7BE86248" w:rsidR="00150993" w:rsidRPr="00150993" w:rsidRDefault="001A219D"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6"/>
                <w:szCs w:val="16"/>
              </w:rPr>
            </w:pPr>
            <w:r>
              <w:rPr>
                <w:rFonts w:ascii="Arial" w:hAnsi="Arial" w:cs="Arial"/>
                <w:color w:val="000000"/>
                <w:sz w:val="16"/>
                <w:szCs w:val="16"/>
              </w:rPr>
              <w:t>National</w:t>
            </w:r>
          </w:p>
        </w:tc>
        <w:tc>
          <w:tcPr>
            <w:tcW w:w="626" w:type="dxa"/>
            <w:noWrap/>
            <w:hideMark/>
          </w:tcPr>
          <w:p w14:paraId="6B373FF9"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2023</w:t>
            </w:r>
          </w:p>
        </w:tc>
        <w:tc>
          <w:tcPr>
            <w:tcW w:w="750" w:type="dxa"/>
            <w:noWrap/>
            <w:hideMark/>
          </w:tcPr>
          <w:p w14:paraId="419E2892"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750" w:type="dxa"/>
            <w:noWrap/>
            <w:hideMark/>
          </w:tcPr>
          <w:p w14:paraId="6B873F47"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993" w:type="dxa"/>
            <w:noWrap/>
            <w:hideMark/>
          </w:tcPr>
          <w:p w14:paraId="3E93899E"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1A219D">
              <w:rPr>
                <w:rFonts w:ascii="Arial" w:hAnsi="Arial" w:cs="Arial"/>
                <w:color w:val="000000"/>
                <w:sz w:val="18"/>
                <w:szCs w:val="18"/>
              </w:rPr>
              <w:t>14100</w:t>
            </w:r>
          </w:p>
        </w:tc>
        <w:tc>
          <w:tcPr>
            <w:tcW w:w="850" w:type="dxa"/>
            <w:noWrap/>
            <w:hideMark/>
          </w:tcPr>
          <w:p w14:paraId="3D1351EF"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992" w:type="dxa"/>
            <w:noWrap/>
            <w:hideMark/>
          </w:tcPr>
          <w:p w14:paraId="293B0801" w14:textId="77777777" w:rsidR="00150993" w:rsidRPr="001A219D" w:rsidRDefault="00150993" w:rsidP="006F3FE3">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bl>
    <w:p w14:paraId="16A2078C" w14:textId="32EF650B" w:rsidR="00150993" w:rsidRPr="00D960AA" w:rsidRDefault="00150993" w:rsidP="00150993">
      <w:pPr>
        <w:jc w:val="both"/>
        <w:rPr>
          <w:rFonts w:ascii="Arial" w:hAnsi="Arial" w:cs="Arial"/>
          <w:i/>
          <w:iCs/>
          <w:sz w:val="18"/>
          <w:szCs w:val="18"/>
        </w:rPr>
      </w:pPr>
      <w:r w:rsidRPr="006D15D1">
        <w:rPr>
          <w:rFonts w:ascii="Arial" w:hAnsi="Arial" w:cs="Arial"/>
          <w:b/>
          <w:bCs/>
          <w:i/>
          <w:iCs/>
          <w:sz w:val="18"/>
          <w:szCs w:val="18"/>
        </w:rPr>
        <w:t>Source:</w:t>
      </w:r>
      <w:r w:rsidRPr="006D15D1">
        <w:rPr>
          <w:rFonts w:ascii="Arial" w:hAnsi="Arial" w:cs="Arial"/>
          <w:i/>
          <w:iCs/>
          <w:sz w:val="18"/>
          <w:szCs w:val="18"/>
        </w:rPr>
        <w:t xml:space="preserve"> CRED, UCLouvain, 2025. EM-DAT: The International Disaster Database [dataset]</w:t>
      </w:r>
    </w:p>
    <w:p w14:paraId="541CF2C3" w14:textId="77777777" w:rsidR="00150993" w:rsidRPr="00150993" w:rsidRDefault="00150993" w:rsidP="00150993">
      <w:pPr>
        <w:rPr>
          <w:rFonts w:ascii="Arial" w:hAnsi="Arial" w:cs="Arial"/>
        </w:rPr>
      </w:pPr>
    </w:p>
    <w:sectPr w:rsidR="00150993" w:rsidRPr="00150993" w:rsidSect="00477174">
      <w:headerReference w:type="default" r:id="rId52"/>
      <w:footerReference w:type="default" r:id="rId53"/>
      <w:pgSz w:w="11900" w:h="16840"/>
      <w:pgMar w:top="1701"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05118" w14:textId="77777777" w:rsidR="00B91C60" w:rsidRDefault="00B91C60" w:rsidP="00452AF6">
      <w:r>
        <w:separator/>
      </w:r>
    </w:p>
  </w:endnote>
  <w:endnote w:type="continuationSeparator" w:id="0">
    <w:p w14:paraId="504509B8" w14:textId="77777777" w:rsidR="00B91C60" w:rsidRDefault="00B91C60" w:rsidP="00452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unPenh">
    <w:panose1 w:val="01010101010101010101"/>
    <w:charset w:val="00"/>
    <w:family w:val="auto"/>
    <w:pitch w:val="variable"/>
    <w:sig w:usb0="80000003" w:usb1="00000000" w:usb2="00010000" w:usb3="00000000" w:csb0="00000001" w:csb1="00000000"/>
  </w:font>
  <w:font w:name="Calibri Light">
    <w:panose1 w:val="020F0302020204030204"/>
    <w:charset w:val="00"/>
    <w:family w:val="swiss"/>
    <w:pitch w:val="variable"/>
    <w:sig w:usb0="E4002EFF" w:usb1="C200247B" w:usb2="00000009" w:usb3="00000000" w:csb0="000001FF" w:csb1="00000000"/>
  </w:font>
  <w:font w:name="MoolBoran">
    <w:panose1 w:val="020B0100010101010101"/>
    <w:charset w:val="00"/>
    <w:family w:val="swiss"/>
    <w:pitch w:val="variable"/>
    <w:sig w:usb0="80000003" w:usb1="00000000" w:usb2="0001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9D6E8" w14:textId="77777777" w:rsidR="00394091" w:rsidRDefault="00394091"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09234977"/>
      <w:docPartObj>
        <w:docPartGallery w:val="Page Numbers (Bottom of Page)"/>
        <w:docPartUnique/>
      </w:docPartObj>
    </w:sdtPr>
    <w:sdtContent>
      <w:p w14:paraId="5BF30946" w14:textId="77777777" w:rsidR="00394091" w:rsidRPr="009413E2" w:rsidRDefault="00394091" w:rsidP="009B65FB">
        <w:pPr>
          <w:pStyle w:val="Footer"/>
          <w:framePr w:wrap="none" w:vAnchor="text" w:hAnchor="margin" w:xAlign="right" w:y="1"/>
          <w:rPr>
            <w:rStyle w:val="PageNumber"/>
            <w:rFonts w:ascii="Arial" w:hAnsi="Arial" w:cs="Arial"/>
          </w:rPr>
        </w:pPr>
        <w:r w:rsidRPr="009413E2">
          <w:rPr>
            <w:rStyle w:val="PageNumber"/>
            <w:rFonts w:ascii="Arial" w:hAnsi="Arial" w:cs="Arial"/>
          </w:rPr>
          <w:fldChar w:fldCharType="begin"/>
        </w:r>
        <w:r w:rsidRPr="009413E2">
          <w:rPr>
            <w:rStyle w:val="PageNumber"/>
            <w:rFonts w:ascii="Arial" w:hAnsi="Arial" w:cs="Arial"/>
          </w:rPr>
          <w:instrText xml:space="preserve"> PAGE </w:instrText>
        </w:r>
        <w:r w:rsidRPr="009413E2">
          <w:rPr>
            <w:rStyle w:val="PageNumber"/>
            <w:rFonts w:ascii="Arial" w:hAnsi="Arial" w:cs="Arial"/>
          </w:rPr>
          <w:fldChar w:fldCharType="separate"/>
        </w:r>
        <w:r w:rsidRPr="009413E2">
          <w:rPr>
            <w:rStyle w:val="PageNumber"/>
            <w:rFonts w:ascii="Arial" w:hAnsi="Arial" w:cs="Arial"/>
            <w:noProof/>
          </w:rPr>
          <w:t>9</w:t>
        </w:r>
        <w:r w:rsidRPr="009413E2">
          <w:rPr>
            <w:rStyle w:val="PageNumber"/>
            <w:rFonts w:ascii="Arial" w:hAnsi="Arial" w:cs="Arial"/>
          </w:rPr>
          <w:fldChar w:fldCharType="end"/>
        </w:r>
      </w:p>
    </w:sdtContent>
  </w:sdt>
  <w:p w14:paraId="15B7B9CB" w14:textId="77777777" w:rsidR="00394091" w:rsidRDefault="00394091" w:rsidP="00452AF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43FB28" w14:textId="77777777" w:rsidR="00B91C60" w:rsidRDefault="00B91C60" w:rsidP="00452AF6">
      <w:r>
        <w:separator/>
      </w:r>
    </w:p>
  </w:footnote>
  <w:footnote w:type="continuationSeparator" w:id="0">
    <w:p w14:paraId="171E0D5B" w14:textId="77777777" w:rsidR="00B91C60" w:rsidRDefault="00B91C60" w:rsidP="00452A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3B45F" w14:textId="77777777" w:rsidR="00394091" w:rsidRDefault="003940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08401EC1"/>
    <w:multiLevelType w:val="hybridMultilevel"/>
    <w:tmpl w:val="AA9CB340"/>
    <w:lvl w:ilvl="0" w:tplc="74A69228">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E26C47"/>
    <w:multiLevelType w:val="multilevel"/>
    <w:tmpl w:val="73D2A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5743F3"/>
    <w:multiLevelType w:val="hybridMultilevel"/>
    <w:tmpl w:val="0D747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B30D09"/>
    <w:multiLevelType w:val="hybridMultilevel"/>
    <w:tmpl w:val="B3B494A0"/>
    <w:lvl w:ilvl="0" w:tplc="513E0A9C">
      <w:start w:val="1"/>
      <w:numFmt w:val="decimal"/>
      <w:lvlText w:val="%1."/>
      <w:lvlJc w:val="left"/>
      <w:pPr>
        <w:ind w:left="720" w:hanging="360"/>
      </w:pPr>
      <w:rPr>
        <w:rFonts w:ascii="Arial" w:hAnsi="Arial" w:cs="Arial"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AD6546"/>
    <w:multiLevelType w:val="multilevel"/>
    <w:tmpl w:val="EDEE7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FF7D23"/>
    <w:multiLevelType w:val="multilevel"/>
    <w:tmpl w:val="1234A9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3B6EB0"/>
    <w:multiLevelType w:val="hybridMultilevel"/>
    <w:tmpl w:val="61428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463A68"/>
    <w:multiLevelType w:val="multilevel"/>
    <w:tmpl w:val="F072E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131D1"/>
    <w:multiLevelType w:val="multilevel"/>
    <w:tmpl w:val="A4A014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4C43A6C"/>
    <w:multiLevelType w:val="multilevel"/>
    <w:tmpl w:val="ECB20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331256"/>
    <w:multiLevelType w:val="multilevel"/>
    <w:tmpl w:val="6832B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6A624D"/>
    <w:multiLevelType w:val="multilevel"/>
    <w:tmpl w:val="FD6A8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99E2665"/>
    <w:multiLevelType w:val="multilevel"/>
    <w:tmpl w:val="3E584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C651FE8"/>
    <w:multiLevelType w:val="multilevel"/>
    <w:tmpl w:val="A386B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4249E1"/>
    <w:multiLevelType w:val="multilevel"/>
    <w:tmpl w:val="1AD847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7B00C9"/>
    <w:multiLevelType w:val="multilevel"/>
    <w:tmpl w:val="8DB4DB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B566E94"/>
    <w:multiLevelType w:val="hybridMultilevel"/>
    <w:tmpl w:val="D1AEA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CE496F"/>
    <w:multiLevelType w:val="multilevel"/>
    <w:tmpl w:val="CDA0F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E0319D4"/>
    <w:multiLevelType w:val="hybridMultilevel"/>
    <w:tmpl w:val="1874A116"/>
    <w:lvl w:ilvl="0" w:tplc="55922ADC">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CF1D7C"/>
    <w:multiLevelType w:val="multilevel"/>
    <w:tmpl w:val="C57A5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783491"/>
    <w:multiLevelType w:val="multilevel"/>
    <w:tmpl w:val="AEDCE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AF72B5"/>
    <w:multiLevelType w:val="multilevel"/>
    <w:tmpl w:val="D66A6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65E69DF"/>
    <w:multiLevelType w:val="multilevel"/>
    <w:tmpl w:val="DAAA5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3B6F7D"/>
    <w:multiLevelType w:val="multilevel"/>
    <w:tmpl w:val="C16A8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A2C68B1"/>
    <w:multiLevelType w:val="hybridMultilevel"/>
    <w:tmpl w:val="53766050"/>
    <w:lvl w:ilvl="0" w:tplc="7996F90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A9F2FD1"/>
    <w:multiLevelType w:val="multilevel"/>
    <w:tmpl w:val="9ECEB384"/>
    <w:lvl w:ilvl="0">
      <w:start w:val="1"/>
      <w:numFmt w:val="decimal"/>
      <w:lvlText w:val="%1."/>
      <w:lvlJc w:val="left"/>
      <w:pPr>
        <w:ind w:left="360" w:hanging="360"/>
      </w:pPr>
      <w:rPr>
        <w:rFonts w:hint="default"/>
      </w:rPr>
    </w:lvl>
    <w:lvl w:ilvl="1">
      <w:start w:val="1"/>
      <w:numFmt w:val="decimal"/>
      <w:lvlText w:val="%1.%2."/>
      <w:lvlJc w:val="left"/>
      <w:pPr>
        <w:ind w:left="720" w:hanging="720"/>
      </w:pPr>
      <w:rPr>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7" w15:restartNumberingAfterBreak="0">
    <w:nsid w:val="6DD00241"/>
    <w:multiLevelType w:val="multilevel"/>
    <w:tmpl w:val="8DE0415C"/>
    <w:lvl w:ilvl="0">
      <w:start w:val="2"/>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0665107"/>
    <w:multiLevelType w:val="hybridMultilevel"/>
    <w:tmpl w:val="9F565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11037DB"/>
    <w:multiLevelType w:val="multilevel"/>
    <w:tmpl w:val="1E7C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BE83C87"/>
    <w:multiLevelType w:val="hybridMultilevel"/>
    <w:tmpl w:val="6B181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75812791">
    <w:abstractNumId w:val="26"/>
  </w:num>
  <w:num w:numId="2" w16cid:durableId="613748319">
    <w:abstractNumId w:val="27"/>
  </w:num>
  <w:num w:numId="3" w16cid:durableId="1272931701">
    <w:abstractNumId w:val="0"/>
  </w:num>
  <w:num w:numId="4" w16cid:durableId="1347561674">
    <w:abstractNumId w:val="4"/>
  </w:num>
  <w:num w:numId="5" w16cid:durableId="313491424">
    <w:abstractNumId w:val="3"/>
  </w:num>
  <w:num w:numId="6" w16cid:durableId="1460224690">
    <w:abstractNumId w:val="30"/>
  </w:num>
  <w:num w:numId="7" w16cid:durableId="823929574">
    <w:abstractNumId w:val="28"/>
  </w:num>
  <w:num w:numId="8" w16cid:durableId="351957013">
    <w:abstractNumId w:val="22"/>
  </w:num>
  <w:num w:numId="9" w16cid:durableId="392504273">
    <w:abstractNumId w:val="5"/>
  </w:num>
  <w:num w:numId="10" w16cid:durableId="2024014374">
    <w:abstractNumId w:val="13"/>
  </w:num>
  <w:num w:numId="11" w16cid:durableId="1725909898">
    <w:abstractNumId w:val="10"/>
  </w:num>
  <w:num w:numId="12" w16cid:durableId="6106685">
    <w:abstractNumId w:val="7"/>
  </w:num>
  <w:num w:numId="13" w16cid:durableId="972441659">
    <w:abstractNumId w:val="25"/>
  </w:num>
  <w:num w:numId="14" w16cid:durableId="374938016">
    <w:abstractNumId w:val="19"/>
  </w:num>
  <w:num w:numId="15" w16cid:durableId="1155293867">
    <w:abstractNumId w:val="29"/>
  </w:num>
  <w:num w:numId="16" w16cid:durableId="588584212">
    <w:abstractNumId w:val="20"/>
  </w:num>
  <w:num w:numId="17" w16cid:durableId="1486358519">
    <w:abstractNumId w:val="17"/>
  </w:num>
  <w:num w:numId="18" w16cid:durableId="1999915991">
    <w:abstractNumId w:val="24"/>
  </w:num>
  <w:num w:numId="19" w16cid:durableId="1697080833">
    <w:abstractNumId w:val="18"/>
  </w:num>
  <w:num w:numId="20" w16cid:durableId="1347052601">
    <w:abstractNumId w:val="2"/>
  </w:num>
  <w:num w:numId="21" w16cid:durableId="1898397015">
    <w:abstractNumId w:val="14"/>
  </w:num>
  <w:num w:numId="22" w16cid:durableId="1712654711">
    <w:abstractNumId w:val="23"/>
  </w:num>
  <w:num w:numId="23" w16cid:durableId="1979798577">
    <w:abstractNumId w:val="15"/>
  </w:num>
  <w:num w:numId="24" w16cid:durableId="958537265">
    <w:abstractNumId w:val="9"/>
  </w:num>
  <w:num w:numId="25" w16cid:durableId="1242569653">
    <w:abstractNumId w:val="12"/>
  </w:num>
  <w:num w:numId="26" w16cid:durableId="1349916277">
    <w:abstractNumId w:val="8"/>
  </w:num>
  <w:num w:numId="27" w16cid:durableId="1755588852">
    <w:abstractNumId w:val="11"/>
  </w:num>
  <w:num w:numId="28" w16cid:durableId="548028266">
    <w:abstractNumId w:val="21"/>
  </w:num>
  <w:num w:numId="29" w16cid:durableId="60492243">
    <w:abstractNumId w:val="6"/>
  </w:num>
  <w:num w:numId="30" w16cid:durableId="847133768">
    <w:abstractNumId w:val="16"/>
  </w:num>
  <w:num w:numId="31" w16cid:durableId="8810145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hideSpellingErrors/>
  <w:hideGrammaticalErrors/>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0211"/>
    <w:rsid w:val="000073BA"/>
    <w:rsid w:val="0001436F"/>
    <w:rsid w:val="00017600"/>
    <w:rsid w:val="000425D6"/>
    <w:rsid w:val="0004646D"/>
    <w:rsid w:val="00053DE8"/>
    <w:rsid w:val="000569E7"/>
    <w:rsid w:val="00066F4E"/>
    <w:rsid w:val="0008555D"/>
    <w:rsid w:val="000A429A"/>
    <w:rsid w:val="000B1A6D"/>
    <w:rsid w:val="000B6F61"/>
    <w:rsid w:val="000C6816"/>
    <w:rsid w:val="000D4269"/>
    <w:rsid w:val="000D77E1"/>
    <w:rsid w:val="000D7C3C"/>
    <w:rsid w:val="000F02C9"/>
    <w:rsid w:val="00100278"/>
    <w:rsid w:val="00101519"/>
    <w:rsid w:val="00102B9C"/>
    <w:rsid w:val="0010617D"/>
    <w:rsid w:val="00121582"/>
    <w:rsid w:val="001272C6"/>
    <w:rsid w:val="00130FEA"/>
    <w:rsid w:val="001430CC"/>
    <w:rsid w:val="00143E0F"/>
    <w:rsid w:val="00144150"/>
    <w:rsid w:val="00146746"/>
    <w:rsid w:val="00150993"/>
    <w:rsid w:val="00151C82"/>
    <w:rsid w:val="00151EB0"/>
    <w:rsid w:val="00166D21"/>
    <w:rsid w:val="00174296"/>
    <w:rsid w:val="001804DB"/>
    <w:rsid w:val="0018585D"/>
    <w:rsid w:val="0019023B"/>
    <w:rsid w:val="001A03C4"/>
    <w:rsid w:val="001A19EF"/>
    <w:rsid w:val="001A219D"/>
    <w:rsid w:val="001A717D"/>
    <w:rsid w:val="001B1A73"/>
    <w:rsid w:val="001B32C9"/>
    <w:rsid w:val="001B6A39"/>
    <w:rsid w:val="001C6F7A"/>
    <w:rsid w:val="001D0099"/>
    <w:rsid w:val="001E49EC"/>
    <w:rsid w:val="001F0B4A"/>
    <w:rsid w:val="001F0BBD"/>
    <w:rsid w:val="00200F69"/>
    <w:rsid w:val="00222D7E"/>
    <w:rsid w:val="00237223"/>
    <w:rsid w:val="00256C7A"/>
    <w:rsid w:val="002664E3"/>
    <w:rsid w:val="00275B0E"/>
    <w:rsid w:val="0028487E"/>
    <w:rsid w:val="002911A3"/>
    <w:rsid w:val="00292D78"/>
    <w:rsid w:val="00293223"/>
    <w:rsid w:val="002A122A"/>
    <w:rsid w:val="002A1F73"/>
    <w:rsid w:val="002A2EFC"/>
    <w:rsid w:val="002A3BB2"/>
    <w:rsid w:val="002C0761"/>
    <w:rsid w:val="002C25D9"/>
    <w:rsid w:val="002D0E16"/>
    <w:rsid w:val="002F0BAF"/>
    <w:rsid w:val="00312083"/>
    <w:rsid w:val="0031331E"/>
    <w:rsid w:val="003135F4"/>
    <w:rsid w:val="00314068"/>
    <w:rsid w:val="00324C93"/>
    <w:rsid w:val="00341CC0"/>
    <w:rsid w:val="00344353"/>
    <w:rsid w:val="00356AEB"/>
    <w:rsid w:val="00370CC1"/>
    <w:rsid w:val="003856C5"/>
    <w:rsid w:val="00385701"/>
    <w:rsid w:val="00387CC2"/>
    <w:rsid w:val="00394091"/>
    <w:rsid w:val="003B0C6D"/>
    <w:rsid w:val="003B2B8B"/>
    <w:rsid w:val="003B5216"/>
    <w:rsid w:val="003B5DB9"/>
    <w:rsid w:val="003B73CC"/>
    <w:rsid w:val="003C7A1F"/>
    <w:rsid w:val="003E013F"/>
    <w:rsid w:val="003F35C6"/>
    <w:rsid w:val="0040375C"/>
    <w:rsid w:val="0041555D"/>
    <w:rsid w:val="00421920"/>
    <w:rsid w:val="00422824"/>
    <w:rsid w:val="00437830"/>
    <w:rsid w:val="00437E57"/>
    <w:rsid w:val="0044518F"/>
    <w:rsid w:val="004501F2"/>
    <w:rsid w:val="00452AF6"/>
    <w:rsid w:val="00457C69"/>
    <w:rsid w:val="00477174"/>
    <w:rsid w:val="00483F19"/>
    <w:rsid w:val="00492996"/>
    <w:rsid w:val="004C7946"/>
    <w:rsid w:val="004D1279"/>
    <w:rsid w:val="004F34D2"/>
    <w:rsid w:val="004F7644"/>
    <w:rsid w:val="005418B8"/>
    <w:rsid w:val="00551621"/>
    <w:rsid w:val="005671A1"/>
    <w:rsid w:val="00587CD1"/>
    <w:rsid w:val="005938F3"/>
    <w:rsid w:val="005A16C1"/>
    <w:rsid w:val="005A76D9"/>
    <w:rsid w:val="005B07EE"/>
    <w:rsid w:val="005B3D05"/>
    <w:rsid w:val="005B5A7B"/>
    <w:rsid w:val="005E040C"/>
    <w:rsid w:val="005E1112"/>
    <w:rsid w:val="005E622B"/>
    <w:rsid w:val="00600E6C"/>
    <w:rsid w:val="00602443"/>
    <w:rsid w:val="00610D57"/>
    <w:rsid w:val="006131D8"/>
    <w:rsid w:val="00614C2C"/>
    <w:rsid w:val="00620A5B"/>
    <w:rsid w:val="00627AE5"/>
    <w:rsid w:val="006349A1"/>
    <w:rsid w:val="0063530B"/>
    <w:rsid w:val="006355DB"/>
    <w:rsid w:val="00651A48"/>
    <w:rsid w:val="00662D48"/>
    <w:rsid w:val="006644FB"/>
    <w:rsid w:val="00665EE9"/>
    <w:rsid w:val="006718E5"/>
    <w:rsid w:val="00694C3B"/>
    <w:rsid w:val="006A231D"/>
    <w:rsid w:val="006D0152"/>
    <w:rsid w:val="006D15D1"/>
    <w:rsid w:val="006E6CB9"/>
    <w:rsid w:val="006F120D"/>
    <w:rsid w:val="00707BF4"/>
    <w:rsid w:val="00723BAA"/>
    <w:rsid w:val="00731E73"/>
    <w:rsid w:val="00737B2B"/>
    <w:rsid w:val="007615F1"/>
    <w:rsid w:val="00763B28"/>
    <w:rsid w:val="007644E4"/>
    <w:rsid w:val="00794D29"/>
    <w:rsid w:val="007963B3"/>
    <w:rsid w:val="00797BE5"/>
    <w:rsid w:val="007A1A6F"/>
    <w:rsid w:val="007A385A"/>
    <w:rsid w:val="007A6E6D"/>
    <w:rsid w:val="007B3AE5"/>
    <w:rsid w:val="007B509D"/>
    <w:rsid w:val="007D0F4B"/>
    <w:rsid w:val="007E2C8E"/>
    <w:rsid w:val="007F0CFD"/>
    <w:rsid w:val="00800450"/>
    <w:rsid w:val="00804128"/>
    <w:rsid w:val="00810211"/>
    <w:rsid w:val="00810FDE"/>
    <w:rsid w:val="008168EA"/>
    <w:rsid w:val="00821293"/>
    <w:rsid w:val="008237A9"/>
    <w:rsid w:val="00830E33"/>
    <w:rsid w:val="00863137"/>
    <w:rsid w:val="0087528C"/>
    <w:rsid w:val="008764B6"/>
    <w:rsid w:val="008925B7"/>
    <w:rsid w:val="008931B0"/>
    <w:rsid w:val="008A2A7F"/>
    <w:rsid w:val="008D5487"/>
    <w:rsid w:val="008E68FF"/>
    <w:rsid w:val="008F2864"/>
    <w:rsid w:val="008F45BF"/>
    <w:rsid w:val="009039C7"/>
    <w:rsid w:val="00925BA7"/>
    <w:rsid w:val="009357ED"/>
    <w:rsid w:val="009413E2"/>
    <w:rsid w:val="00943034"/>
    <w:rsid w:val="00950DA8"/>
    <w:rsid w:val="00954A4B"/>
    <w:rsid w:val="00956510"/>
    <w:rsid w:val="00961CD6"/>
    <w:rsid w:val="00986519"/>
    <w:rsid w:val="009C247E"/>
    <w:rsid w:val="009C7235"/>
    <w:rsid w:val="009C78CA"/>
    <w:rsid w:val="009D4ADA"/>
    <w:rsid w:val="009D6C2F"/>
    <w:rsid w:val="009D70BE"/>
    <w:rsid w:val="009E70D4"/>
    <w:rsid w:val="00A21F58"/>
    <w:rsid w:val="00A26D0F"/>
    <w:rsid w:val="00A31A71"/>
    <w:rsid w:val="00A339F8"/>
    <w:rsid w:val="00A34A67"/>
    <w:rsid w:val="00A35CCA"/>
    <w:rsid w:val="00A44649"/>
    <w:rsid w:val="00A70829"/>
    <w:rsid w:val="00A74302"/>
    <w:rsid w:val="00A74A15"/>
    <w:rsid w:val="00A8509D"/>
    <w:rsid w:val="00A9407C"/>
    <w:rsid w:val="00A95EDC"/>
    <w:rsid w:val="00AA36E4"/>
    <w:rsid w:val="00AB4CB9"/>
    <w:rsid w:val="00AC6A35"/>
    <w:rsid w:val="00AD29D9"/>
    <w:rsid w:val="00AD7BC4"/>
    <w:rsid w:val="00AE4D62"/>
    <w:rsid w:val="00AE57CD"/>
    <w:rsid w:val="00AE6875"/>
    <w:rsid w:val="00AE7ED9"/>
    <w:rsid w:val="00B2141D"/>
    <w:rsid w:val="00B21552"/>
    <w:rsid w:val="00B2226B"/>
    <w:rsid w:val="00B26F81"/>
    <w:rsid w:val="00B27D9F"/>
    <w:rsid w:val="00B60A1A"/>
    <w:rsid w:val="00B6287C"/>
    <w:rsid w:val="00B67E89"/>
    <w:rsid w:val="00B76CB8"/>
    <w:rsid w:val="00B8070E"/>
    <w:rsid w:val="00B91C60"/>
    <w:rsid w:val="00BB2A0E"/>
    <w:rsid w:val="00BB5AD8"/>
    <w:rsid w:val="00BF4753"/>
    <w:rsid w:val="00BF79A7"/>
    <w:rsid w:val="00C202FD"/>
    <w:rsid w:val="00C222A0"/>
    <w:rsid w:val="00C35613"/>
    <w:rsid w:val="00C35E4E"/>
    <w:rsid w:val="00C368AD"/>
    <w:rsid w:val="00C37A5D"/>
    <w:rsid w:val="00C52287"/>
    <w:rsid w:val="00C61DC2"/>
    <w:rsid w:val="00C91D49"/>
    <w:rsid w:val="00C96768"/>
    <w:rsid w:val="00CB3FDA"/>
    <w:rsid w:val="00CD266E"/>
    <w:rsid w:val="00CD46F0"/>
    <w:rsid w:val="00CD5FED"/>
    <w:rsid w:val="00CD7F2A"/>
    <w:rsid w:val="00CE6B88"/>
    <w:rsid w:val="00D07869"/>
    <w:rsid w:val="00D10F5B"/>
    <w:rsid w:val="00D14657"/>
    <w:rsid w:val="00D14DBA"/>
    <w:rsid w:val="00D21CB7"/>
    <w:rsid w:val="00D23F48"/>
    <w:rsid w:val="00D34E25"/>
    <w:rsid w:val="00D516C3"/>
    <w:rsid w:val="00D57E73"/>
    <w:rsid w:val="00D63305"/>
    <w:rsid w:val="00D63915"/>
    <w:rsid w:val="00D75CD4"/>
    <w:rsid w:val="00D905C9"/>
    <w:rsid w:val="00D90C15"/>
    <w:rsid w:val="00D93418"/>
    <w:rsid w:val="00D960AA"/>
    <w:rsid w:val="00DA01B7"/>
    <w:rsid w:val="00DA6F4A"/>
    <w:rsid w:val="00DD2254"/>
    <w:rsid w:val="00DE0E6E"/>
    <w:rsid w:val="00DE2282"/>
    <w:rsid w:val="00E00512"/>
    <w:rsid w:val="00E038CD"/>
    <w:rsid w:val="00E05F1E"/>
    <w:rsid w:val="00E06BEC"/>
    <w:rsid w:val="00E130B2"/>
    <w:rsid w:val="00E215E5"/>
    <w:rsid w:val="00E2185E"/>
    <w:rsid w:val="00E342D5"/>
    <w:rsid w:val="00E375CD"/>
    <w:rsid w:val="00E42821"/>
    <w:rsid w:val="00E70DCD"/>
    <w:rsid w:val="00E769CA"/>
    <w:rsid w:val="00E90FC0"/>
    <w:rsid w:val="00E95347"/>
    <w:rsid w:val="00EB0435"/>
    <w:rsid w:val="00EB1B67"/>
    <w:rsid w:val="00ED011A"/>
    <w:rsid w:val="00EE4DAC"/>
    <w:rsid w:val="00F1210A"/>
    <w:rsid w:val="00F17292"/>
    <w:rsid w:val="00F27BD7"/>
    <w:rsid w:val="00F344D6"/>
    <w:rsid w:val="00F35827"/>
    <w:rsid w:val="00F41CA3"/>
    <w:rsid w:val="00F44812"/>
    <w:rsid w:val="00F46EAA"/>
    <w:rsid w:val="00F71ADA"/>
    <w:rsid w:val="00F72346"/>
    <w:rsid w:val="00F726C6"/>
    <w:rsid w:val="00F735B7"/>
    <w:rsid w:val="00F76C18"/>
    <w:rsid w:val="00F94948"/>
    <w:rsid w:val="00FA5132"/>
    <w:rsid w:val="00FB407C"/>
    <w:rsid w:val="00FB508E"/>
    <w:rsid w:val="00FE6071"/>
    <w:rsid w:val="00FE7FC6"/>
    <w:rsid w:val="00FF2355"/>
  </w:rsids>
  <m:mathPr>
    <m:mathFont m:val="Cambria Math"/>
    <m:brkBin m:val="before"/>
    <m:brkBinSub m:val="--"/>
    <m:smallFrac m:val="0"/>
    <m:dispDef/>
    <m:lMargin m:val="0"/>
    <m:rMargin m:val="0"/>
    <m:defJc m:val="centerGroup"/>
    <m:wrapIndent m:val="1440"/>
    <m:intLim m:val="subSup"/>
    <m:naryLim m:val="undOvr"/>
  </m:mathPr>
  <w:themeFontLang w:val="en-US" w:bidi="km-K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56FE"/>
  <w14:defaultImageDpi w14:val="32767"/>
  <w15:chartTrackingRefBased/>
  <w15:docId w15:val="{BAA9E3D9-8085-CB47-9D5F-A7A5B73A2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501F2"/>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9413E2"/>
    <w:pPr>
      <w:keepNext/>
      <w:spacing w:after="200" w:line="276" w:lineRule="auto"/>
      <w:ind w:left="284" w:hanging="284"/>
      <w:jc w:val="both"/>
      <w:outlineLvl w:val="0"/>
    </w:pPr>
    <w:rPr>
      <w:rFonts w:ascii="Arial" w:eastAsiaTheme="majorEastAsia" w:hAnsi="Arial" w:cs="Arial"/>
      <w:b/>
      <w:bCs/>
      <w:sz w:val="32"/>
      <w:szCs w:val="32"/>
    </w:rPr>
  </w:style>
  <w:style w:type="paragraph" w:styleId="Heading2">
    <w:name w:val="heading 2"/>
    <w:basedOn w:val="Normal"/>
    <w:next w:val="Normal"/>
    <w:link w:val="Heading2Char"/>
    <w:uiPriority w:val="9"/>
    <w:unhideWhenUsed/>
    <w:qFormat/>
    <w:rsid w:val="00810211"/>
    <w:pPr>
      <w:keepNext/>
      <w:keepLines/>
      <w:spacing w:before="40" w:after="200" w:line="276"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10211"/>
    <w:pPr>
      <w:keepNext/>
      <w:keepLines/>
      <w:spacing w:before="40" w:after="200" w:line="276" w:lineRule="auto"/>
      <w:outlineLvl w:val="2"/>
    </w:pPr>
    <w:rPr>
      <w:rFonts w:asciiTheme="majorHAnsi" w:eastAsiaTheme="majorEastAsia" w:hAnsiTheme="majorHAnsi" w:cstheme="majorBidi"/>
      <w:color w:val="1F3763" w:themeColor="accent1" w:themeShade="7F"/>
      <w:sz w:val="22"/>
      <w:szCs w:val="22"/>
    </w:rPr>
  </w:style>
  <w:style w:type="paragraph" w:styleId="Heading4">
    <w:name w:val="heading 4"/>
    <w:basedOn w:val="Normal"/>
    <w:next w:val="Normal"/>
    <w:link w:val="Heading4Char"/>
    <w:uiPriority w:val="9"/>
    <w:unhideWhenUsed/>
    <w:qFormat/>
    <w:rsid w:val="00C368AD"/>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13E2"/>
    <w:rPr>
      <w:rFonts w:ascii="Arial" w:eastAsiaTheme="majorEastAsia" w:hAnsi="Arial" w:cs="Arial"/>
      <w:b/>
      <w:bCs/>
      <w:kern w:val="0"/>
      <w:sz w:val="32"/>
      <w:szCs w:val="32"/>
      <w14:ligatures w14:val="none"/>
    </w:rPr>
  </w:style>
  <w:style w:type="character" w:customStyle="1" w:styleId="Heading2Char">
    <w:name w:val="Heading 2 Char"/>
    <w:basedOn w:val="DefaultParagraphFont"/>
    <w:link w:val="Heading2"/>
    <w:uiPriority w:val="9"/>
    <w:rsid w:val="00810211"/>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10211"/>
    <w:rPr>
      <w:rFonts w:asciiTheme="majorHAnsi" w:eastAsiaTheme="majorEastAsia" w:hAnsiTheme="majorHAnsi" w:cstheme="majorBidi"/>
      <w:color w:val="1F3763" w:themeColor="accent1" w:themeShade="7F"/>
    </w:rPr>
  </w:style>
  <w:style w:type="paragraph" w:styleId="ListBullet2">
    <w:name w:val="List Bullet 2"/>
    <w:basedOn w:val="Normal"/>
    <w:uiPriority w:val="99"/>
    <w:unhideWhenUsed/>
    <w:rsid w:val="00737B2B"/>
    <w:pPr>
      <w:numPr>
        <w:numId w:val="3"/>
      </w:numPr>
      <w:spacing w:after="200" w:line="276" w:lineRule="auto"/>
      <w:contextualSpacing/>
    </w:pPr>
    <w:rPr>
      <w:rFonts w:asciiTheme="minorHAnsi" w:eastAsiaTheme="minorEastAsia" w:hAnsiTheme="minorHAnsi" w:cstheme="minorBidi"/>
      <w:sz w:val="22"/>
      <w:szCs w:val="22"/>
    </w:rPr>
  </w:style>
  <w:style w:type="paragraph" w:styleId="NormalWeb">
    <w:name w:val="Normal (Web)"/>
    <w:basedOn w:val="Normal"/>
    <w:uiPriority w:val="99"/>
    <w:unhideWhenUsed/>
    <w:rsid w:val="00DE2282"/>
    <w:pPr>
      <w:spacing w:before="100" w:beforeAutospacing="1" w:after="100" w:afterAutospacing="1"/>
    </w:pPr>
  </w:style>
  <w:style w:type="character" w:styleId="Strong">
    <w:name w:val="Strong"/>
    <w:basedOn w:val="DefaultParagraphFont"/>
    <w:uiPriority w:val="22"/>
    <w:qFormat/>
    <w:rsid w:val="00DE2282"/>
    <w:rPr>
      <w:b/>
      <w:bCs/>
    </w:rPr>
  </w:style>
  <w:style w:type="character" w:styleId="Hyperlink">
    <w:name w:val="Hyperlink"/>
    <w:basedOn w:val="DefaultParagraphFont"/>
    <w:uiPriority w:val="99"/>
    <w:unhideWhenUsed/>
    <w:rsid w:val="0008555D"/>
    <w:rPr>
      <w:color w:val="0563C1" w:themeColor="hyperlink"/>
      <w:u w:val="single"/>
    </w:rPr>
  </w:style>
  <w:style w:type="character" w:styleId="UnresolvedMention">
    <w:name w:val="Unresolved Mention"/>
    <w:basedOn w:val="DefaultParagraphFont"/>
    <w:uiPriority w:val="99"/>
    <w:rsid w:val="0008555D"/>
    <w:rPr>
      <w:color w:val="605E5C"/>
      <w:shd w:val="clear" w:color="auto" w:fill="E1DFDD"/>
    </w:rPr>
  </w:style>
  <w:style w:type="paragraph" w:styleId="ListParagraph">
    <w:name w:val="List Paragraph"/>
    <w:basedOn w:val="Normal"/>
    <w:uiPriority w:val="34"/>
    <w:qFormat/>
    <w:rsid w:val="0008555D"/>
    <w:pPr>
      <w:spacing w:after="200" w:line="276" w:lineRule="auto"/>
      <w:ind w:left="720"/>
      <w:contextualSpacing/>
    </w:pPr>
    <w:rPr>
      <w:rFonts w:asciiTheme="minorHAnsi" w:eastAsiaTheme="minorEastAsia" w:hAnsiTheme="minorHAnsi" w:cstheme="minorBidi"/>
      <w:sz w:val="22"/>
      <w:szCs w:val="22"/>
    </w:rPr>
  </w:style>
  <w:style w:type="paragraph" w:styleId="Caption">
    <w:name w:val="caption"/>
    <w:basedOn w:val="Normal"/>
    <w:next w:val="Normal"/>
    <w:uiPriority w:val="35"/>
    <w:unhideWhenUsed/>
    <w:qFormat/>
    <w:rsid w:val="00B2226B"/>
    <w:pPr>
      <w:spacing w:after="200"/>
    </w:pPr>
    <w:rPr>
      <w:i/>
      <w:iCs/>
      <w:color w:val="44546A" w:themeColor="text2"/>
      <w:sz w:val="18"/>
      <w:szCs w:val="18"/>
    </w:rPr>
  </w:style>
  <w:style w:type="table" w:styleId="GridTable1Light-Accent5">
    <w:name w:val="Grid Table 1 Light Accent 5"/>
    <w:basedOn w:val="TableNormal"/>
    <w:uiPriority w:val="46"/>
    <w:rsid w:val="00D90C15"/>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9C247E"/>
    <w:rPr>
      <w:color w:val="954F72" w:themeColor="followedHyperlink"/>
      <w:u w:val="single"/>
    </w:rPr>
  </w:style>
  <w:style w:type="character" w:styleId="Emphasis">
    <w:name w:val="Emphasis"/>
    <w:basedOn w:val="DefaultParagraphFont"/>
    <w:uiPriority w:val="20"/>
    <w:qFormat/>
    <w:rsid w:val="00D07869"/>
    <w:rPr>
      <w:i/>
      <w:iCs/>
    </w:rPr>
  </w:style>
  <w:style w:type="paragraph" w:customStyle="1" w:styleId="p1">
    <w:name w:val="p1"/>
    <w:basedOn w:val="Normal"/>
    <w:rsid w:val="00551621"/>
    <w:rPr>
      <w:color w:val="000000"/>
      <w:sz w:val="18"/>
      <w:szCs w:val="18"/>
    </w:rPr>
  </w:style>
  <w:style w:type="character" w:customStyle="1" w:styleId="Heading4Char">
    <w:name w:val="Heading 4 Char"/>
    <w:basedOn w:val="DefaultParagraphFont"/>
    <w:link w:val="Heading4"/>
    <w:uiPriority w:val="9"/>
    <w:rsid w:val="00C368AD"/>
    <w:rPr>
      <w:rFonts w:asciiTheme="majorHAnsi" w:eastAsiaTheme="majorEastAsia" w:hAnsiTheme="majorHAnsi" w:cstheme="majorBidi"/>
      <w:i/>
      <w:iCs/>
      <w:color w:val="2F5496" w:themeColor="accent1" w:themeShade="BF"/>
      <w:kern w:val="0"/>
      <w14:ligatures w14:val="none"/>
    </w:rPr>
  </w:style>
  <w:style w:type="paragraph" w:styleId="Header">
    <w:name w:val="header"/>
    <w:basedOn w:val="Normal"/>
    <w:link w:val="HeaderChar"/>
    <w:uiPriority w:val="99"/>
    <w:unhideWhenUsed/>
    <w:rsid w:val="00452AF6"/>
    <w:pPr>
      <w:tabs>
        <w:tab w:val="center" w:pos="4680"/>
        <w:tab w:val="right" w:pos="9360"/>
      </w:tabs>
    </w:pPr>
  </w:style>
  <w:style w:type="character" w:customStyle="1" w:styleId="HeaderChar">
    <w:name w:val="Header Char"/>
    <w:basedOn w:val="DefaultParagraphFont"/>
    <w:link w:val="Header"/>
    <w:uiPriority w:val="99"/>
    <w:rsid w:val="00452AF6"/>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452AF6"/>
    <w:pPr>
      <w:tabs>
        <w:tab w:val="center" w:pos="4680"/>
        <w:tab w:val="right" w:pos="9360"/>
      </w:tabs>
    </w:pPr>
  </w:style>
  <w:style w:type="character" w:customStyle="1" w:styleId="FooterChar">
    <w:name w:val="Footer Char"/>
    <w:basedOn w:val="DefaultParagraphFont"/>
    <w:link w:val="Footer"/>
    <w:uiPriority w:val="99"/>
    <w:rsid w:val="00452AF6"/>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452AF6"/>
  </w:style>
  <w:style w:type="paragraph" w:customStyle="1" w:styleId="p2">
    <w:name w:val="p2"/>
    <w:basedOn w:val="Normal"/>
    <w:rsid w:val="000F02C9"/>
    <w:rPr>
      <w:color w:val="000000"/>
      <w:sz w:val="18"/>
      <w:szCs w:val="18"/>
    </w:rPr>
  </w:style>
  <w:style w:type="character" w:customStyle="1" w:styleId="apple-converted-space">
    <w:name w:val="apple-converted-space"/>
    <w:basedOn w:val="DefaultParagraphFont"/>
    <w:rsid w:val="000F02C9"/>
  </w:style>
  <w:style w:type="table" w:styleId="GridTable1Light-Accent1">
    <w:name w:val="Grid Table 1 Light Accent 1"/>
    <w:basedOn w:val="TableNormal"/>
    <w:uiPriority w:val="46"/>
    <w:rsid w:val="007B3AE5"/>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katex-mathml">
    <w:name w:val="katex-mathml"/>
    <w:basedOn w:val="DefaultParagraphFont"/>
    <w:rsid w:val="00723BAA"/>
  </w:style>
  <w:style w:type="character" w:customStyle="1" w:styleId="mord">
    <w:name w:val="mord"/>
    <w:basedOn w:val="DefaultParagraphFont"/>
    <w:rsid w:val="00723BAA"/>
  </w:style>
  <w:style w:type="character" w:customStyle="1" w:styleId="mrel">
    <w:name w:val="mrel"/>
    <w:basedOn w:val="DefaultParagraphFont"/>
    <w:rsid w:val="00723BAA"/>
  </w:style>
  <w:style w:type="character" w:customStyle="1" w:styleId="mopen">
    <w:name w:val="mopen"/>
    <w:basedOn w:val="DefaultParagraphFont"/>
    <w:rsid w:val="00723BAA"/>
  </w:style>
  <w:style w:type="character" w:customStyle="1" w:styleId="delimsizing">
    <w:name w:val="delimsizing"/>
    <w:basedOn w:val="DefaultParagraphFont"/>
    <w:rsid w:val="00723BAA"/>
  </w:style>
  <w:style w:type="character" w:customStyle="1" w:styleId="vlist-s">
    <w:name w:val="vlist-s"/>
    <w:basedOn w:val="DefaultParagraphFont"/>
    <w:rsid w:val="00723BAA"/>
  </w:style>
  <w:style w:type="character" w:customStyle="1" w:styleId="mclose">
    <w:name w:val="mclose"/>
    <w:basedOn w:val="DefaultParagraphFont"/>
    <w:rsid w:val="00723BAA"/>
  </w:style>
  <w:style w:type="character" w:customStyle="1" w:styleId="mbin">
    <w:name w:val="mbin"/>
    <w:basedOn w:val="DefaultParagraphFont"/>
    <w:rsid w:val="00723BAA"/>
  </w:style>
  <w:style w:type="paragraph" w:styleId="TOCHeading">
    <w:name w:val="TOC Heading"/>
    <w:basedOn w:val="Heading1"/>
    <w:next w:val="Normal"/>
    <w:uiPriority w:val="39"/>
    <w:unhideWhenUsed/>
    <w:qFormat/>
    <w:rsid w:val="00394091"/>
    <w:pPr>
      <w:keepLines/>
      <w:spacing w:before="480" w:after="0"/>
      <w:ind w:left="0" w:firstLine="0"/>
      <w:jc w:val="left"/>
      <w:outlineLvl w:val="9"/>
    </w:pPr>
    <w:rPr>
      <w:rFonts w:asciiTheme="majorHAnsi" w:hAnsiTheme="majorHAnsi" w:cstheme="majorBidi"/>
      <w:color w:val="2F5496" w:themeColor="accent1" w:themeShade="BF"/>
      <w:sz w:val="28"/>
      <w:szCs w:val="28"/>
    </w:rPr>
  </w:style>
  <w:style w:type="paragraph" w:styleId="TOC1">
    <w:name w:val="toc 1"/>
    <w:basedOn w:val="Normal"/>
    <w:next w:val="Normal"/>
    <w:autoRedefine/>
    <w:uiPriority w:val="39"/>
    <w:unhideWhenUsed/>
    <w:rsid w:val="006D15D1"/>
    <w:pPr>
      <w:tabs>
        <w:tab w:val="right" w:leader="dot" w:pos="9010"/>
      </w:tabs>
      <w:spacing w:before="120"/>
    </w:pPr>
    <w:rPr>
      <w:rFonts w:asciiTheme="minorHAnsi" w:hAnsiTheme="minorHAnsi" w:cstheme="minorHAnsi"/>
      <w:b/>
      <w:bCs/>
      <w:i/>
      <w:iCs/>
    </w:rPr>
  </w:style>
  <w:style w:type="paragraph" w:styleId="TOC2">
    <w:name w:val="toc 2"/>
    <w:basedOn w:val="Normal"/>
    <w:next w:val="Normal"/>
    <w:autoRedefine/>
    <w:uiPriority w:val="39"/>
    <w:unhideWhenUsed/>
    <w:rsid w:val="00394091"/>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394091"/>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394091"/>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394091"/>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394091"/>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394091"/>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394091"/>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394091"/>
    <w:pPr>
      <w:ind w:left="1920"/>
    </w:pPr>
    <w:rPr>
      <w:rFonts w:asciiTheme="minorHAnsi" w:hAnsiTheme="minorHAnsi" w:cstheme="minorHAnsi"/>
      <w:sz w:val="20"/>
      <w:szCs w:val="20"/>
    </w:rPr>
  </w:style>
  <w:style w:type="paragraph" w:styleId="TableofFigures">
    <w:name w:val="table of figures"/>
    <w:basedOn w:val="Normal"/>
    <w:next w:val="Normal"/>
    <w:uiPriority w:val="99"/>
    <w:unhideWhenUsed/>
    <w:rsid w:val="00A21F58"/>
  </w:style>
  <w:style w:type="paragraph" w:styleId="Revision">
    <w:name w:val="Revision"/>
    <w:hidden/>
    <w:uiPriority w:val="99"/>
    <w:semiHidden/>
    <w:rsid w:val="00C52287"/>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356AEB"/>
    <w:rPr>
      <w:sz w:val="16"/>
      <w:szCs w:val="16"/>
    </w:rPr>
  </w:style>
  <w:style w:type="paragraph" w:styleId="CommentText">
    <w:name w:val="annotation text"/>
    <w:basedOn w:val="Normal"/>
    <w:link w:val="CommentTextChar"/>
    <w:uiPriority w:val="99"/>
    <w:semiHidden/>
    <w:unhideWhenUsed/>
    <w:rsid w:val="00356AEB"/>
    <w:rPr>
      <w:sz w:val="20"/>
      <w:szCs w:val="20"/>
    </w:rPr>
  </w:style>
  <w:style w:type="character" w:customStyle="1" w:styleId="CommentTextChar">
    <w:name w:val="Comment Text Char"/>
    <w:basedOn w:val="DefaultParagraphFont"/>
    <w:link w:val="CommentText"/>
    <w:uiPriority w:val="99"/>
    <w:semiHidden/>
    <w:rsid w:val="00356AEB"/>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56AEB"/>
    <w:rPr>
      <w:b/>
      <w:bCs/>
    </w:rPr>
  </w:style>
  <w:style w:type="character" w:customStyle="1" w:styleId="CommentSubjectChar">
    <w:name w:val="Comment Subject Char"/>
    <w:basedOn w:val="CommentTextChar"/>
    <w:link w:val="CommentSubject"/>
    <w:uiPriority w:val="99"/>
    <w:semiHidden/>
    <w:rsid w:val="00356AEB"/>
    <w:rPr>
      <w:rFonts w:ascii="Times New Roman" w:eastAsia="Times New Roman" w:hAnsi="Times New Roman" w:cs="Times New Roman"/>
      <w:b/>
      <w:bCs/>
      <w:kern w:val="0"/>
      <w:sz w:val="20"/>
      <w:szCs w:val="20"/>
      <w14:ligatures w14:val="none"/>
    </w:rPr>
  </w:style>
  <w:style w:type="table" w:styleId="GridTable4-Accent5">
    <w:name w:val="Grid Table 4 Accent 5"/>
    <w:basedOn w:val="TableNormal"/>
    <w:uiPriority w:val="49"/>
    <w:rsid w:val="009357ED"/>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relative">
    <w:name w:val="relative"/>
    <w:basedOn w:val="DefaultParagraphFont"/>
    <w:rsid w:val="00DA6F4A"/>
  </w:style>
  <w:style w:type="paragraph" w:customStyle="1" w:styleId="not-prose">
    <w:name w:val="not-prose"/>
    <w:basedOn w:val="Normal"/>
    <w:rsid w:val="00DA6F4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91362">
      <w:bodyDiv w:val="1"/>
      <w:marLeft w:val="0"/>
      <w:marRight w:val="0"/>
      <w:marTop w:val="0"/>
      <w:marBottom w:val="0"/>
      <w:divBdr>
        <w:top w:val="none" w:sz="0" w:space="0" w:color="auto"/>
        <w:left w:val="none" w:sz="0" w:space="0" w:color="auto"/>
        <w:bottom w:val="none" w:sz="0" w:space="0" w:color="auto"/>
        <w:right w:val="none" w:sz="0" w:space="0" w:color="auto"/>
      </w:divBdr>
    </w:div>
    <w:div w:id="27150803">
      <w:bodyDiv w:val="1"/>
      <w:marLeft w:val="0"/>
      <w:marRight w:val="0"/>
      <w:marTop w:val="0"/>
      <w:marBottom w:val="0"/>
      <w:divBdr>
        <w:top w:val="none" w:sz="0" w:space="0" w:color="auto"/>
        <w:left w:val="none" w:sz="0" w:space="0" w:color="auto"/>
        <w:bottom w:val="none" w:sz="0" w:space="0" w:color="auto"/>
        <w:right w:val="none" w:sz="0" w:space="0" w:color="auto"/>
      </w:divBdr>
    </w:div>
    <w:div w:id="31467989">
      <w:bodyDiv w:val="1"/>
      <w:marLeft w:val="0"/>
      <w:marRight w:val="0"/>
      <w:marTop w:val="0"/>
      <w:marBottom w:val="0"/>
      <w:divBdr>
        <w:top w:val="none" w:sz="0" w:space="0" w:color="auto"/>
        <w:left w:val="none" w:sz="0" w:space="0" w:color="auto"/>
        <w:bottom w:val="none" w:sz="0" w:space="0" w:color="auto"/>
        <w:right w:val="none" w:sz="0" w:space="0" w:color="auto"/>
      </w:divBdr>
    </w:div>
    <w:div w:id="41249138">
      <w:bodyDiv w:val="1"/>
      <w:marLeft w:val="0"/>
      <w:marRight w:val="0"/>
      <w:marTop w:val="0"/>
      <w:marBottom w:val="0"/>
      <w:divBdr>
        <w:top w:val="none" w:sz="0" w:space="0" w:color="auto"/>
        <w:left w:val="none" w:sz="0" w:space="0" w:color="auto"/>
        <w:bottom w:val="none" w:sz="0" w:space="0" w:color="auto"/>
        <w:right w:val="none" w:sz="0" w:space="0" w:color="auto"/>
      </w:divBdr>
    </w:div>
    <w:div w:id="55058827">
      <w:bodyDiv w:val="1"/>
      <w:marLeft w:val="0"/>
      <w:marRight w:val="0"/>
      <w:marTop w:val="0"/>
      <w:marBottom w:val="0"/>
      <w:divBdr>
        <w:top w:val="none" w:sz="0" w:space="0" w:color="auto"/>
        <w:left w:val="none" w:sz="0" w:space="0" w:color="auto"/>
        <w:bottom w:val="none" w:sz="0" w:space="0" w:color="auto"/>
        <w:right w:val="none" w:sz="0" w:space="0" w:color="auto"/>
      </w:divBdr>
    </w:div>
    <w:div w:id="91947352">
      <w:bodyDiv w:val="1"/>
      <w:marLeft w:val="0"/>
      <w:marRight w:val="0"/>
      <w:marTop w:val="0"/>
      <w:marBottom w:val="0"/>
      <w:divBdr>
        <w:top w:val="none" w:sz="0" w:space="0" w:color="auto"/>
        <w:left w:val="none" w:sz="0" w:space="0" w:color="auto"/>
        <w:bottom w:val="none" w:sz="0" w:space="0" w:color="auto"/>
        <w:right w:val="none" w:sz="0" w:space="0" w:color="auto"/>
      </w:divBdr>
    </w:div>
    <w:div w:id="107092140">
      <w:bodyDiv w:val="1"/>
      <w:marLeft w:val="0"/>
      <w:marRight w:val="0"/>
      <w:marTop w:val="0"/>
      <w:marBottom w:val="0"/>
      <w:divBdr>
        <w:top w:val="none" w:sz="0" w:space="0" w:color="auto"/>
        <w:left w:val="none" w:sz="0" w:space="0" w:color="auto"/>
        <w:bottom w:val="none" w:sz="0" w:space="0" w:color="auto"/>
        <w:right w:val="none" w:sz="0" w:space="0" w:color="auto"/>
      </w:divBdr>
    </w:div>
    <w:div w:id="183397423">
      <w:bodyDiv w:val="1"/>
      <w:marLeft w:val="0"/>
      <w:marRight w:val="0"/>
      <w:marTop w:val="0"/>
      <w:marBottom w:val="0"/>
      <w:divBdr>
        <w:top w:val="none" w:sz="0" w:space="0" w:color="auto"/>
        <w:left w:val="none" w:sz="0" w:space="0" w:color="auto"/>
        <w:bottom w:val="none" w:sz="0" w:space="0" w:color="auto"/>
        <w:right w:val="none" w:sz="0" w:space="0" w:color="auto"/>
      </w:divBdr>
    </w:div>
    <w:div w:id="188879788">
      <w:bodyDiv w:val="1"/>
      <w:marLeft w:val="0"/>
      <w:marRight w:val="0"/>
      <w:marTop w:val="0"/>
      <w:marBottom w:val="0"/>
      <w:divBdr>
        <w:top w:val="none" w:sz="0" w:space="0" w:color="auto"/>
        <w:left w:val="none" w:sz="0" w:space="0" w:color="auto"/>
        <w:bottom w:val="none" w:sz="0" w:space="0" w:color="auto"/>
        <w:right w:val="none" w:sz="0" w:space="0" w:color="auto"/>
      </w:divBdr>
    </w:div>
    <w:div w:id="261030767">
      <w:bodyDiv w:val="1"/>
      <w:marLeft w:val="0"/>
      <w:marRight w:val="0"/>
      <w:marTop w:val="0"/>
      <w:marBottom w:val="0"/>
      <w:divBdr>
        <w:top w:val="none" w:sz="0" w:space="0" w:color="auto"/>
        <w:left w:val="none" w:sz="0" w:space="0" w:color="auto"/>
        <w:bottom w:val="none" w:sz="0" w:space="0" w:color="auto"/>
        <w:right w:val="none" w:sz="0" w:space="0" w:color="auto"/>
      </w:divBdr>
    </w:div>
    <w:div w:id="308441878">
      <w:bodyDiv w:val="1"/>
      <w:marLeft w:val="0"/>
      <w:marRight w:val="0"/>
      <w:marTop w:val="0"/>
      <w:marBottom w:val="0"/>
      <w:divBdr>
        <w:top w:val="none" w:sz="0" w:space="0" w:color="auto"/>
        <w:left w:val="none" w:sz="0" w:space="0" w:color="auto"/>
        <w:bottom w:val="none" w:sz="0" w:space="0" w:color="auto"/>
        <w:right w:val="none" w:sz="0" w:space="0" w:color="auto"/>
      </w:divBdr>
    </w:div>
    <w:div w:id="408432362">
      <w:bodyDiv w:val="1"/>
      <w:marLeft w:val="0"/>
      <w:marRight w:val="0"/>
      <w:marTop w:val="0"/>
      <w:marBottom w:val="0"/>
      <w:divBdr>
        <w:top w:val="none" w:sz="0" w:space="0" w:color="auto"/>
        <w:left w:val="none" w:sz="0" w:space="0" w:color="auto"/>
        <w:bottom w:val="none" w:sz="0" w:space="0" w:color="auto"/>
        <w:right w:val="none" w:sz="0" w:space="0" w:color="auto"/>
      </w:divBdr>
    </w:div>
    <w:div w:id="469517938">
      <w:bodyDiv w:val="1"/>
      <w:marLeft w:val="0"/>
      <w:marRight w:val="0"/>
      <w:marTop w:val="0"/>
      <w:marBottom w:val="0"/>
      <w:divBdr>
        <w:top w:val="none" w:sz="0" w:space="0" w:color="auto"/>
        <w:left w:val="none" w:sz="0" w:space="0" w:color="auto"/>
        <w:bottom w:val="none" w:sz="0" w:space="0" w:color="auto"/>
        <w:right w:val="none" w:sz="0" w:space="0" w:color="auto"/>
      </w:divBdr>
    </w:div>
    <w:div w:id="474446615">
      <w:bodyDiv w:val="1"/>
      <w:marLeft w:val="0"/>
      <w:marRight w:val="0"/>
      <w:marTop w:val="0"/>
      <w:marBottom w:val="0"/>
      <w:divBdr>
        <w:top w:val="none" w:sz="0" w:space="0" w:color="auto"/>
        <w:left w:val="none" w:sz="0" w:space="0" w:color="auto"/>
        <w:bottom w:val="none" w:sz="0" w:space="0" w:color="auto"/>
        <w:right w:val="none" w:sz="0" w:space="0" w:color="auto"/>
      </w:divBdr>
    </w:div>
    <w:div w:id="521825935">
      <w:bodyDiv w:val="1"/>
      <w:marLeft w:val="0"/>
      <w:marRight w:val="0"/>
      <w:marTop w:val="0"/>
      <w:marBottom w:val="0"/>
      <w:divBdr>
        <w:top w:val="none" w:sz="0" w:space="0" w:color="auto"/>
        <w:left w:val="none" w:sz="0" w:space="0" w:color="auto"/>
        <w:bottom w:val="none" w:sz="0" w:space="0" w:color="auto"/>
        <w:right w:val="none" w:sz="0" w:space="0" w:color="auto"/>
      </w:divBdr>
    </w:div>
    <w:div w:id="626206907">
      <w:bodyDiv w:val="1"/>
      <w:marLeft w:val="0"/>
      <w:marRight w:val="0"/>
      <w:marTop w:val="0"/>
      <w:marBottom w:val="0"/>
      <w:divBdr>
        <w:top w:val="none" w:sz="0" w:space="0" w:color="auto"/>
        <w:left w:val="none" w:sz="0" w:space="0" w:color="auto"/>
        <w:bottom w:val="none" w:sz="0" w:space="0" w:color="auto"/>
        <w:right w:val="none" w:sz="0" w:space="0" w:color="auto"/>
      </w:divBdr>
    </w:div>
    <w:div w:id="638807707">
      <w:bodyDiv w:val="1"/>
      <w:marLeft w:val="0"/>
      <w:marRight w:val="0"/>
      <w:marTop w:val="0"/>
      <w:marBottom w:val="0"/>
      <w:divBdr>
        <w:top w:val="none" w:sz="0" w:space="0" w:color="auto"/>
        <w:left w:val="none" w:sz="0" w:space="0" w:color="auto"/>
        <w:bottom w:val="none" w:sz="0" w:space="0" w:color="auto"/>
        <w:right w:val="none" w:sz="0" w:space="0" w:color="auto"/>
      </w:divBdr>
    </w:div>
    <w:div w:id="692196747">
      <w:bodyDiv w:val="1"/>
      <w:marLeft w:val="0"/>
      <w:marRight w:val="0"/>
      <w:marTop w:val="0"/>
      <w:marBottom w:val="0"/>
      <w:divBdr>
        <w:top w:val="none" w:sz="0" w:space="0" w:color="auto"/>
        <w:left w:val="none" w:sz="0" w:space="0" w:color="auto"/>
        <w:bottom w:val="none" w:sz="0" w:space="0" w:color="auto"/>
        <w:right w:val="none" w:sz="0" w:space="0" w:color="auto"/>
      </w:divBdr>
    </w:div>
    <w:div w:id="765538166">
      <w:bodyDiv w:val="1"/>
      <w:marLeft w:val="0"/>
      <w:marRight w:val="0"/>
      <w:marTop w:val="0"/>
      <w:marBottom w:val="0"/>
      <w:divBdr>
        <w:top w:val="none" w:sz="0" w:space="0" w:color="auto"/>
        <w:left w:val="none" w:sz="0" w:space="0" w:color="auto"/>
        <w:bottom w:val="none" w:sz="0" w:space="0" w:color="auto"/>
        <w:right w:val="none" w:sz="0" w:space="0" w:color="auto"/>
      </w:divBdr>
    </w:div>
    <w:div w:id="893276441">
      <w:bodyDiv w:val="1"/>
      <w:marLeft w:val="0"/>
      <w:marRight w:val="0"/>
      <w:marTop w:val="0"/>
      <w:marBottom w:val="0"/>
      <w:divBdr>
        <w:top w:val="none" w:sz="0" w:space="0" w:color="auto"/>
        <w:left w:val="none" w:sz="0" w:space="0" w:color="auto"/>
        <w:bottom w:val="none" w:sz="0" w:space="0" w:color="auto"/>
        <w:right w:val="none" w:sz="0" w:space="0" w:color="auto"/>
      </w:divBdr>
    </w:div>
    <w:div w:id="938951487">
      <w:bodyDiv w:val="1"/>
      <w:marLeft w:val="0"/>
      <w:marRight w:val="0"/>
      <w:marTop w:val="0"/>
      <w:marBottom w:val="0"/>
      <w:divBdr>
        <w:top w:val="none" w:sz="0" w:space="0" w:color="auto"/>
        <w:left w:val="none" w:sz="0" w:space="0" w:color="auto"/>
        <w:bottom w:val="none" w:sz="0" w:space="0" w:color="auto"/>
        <w:right w:val="none" w:sz="0" w:space="0" w:color="auto"/>
      </w:divBdr>
      <w:divsChild>
        <w:div w:id="1564441720">
          <w:marLeft w:val="0"/>
          <w:marRight w:val="0"/>
          <w:marTop w:val="0"/>
          <w:marBottom w:val="0"/>
          <w:divBdr>
            <w:top w:val="none" w:sz="0" w:space="0" w:color="auto"/>
            <w:left w:val="none" w:sz="0" w:space="0" w:color="auto"/>
            <w:bottom w:val="none" w:sz="0" w:space="0" w:color="auto"/>
            <w:right w:val="none" w:sz="0" w:space="0" w:color="auto"/>
          </w:divBdr>
          <w:divsChild>
            <w:div w:id="1021660361">
              <w:marLeft w:val="0"/>
              <w:marRight w:val="0"/>
              <w:marTop w:val="0"/>
              <w:marBottom w:val="0"/>
              <w:divBdr>
                <w:top w:val="none" w:sz="0" w:space="0" w:color="auto"/>
                <w:left w:val="none" w:sz="0" w:space="0" w:color="auto"/>
                <w:bottom w:val="none" w:sz="0" w:space="0" w:color="auto"/>
                <w:right w:val="none" w:sz="0" w:space="0" w:color="auto"/>
              </w:divBdr>
              <w:divsChild>
                <w:div w:id="299238642">
                  <w:marLeft w:val="0"/>
                  <w:marRight w:val="0"/>
                  <w:marTop w:val="0"/>
                  <w:marBottom w:val="0"/>
                  <w:divBdr>
                    <w:top w:val="none" w:sz="0" w:space="0" w:color="auto"/>
                    <w:left w:val="none" w:sz="0" w:space="0" w:color="auto"/>
                    <w:bottom w:val="none" w:sz="0" w:space="0" w:color="auto"/>
                    <w:right w:val="none" w:sz="0" w:space="0" w:color="auto"/>
                  </w:divBdr>
                  <w:divsChild>
                    <w:div w:id="2074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1954282">
      <w:bodyDiv w:val="1"/>
      <w:marLeft w:val="0"/>
      <w:marRight w:val="0"/>
      <w:marTop w:val="0"/>
      <w:marBottom w:val="0"/>
      <w:divBdr>
        <w:top w:val="none" w:sz="0" w:space="0" w:color="auto"/>
        <w:left w:val="none" w:sz="0" w:space="0" w:color="auto"/>
        <w:bottom w:val="none" w:sz="0" w:space="0" w:color="auto"/>
        <w:right w:val="none" w:sz="0" w:space="0" w:color="auto"/>
      </w:divBdr>
    </w:div>
    <w:div w:id="952638113">
      <w:bodyDiv w:val="1"/>
      <w:marLeft w:val="0"/>
      <w:marRight w:val="0"/>
      <w:marTop w:val="0"/>
      <w:marBottom w:val="0"/>
      <w:divBdr>
        <w:top w:val="none" w:sz="0" w:space="0" w:color="auto"/>
        <w:left w:val="none" w:sz="0" w:space="0" w:color="auto"/>
        <w:bottom w:val="none" w:sz="0" w:space="0" w:color="auto"/>
        <w:right w:val="none" w:sz="0" w:space="0" w:color="auto"/>
      </w:divBdr>
    </w:div>
    <w:div w:id="1031801210">
      <w:bodyDiv w:val="1"/>
      <w:marLeft w:val="0"/>
      <w:marRight w:val="0"/>
      <w:marTop w:val="0"/>
      <w:marBottom w:val="0"/>
      <w:divBdr>
        <w:top w:val="none" w:sz="0" w:space="0" w:color="auto"/>
        <w:left w:val="none" w:sz="0" w:space="0" w:color="auto"/>
        <w:bottom w:val="none" w:sz="0" w:space="0" w:color="auto"/>
        <w:right w:val="none" w:sz="0" w:space="0" w:color="auto"/>
      </w:divBdr>
    </w:div>
    <w:div w:id="1052461976">
      <w:bodyDiv w:val="1"/>
      <w:marLeft w:val="0"/>
      <w:marRight w:val="0"/>
      <w:marTop w:val="0"/>
      <w:marBottom w:val="0"/>
      <w:divBdr>
        <w:top w:val="none" w:sz="0" w:space="0" w:color="auto"/>
        <w:left w:val="none" w:sz="0" w:space="0" w:color="auto"/>
        <w:bottom w:val="none" w:sz="0" w:space="0" w:color="auto"/>
        <w:right w:val="none" w:sz="0" w:space="0" w:color="auto"/>
      </w:divBdr>
    </w:div>
    <w:div w:id="1065840336">
      <w:bodyDiv w:val="1"/>
      <w:marLeft w:val="0"/>
      <w:marRight w:val="0"/>
      <w:marTop w:val="0"/>
      <w:marBottom w:val="0"/>
      <w:divBdr>
        <w:top w:val="none" w:sz="0" w:space="0" w:color="auto"/>
        <w:left w:val="none" w:sz="0" w:space="0" w:color="auto"/>
        <w:bottom w:val="none" w:sz="0" w:space="0" w:color="auto"/>
        <w:right w:val="none" w:sz="0" w:space="0" w:color="auto"/>
      </w:divBdr>
      <w:divsChild>
        <w:div w:id="137110552">
          <w:marLeft w:val="0"/>
          <w:marRight w:val="0"/>
          <w:marTop w:val="0"/>
          <w:marBottom w:val="0"/>
          <w:divBdr>
            <w:top w:val="none" w:sz="0" w:space="0" w:color="auto"/>
            <w:left w:val="none" w:sz="0" w:space="0" w:color="auto"/>
            <w:bottom w:val="none" w:sz="0" w:space="0" w:color="auto"/>
            <w:right w:val="none" w:sz="0" w:space="0" w:color="auto"/>
          </w:divBdr>
          <w:divsChild>
            <w:div w:id="254634769">
              <w:marLeft w:val="0"/>
              <w:marRight w:val="0"/>
              <w:marTop w:val="0"/>
              <w:marBottom w:val="0"/>
              <w:divBdr>
                <w:top w:val="none" w:sz="0" w:space="0" w:color="auto"/>
                <w:left w:val="none" w:sz="0" w:space="0" w:color="auto"/>
                <w:bottom w:val="none" w:sz="0" w:space="0" w:color="auto"/>
                <w:right w:val="none" w:sz="0" w:space="0" w:color="auto"/>
              </w:divBdr>
              <w:divsChild>
                <w:div w:id="1191452381">
                  <w:marLeft w:val="0"/>
                  <w:marRight w:val="0"/>
                  <w:marTop w:val="0"/>
                  <w:marBottom w:val="0"/>
                  <w:divBdr>
                    <w:top w:val="none" w:sz="0" w:space="0" w:color="auto"/>
                    <w:left w:val="none" w:sz="0" w:space="0" w:color="auto"/>
                    <w:bottom w:val="none" w:sz="0" w:space="0" w:color="auto"/>
                    <w:right w:val="none" w:sz="0" w:space="0" w:color="auto"/>
                  </w:divBdr>
                  <w:divsChild>
                    <w:div w:id="497305683">
                      <w:marLeft w:val="0"/>
                      <w:marRight w:val="0"/>
                      <w:marTop w:val="0"/>
                      <w:marBottom w:val="0"/>
                      <w:divBdr>
                        <w:top w:val="none" w:sz="0" w:space="0" w:color="auto"/>
                        <w:left w:val="none" w:sz="0" w:space="0" w:color="auto"/>
                        <w:bottom w:val="none" w:sz="0" w:space="0" w:color="auto"/>
                        <w:right w:val="none" w:sz="0" w:space="0" w:color="auto"/>
                      </w:divBdr>
                      <w:divsChild>
                        <w:div w:id="1091122901">
                          <w:marLeft w:val="0"/>
                          <w:marRight w:val="0"/>
                          <w:marTop w:val="0"/>
                          <w:marBottom w:val="0"/>
                          <w:divBdr>
                            <w:top w:val="none" w:sz="0" w:space="0" w:color="auto"/>
                            <w:left w:val="none" w:sz="0" w:space="0" w:color="auto"/>
                            <w:bottom w:val="none" w:sz="0" w:space="0" w:color="auto"/>
                            <w:right w:val="none" w:sz="0" w:space="0" w:color="auto"/>
                          </w:divBdr>
                          <w:divsChild>
                            <w:div w:id="130565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1167577">
      <w:bodyDiv w:val="1"/>
      <w:marLeft w:val="0"/>
      <w:marRight w:val="0"/>
      <w:marTop w:val="0"/>
      <w:marBottom w:val="0"/>
      <w:divBdr>
        <w:top w:val="none" w:sz="0" w:space="0" w:color="auto"/>
        <w:left w:val="none" w:sz="0" w:space="0" w:color="auto"/>
        <w:bottom w:val="none" w:sz="0" w:space="0" w:color="auto"/>
        <w:right w:val="none" w:sz="0" w:space="0" w:color="auto"/>
      </w:divBdr>
    </w:div>
    <w:div w:id="1152716583">
      <w:bodyDiv w:val="1"/>
      <w:marLeft w:val="0"/>
      <w:marRight w:val="0"/>
      <w:marTop w:val="0"/>
      <w:marBottom w:val="0"/>
      <w:divBdr>
        <w:top w:val="none" w:sz="0" w:space="0" w:color="auto"/>
        <w:left w:val="none" w:sz="0" w:space="0" w:color="auto"/>
        <w:bottom w:val="none" w:sz="0" w:space="0" w:color="auto"/>
        <w:right w:val="none" w:sz="0" w:space="0" w:color="auto"/>
      </w:divBdr>
    </w:div>
    <w:div w:id="1178958294">
      <w:bodyDiv w:val="1"/>
      <w:marLeft w:val="0"/>
      <w:marRight w:val="0"/>
      <w:marTop w:val="0"/>
      <w:marBottom w:val="0"/>
      <w:divBdr>
        <w:top w:val="none" w:sz="0" w:space="0" w:color="auto"/>
        <w:left w:val="none" w:sz="0" w:space="0" w:color="auto"/>
        <w:bottom w:val="none" w:sz="0" w:space="0" w:color="auto"/>
        <w:right w:val="none" w:sz="0" w:space="0" w:color="auto"/>
      </w:divBdr>
    </w:div>
    <w:div w:id="1195848012">
      <w:bodyDiv w:val="1"/>
      <w:marLeft w:val="0"/>
      <w:marRight w:val="0"/>
      <w:marTop w:val="0"/>
      <w:marBottom w:val="0"/>
      <w:divBdr>
        <w:top w:val="none" w:sz="0" w:space="0" w:color="auto"/>
        <w:left w:val="none" w:sz="0" w:space="0" w:color="auto"/>
        <w:bottom w:val="none" w:sz="0" w:space="0" w:color="auto"/>
        <w:right w:val="none" w:sz="0" w:space="0" w:color="auto"/>
      </w:divBdr>
    </w:div>
    <w:div w:id="1213540114">
      <w:bodyDiv w:val="1"/>
      <w:marLeft w:val="0"/>
      <w:marRight w:val="0"/>
      <w:marTop w:val="0"/>
      <w:marBottom w:val="0"/>
      <w:divBdr>
        <w:top w:val="none" w:sz="0" w:space="0" w:color="auto"/>
        <w:left w:val="none" w:sz="0" w:space="0" w:color="auto"/>
        <w:bottom w:val="none" w:sz="0" w:space="0" w:color="auto"/>
        <w:right w:val="none" w:sz="0" w:space="0" w:color="auto"/>
      </w:divBdr>
    </w:div>
    <w:div w:id="1245264910">
      <w:bodyDiv w:val="1"/>
      <w:marLeft w:val="0"/>
      <w:marRight w:val="0"/>
      <w:marTop w:val="0"/>
      <w:marBottom w:val="0"/>
      <w:divBdr>
        <w:top w:val="none" w:sz="0" w:space="0" w:color="auto"/>
        <w:left w:val="none" w:sz="0" w:space="0" w:color="auto"/>
        <w:bottom w:val="none" w:sz="0" w:space="0" w:color="auto"/>
        <w:right w:val="none" w:sz="0" w:space="0" w:color="auto"/>
      </w:divBdr>
    </w:div>
    <w:div w:id="1310481737">
      <w:bodyDiv w:val="1"/>
      <w:marLeft w:val="0"/>
      <w:marRight w:val="0"/>
      <w:marTop w:val="0"/>
      <w:marBottom w:val="0"/>
      <w:divBdr>
        <w:top w:val="none" w:sz="0" w:space="0" w:color="auto"/>
        <w:left w:val="none" w:sz="0" w:space="0" w:color="auto"/>
        <w:bottom w:val="none" w:sz="0" w:space="0" w:color="auto"/>
        <w:right w:val="none" w:sz="0" w:space="0" w:color="auto"/>
      </w:divBdr>
    </w:div>
    <w:div w:id="1420449015">
      <w:bodyDiv w:val="1"/>
      <w:marLeft w:val="0"/>
      <w:marRight w:val="0"/>
      <w:marTop w:val="0"/>
      <w:marBottom w:val="0"/>
      <w:divBdr>
        <w:top w:val="none" w:sz="0" w:space="0" w:color="auto"/>
        <w:left w:val="none" w:sz="0" w:space="0" w:color="auto"/>
        <w:bottom w:val="none" w:sz="0" w:space="0" w:color="auto"/>
        <w:right w:val="none" w:sz="0" w:space="0" w:color="auto"/>
      </w:divBdr>
    </w:div>
    <w:div w:id="1463615816">
      <w:bodyDiv w:val="1"/>
      <w:marLeft w:val="0"/>
      <w:marRight w:val="0"/>
      <w:marTop w:val="0"/>
      <w:marBottom w:val="0"/>
      <w:divBdr>
        <w:top w:val="none" w:sz="0" w:space="0" w:color="auto"/>
        <w:left w:val="none" w:sz="0" w:space="0" w:color="auto"/>
        <w:bottom w:val="none" w:sz="0" w:space="0" w:color="auto"/>
        <w:right w:val="none" w:sz="0" w:space="0" w:color="auto"/>
      </w:divBdr>
    </w:div>
    <w:div w:id="1465078385">
      <w:bodyDiv w:val="1"/>
      <w:marLeft w:val="0"/>
      <w:marRight w:val="0"/>
      <w:marTop w:val="0"/>
      <w:marBottom w:val="0"/>
      <w:divBdr>
        <w:top w:val="none" w:sz="0" w:space="0" w:color="auto"/>
        <w:left w:val="none" w:sz="0" w:space="0" w:color="auto"/>
        <w:bottom w:val="none" w:sz="0" w:space="0" w:color="auto"/>
        <w:right w:val="none" w:sz="0" w:space="0" w:color="auto"/>
      </w:divBdr>
    </w:div>
    <w:div w:id="1656763458">
      <w:bodyDiv w:val="1"/>
      <w:marLeft w:val="0"/>
      <w:marRight w:val="0"/>
      <w:marTop w:val="0"/>
      <w:marBottom w:val="0"/>
      <w:divBdr>
        <w:top w:val="none" w:sz="0" w:space="0" w:color="auto"/>
        <w:left w:val="none" w:sz="0" w:space="0" w:color="auto"/>
        <w:bottom w:val="none" w:sz="0" w:space="0" w:color="auto"/>
        <w:right w:val="none" w:sz="0" w:space="0" w:color="auto"/>
      </w:divBdr>
    </w:div>
    <w:div w:id="1677607457">
      <w:bodyDiv w:val="1"/>
      <w:marLeft w:val="0"/>
      <w:marRight w:val="0"/>
      <w:marTop w:val="0"/>
      <w:marBottom w:val="0"/>
      <w:divBdr>
        <w:top w:val="none" w:sz="0" w:space="0" w:color="auto"/>
        <w:left w:val="none" w:sz="0" w:space="0" w:color="auto"/>
        <w:bottom w:val="none" w:sz="0" w:space="0" w:color="auto"/>
        <w:right w:val="none" w:sz="0" w:space="0" w:color="auto"/>
      </w:divBdr>
    </w:div>
    <w:div w:id="1723409404">
      <w:bodyDiv w:val="1"/>
      <w:marLeft w:val="0"/>
      <w:marRight w:val="0"/>
      <w:marTop w:val="0"/>
      <w:marBottom w:val="0"/>
      <w:divBdr>
        <w:top w:val="none" w:sz="0" w:space="0" w:color="auto"/>
        <w:left w:val="none" w:sz="0" w:space="0" w:color="auto"/>
        <w:bottom w:val="none" w:sz="0" w:space="0" w:color="auto"/>
        <w:right w:val="none" w:sz="0" w:space="0" w:color="auto"/>
      </w:divBdr>
    </w:div>
    <w:div w:id="1797945688">
      <w:bodyDiv w:val="1"/>
      <w:marLeft w:val="0"/>
      <w:marRight w:val="0"/>
      <w:marTop w:val="0"/>
      <w:marBottom w:val="0"/>
      <w:divBdr>
        <w:top w:val="none" w:sz="0" w:space="0" w:color="auto"/>
        <w:left w:val="none" w:sz="0" w:space="0" w:color="auto"/>
        <w:bottom w:val="none" w:sz="0" w:space="0" w:color="auto"/>
        <w:right w:val="none" w:sz="0" w:space="0" w:color="auto"/>
      </w:divBdr>
    </w:div>
    <w:div w:id="1863544657">
      <w:bodyDiv w:val="1"/>
      <w:marLeft w:val="0"/>
      <w:marRight w:val="0"/>
      <w:marTop w:val="0"/>
      <w:marBottom w:val="0"/>
      <w:divBdr>
        <w:top w:val="none" w:sz="0" w:space="0" w:color="auto"/>
        <w:left w:val="none" w:sz="0" w:space="0" w:color="auto"/>
        <w:bottom w:val="none" w:sz="0" w:space="0" w:color="auto"/>
        <w:right w:val="none" w:sz="0" w:space="0" w:color="auto"/>
      </w:divBdr>
    </w:div>
    <w:div w:id="1968386157">
      <w:bodyDiv w:val="1"/>
      <w:marLeft w:val="0"/>
      <w:marRight w:val="0"/>
      <w:marTop w:val="0"/>
      <w:marBottom w:val="0"/>
      <w:divBdr>
        <w:top w:val="none" w:sz="0" w:space="0" w:color="auto"/>
        <w:left w:val="none" w:sz="0" w:space="0" w:color="auto"/>
        <w:bottom w:val="none" w:sz="0" w:space="0" w:color="auto"/>
        <w:right w:val="none" w:sz="0" w:space="0" w:color="auto"/>
      </w:divBdr>
    </w:div>
    <w:div w:id="1986618281">
      <w:bodyDiv w:val="1"/>
      <w:marLeft w:val="0"/>
      <w:marRight w:val="0"/>
      <w:marTop w:val="0"/>
      <w:marBottom w:val="0"/>
      <w:divBdr>
        <w:top w:val="none" w:sz="0" w:space="0" w:color="auto"/>
        <w:left w:val="none" w:sz="0" w:space="0" w:color="auto"/>
        <w:bottom w:val="none" w:sz="0" w:space="0" w:color="auto"/>
        <w:right w:val="none" w:sz="0" w:space="0" w:color="auto"/>
      </w:divBdr>
    </w:div>
    <w:div w:id="2071683315">
      <w:bodyDiv w:val="1"/>
      <w:marLeft w:val="0"/>
      <w:marRight w:val="0"/>
      <w:marTop w:val="0"/>
      <w:marBottom w:val="0"/>
      <w:divBdr>
        <w:top w:val="none" w:sz="0" w:space="0" w:color="auto"/>
        <w:left w:val="none" w:sz="0" w:space="0" w:color="auto"/>
        <w:bottom w:val="none" w:sz="0" w:space="0" w:color="auto"/>
        <w:right w:val="none" w:sz="0" w:space="0" w:color="auto"/>
      </w:divBdr>
    </w:div>
    <w:div w:id="2086028016">
      <w:bodyDiv w:val="1"/>
      <w:marLeft w:val="0"/>
      <w:marRight w:val="0"/>
      <w:marTop w:val="0"/>
      <w:marBottom w:val="0"/>
      <w:divBdr>
        <w:top w:val="none" w:sz="0" w:space="0" w:color="auto"/>
        <w:left w:val="none" w:sz="0" w:space="0" w:color="auto"/>
        <w:bottom w:val="none" w:sz="0" w:space="0" w:color="auto"/>
        <w:right w:val="none" w:sz="0" w:space="0" w:color="auto"/>
      </w:divBdr>
    </w:div>
    <w:div w:id="2095859573">
      <w:bodyDiv w:val="1"/>
      <w:marLeft w:val="0"/>
      <w:marRight w:val="0"/>
      <w:marTop w:val="0"/>
      <w:marBottom w:val="0"/>
      <w:divBdr>
        <w:top w:val="none" w:sz="0" w:space="0" w:color="auto"/>
        <w:left w:val="none" w:sz="0" w:space="0" w:color="auto"/>
        <w:bottom w:val="none" w:sz="0" w:space="0" w:color="auto"/>
        <w:right w:val="none" w:sz="0" w:space="0" w:color="auto"/>
      </w:divBdr>
    </w:div>
    <w:div w:id="2122451978">
      <w:bodyDiv w:val="1"/>
      <w:marLeft w:val="0"/>
      <w:marRight w:val="0"/>
      <w:marTop w:val="0"/>
      <w:marBottom w:val="0"/>
      <w:divBdr>
        <w:top w:val="none" w:sz="0" w:space="0" w:color="auto"/>
        <w:left w:val="none" w:sz="0" w:space="0" w:color="auto"/>
        <w:bottom w:val="none" w:sz="0" w:space="0" w:color="auto"/>
        <w:right w:val="none" w:sz="0" w:space="0" w:color="auto"/>
      </w:divBdr>
    </w:div>
    <w:div w:id="2132820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s://adpc.net/igo/category/ID1877/doc/2023-nRIu4Y-ADPC-Readiness_Assessment_for_IbFW_in_Cambodia.pdf" TargetMode="External"/><Relationship Id="rId26" Type="http://schemas.openxmlformats.org/officeDocument/2006/relationships/hyperlink" Target="https://globaldatalab.org/shdi/table/shdi/KHM/" TargetMode="External"/><Relationship Id="rId39" Type="http://schemas.openxmlformats.org/officeDocument/2006/relationships/hyperlink" Target="https://www.asean.or.jp/main-site/wp-content/uploads/2024/05/Master-Plan-on-Logistics-Development_AJC240520-.pdf" TargetMode="External"/><Relationship Id="rId21" Type="http://schemas.openxmlformats.org/officeDocument/2006/relationships/hyperlink" Target="https://public.emdat.be/data" TargetMode="External"/><Relationship Id="rId34" Type="http://schemas.openxmlformats.org/officeDocument/2006/relationships/hyperlink" Target="https://ophi.org.uk/global-mpi/2024" TargetMode="External"/><Relationship Id="rId42" Type="http://schemas.openxmlformats.org/officeDocument/2006/relationships/hyperlink" Target="https://www.undp.org/cambodia/publications/infographics-cambodia-2025-human-development-status" TargetMode="External"/><Relationship Id="rId47" Type="http://schemas.openxmlformats.org/officeDocument/2006/relationships/hyperlink" Target="https://www.worldbank.org/en/country/cambodia/publication/cambodia-economic-update" TargetMode="External"/><Relationship Id="rId50" Type="http://schemas.openxmlformats.org/officeDocument/2006/relationships/hyperlink" Target="https://data.worldbank.org/"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8.xml"/><Relationship Id="rId29" Type="http://schemas.openxmlformats.org/officeDocument/2006/relationships/hyperlink" Target="https://www.mrcmekong.org/" TargetMode="External"/><Relationship Id="rId11" Type="http://schemas.openxmlformats.org/officeDocument/2006/relationships/chart" Target="charts/chart3.xml"/><Relationship Id="rId24" Type="http://schemas.openxmlformats.org/officeDocument/2006/relationships/hyperlink" Target="https://www.fao.org/fishery/statistics" TargetMode="External"/><Relationship Id="rId32" Type="http://schemas.openxmlformats.org/officeDocument/2006/relationships/hyperlink" Target="https://nis.gov.kh/en/general-population-census-of-cambodia/" TargetMode="External"/><Relationship Id="rId37" Type="http://schemas.openxmlformats.org/officeDocument/2006/relationships/hyperlink" Target="https://documents1.worldbank.org/curated/en/432031595575149623/pdf/Enabling-Ecotourism-Development-in-Cambodia.pdf" TargetMode="External"/><Relationship Id="rId40" Type="http://schemas.openxmlformats.org/officeDocument/2006/relationships/hyperlink" Target="https://ars.els-cdn.com/content/image/1-s2.0-S0308597X17300635-mmc1.pdf" TargetMode="External"/><Relationship Id="rId45" Type="http://schemas.openxmlformats.org/officeDocument/2006/relationships/hyperlink" Target="https://washdata.org/data/home" TargetMode="External"/><Relationship Id="rId53"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chart" Target="charts/chart2.xml"/><Relationship Id="rId19" Type="http://schemas.openxmlformats.org/officeDocument/2006/relationships/hyperlink" Target="https://www.citypopulation.de" TargetMode="External"/><Relationship Id="rId31" Type="http://schemas.openxmlformats.org/officeDocument/2006/relationships/hyperlink" Target="https://app.idpoor.gov.kh/public-data-query" TargetMode="External"/><Relationship Id="rId44" Type="http://schemas.openxmlformats.org/officeDocument/2006/relationships/hyperlink" Target="https://population.un.org/wup/downloads?tab=Urban%20and%20Rural%20Populations"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drmkc.jrc.ec.europa.eu/inform-index/INFORM-Risk/Results-and-data" TargetMode="External"/><Relationship Id="rId27" Type="http://schemas.openxmlformats.org/officeDocument/2006/relationships/hyperlink" Target="https://www.ipcc.ch/assessment-report/ar6/" TargetMode="External"/><Relationship Id="rId30" Type="http://schemas.openxmlformats.org/officeDocument/2006/relationships/hyperlink" Target="https://unfccc.int/sites/default/files/resource/20220921_Third%20National%20Communication_Cambodia.pdf" TargetMode="External"/><Relationship Id="rId35" Type="http://schemas.openxmlformats.org/officeDocument/2006/relationships/hyperlink" Target="https://doi.org/10.3390/rs8100819" TargetMode="External"/><Relationship Id="rId43" Type="http://schemas.openxmlformats.org/officeDocument/2006/relationships/hyperlink" Target="https://elibrary.maff.gov.kh/assets/files/books/559bdaa37b1204b52a75c8f5dc6f7e4d1700534779.pdf" TargetMode="External"/><Relationship Id="rId48" Type="http://schemas.openxmlformats.org/officeDocument/2006/relationships/hyperlink" Target="https://documents1.worldbank.org/curated/en/099556207032341413/pdf/IDU00eec67aa0872b04096088cd02fda633553f1.pdf" TargetMode="External"/><Relationship Id="rId8" Type="http://schemas.openxmlformats.org/officeDocument/2006/relationships/footer" Target="footer1.xml"/><Relationship Id="rId51" Type="http://schemas.openxmlformats.org/officeDocument/2006/relationships/hyperlink" Target="https://climateknowledgeportal.worldbank.org/country/cambodia"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hyperlink" Target="https://www.adb.org/publications/climate-risk-country-profile-cambodia" TargetMode="External"/><Relationship Id="rId25" Type="http://schemas.openxmlformats.org/officeDocument/2006/relationships/hyperlink" Target="https://globalallianceagainsthungerandpoverty.org/country-example/cambodia-cash-transfer-for-the-poor-and-vulnerable-households-during-covid-19-ctp-covid/" TargetMode="External"/><Relationship Id="rId33" Type="http://schemas.openxmlformats.org/officeDocument/2006/relationships/hyperlink" Target="https://www.nis.gov.kh/nis/Census2019/Final%20General%20Population%20Census%202019-English.pdf" TargetMode="External"/><Relationship Id="rId38" Type="http://schemas.openxmlformats.org/officeDocument/2006/relationships/hyperlink" Target="https://unfccc.int/sites/default/files/2025-08/Cambodia-NDC%203.0_0.pdf" TargetMode="External"/><Relationship Id="rId46" Type="http://schemas.openxmlformats.org/officeDocument/2006/relationships/hyperlink" Target="https://documents.worldbank.org/" TargetMode="External"/><Relationship Id="rId20" Type="http://schemas.openxmlformats.org/officeDocument/2006/relationships/hyperlink" Target="https://www.cfe-dmha.org/LinkClick.aspx?fileticket=F9BAtubIqM0%3d&amp;portalid=0" TargetMode="External"/><Relationship Id="rId41" Type="http://schemas.openxmlformats.org/officeDocument/2006/relationships/hyperlink" Target="https://hdr.undp.org/data-center/documentation-and-downloads"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hyperlink" Target="https://server.maff.gov.kh/parse/files/myAppId5hD7ypUYw61sTqML/fd69caa3c49d2963151a11e244ec4af6_1639468965.pdf" TargetMode="External"/><Relationship Id="rId28" Type="http://schemas.openxmlformats.org/officeDocument/2006/relationships/hyperlink" Target="https://documents1.worldbank.org/curated/en/099155111222239793/pdf/P1735940c0e8b508d0b80e0c7375c89d9c0.pdf" TargetMode="External"/><Relationship Id="rId36" Type="http://schemas.openxmlformats.org/officeDocument/2006/relationships/hyperlink" Target="https://www.pemsea.org/sites/default/files/2023-12/NSOC%20Cambodia%202018%20%28FINAL%29%2009092020.pdf" TargetMode="External"/><Relationship Id="rId49" Type="http://schemas.openxmlformats.org/officeDocument/2006/relationships/hyperlink" Target="https://documents1.worldbank.org/curated/en/099092823045083987/pdf/P17887106c6c2d0e909aa1090f3e10505c1.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Users/chhunvireak/Downloads/Coastal_Population.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Users\chhunvireak\Library\Containers\com.microsoft.Excel\Data\Library\Application%20Support\Microsoft\Book2%20(version%201).xlsb"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Sheet1!$I$24:$I$29</c:f>
              <c:strCache>
                <c:ptCount val="6"/>
                <c:pt idx="0">
                  <c:v>1998</c:v>
                </c:pt>
                <c:pt idx="1">
                  <c:v>2008</c:v>
                </c:pt>
                <c:pt idx="2">
                  <c:v>2019</c:v>
                </c:pt>
                <c:pt idx="3">
                  <c:v>2024 (est.)</c:v>
                </c:pt>
                <c:pt idx="4">
                  <c:v>2028 (proj.)</c:v>
                </c:pt>
                <c:pt idx="5">
                  <c:v>2048 (proj.)</c:v>
                </c:pt>
              </c:strCache>
            </c:strRef>
          </c:cat>
          <c:val>
            <c:numRef>
              <c:f>Sheet1!$J$24:$J$29</c:f>
              <c:numCache>
                <c:formatCode>General</c:formatCode>
                <c:ptCount val="6"/>
                <c:pt idx="0">
                  <c:v>11.4</c:v>
                </c:pt>
                <c:pt idx="1">
                  <c:v>13.4</c:v>
                </c:pt>
                <c:pt idx="2">
                  <c:v>15.3</c:v>
                </c:pt>
                <c:pt idx="3">
                  <c:v>17.600000000000001</c:v>
                </c:pt>
                <c:pt idx="4" formatCode="0.0">
                  <c:v>18</c:v>
                </c:pt>
                <c:pt idx="5" formatCode="0.0">
                  <c:v>21</c:v>
                </c:pt>
              </c:numCache>
            </c:numRef>
          </c:val>
          <c:smooth val="0"/>
          <c:extLst>
            <c:ext xmlns:c16="http://schemas.microsoft.com/office/drawing/2014/chart" uri="{C3380CC4-5D6E-409C-BE32-E72D297353CC}">
              <c16:uniqueId val="{00000000-DF40-2E47-9590-CE49B1785267}"/>
            </c:ext>
          </c:extLst>
        </c:ser>
        <c:dLbls>
          <c:dLblPos val="t"/>
          <c:showLegendKey val="0"/>
          <c:showVal val="1"/>
          <c:showCatName val="0"/>
          <c:showSerName val="0"/>
          <c:showPercent val="0"/>
          <c:showBubbleSize val="0"/>
        </c:dLbls>
        <c:marker val="1"/>
        <c:smooth val="0"/>
        <c:axId val="1091802111"/>
        <c:axId val="1091796351"/>
      </c:lineChart>
      <c:catAx>
        <c:axId val="1091802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1796351"/>
        <c:crosses val="autoZero"/>
        <c:auto val="1"/>
        <c:lblAlgn val="ctr"/>
        <c:lblOffset val="100"/>
        <c:noMultiLvlLbl val="0"/>
      </c:catAx>
      <c:valAx>
        <c:axId val="1091796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18021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'Population Data'!$B$1</c:f>
              <c:strCache>
                <c:ptCount val="1"/>
                <c:pt idx="0">
                  <c:v>Coastal Population</c:v>
                </c:pt>
              </c:strCache>
            </c:strRef>
          </c:tx>
          <c:spPr>
            <a:ln>
              <a:prstDash val="solid"/>
            </a:ln>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'Population Data'!$A$2:$A$4</c:f>
              <c:strCache>
                <c:ptCount val="3"/>
                <c:pt idx="0">
                  <c:v>1998 Census</c:v>
                </c:pt>
                <c:pt idx="1">
                  <c:v>2008  Census</c:v>
                </c:pt>
                <c:pt idx="2">
                  <c:v>2019  Census</c:v>
                </c:pt>
              </c:strCache>
            </c:strRef>
          </c:cat>
          <c:val>
            <c:numRef>
              <c:f>'Population Data'!$B$2:$B$4</c:f>
              <c:numCache>
                <c:formatCode>#,##0</c:formatCode>
                <c:ptCount val="3"/>
                <c:pt idx="0">
                  <c:v>844861</c:v>
                </c:pt>
                <c:pt idx="1">
                  <c:v>960480</c:v>
                </c:pt>
                <c:pt idx="2">
                  <c:v>1072468</c:v>
                </c:pt>
              </c:numCache>
            </c:numRef>
          </c:val>
          <c:extLst>
            <c:ext xmlns:c16="http://schemas.microsoft.com/office/drawing/2014/chart" uri="{C3380CC4-5D6E-409C-BE32-E72D297353CC}">
              <c16:uniqueId val="{00000000-88C0-9E4B-B592-A654D8E26069}"/>
            </c:ext>
          </c:extLst>
        </c:ser>
        <c:dLbls>
          <c:dLblPos val="outEnd"/>
          <c:showLegendKey val="0"/>
          <c:showVal val="1"/>
          <c:showCatName val="0"/>
          <c:showSerName val="0"/>
          <c:showPercent val="0"/>
          <c:showBubbleSize val="0"/>
        </c:dLbls>
        <c:gapWidth val="247"/>
        <c:axId val="10"/>
        <c:axId val="100"/>
      </c:barChart>
      <c:lineChart>
        <c:grouping val="standard"/>
        <c:varyColors val="0"/>
        <c:ser>
          <c:idx val="1"/>
          <c:order val="1"/>
          <c:tx>
            <c:strRef>
              <c:f>'Population Data'!$D$1</c:f>
              <c:strCache>
                <c:ptCount val="1"/>
                <c:pt idx="0">
                  <c:v>Coastal Share (%)</c:v>
                </c:pt>
              </c:strCache>
            </c:strRef>
          </c:tx>
          <c:spPr>
            <a:ln>
              <a:prstDash val="solid"/>
            </a:ln>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val>
            <c:numRef>
              <c:f>'Population Data'!$D$2:$D$4</c:f>
              <c:numCache>
                <c:formatCode>0.0%</c:formatCode>
                <c:ptCount val="3"/>
                <c:pt idx="0">
                  <c:v>7.3866620923028287E-2</c:v>
                </c:pt>
                <c:pt idx="1">
                  <c:v>7.1677611940298508E-2</c:v>
                </c:pt>
                <c:pt idx="2">
                  <c:v>6.8959198148739104E-2</c:v>
                </c:pt>
              </c:numCache>
            </c:numRef>
          </c:val>
          <c:smooth val="0"/>
          <c:extLst>
            <c:ext xmlns:c16="http://schemas.microsoft.com/office/drawing/2014/chart" uri="{C3380CC4-5D6E-409C-BE32-E72D297353CC}">
              <c16:uniqueId val="{00000001-88C0-9E4B-B592-A654D8E26069}"/>
            </c:ext>
          </c:extLst>
        </c:ser>
        <c:dLbls>
          <c:showLegendKey val="0"/>
          <c:showVal val="1"/>
          <c:showCatName val="0"/>
          <c:showSerName val="0"/>
          <c:showPercent val="0"/>
          <c:showBubbleSize val="0"/>
        </c:dLbls>
        <c:marker val="1"/>
        <c:smooth val="0"/>
        <c:axId val="10"/>
        <c:axId val="200"/>
      </c:lineChart>
      <c:catAx>
        <c:axId val="10"/>
        <c:scaling>
          <c:orientation val="minMax"/>
        </c:scaling>
        <c:delete val="0"/>
        <c:axPos val="b"/>
        <c:numFmt formatCode="General" sourceLinked="1"/>
        <c:majorTickMark val="none"/>
        <c:minorTickMark val="none"/>
        <c:tickLblPos val="nextTo"/>
        <c:crossAx val="100"/>
        <c:crosses val="autoZero"/>
        <c:auto val="0"/>
        <c:lblAlgn val="ctr"/>
        <c:lblOffset val="100"/>
        <c:noMultiLvlLbl val="0"/>
      </c:catAx>
      <c:valAx>
        <c:axId val="100"/>
        <c:scaling>
          <c:orientation val="minMax"/>
        </c:scaling>
        <c:delete val="0"/>
        <c:axPos val="l"/>
        <c:title>
          <c:tx>
            <c:rich>
              <a:bodyPr/>
              <a:lstStyle/>
              <a:p>
                <a:pPr>
                  <a:defRPr/>
                </a:pPr>
                <a:r>
                  <a:rPr lang="en-US"/>
                  <a:t>Coastal Population</a:t>
                </a:r>
              </a:p>
            </c:rich>
          </c:tx>
          <c:overlay val="0"/>
        </c:title>
        <c:numFmt formatCode="#,##0;[Red]#,##0" sourceLinked="0"/>
        <c:majorTickMark val="none"/>
        <c:minorTickMark val="none"/>
        <c:tickLblPos val="nextTo"/>
        <c:crossAx val="10"/>
        <c:crosses val="autoZero"/>
        <c:crossBetween val="between"/>
      </c:valAx>
      <c:valAx>
        <c:axId val="200"/>
        <c:scaling>
          <c:orientation val="minMax"/>
          <c:min val="0.05"/>
        </c:scaling>
        <c:delete val="0"/>
        <c:axPos val="r"/>
        <c:majorGridlines/>
        <c:title>
          <c:tx>
            <c:rich>
              <a:bodyPr/>
              <a:lstStyle/>
              <a:p>
                <a:pPr>
                  <a:defRPr/>
                </a:pPr>
                <a:r>
                  <a:rPr lang="en-US"/>
                  <a:t>Coastal Share (%)</a:t>
                </a:r>
              </a:p>
            </c:rich>
          </c:tx>
          <c:overlay val="0"/>
        </c:title>
        <c:numFmt formatCode="0.0%" sourceLinked="1"/>
        <c:majorTickMark val="none"/>
        <c:minorTickMark val="none"/>
        <c:tickLblPos val="nextTo"/>
        <c:crossAx val="10"/>
        <c:crosses val="max"/>
        <c:crossBetween val="between"/>
      </c:valAx>
      <c:spPr>
        <a:noFill/>
        <a:ln w="25400">
          <a:noFill/>
        </a:ln>
      </c:spPr>
    </c:plotArea>
    <c:legend>
      <c:legendPos val="b"/>
      <c:overlay val="0"/>
    </c:legend>
    <c:plotVisOnly val="1"/>
    <c:dispBlanksAs val="gap"/>
    <c:showDLblsOverMax val="0"/>
  </c:chart>
  <c:txPr>
    <a:bodyPr/>
    <a:lstStyle/>
    <a:p>
      <a:pPr>
        <a:defRPr sz="900" b="0">
          <a:solidFill>
            <a:schemeClr val="tx1">
              <a:lumMod val="65000"/>
              <a:lumOff val="35000"/>
            </a:schemeClr>
          </a:solidFill>
          <a:latin typeface="Arial" panose="020B0604020202020204" pitchFamily="34" charset="0"/>
          <a:cs typeface="Arial" panose="020B0604020202020204" pitchFamily="34"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Sheet1!$D$31</c:f>
              <c:strCache>
                <c:ptCount val="1"/>
                <c:pt idx="0">
                  <c:v>Persons</c:v>
                </c:pt>
              </c:strCache>
            </c:strRef>
          </c:tx>
          <c:spPr>
            <a:solidFill>
              <a:schemeClr val="accent1"/>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Sheet1!$D$32:$D$43</c:f>
              <c:numCache>
                <c:formatCode>#,##0</c:formatCode>
                <c:ptCount val="12"/>
                <c:pt idx="0">
                  <c:v>155690</c:v>
                </c:pt>
                <c:pt idx="1">
                  <c:v>132106</c:v>
                </c:pt>
                <c:pt idx="2">
                  <c:v>528405</c:v>
                </c:pt>
                <c:pt idx="3">
                  <c:v>28660</c:v>
                </c:pt>
                <c:pt idx="4">
                  <c:v>221396</c:v>
                </c:pt>
                <c:pt idx="5">
                  <c:v>117481</c:v>
                </c:pt>
                <c:pt idx="6">
                  <c:v>585850</c:v>
                </c:pt>
                <c:pt idx="7">
                  <c:v>35753</c:v>
                </c:pt>
                <c:pt idx="8">
                  <c:v>310072</c:v>
                </c:pt>
                <c:pt idx="9">
                  <c:v>125902</c:v>
                </c:pt>
                <c:pt idx="10">
                  <c:v>593829</c:v>
                </c:pt>
                <c:pt idx="11">
                  <c:v>42665</c:v>
                </c:pt>
              </c:numCache>
            </c:numRef>
          </c:val>
          <c:extLst>
            <c:ext xmlns:c16="http://schemas.microsoft.com/office/drawing/2014/chart" uri="{C3380CC4-5D6E-409C-BE32-E72D297353CC}">
              <c16:uniqueId val="{00000000-9E80-F64A-8854-15411DD714B0}"/>
            </c:ext>
          </c:extLst>
        </c:ser>
        <c:ser>
          <c:idx val="1"/>
          <c:order val="1"/>
          <c:tx>
            <c:strRef>
              <c:f>Sheet1!$E$31</c:f>
              <c:strCache>
                <c:ptCount val="1"/>
                <c:pt idx="0">
                  <c:v>Females</c:v>
                </c:pt>
              </c:strCache>
            </c:strRef>
          </c:tx>
          <c:spPr>
            <a:solidFill>
              <a:schemeClr val="accent2"/>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Sheet1!$E$32:$E$43</c:f>
              <c:numCache>
                <c:formatCode>#,##0</c:formatCode>
                <c:ptCount val="12"/>
                <c:pt idx="0">
                  <c:v>78750</c:v>
                </c:pt>
                <c:pt idx="1">
                  <c:v>64406</c:v>
                </c:pt>
                <c:pt idx="2">
                  <c:v>275320</c:v>
                </c:pt>
                <c:pt idx="3">
                  <c:v>14646</c:v>
                </c:pt>
                <c:pt idx="4">
                  <c:v>110619</c:v>
                </c:pt>
                <c:pt idx="5">
                  <c:v>58154</c:v>
                </c:pt>
                <c:pt idx="6">
                  <c:v>301727</c:v>
                </c:pt>
                <c:pt idx="7">
                  <c:v>18079</c:v>
                </c:pt>
                <c:pt idx="8">
                  <c:v>148610</c:v>
                </c:pt>
                <c:pt idx="9">
                  <c:v>62458</c:v>
                </c:pt>
                <c:pt idx="10">
                  <c:v>306239</c:v>
                </c:pt>
                <c:pt idx="11">
                  <c:v>21601</c:v>
                </c:pt>
              </c:numCache>
            </c:numRef>
          </c:val>
          <c:extLst>
            <c:ext xmlns:c16="http://schemas.microsoft.com/office/drawing/2014/chart" uri="{C3380CC4-5D6E-409C-BE32-E72D297353CC}">
              <c16:uniqueId val="{00000001-9E80-F64A-8854-15411DD714B0}"/>
            </c:ext>
          </c:extLst>
        </c:ser>
        <c:ser>
          <c:idx val="2"/>
          <c:order val="2"/>
          <c:tx>
            <c:strRef>
              <c:f>Sheet1!$F$31</c:f>
              <c:strCache>
                <c:ptCount val="1"/>
                <c:pt idx="0">
                  <c:v>Males</c:v>
                </c:pt>
              </c:strCache>
            </c:strRef>
          </c:tx>
          <c:spPr>
            <a:solidFill>
              <a:schemeClr val="accent3"/>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Sheet1!$F$32:$F$43</c:f>
              <c:numCache>
                <c:formatCode>#,##0</c:formatCode>
                <c:ptCount val="12"/>
                <c:pt idx="0">
                  <c:v>76940</c:v>
                </c:pt>
                <c:pt idx="1">
                  <c:v>67700</c:v>
                </c:pt>
                <c:pt idx="2">
                  <c:v>253085</c:v>
                </c:pt>
                <c:pt idx="3">
                  <c:v>14014</c:v>
                </c:pt>
                <c:pt idx="4">
                  <c:v>110777</c:v>
                </c:pt>
                <c:pt idx="5">
                  <c:v>59327</c:v>
                </c:pt>
                <c:pt idx="6">
                  <c:v>284123</c:v>
                </c:pt>
                <c:pt idx="7">
                  <c:v>17674</c:v>
                </c:pt>
                <c:pt idx="8">
                  <c:v>161462</c:v>
                </c:pt>
                <c:pt idx="9">
                  <c:v>63444</c:v>
                </c:pt>
                <c:pt idx="10">
                  <c:v>287590</c:v>
                </c:pt>
                <c:pt idx="11">
                  <c:v>21064</c:v>
                </c:pt>
              </c:numCache>
            </c:numRef>
          </c:val>
          <c:extLst>
            <c:ext xmlns:c16="http://schemas.microsoft.com/office/drawing/2014/chart" uri="{C3380CC4-5D6E-409C-BE32-E72D297353CC}">
              <c16:uniqueId val="{00000002-9E80-F64A-8854-15411DD714B0}"/>
            </c:ext>
          </c:extLst>
        </c:ser>
        <c:ser>
          <c:idx val="3"/>
          <c:order val="3"/>
          <c:tx>
            <c:strRef>
              <c:f>Sheet1!$G$31</c:f>
              <c:strCache>
                <c:ptCount val="1"/>
                <c:pt idx="0">
                  <c:v>Households</c:v>
                </c:pt>
              </c:strCache>
            </c:strRef>
          </c:tx>
          <c:spPr>
            <a:solidFill>
              <a:schemeClr val="accent4"/>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Sheet1!$G$32:$G$43</c:f>
              <c:numCache>
                <c:formatCode>#,##0</c:formatCode>
                <c:ptCount val="12"/>
                <c:pt idx="0">
                  <c:v>28015</c:v>
                </c:pt>
                <c:pt idx="1">
                  <c:v>24960</c:v>
                </c:pt>
                <c:pt idx="2">
                  <c:v>104993</c:v>
                </c:pt>
                <c:pt idx="3" formatCode="General">
                  <c:v>5369</c:v>
                </c:pt>
                <c:pt idx="4">
                  <c:v>45237</c:v>
                </c:pt>
                <c:pt idx="5">
                  <c:v>24311</c:v>
                </c:pt>
                <c:pt idx="6">
                  <c:v>130084</c:v>
                </c:pt>
                <c:pt idx="7">
                  <c:v>7236</c:v>
                </c:pt>
                <c:pt idx="8">
                  <c:v>47381</c:v>
                </c:pt>
                <c:pt idx="9">
                  <c:v>28027</c:v>
                </c:pt>
                <c:pt idx="10">
                  <c:v>143402</c:v>
                </c:pt>
                <c:pt idx="11">
                  <c:v>9605</c:v>
                </c:pt>
              </c:numCache>
            </c:numRef>
          </c:val>
          <c:extLst>
            <c:ext xmlns:c16="http://schemas.microsoft.com/office/drawing/2014/chart" uri="{C3380CC4-5D6E-409C-BE32-E72D297353CC}">
              <c16:uniqueId val="{00000003-9E80-F64A-8854-15411DD714B0}"/>
            </c:ext>
          </c:extLst>
        </c:ser>
        <c:dLbls>
          <c:showLegendKey val="0"/>
          <c:showVal val="0"/>
          <c:showCatName val="0"/>
          <c:showSerName val="0"/>
          <c:showPercent val="0"/>
          <c:showBubbleSize val="0"/>
        </c:dLbls>
        <c:gapWidth val="234"/>
        <c:overlap val="-27"/>
        <c:axId val="1150634111"/>
        <c:axId val="1150635839"/>
      </c:barChart>
      <c:catAx>
        <c:axId val="1150634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50635839"/>
        <c:crosses val="autoZero"/>
        <c:auto val="1"/>
        <c:lblAlgn val="ctr"/>
        <c:lblOffset val="100"/>
        <c:noMultiLvlLbl val="0"/>
      </c:catAx>
      <c:valAx>
        <c:axId val="115063583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506341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Sheet1!$I$10</c:f>
              <c:strCache>
                <c:ptCount val="1"/>
                <c:pt idx="0">
                  <c:v>Urban share (%)</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Sheet1!$H$11:$H$13</c:f>
              <c:strCache>
                <c:ptCount val="3"/>
                <c:pt idx="0">
                  <c:v>1998 Census</c:v>
                </c:pt>
                <c:pt idx="1">
                  <c:v>2008 Census</c:v>
                </c:pt>
                <c:pt idx="2">
                  <c:v>2019 Census</c:v>
                </c:pt>
              </c:strCache>
            </c:strRef>
          </c:cat>
          <c:val>
            <c:numRef>
              <c:f>Sheet1!$I$11:$I$13</c:f>
              <c:numCache>
                <c:formatCode>General</c:formatCode>
                <c:ptCount val="3"/>
                <c:pt idx="0">
                  <c:v>15.7</c:v>
                </c:pt>
                <c:pt idx="1">
                  <c:v>19.510000000000002</c:v>
                </c:pt>
                <c:pt idx="2">
                  <c:v>39.450000000000003</c:v>
                </c:pt>
              </c:numCache>
            </c:numRef>
          </c:val>
          <c:extLst>
            <c:ext xmlns:c16="http://schemas.microsoft.com/office/drawing/2014/chart" uri="{C3380CC4-5D6E-409C-BE32-E72D297353CC}">
              <c16:uniqueId val="{00000000-15F2-E743-8206-5E4552A2691C}"/>
            </c:ext>
          </c:extLst>
        </c:ser>
        <c:ser>
          <c:idx val="1"/>
          <c:order val="1"/>
          <c:tx>
            <c:strRef>
              <c:f>Sheet1!$J$10</c:f>
              <c:strCache>
                <c:ptCount val="1"/>
                <c:pt idx="0">
                  <c:v>Rural share (%)</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Sheet1!$H$11:$H$13</c:f>
              <c:strCache>
                <c:ptCount val="3"/>
                <c:pt idx="0">
                  <c:v>1998 Census</c:v>
                </c:pt>
                <c:pt idx="1">
                  <c:v>2008 Census</c:v>
                </c:pt>
                <c:pt idx="2">
                  <c:v>2019 Census</c:v>
                </c:pt>
              </c:strCache>
            </c:strRef>
          </c:cat>
          <c:val>
            <c:numRef>
              <c:f>Sheet1!$J$11:$J$13</c:f>
              <c:numCache>
                <c:formatCode>General</c:formatCode>
                <c:ptCount val="3"/>
                <c:pt idx="0">
                  <c:v>84.3</c:v>
                </c:pt>
                <c:pt idx="1">
                  <c:v>80.489999999999995</c:v>
                </c:pt>
                <c:pt idx="2">
                  <c:v>60.55</c:v>
                </c:pt>
              </c:numCache>
            </c:numRef>
          </c:val>
          <c:extLst>
            <c:ext xmlns:c16="http://schemas.microsoft.com/office/drawing/2014/chart" uri="{C3380CC4-5D6E-409C-BE32-E72D297353CC}">
              <c16:uniqueId val="{00000001-15F2-E743-8206-5E4552A2691C}"/>
            </c:ext>
          </c:extLst>
        </c:ser>
        <c:dLbls>
          <c:dLblPos val="outEnd"/>
          <c:showLegendKey val="0"/>
          <c:showVal val="1"/>
          <c:showCatName val="0"/>
          <c:showSerName val="0"/>
          <c:showPercent val="0"/>
          <c:showBubbleSize val="0"/>
        </c:dLbls>
        <c:gapWidth val="219"/>
        <c:overlap val="-27"/>
        <c:axId val="1092098239"/>
        <c:axId val="1092099967"/>
      </c:barChart>
      <c:catAx>
        <c:axId val="10920982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2099967"/>
        <c:crosses val="autoZero"/>
        <c:auto val="1"/>
        <c:lblAlgn val="ctr"/>
        <c:lblOffset val="100"/>
        <c:noMultiLvlLbl val="0"/>
      </c:catAx>
      <c:valAx>
        <c:axId val="10920999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Urban vs. rural share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20982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Sheet7!$F$6</c:f>
              <c:strCache>
                <c:ptCount val="1"/>
                <c:pt idx="0">
                  <c:v>Poor persons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Sheet7!$E$7:$E$12</c:f>
              <c:strCache>
                <c:ptCount val="6"/>
                <c:pt idx="0">
                  <c:v>Kampot</c:v>
                </c:pt>
                <c:pt idx="1">
                  <c:v>Preah Sihanouk</c:v>
                </c:pt>
                <c:pt idx="2">
                  <c:v>Koh Kong</c:v>
                </c:pt>
                <c:pt idx="3">
                  <c:v>Kep</c:v>
                </c:pt>
                <c:pt idx="4">
                  <c:v>Coastal province</c:v>
                </c:pt>
                <c:pt idx="5">
                  <c:v>Cambodia (National)</c:v>
                </c:pt>
              </c:strCache>
            </c:strRef>
          </c:cat>
          <c:val>
            <c:numRef>
              <c:f>Sheet7!$F$7:$F$12</c:f>
              <c:numCache>
                <c:formatCode>General</c:formatCode>
                <c:ptCount val="6"/>
                <c:pt idx="0">
                  <c:v>15.53</c:v>
                </c:pt>
                <c:pt idx="1">
                  <c:v>16.91</c:v>
                </c:pt>
                <c:pt idx="2">
                  <c:v>38.53</c:v>
                </c:pt>
                <c:pt idx="3">
                  <c:v>13.05</c:v>
                </c:pt>
                <c:pt idx="4">
                  <c:v>21.01</c:v>
                </c:pt>
                <c:pt idx="5">
                  <c:v>21.46</c:v>
                </c:pt>
              </c:numCache>
            </c:numRef>
          </c:val>
          <c:extLst>
            <c:ext xmlns:c16="http://schemas.microsoft.com/office/drawing/2014/chart" uri="{C3380CC4-5D6E-409C-BE32-E72D297353CC}">
              <c16:uniqueId val="{00000000-DA7E-6745-9B70-CA546DBBB931}"/>
            </c:ext>
          </c:extLst>
        </c:ser>
        <c:ser>
          <c:idx val="1"/>
          <c:order val="1"/>
          <c:tx>
            <c:strRef>
              <c:f>Sheet7!$G$6</c:f>
              <c:strCache>
                <c:ptCount val="1"/>
                <c:pt idx="0">
                  <c:v>Poor households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Sheet7!$E$7:$E$12</c:f>
              <c:strCache>
                <c:ptCount val="6"/>
                <c:pt idx="0">
                  <c:v>Kampot</c:v>
                </c:pt>
                <c:pt idx="1">
                  <c:v>Preah Sihanouk</c:v>
                </c:pt>
                <c:pt idx="2">
                  <c:v>Koh Kong</c:v>
                </c:pt>
                <c:pt idx="3">
                  <c:v>Kep</c:v>
                </c:pt>
                <c:pt idx="4">
                  <c:v>Coastal province</c:v>
                </c:pt>
                <c:pt idx="5">
                  <c:v>Cambodia (National)</c:v>
                </c:pt>
              </c:strCache>
            </c:strRef>
          </c:cat>
          <c:val>
            <c:numRef>
              <c:f>Sheet7!$G$7:$G$12</c:f>
              <c:numCache>
                <c:formatCode>General</c:formatCode>
                <c:ptCount val="6"/>
                <c:pt idx="0">
                  <c:v>17.79</c:v>
                </c:pt>
                <c:pt idx="1">
                  <c:v>16.71</c:v>
                </c:pt>
                <c:pt idx="2">
                  <c:v>25.36</c:v>
                </c:pt>
                <c:pt idx="3">
                  <c:v>14.23</c:v>
                </c:pt>
                <c:pt idx="4">
                  <c:v>18.52</c:v>
                </c:pt>
                <c:pt idx="5">
                  <c:v>19.190000000000001</c:v>
                </c:pt>
              </c:numCache>
            </c:numRef>
          </c:val>
          <c:extLst>
            <c:ext xmlns:c16="http://schemas.microsoft.com/office/drawing/2014/chart" uri="{C3380CC4-5D6E-409C-BE32-E72D297353CC}">
              <c16:uniqueId val="{00000001-DA7E-6745-9B70-CA546DBBB931}"/>
            </c:ext>
          </c:extLst>
        </c:ser>
        <c:dLbls>
          <c:dLblPos val="outEnd"/>
          <c:showLegendKey val="0"/>
          <c:showVal val="1"/>
          <c:showCatName val="0"/>
          <c:showSerName val="0"/>
          <c:showPercent val="0"/>
          <c:showBubbleSize val="0"/>
        </c:dLbls>
        <c:gapWidth val="150"/>
        <c:axId val="494179839"/>
        <c:axId val="494181567"/>
      </c:barChart>
      <c:catAx>
        <c:axId val="494179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94181567"/>
        <c:crosses val="autoZero"/>
        <c:auto val="1"/>
        <c:lblAlgn val="ctr"/>
        <c:lblOffset val="100"/>
        <c:noMultiLvlLbl val="0"/>
      </c:catAx>
      <c:valAx>
        <c:axId val="4941815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Percent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941798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Sheet5!$F$5</c:f>
              <c:strCache>
                <c:ptCount val="1"/>
                <c:pt idx="0">
                  <c:v>HDI Value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Sheet5!$E$6:$E$15</c:f>
              <c:numCache>
                <c:formatCode>General</c:formatCode>
                <c:ptCount val="10"/>
                <c:pt idx="0">
                  <c:v>1990</c:v>
                </c:pt>
                <c:pt idx="1">
                  <c:v>1995</c:v>
                </c:pt>
                <c:pt idx="2">
                  <c:v>2000</c:v>
                </c:pt>
                <c:pt idx="3">
                  <c:v>2005</c:v>
                </c:pt>
                <c:pt idx="4">
                  <c:v>2010</c:v>
                </c:pt>
                <c:pt idx="5">
                  <c:v>2015</c:v>
                </c:pt>
                <c:pt idx="6">
                  <c:v>2020</c:v>
                </c:pt>
                <c:pt idx="7">
                  <c:v>2021</c:v>
                </c:pt>
                <c:pt idx="8">
                  <c:v>2022</c:v>
                </c:pt>
                <c:pt idx="9">
                  <c:v>2023</c:v>
                </c:pt>
              </c:numCache>
            </c:numRef>
          </c:cat>
          <c:val>
            <c:numRef>
              <c:f>Sheet5!$F$6:$F$15</c:f>
              <c:numCache>
                <c:formatCode>General</c:formatCode>
                <c:ptCount val="10"/>
                <c:pt idx="0">
                  <c:v>0.38700000000000001</c:v>
                </c:pt>
                <c:pt idx="1">
                  <c:v>0.40400000000000003</c:v>
                </c:pt>
                <c:pt idx="2">
                  <c:v>0.438</c:v>
                </c:pt>
                <c:pt idx="3">
                  <c:v>0.51400000000000001</c:v>
                </c:pt>
                <c:pt idx="4">
                  <c:v>0.54300000000000004</c:v>
                </c:pt>
                <c:pt idx="5">
                  <c:v>0.56200000000000006</c:v>
                </c:pt>
                <c:pt idx="6">
                  <c:v>0.59499999999999997</c:v>
                </c:pt>
                <c:pt idx="7">
                  <c:v>0.59399999999999997</c:v>
                </c:pt>
                <c:pt idx="8">
                  <c:v>0.60199999999999998</c:v>
                </c:pt>
                <c:pt idx="9">
                  <c:v>0.60599999999999998</c:v>
                </c:pt>
              </c:numCache>
            </c:numRef>
          </c:val>
          <c:smooth val="0"/>
          <c:extLst>
            <c:ext xmlns:c16="http://schemas.microsoft.com/office/drawing/2014/chart" uri="{C3380CC4-5D6E-409C-BE32-E72D297353CC}">
              <c16:uniqueId val="{00000000-F7F1-D547-80C8-21957088881E}"/>
            </c:ext>
          </c:extLst>
        </c:ser>
        <c:dLbls>
          <c:showLegendKey val="0"/>
          <c:showVal val="0"/>
          <c:showCatName val="0"/>
          <c:showSerName val="0"/>
          <c:showPercent val="0"/>
          <c:showBubbleSize val="0"/>
        </c:dLbls>
        <c:marker val="1"/>
        <c:smooth val="0"/>
        <c:axId val="1502668992"/>
        <c:axId val="1915556400"/>
      </c:lineChart>
      <c:catAx>
        <c:axId val="1502668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915556400"/>
        <c:crosses val="autoZero"/>
        <c:auto val="1"/>
        <c:lblAlgn val="ctr"/>
        <c:lblOffset val="100"/>
        <c:noMultiLvlLbl val="0"/>
      </c:catAx>
      <c:valAx>
        <c:axId val="1915556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HDI Value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02668992"/>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Sheet1!$E$5</c:f>
              <c:strCache>
                <c:ptCount val="1"/>
                <c:pt idx="0">
                  <c:v>Preah Sihanoul+Kampot + Kep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6"/>
              <c:layout>
                <c:manualLayout>
                  <c:x val="-4.6277307177886758E-2"/>
                  <c:y val="-5.261251939989653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806-8B4F-90ED-C547FC70AE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Sheet1!$D$6:$D$14</c:f>
              <c:numCache>
                <c:formatCode>General</c:formatCode>
                <c:ptCount val="9"/>
                <c:pt idx="0">
                  <c:v>1990</c:v>
                </c:pt>
                <c:pt idx="1">
                  <c:v>1995</c:v>
                </c:pt>
                <c:pt idx="2">
                  <c:v>2000</c:v>
                </c:pt>
                <c:pt idx="3">
                  <c:v>2005</c:v>
                </c:pt>
                <c:pt idx="4">
                  <c:v>2010</c:v>
                </c:pt>
                <c:pt idx="5">
                  <c:v>2015</c:v>
                </c:pt>
                <c:pt idx="6">
                  <c:v>2020</c:v>
                </c:pt>
                <c:pt idx="7">
                  <c:v>2021</c:v>
                </c:pt>
                <c:pt idx="8">
                  <c:v>2022</c:v>
                </c:pt>
              </c:numCache>
            </c:numRef>
          </c:cat>
          <c:val>
            <c:numRef>
              <c:f>Sheet1!$E$6:$E$14</c:f>
              <c:numCache>
                <c:formatCode>General</c:formatCode>
                <c:ptCount val="9"/>
                <c:pt idx="0">
                  <c:v>0.378</c:v>
                </c:pt>
                <c:pt idx="1">
                  <c:v>0.39900000000000002</c:v>
                </c:pt>
                <c:pt idx="2">
                  <c:v>0.43099999999999999</c:v>
                </c:pt>
                <c:pt idx="3">
                  <c:v>0.51700000000000002</c:v>
                </c:pt>
                <c:pt idx="4">
                  <c:v>0.53700000000000003</c:v>
                </c:pt>
                <c:pt idx="5">
                  <c:v>0.56299999999999994</c:v>
                </c:pt>
                <c:pt idx="6">
                  <c:v>0.57399999999999995</c:v>
                </c:pt>
                <c:pt idx="7">
                  <c:v>0.56999999999999995</c:v>
                </c:pt>
                <c:pt idx="8">
                  <c:v>0.57299999999999995</c:v>
                </c:pt>
              </c:numCache>
            </c:numRef>
          </c:val>
          <c:smooth val="0"/>
          <c:extLst>
            <c:ext xmlns:c16="http://schemas.microsoft.com/office/drawing/2014/chart" uri="{C3380CC4-5D6E-409C-BE32-E72D297353CC}">
              <c16:uniqueId val="{00000000-3D42-D84F-B3C1-6B7B7AC008B6}"/>
            </c:ext>
          </c:extLst>
        </c:ser>
        <c:ser>
          <c:idx val="1"/>
          <c:order val="1"/>
          <c:tx>
            <c:strRef>
              <c:f>Sheet1!$F$5</c:f>
              <c:strCache>
                <c:ptCount val="1"/>
                <c:pt idx="0">
                  <c:v>Koh Kong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4.4048149799375838E-2"/>
                  <c:y val="1.98137609932747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806-8B4F-90ED-C547FC70AE20}"/>
                </c:ext>
              </c:extLst>
            </c:dLbl>
            <c:dLbl>
              <c:idx val="1"/>
              <c:layout>
                <c:manualLayout>
                  <c:x val="-4.4048149799375838E-2"/>
                  <c:y val="2.498706673564407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806-8B4F-90ED-C547FC70AE20}"/>
                </c:ext>
              </c:extLst>
            </c:dLbl>
            <c:dLbl>
              <c:idx val="2"/>
              <c:layout>
                <c:manualLayout>
                  <c:x val="-4.4048149799375838E-2"/>
                  <c:y val="1.98137609932747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806-8B4F-90ED-C547FC70AE20}"/>
                </c:ext>
              </c:extLst>
            </c:dLbl>
            <c:dLbl>
              <c:idx val="3"/>
              <c:layout>
                <c:manualLayout>
                  <c:x val="-3.9589835042353992E-2"/>
                  <c:y val="4.050698396275215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806-8B4F-90ED-C547FC70AE20}"/>
                </c:ext>
              </c:extLst>
            </c:dLbl>
            <c:dLbl>
              <c:idx val="4"/>
              <c:layout>
                <c:manualLayout>
                  <c:x val="-4.4048149799375838E-2"/>
                  <c:y val="4.56802897051215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806-8B4F-90ED-C547FC70AE20}"/>
                </c:ext>
              </c:extLst>
            </c:dLbl>
            <c:dLbl>
              <c:idx val="5"/>
              <c:layout>
                <c:manualLayout>
                  <c:x val="-3.8469815102804526E-2"/>
                  <c:y val="6.120020693222969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806-8B4F-90ED-C547FC70AE20}"/>
                </c:ext>
              </c:extLst>
            </c:dLbl>
            <c:dLbl>
              <c:idx val="6"/>
              <c:layout>
                <c:manualLayout>
                  <c:x val="-4.4048149799375914E-2"/>
                  <c:y val="3.533367822038282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806-8B4F-90ED-C547FC70AE20}"/>
                </c:ext>
              </c:extLst>
            </c:dLbl>
            <c:dLbl>
              <c:idx val="7"/>
              <c:layout>
                <c:manualLayout>
                  <c:x val="-4.1818992420865078E-2"/>
                  <c:y val="4.050698396275224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806-8B4F-90ED-C547FC70AE20}"/>
                </c:ext>
              </c:extLst>
            </c:dLbl>
            <c:dLbl>
              <c:idx val="8"/>
              <c:layout>
                <c:manualLayout>
                  <c:x val="-3.884684109091803E-2"/>
                  <c:y val="5.602690118986031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806-8B4F-90ED-C547FC70AE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Sheet1!$D$6:$D$14</c:f>
              <c:numCache>
                <c:formatCode>General</c:formatCode>
                <c:ptCount val="9"/>
                <c:pt idx="0">
                  <c:v>1990</c:v>
                </c:pt>
                <c:pt idx="1">
                  <c:v>1995</c:v>
                </c:pt>
                <c:pt idx="2">
                  <c:v>2000</c:v>
                </c:pt>
                <c:pt idx="3">
                  <c:v>2005</c:v>
                </c:pt>
                <c:pt idx="4">
                  <c:v>2010</c:v>
                </c:pt>
                <c:pt idx="5">
                  <c:v>2015</c:v>
                </c:pt>
                <c:pt idx="6">
                  <c:v>2020</c:v>
                </c:pt>
                <c:pt idx="7">
                  <c:v>2021</c:v>
                </c:pt>
                <c:pt idx="8">
                  <c:v>2022</c:v>
                </c:pt>
              </c:numCache>
            </c:numRef>
          </c:cat>
          <c:val>
            <c:numRef>
              <c:f>Sheet1!$F$6:$F$14</c:f>
              <c:numCache>
                <c:formatCode>General</c:formatCode>
                <c:ptCount val="9"/>
                <c:pt idx="0">
                  <c:v>0.36799999999999999</c:v>
                </c:pt>
                <c:pt idx="1">
                  <c:v>0.38700000000000001</c:v>
                </c:pt>
                <c:pt idx="2">
                  <c:v>0.41799999999999998</c:v>
                </c:pt>
                <c:pt idx="3">
                  <c:v>0.48399999999999999</c:v>
                </c:pt>
                <c:pt idx="4">
                  <c:v>0.53600000000000003</c:v>
                </c:pt>
                <c:pt idx="5">
                  <c:v>0.57999999999999996</c:v>
                </c:pt>
                <c:pt idx="6">
                  <c:v>0.55700000000000005</c:v>
                </c:pt>
                <c:pt idx="7">
                  <c:v>0.54500000000000004</c:v>
                </c:pt>
                <c:pt idx="8">
                  <c:v>0.54800000000000004</c:v>
                </c:pt>
              </c:numCache>
            </c:numRef>
          </c:val>
          <c:smooth val="0"/>
          <c:extLst>
            <c:ext xmlns:c16="http://schemas.microsoft.com/office/drawing/2014/chart" uri="{C3380CC4-5D6E-409C-BE32-E72D297353CC}">
              <c16:uniqueId val="{00000001-3D42-D84F-B3C1-6B7B7AC008B6}"/>
            </c:ext>
          </c:extLst>
        </c:ser>
        <c:dLbls>
          <c:dLblPos val="t"/>
          <c:showLegendKey val="0"/>
          <c:showVal val="1"/>
          <c:showCatName val="0"/>
          <c:showSerName val="0"/>
          <c:showPercent val="0"/>
          <c:showBubbleSize val="0"/>
        </c:dLbls>
        <c:marker val="1"/>
        <c:smooth val="0"/>
        <c:axId val="749867039"/>
        <c:axId val="750278415"/>
      </c:lineChart>
      <c:catAx>
        <c:axId val="7498670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50278415"/>
        <c:crosses val="autoZero"/>
        <c:auto val="1"/>
        <c:lblAlgn val="ctr"/>
        <c:lblOffset val="100"/>
        <c:noMultiLvlLbl val="0"/>
      </c:catAx>
      <c:valAx>
        <c:axId val="75027841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SHDI</a:t>
                </a:r>
                <a:r>
                  <a:rPr lang="en-US" baseline="0"/>
                  <a:t> Value</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498670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Sheet2!$D$6</c:f>
              <c:strCache>
                <c:ptCount val="1"/>
                <c:pt idx="0">
                  <c:v>GDP per capita (current US$)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Sheet2!$C$7:$C$36</c:f>
              <c:numCache>
                <c:formatCode>General</c:formatCode>
                <c:ptCount val="30"/>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numCache>
            </c:numRef>
          </c:cat>
          <c:val>
            <c:numRef>
              <c:f>Sheet2!$D$7:$D$36</c:f>
              <c:numCache>
                <c:formatCode>#,##0.00;\-#,##0.00</c:formatCode>
                <c:ptCount val="30"/>
                <c:pt idx="0">
                  <c:v>343.48522467158477</c:v>
                </c:pt>
                <c:pt idx="1">
                  <c:v>324.65587098300364</c:v>
                </c:pt>
                <c:pt idx="2">
                  <c:v>297.59041960802978</c:v>
                </c:pt>
                <c:pt idx="3">
                  <c:v>258.78095318937676</c:v>
                </c:pt>
                <c:pt idx="4">
                  <c:v>286.75359644319599</c:v>
                </c:pt>
                <c:pt idx="5">
                  <c:v>296.42668752633426</c:v>
                </c:pt>
                <c:pt idx="6">
                  <c:v>327.50098431444428</c:v>
                </c:pt>
                <c:pt idx="7">
                  <c:v>350.14727663429426</c:v>
                </c:pt>
                <c:pt idx="8">
                  <c:v>386.69112393177795</c:v>
                </c:pt>
                <c:pt idx="9">
                  <c:v>444.19906752908122</c:v>
                </c:pt>
                <c:pt idx="10">
                  <c:v>525.79732512092642</c:v>
                </c:pt>
                <c:pt idx="11">
                  <c:v>612.25264855072726</c:v>
                </c:pt>
                <c:pt idx="12">
                  <c:v>731.69229512542609</c:v>
                </c:pt>
                <c:pt idx="13">
                  <c:v>866.28399978974949</c:v>
                </c:pt>
                <c:pt idx="14">
                  <c:v>875.74893619356931</c:v>
                </c:pt>
                <c:pt idx="15">
                  <c:v>952.27461632400752</c:v>
                </c:pt>
                <c:pt idx="16">
                  <c:v>1088.9815282308143</c:v>
                </c:pt>
                <c:pt idx="17">
                  <c:v>1192.8026304167313</c:v>
                </c:pt>
                <c:pt idx="18">
                  <c:v>1305.6600972685976</c:v>
                </c:pt>
                <c:pt idx="19">
                  <c:v>1431.5639646999336</c:v>
                </c:pt>
                <c:pt idx="20">
                  <c:v>1547.320104443935</c:v>
                </c:pt>
                <c:pt idx="21">
                  <c:v>1675.1955571110864</c:v>
                </c:pt>
                <c:pt idx="22">
                  <c:v>1826.3539168875409</c:v>
                </c:pt>
                <c:pt idx="23">
                  <c:v>2036.6737756657817</c:v>
                </c:pt>
                <c:pt idx="24">
                  <c:v>2225.8770548568618</c:v>
                </c:pt>
                <c:pt idx="25">
                  <c:v>2081.7391424293914</c:v>
                </c:pt>
                <c:pt idx="26">
                  <c:v>2167.4032419849918</c:v>
                </c:pt>
                <c:pt idx="27">
                  <c:v>2325.0305004084116</c:v>
                </c:pt>
                <c:pt idx="28">
                  <c:v>2429.7485345283822</c:v>
                </c:pt>
                <c:pt idx="29">
                  <c:v>2627.8796974226007</c:v>
                </c:pt>
              </c:numCache>
            </c:numRef>
          </c:val>
          <c:smooth val="0"/>
          <c:extLst>
            <c:ext xmlns:c16="http://schemas.microsoft.com/office/drawing/2014/chart" uri="{C3380CC4-5D6E-409C-BE32-E72D297353CC}">
              <c16:uniqueId val="{00000000-C0EF-9E43-A870-465E43EA4608}"/>
            </c:ext>
          </c:extLst>
        </c:ser>
        <c:ser>
          <c:idx val="1"/>
          <c:order val="1"/>
          <c:tx>
            <c:strRef>
              <c:f>Sheet2!$E$6</c:f>
              <c:strCache>
                <c:ptCount val="1"/>
                <c:pt idx="0">
                  <c:v>GDP per capita (2015 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Sheet2!$C$7:$C$36</c:f>
              <c:numCache>
                <c:formatCode>General</c:formatCode>
                <c:ptCount val="30"/>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numCache>
            </c:numRef>
          </c:cat>
          <c:val>
            <c:numRef>
              <c:f>Sheet2!$E$7:$E$36</c:f>
              <c:numCache>
                <c:formatCode>#,##0.00;\-#,##0.00</c:formatCode>
                <c:ptCount val="30"/>
                <c:pt idx="0">
                  <c:v>520.92688318614546</c:v>
                </c:pt>
                <c:pt idx="1">
                  <c:v>511.67034959770393</c:v>
                </c:pt>
                <c:pt idx="2">
                  <c:v>496.7705513109409</c:v>
                </c:pt>
                <c:pt idx="3">
                  <c:v>499.01664905083305</c:v>
                </c:pt>
                <c:pt idx="4">
                  <c:v>552.90149223264336</c:v>
                </c:pt>
                <c:pt idx="5">
                  <c:v>598.56191525214717</c:v>
                </c:pt>
                <c:pt idx="6">
                  <c:v>632.83357398084945</c:v>
                </c:pt>
                <c:pt idx="7">
                  <c:v>662.18834128345418</c:v>
                </c:pt>
                <c:pt idx="8">
                  <c:v>719.33349424050857</c:v>
                </c:pt>
                <c:pt idx="9">
                  <c:v>775.8471390309785</c:v>
                </c:pt>
                <c:pt idx="10">
                  <c:v>866.34029012320855</c:v>
                </c:pt>
                <c:pt idx="11">
                  <c:v>947.0652200506911</c:v>
                </c:pt>
                <c:pt idx="12">
                  <c:v>1030.2311762079162</c:v>
                </c:pt>
                <c:pt idx="13">
                  <c:v>1090.5747580614675</c:v>
                </c:pt>
                <c:pt idx="14">
                  <c:v>1117.2583419451435</c:v>
                </c:pt>
                <c:pt idx="15">
                  <c:v>1155.8523685669866</c:v>
                </c:pt>
                <c:pt idx="16">
                  <c:v>1221.3883985245407</c:v>
                </c:pt>
                <c:pt idx="17">
                  <c:v>1295.2527147789315</c:v>
                </c:pt>
                <c:pt idx="18">
                  <c:v>1376.295575959256</c:v>
                </c:pt>
                <c:pt idx="19">
                  <c:v>1464.5311586692681</c:v>
                </c:pt>
                <c:pt idx="20">
                  <c:v>1547.320104443935</c:v>
                </c:pt>
                <c:pt idx="21">
                  <c:v>1645.4667157812587</c:v>
                </c:pt>
                <c:pt idx="22">
                  <c:v>1753.9353050466204</c:v>
                </c:pt>
                <c:pt idx="23">
                  <c:v>1884.2837481708602</c:v>
                </c:pt>
                <c:pt idx="24">
                  <c:v>2008.3209400670598</c:v>
                </c:pt>
                <c:pt idx="25">
                  <c:v>1908.6342751833563</c:v>
                </c:pt>
                <c:pt idx="26">
                  <c:v>1938.7643674179103</c:v>
                </c:pt>
                <c:pt idx="27">
                  <c:v>2011.2743331319882</c:v>
                </c:pt>
                <c:pt idx="28">
                  <c:v>2085.057484620716</c:v>
                </c:pt>
                <c:pt idx="29">
                  <c:v>2183.5568240166717</c:v>
                </c:pt>
              </c:numCache>
            </c:numRef>
          </c:val>
          <c:smooth val="0"/>
          <c:extLst>
            <c:ext xmlns:c16="http://schemas.microsoft.com/office/drawing/2014/chart" uri="{C3380CC4-5D6E-409C-BE32-E72D297353CC}">
              <c16:uniqueId val="{00000001-C0EF-9E43-A870-465E43EA4608}"/>
            </c:ext>
          </c:extLst>
        </c:ser>
        <c:dLbls>
          <c:showLegendKey val="0"/>
          <c:showVal val="0"/>
          <c:showCatName val="0"/>
          <c:showSerName val="0"/>
          <c:showPercent val="0"/>
          <c:showBubbleSize val="0"/>
        </c:dLbls>
        <c:marker val="1"/>
        <c:smooth val="0"/>
        <c:axId val="753888799"/>
        <c:axId val="734689471"/>
      </c:lineChart>
      <c:catAx>
        <c:axId val="7538887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4689471"/>
        <c:crosses val="autoZero"/>
        <c:auto val="1"/>
        <c:lblAlgn val="ctr"/>
        <c:lblOffset val="100"/>
        <c:noMultiLvlLbl val="0"/>
      </c:catAx>
      <c:valAx>
        <c:axId val="734689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GDP per Capita Value</a:t>
                </a:r>
              </a:p>
            </c:rich>
          </c:tx>
          <c:layout>
            <c:manualLayout>
              <c:xMode val="edge"/>
              <c:yMode val="edge"/>
              <c:x val="1.5369414864419804E-2"/>
              <c:y val="0.247326115485564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38887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FA46C-1BD4-BD4C-A928-A648900CE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11812</Words>
  <Characters>74539</Characters>
  <Application>Microsoft Office Word</Application>
  <DocSecurity>0</DocSecurity>
  <Lines>2329</Lines>
  <Paragraphs>1093</Paragraphs>
  <ScaleCrop>false</ScaleCrop>
  <HeadingPairs>
    <vt:vector size="4" baseType="variant">
      <vt:variant>
        <vt:lpstr>Title</vt:lpstr>
      </vt:variant>
      <vt:variant>
        <vt:i4>1</vt:i4>
      </vt:variant>
      <vt:variant>
        <vt:lpstr>Headings</vt:lpstr>
      </vt:variant>
      <vt:variant>
        <vt:i4>20</vt:i4>
      </vt:variant>
    </vt:vector>
  </HeadingPairs>
  <TitlesOfParts>
    <vt:vector size="21" baseType="lpstr">
      <vt:lpstr/>
      <vt:lpstr>2 Socio-economics and Climate-related Threats</vt:lpstr>
      <vt:lpstr>    2.1 Key Findings</vt:lpstr>
      <vt:lpstr>    2.2 Current Status</vt:lpstr>
      <vt:lpstr>        2.2.1 Demographics</vt:lpstr>
      <vt:lpstr>        2.2.2 Human Wellbeing</vt:lpstr>
      <vt:lpstr>        2.2.3 Economic Activities</vt:lpstr>
      <vt:lpstr>        2.2.4 Climate-related Threats</vt:lpstr>
      <vt:lpstr>    2.3 Discussion and Conclusions</vt:lpstr>
      <vt:lpstr>        2.3.1 Risk assessment from socioeconomic trends</vt:lpstr>
      <vt:lpstr>        2.3.2 Risk assessment from climate- and environment-related threats</vt:lpstr>
      <vt:lpstr>        2.3.3 Mitigating socioeconomic vulnerability from climate‑mediated environmental</vt:lpstr>
      <vt:lpstr>        2.3.4 Recommended priority actions, including regional cooperation</vt:lpstr>
      <vt:lpstr>    2.4 Methodology and Analysis</vt:lpstr>
      <vt:lpstr>        2.4.1 Overall Approach</vt:lpstr>
      <vt:lpstr>        2.4.2 Spatial and temporal frame</vt:lpstr>
      <vt:lpstr>        2.4.3 Data compilation and sources</vt:lpstr>
      <vt:lpstr>        2.4.4 Indicator construction and computation</vt:lpstr>
      <vt:lpstr>        2.4.5 Quality assurance, triangulation and limitations</vt:lpstr>
      <vt:lpstr>    References</vt:lpstr>
      <vt:lpstr>    Annex 2</vt:lpstr>
    </vt:vector>
  </TitlesOfParts>
  <Company/>
  <LinksUpToDate>false</LinksUpToDate>
  <CharactersWithSpaces>85258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2025-12-21T10:49:00Z</cp:lastPrinted>
  <dcterms:created xsi:type="dcterms:W3CDTF">2025-12-21T10:49:00Z</dcterms:created>
  <dcterms:modified xsi:type="dcterms:W3CDTF">2025-12-21T10:49:00Z</dcterms:modified>
</cp:coreProperties>
</file>