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CF1B3C" w:rsidRPr="003D13CD" w:rsidRDefault="00CF1B3C" w:rsidP="00CF1B3C">
      <w:pPr>
        <w:rPr>
          <w:rFonts w:ascii="Arial" w:hAnsi="Arial" w:cs="Arial"/>
          <w:b/>
          <w:bCs/>
          <w:sz w:val="40"/>
          <w:szCs w:val="40"/>
        </w:rPr>
      </w:pPr>
      <w:bookmarkStart w:id="0" w:name="OLE_LINK2"/>
      <w:bookmarkStart w:id="1" w:name="OLE_LINK3"/>
      <w:bookmarkStart w:id="2" w:name="OLE_LINK4"/>
      <w:r w:rsidRPr="00603807">
        <w:rPr>
          <w:rFonts w:ascii="Arial" w:hAnsi="Arial" w:cs="Arial"/>
          <w:b/>
          <w:bCs/>
          <w:sz w:val="40"/>
          <w:szCs w:val="40"/>
        </w:rPr>
        <w:t xml:space="preserve">Chapter 3 </w:t>
      </w:r>
      <w:r w:rsidRPr="003D13CD">
        <w:rPr>
          <w:rFonts w:ascii="Arial" w:hAnsi="Arial" w:cs="Arial"/>
          <w:b/>
          <w:bCs/>
          <w:color w:val="002060"/>
          <w:sz w:val="40"/>
          <w:szCs w:val="40"/>
        </w:rPr>
        <w:t>Pollution</w:t>
      </w:r>
    </w:p>
    <w:p w:rsidR="00CF1B3C" w:rsidRPr="003D13CD" w:rsidRDefault="00CF1B3C" w:rsidP="00CF1B3C">
      <w:pPr>
        <w:rPr>
          <w:rFonts w:ascii="Arial" w:hAnsi="Arial" w:cs="Arial"/>
          <w:b/>
          <w:bCs/>
          <w:sz w:val="32"/>
          <w:szCs w:val="32"/>
        </w:rPr>
      </w:pPr>
    </w:p>
    <w:p w:rsidR="00CF1B3C" w:rsidRPr="003D13CD" w:rsidRDefault="00CF1B3C" w:rsidP="00CF1B3C">
      <w:pPr>
        <w:rPr>
          <w:rFonts w:ascii="Arial" w:hAnsi="Arial" w:cs="Arial"/>
          <w:b/>
          <w:bCs/>
        </w:rPr>
      </w:pPr>
    </w:p>
    <w:p w:rsidR="00CF1B3C" w:rsidRDefault="00CF1B3C" w:rsidP="00CF1B3C">
      <w:pPr>
        <w:rPr>
          <w:rFonts w:ascii="Arial" w:hAnsi="Arial" w:cs="Arial"/>
          <w:b/>
          <w:bCs/>
        </w:rPr>
      </w:pPr>
    </w:p>
    <w:p w:rsidR="00603807" w:rsidRDefault="00603807" w:rsidP="00CF1B3C">
      <w:pPr>
        <w:rPr>
          <w:rFonts w:ascii="Arial" w:hAnsi="Arial" w:cs="Arial"/>
          <w:b/>
          <w:bCs/>
        </w:rPr>
      </w:pPr>
    </w:p>
    <w:p w:rsidR="00603807" w:rsidRPr="003D13CD" w:rsidRDefault="00603807" w:rsidP="00CF1B3C">
      <w:pPr>
        <w:rPr>
          <w:rFonts w:ascii="Arial" w:hAnsi="Arial" w:cs="Arial"/>
          <w:b/>
          <w:bCs/>
        </w:rPr>
      </w:pPr>
    </w:p>
    <w:p w:rsidR="00603807" w:rsidRDefault="00603807" w:rsidP="00603807">
      <w:pPr>
        <w:jc w:val="center"/>
        <w:rPr>
          <w:rFonts w:ascii="Arial" w:hAnsi="Arial" w:cs="Arial"/>
          <w:b/>
          <w:bCs/>
          <w:color w:val="000000" w:themeColor="text1"/>
          <w:sz w:val="28"/>
        </w:rPr>
      </w:pPr>
    </w:p>
    <w:p w:rsidR="00603807" w:rsidRDefault="00603807" w:rsidP="00603807">
      <w:pPr>
        <w:jc w:val="center"/>
        <w:rPr>
          <w:rFonts w:ascii="Arial" w:hAnsi="Arial" w:cs="Arial"/>
          <w:b/>
          <w:bCs/>
          <w:color w:val="000000" w:themeColor="text1"/>
          <w:sz w:val="28"/>
        </w:rPr>
      </w:pPr>
    </w:p>
    <w:p w:rsidR="00603807" w:rsidRPr="00F43B5D" w:rsidRDefault="00603807" w:rsidP="00603807">
      <w:pPr>
        <w:jc w:val="center"/>
        <w:rPr>
          <w:rFonts w:ascii="Arial" w:hAnsi="Arial" w:cs="Arial"/>
          <w:b/>
          <w:bCs/>
          <w:color w:val="000000" w:themeColor="text1"/>
          <w:sz w:val="28"/>
        </w:rPr>
      </w:pPr>
      <w:r w:rsidRPr="00F43B5D">
        <w:rPr>
          <w:rFonts w:ascii="Arial" w:hAnsi="Arial" w:cs="Arial"/>
          <w:b/>
          <w:bCs/>
          <w:color w:val="000000" w:themeColor="text1"/>
          <w:sz w:val="28"/>
        </w:rPr>
        <w:t>“Implementing the Strategic Action Programme for the South China Sea and Gulf of Thailand (SCS SAP Project)”</w:t>
      </w:r>
    </w:p>
    <w:p w:rsidR="00CF1B3C" w:rsidRPr="003D13CD" w:rsidRDefault="00CF1B3C" w:rsidP="00CF1B3C">
      <w:pPr>
        <w:rPr>
          <w:rFonts w:ascii="Arial" w:hAnsi="Arial" w:cs="Arial"/>
          <w:b/>
          <w:bCs/>
        </w:rPr>
      </w:pPr>
    </w:p>
    <w:p w:rsidR="00CF1B3C" w:rsidRPr="003D13CD" w:rsidRDefault="00CF1B3C" w:rsidP="00CF1B3C">
      <w:pPr>
        <w:rPr>
          <w:rFonts w:ascii="Arial" w:hAnsi="Arial" w:cs="Arial"/>
          <w:b/>
          <w:bCs/>
        </w:rPr>
      </w:pPr>
    </w:p>
    <w:p w:rsidR="00CF1B3C" w:rsidRPr="003D13CD" w:rsidRDefault="00CF1B3C" w:rsidP="00CF1B3C">
      <w:pPr>
        <w:rPr>
          <w:rFonts w:ascii="Arial" w:hAnsi="Arial" w:cs="Arial"/>
          <w:b/>
          <w:bCs/>
        </w:rPr>
      </w:pPr>
    </w:p>
    <w:p w:rsidR="00CF1B3C" w:rsidRPr="003D13CD" w:rsidRDefault="00CF1B3C" w:rsidP="00CF1B3C">
      <w:pPr>
        <w:rPr>
          <w:rFonts w:ascii="Arial" w:hAnsi="Arial" w:cs="Arial"/>
          <w:b/>
          <w:bCs/>
        </w:rPr>
      </w:pPr>
    </w:p>
    <w:p w:rsidR="00CF1B3C" w:rsidRPr="003D13CD" w:rsidRDefault="00CF1B3C" w:rsidP="00CF1B3C">
      <w:pPr>
        <w:rPr>
          <w:rFonts w:ascii="Arial" w:hAnsi="Arial" w:cs="Arial"/>
          <w:b/>
          <w:bCs/>
        </w:rPr>
      </w:pPr>
    </w:p>
    <w:p w:rsidR="00CF1B3C" w:rsidRPr="003D13CD" w:rsidRDefault="00CF1B3C" w:rsidP="00CF1B3C">
      <w:pPr>
        <w:spacing w:line="276" w:lineRule="auto"/>
        <w:rPr>
          <w:rFonts w:ascii="Arial" w:hAnsi="Arial" w:cs="Arial"/>
          <w:b/>
          <w:bCs/>
        </w:rPr>
      </w:pPr>
      <w:r w:rsidRPr="003D13CD">
        <w:rPr>
          <w:rFonts w:ascii="Arial" w:hAnsi="Arial" w:cs="Arial"/>
          <w:b/>
          <w:bCs/>
        </w:rPr>
        <w:t xml:space="preserve">Version: </w:t>
      </w:r>
      <w:r w:rsidR="00EF4FCE">
        <w:rPr>
          <w:rFonts w:ascii="Arial" w:hAnsi="Arial" w:cs="Arial"/>
        </w:rPr>
        <w:t>Fourth</w:t>
      </w:r>
      <w:r w:rsidRPr="003D13CD">
        <w:rPr>
          <w:rFonts w:ascii="Arial" w:hAnsi="Arial" w:cs="Arial"/>
        </w:rPr>
        <w:t xml:space="preserve"> Draft</w:t>
      </w:r>
    </w:p>
    <w:p w:rsidR="00CF1B3C" w:rsidRPr="003D13CD" w:rsidRDefault="00CF1B3C" w:rsidP="00CF1B3C">
      <w:pPr>
        <w:spacing w:line="276" w:lineRule="auto"/>
        <w:rPr>
          <w:rFonts w:ascii="Arial" w:hAnsi="Arial" w:cs="Arial"/>
          <w:b/>
          <w:bCs/>
        </w:rPr>
      </w:pPr>
      <w:r w:rsidRPr="003D13CD">
        <w:rPr>
          <w:rFonts w:ascii="Arial" w:hAnsi="Arial" w:cs="Arial"/>
          <w:b/>
          <w:bCs/>
        </w:rPr>
        <w:t xml:space="preserve">Date: </w:t>
      </w:r>
      <w:r w:rsidR="0021379C">
        <w:rPr>
          <w:rFonts w:ascii="Arial" w:hAnsi="Arial" w:cs="Arial"/>
        </w:rPr>
        <w:t>21</w:t>
      </w:r>
      <w:r w:rsidR="0021379C" w:rsidRPr="0021379C">
        <w:rPr>
          <w:rFonts w:ascii="Arial" w:hAnsi="Arial" w:cs="Arial"/>
          <w:vertAlign w:val="superscript"/>
        </w:rPr>
        <w:t>st</w:t>
      </w:r>
      <w:r w:rsidR="0021379C">
        <w:rPr>
          <w:rFonts w:ascii="Arial" w:hAnsi="Arial" w:cs="Arial"/>
        </w:rPr>
        <w:t xml:space="preserve"> </w:t>
      </w:r>
      <w:r w:rsidR="007D4877">
        <w:rPr>
          <w:rFonts w:ascii="Arial" w:hAnsi="Arial" w:cs="Arial"/>
        </w:rPr>
        <w:t>Decem</w:t>
      </w:r>
      <w:r w:rsidRPr="003D13CD">
        <w:rPr>
          <w:rFonts w:ascii="Arial" w:hAnsi="Arial" w:cs="Arial"/>
        </w:rPr>
        <w:t>ber 2025</w:t>
      </w:r>
    </w:p>
    <w:p w:rsidR="00A464F6" w:rsidRDefault="00CF1B3C" w:rsidP="00CD2D9E">
      <w:pPr>
        <w:spacing w:line="276" w:lineRule="auto"/>
        <w:rPr>
          <w:rFonts w:ascii="Arial" w:hAnsi="Arial" w:cs="Arial"/>
        </w:rPr>
      </w:pPr>
      <w:r w:rsidRPr="003D13CD">
        <w:rPr>
          <w:rFonts w:ascii="Arial" w:hAnsi="Arial" w:cs="Arial"/>
          <w:b/>
          <w:bCs/>
        </w:rPr>
        <w:t xml:space="preserve">Country: </w:t>
      </w:r>
      <w:r w:rsidRPr="003D13CD">
        <w:rPr>
          <w:rFonts w:ascii="Arial" w:hAnsi="Arial" w:cs="Arial"/>
        </w:rPr>
        <w:t>Cambodia [KHM]</w:t>
      </w:r>
    </w:p>
    <w:p w:rsidR="00CD2D9E" w:rsidRPr="006D1C44" w:rsidRDefault="00CD2D9E" w:rsidP="00CD2D9E">
      <w:pPr>
        <w:rPr>
          <w:rFonts w:ascii="Arial" w:hAnsi="Arial" w:cs="Arial"/>
          <w:b/>
          <w:bCs/>
          <w:i/>
          <w:iCs/>
        </w:rPr>
      </w:pPr>
      <w:r>
        <w:rPr>
          <w:rFonts w:ascii="Arial" w:hAnsi="Arial" w:cs="Arial"/>
        </w:rPr>
        <w:br w:type="column"/>
      </w:r>
      <w:r w:rsidRPr="006D1C44">
        <w:rPr>
          <w:rFonts w:ascii="Arial" w:hAnsi="Arial" w:cs="Arial"/>
          <w:b/>
          <w:bCs/>
          <w:i/>
          <w:iCs/>
        </w:rPr>
        <w:lastRenderedPageBreak/>
        <w:t>Abstract</w:t>
      </w:r>
    </w:p>
    <w:p w:rsidR="00CD2D9E" w:rsidRPr="00B77C8F" w:rsidRDefault="00CD2D9E" w:rsidP="00CD2D9E">
      <w:pPr>
        <w:pStyle w:val="NormalWeb"/>
        <w:jc w:val="both"/>
        <w:rPr>
          <w:rStyle w:val="relative"/>
          <w:rFonts w:ascii="Arial" w:eastAsiaTheme="majorEastAsia" w:hAnsi="Arial" w:cs="Arial"/>
          <w:sz w:val="22"/>
          <w:szCs w:val="22"/>
        </w:rPr>
      </w:pPr>
      <w:r w:rsidRPr="00B77C8F">
        <w:rPr>
          <w:rFonts w:ascii="Arial" w:hAnsi="Arial" w:cs="Arial"/>
          <w:sz w:val="22"/>
          <w:szCs w:val="22"/>
        </w:rPr>
        <w:t>Cambodia’s coastal and marine pollution is dominated by land-based sources, with estuaries and nearshore waters showing the fastest and most persistent deterioration. Available evidence points to frequent exceedances of nutrient and microbial indicators near urban outfalls and in tourism and aquaculture corridors: estuarine nitrate is reported at about 2.4–2.6 mg/L and phosphate 0.7–0.8 mg/L, while fecal coliforms often exceed 10⁵ CFU/100 ml. Offshore conditions remain comparatively moderate, but nearshore hotspots show elevated organic loads and turbidity (BOD ~20–60 mg/L, COD &gt;80 mg/L, TSS ~80–120 mg/L), alongside repeated exceedances of oil/grease and microbial indicators. These pressures are reinforced by intensifying upstream and coastal drivers, including sharply rising pesticide use (from ~445 t in 2000 to &gt;19,000 t by 2023), expanding marine aquaculture (~17,500 t/year with an estimated 25–30% of feed lost as waste), and escalating solid waste and plastics (coastal generation &gt;590 t/day, collection commonly 50–72%, and plastic leakage &gt;14,000 t/year; microplastics measured at ~120–350 particles/kg in nearshore sediments). Industrial and port areas create localized “toxic” hotspots, with around 60% of inspected facilities reported as non-compliant and evidence of hydrocarbon and metal contamination in port-adjacent waters and sediments. While governance and policies exist, core constraints persist—sparse monitoring, fragmented data, weak enforcement, limited treatment coverage (only ~5% of urban wastewater treated; coastal sewerage &lt;20%), and under-resourced hazardous-waste systems—highlighting priority gaps for strengthening monitoring, compliance, infrastructure investment, and cross-sector/spatial planning, including transboundary risk management in the Gulf of Thailand.</w:t>
      </w:r>
    </w:p>
    <w:p w:rsidR="00CD2D9E" w:rsidRPr="00CD2D9E" w:rsidRDefault="00CD2D9E" w:rsidP="00CD2D9E">
      <w:pPr>
        <w:jc w:val="both"/>
        <w:rPr>
          <w:rFonts w:ascii="Arial" w:hAnsi="Arial" w:cs="Arial"/>
          <w:i/>
          <w:iCs/>
          <w:sz w:val="22"/>
          <w:szCs w:val="22"/>
        </w:rPr>
      </w:pPr>
      <w:r w:rsidRPr="00CD2D9E">
        <w:rPr>
          <w:rFonts w:ascii="Arial" w:hAnsi="Arial" w:cs="Arial"/>
          <w:b/>
          <w:bCs/>
          <w:i/>
          <w:iCs/>
        </w:rPr>
        <w:t xml:space="preserve">Keywords: </w:t>
      </w:r>
      <w:r>
        <w:rPr>
          <w:rFonts w:ascii="Arial" w:hAnsi="Arial" w:cs="Arial"/>
          <w:i/>
          <w:iCs/>
          <w:sz w:val="22"/>
          <w:szCs w:val="22"/>
        </w:rPr>
        <w:t>C</w:t>
      </w:r>
      <w:r w:rsidRPr="008636B1">
        <w:rPr>
          <w:rFonts w:ascii="Arial" w:hAnsi="Arial" w:cs="Arial"/>
          <w:i/>
          <w:iCs/>
          <w:sz w:val="22"/>
          <w:szCs w:val="22"/>
        </w:rPr>
        <w:t>oastal pollution; wastewater; water quality; nutrients; marine litter; plastics/microplastics; hazardous waste; oil and hydrocarbons; enforcement and compliance.</w:t>
      </w:r>
    </w:p>
    <w:p w:rsidR="00CD2D9E" w:rsidRPr="00CD2D9E" w:rsidRDefault="00CD2D9E" w:rsidP="00CD2D9E">
      <w:pPr>
        <w:spacing w:line="276" w:lineRule="auto"/>
        <w:rPr>
          <w:rFonts w:ascii="Arial" w:hAnsi="Arial" w:cs="Arial"/>
        </w:rPr>
        <w:sectPr w:rsidR="00CD2D9E" w:rsidRPr="00CD2D9E" w:rsidSect="003D13CD">
          <w:footerReference w:type="even" r:id="rId8"/>
          <w:footerReference w:type="default" r:id="rId9"/>
          <w:pgSz w:w="11900" w:h="16840"/>
          <w:pgMar w:top="1440" w:right="1440" w:bottom="1440" w:left="1440" w:header="720" w:footer="1134" w:gutter="0"/>
          <w:cols w:space="720"/>
          <w:docGrid w:linePitch="360"/>
        </w:sectPr>
      </w:pPr>
    </w:p>
    <w:p w:rsidR="00A464F6" w:rsidRPr="006832DA" w:rsidRDefault="00A464F6" w:rsidP="0021379C">
      <w:pPr>
        <w:pStyle w:val="Heading1"/>
      </w:pPr>
      <w:bookmarkStart w:id="3" w:name="OLE_LINK14"/>
      <w:bookmarkStart w:id="4" w:name="OLE_LINK15"/>
      <w:bookmarkStart w:id="5" w:name="_Toc217231844"/>
      <w:r w:rsidRPr="006832DA">
        <w:t>3. Pollution</w:t>
      </w:r>
      <w:bookmarkEnd w:id="5"/>
    </w:p>
    <w:p w:rsidR="00A464F6" w:rsidRPr="006832DA" w:rsidRDefault="00A464F6" w:rsidP="006832DA">
      <w:pPr>
        <w:pStyle w:val="Heading2"/>
        <w:rPr>
          <w:rStyle w:val="Strong"/>
          <w:rFonts w:ascii="Arial" w:eastAsiaTheme="majorEastAsia" w:hAnsi="Arial" w:cs="Arial"/>
          <w:b/>
          <w:bCs/>
          <w:sz w:val="28"/>
          <w:szCs w:val="28"/>
        </w:rPr>
      </w:pPr>
      <w:bookmarkStart w:id="6" w:name="_Toc217231845"/>
      <w:r w:rsidRPr="006832DA">
        <w:rPr>
          <w:rStyle w:val="Strong"/>
          <w:rFonts w:ascii="Arial" w:eastAsiaTheme="majorEastAsia" w:hAnsi="Arial" w:cs="Arial"/>
          <w:b/>
          <w:bCs/>
          <w:sz w:val="28"/>
          <w:szCs w:val="28"/>
        </w:rPr>
        <w:t>3.1. Key Findings, Key Pollution Concerns, and Significance in National and Regional Contexts</w:t>
      </w:r>
      <w:bookmarkEnd w:id="6"/>
    </w:p>
    <w:p w:rsidR="0086056C" w:rsidRPr="0086056C" w:rsidRDefault="0086056C" w:rsidP="00F953C9">
      <w:pPr>
        <w:pStyle w:val="NormalWeb"/>
        <w:numPr>
          <w:ilvl w:val="0"/>
          <w:numId w:val="36"/>
        </w:numPr>
        <w:spacing w:before="120" w:beforeAutospacing="0" w:after="120" w:afterAutospacing="0"/>
        <w:ind w:left="426" w:hanging="357"/>
        <w:jc w:val="both"/>
        <w:rPr>
          <w:rFonts w:ascii="Arial" w:hAnsi="Arial" w:cs="Arial"/>
          <w:sz w:val="22"/>
          <w:szCs w:val="22"/>
        </w:rPr>
      </w:pPr>
      <w:r w:rsidRPr="0086056C">
        <w:rPr>
          <w:rStyle w:val="Strong"/>
          <w:rFonts w:ascii="Arial" w:hAnsi="Arial" w:cs="Arial"/>
          <w:sz w:val="22"/>
          <w:szCs w:val="22"/>
        </w:rPr>
        <w:t>Land-based sources dominate pollution.</w:t>
      </w:r>
      <w:r w:rsidRPr="0086056C">
        <w:rPr>
          <w:rFonts w:ascii="Arial" w:hAnsi="Arial" w:cs="Arial"/>
          <w:sz w:val="22"/>
          <w:szCs w:val="22"/>
        </w:rPr>
        <w:t xml:space="preserve"> Over 80–90% of pollutants in Cambodia’s coastal waters come from land-based activities (untreated wastewater, agriculture, aquaculture, solid waste, industrial zones), causing severe degradation in estuaries and nearshore areas.</w:t>
      </w:r>
    </w:p>
    <w:p w:rsidR="0086056C" w:rsidRPr="0086056C" w:rsidRDefault="0086056C" w:rsidP="00F953C9">
      <w:pPr>
        <w:pStyle w:val="NormalWeb"/>
        <w:numPr>
          <w:ilvl w:val="0"/>
          <w:numId w:val="36"/>
        </w:numPr>
        <w:spacing w:before="120" w:beforeAutospacing="0" w:after="120" w:afterAutospacing="0"/>
        <w:ind w:left="426" w:hanging="357"/>
        <w:jc w:val="both"/>
        <w:rPr>
          <w:rFonts w:ascii="Arial" w:hAnsi="Arial" w:cs="Arial"/>
          <w:sz w:val="22"/>
          <w:szCs w:val="22"/>
        </w:rPr>
      </w:pPr>
      <w:r w:rsidRPr="0086056C">
        <w:rPr>
          <w:rStyle w:val="Strong"/>
          <w:rFonts w:ascii="Arial" w:hAnsi="Arial" w:cs="Arial"/>
          <w:sz w:val="22"/>
          <w:szCs w:val="22"/>
        </w:rPr>
        <w:t>Nutrient and microbial pollution frequently exceed standards.</w:t>
      </w:r>
      <w:r w:rsidRPr="0086056C">
        <w:rPr>
          <w:rFonts w:ascii="Arial" w:hAnsi="Arial" w:cs="Arial"/>
          <w:sz w:val="22"/>
          <w:szCs w:val="22"/>
        </w:rPr>
        <w:t xml:space="preserve"> Estuaries show nitrate 2.4–2.6 mg/L and phosphate 0.7–0.8 mg/L (above ASEAN limits), while fecal coliforms often exceed 10⁵ CFU/100 m</w:t>
      </w:r>
      <w:r w:rsidR="00F953C9">
        <w:rPr>
          <w:rFonts w:ascii="Arial" w:hAnsi="Arial" w:cs="Arial"/>
          <w:sz w:val="22"/>
          <w:szCs w:val="22"/>
        </w:rPr>
        <w:t>l</w:t>
      </w:r>
      <w:r w:rsidRPr="0086056C">
        <w:rPr>
          <w:rFonts w:ascii="Arial" w:hAnsi="Arial" w:cs="Arial"/>
          <w:sz w:val="22"/>
          <w:szCs w:val="22"/>
        </w:rPr>
        <w:t>.</w:t>
      </w:r>
    </w:p>
    <w:p w:rsidR="0086056C" w:rsidRPr="0086056C" w:rsidRDefault="0086056C" w:rsidP="00F953C9">
      <w:pPr>
        <w:pStyle w:val="NormalWeb"/>
        <w:numPr>
          <w:ilvl w:val="0"/>
          <w:numId w:val="36"/>
        </w:numPr>
        <w:spacing w:before="120" w:beforeAutospacing="0" w:after="120" w:afterAutospacing="0"/>
        <w:ind w:left="426" w:hanging="357"/>
        <w:jc w:val="both"/>
        <w:rPr>
          <w:rFonts w:ascii="Arial" w:hAnsi="Arial" w:cs="Arial"/>
          <w:sz w:val="22"/>
          <w:szCs w:val="22"/>
        </w:rPr>
      </w:pPr>
      <w:r w:rsidRPr="0086056C">
        <w:rPr>
          <w:rStyle w:val="Strong"/>
          <w:rFonts w:ascii="Arial" w:hAnsi="Arial" w:cs="Arial"/>
          <w:sz w:val="22"/>
          <w:szCs w:val="22"/>
        </w:rPr>
        <w:t>Nearshore water quality is deteriorating fastest.</w:t>
      </w:r>
      <w:r w:rsidRPr="0086056C">
        <w:rPr>
          <w:rFonts w:ascii="Arial" w:hAnsi="Arial" w:cs="Arial"/>
          <w:sz w:val="22"/>
          <w:szCs w:val="22"/>
        </w:rPr>
        <w:t xml:space="preserve"> Offshore waters remain moderate, but nearshore hotspots show BOD 20–60 mg/L, COD &gt;80 mg/L, TSS 80–120 mg/L and repeated exceedances of oil, </w:t>
      </w:r>
      <w:r w:rsidR="001D36CB" w:rsidRPr="0086056C">
        <w:rPr>
          <w:rFonts w:ascii="Arial" w:hAnsi="Arial" w:cs="Arial"/>
          <w:sz w:val="22"/>
          <w:szCs w:val="22"/>
        </w:rPr>
        <w:t>grease,</w:t>
      </w:r>
      <w:r w:rsidRPr="0086056C">
        <w:rPr>
          <w:rFonts w:ascii="Arial" w:hAnsi="Arial" w:cs="Arial"/>
          <w:sz w:val="22"/>
          <w:szCs w:val="22"/>
        </w:rPr>
        <w:t xml:space="preserve"> and microbial indicators.</w:t>
      </w:r>
    </w:p>
    <w:p w:rsidR="0086056C" w:rsidRPr="0086056C" w:rsidRDefault="0086056C" w:rsidP="00F953C9">
      <w:pPr>
        <w:pStyle w:val="NormalWeb"/>
        <w:numPr>
          <w:ilvl w:val="0"/>
          <w:numId w:val="36"/>
        </w:numPr>
        <w:spacing w:before="120" w:beforeAutospacing="0" w:after="120" w:afterAutospacing="0"/>
        <w:ind w:left="426" w:hanging="357"/>
        <w:jc w:val="both"/>
        <w:rPr>
          <w:rFonts w:ascii="Arial" w:hAnsi="Arial" w:cs="Arial"/>
          <w:sz w:val="22"/>
          <w:szCs w:val="22"/>
        </w:rPr>
      </w:pPr>
      <w:r w:rsidRPr="0086056C">
        <w:rPr>
          <w:rStyle w:val="Strong"/>
          <w:rFonts w:ascii="Arial" w:hAnsi="Arial" w:cs="Arial"/>
          <w:sz w:val="22"/>
          <w:szCs w:val="22"/>
        </w:rPr>
        <w:t>Agriculture and aquaculture are major nutrient sources.</w:t>
      </w:r>
      <w:r w:rsidRPr="0086056C">
        <w:rPr>
          <w:rFonts w:ascii="Arial" w:hAnsi="Arial" w:cs="Arial"/>
          <w:sz w:val="22"/>
          <w:szCs w:val="22"/>
        </w:rPr>
        <w:t xml:space="preserve"> Fertili</w:t>
      </w:r>
      <w:r w:rsidR="00F953C9">
        <w:rPr>
          <w:rFonts w:ascii="Arial" w:hAnsi="Arial" w:cs="Arial"/>
          <w:sz w:val="22"/>
          <w:szCs w:val="22"/>
        </w:rPr>
        <w:t>z</w:t>
      </w:r>
      <w:r w:rsidRPr="0086056C">
        <w:rPr>
          <w:rFonts w:ascii="Arial" w:hAnsi="Arial" w:cs="Arial"/>
          <w:sz w:val="22"/>
          <w:szCs w:val="22"/>
        </w:rPr>
        <w:t>er use is 4–5 times higher than in the early 2000s; pesticides rose from 445 t (2000) to &gt;19,000 t (2023). Marine aquaculture (~17,500 t/year) loses 25–30% of feed as waste.</w:t>
      </w:r>
    </w:p>
    <w:p w:rsidR="0086056C" w:rsidRPr="0086056C" w:rsidRDefault="0086056C" w:rsidP="00F953C9">
      <w:pPr>
        <w:pStyle w:val="NormalWeb"/>
        <w:numPr>
          <w:ilvl w:val="0"/>
          <w:numId w:val="36"/>
        </w:numPr>
        <w:spacing w:before="120" w:beforeAutospacing="0" w:after="120" w:afterAutospacing="0"/>
        <w:ind w:left="426" w:hanging="357"/>
        <w:jc w:val="both"/>
        <w:rPr>
          <w:rFonts w:ascii="Arial" w:hAnsi="Arial" w:cs="Arial"/>
          <w:sz w:val="22"/>
          <w:szCs w:val="22"/>
        </w:rPr>
      </w:pPr>
      <w:r w:rsidRPr="0086056C">
        <w:rPr>
          <w:rStyle w:val="Strong"/>
          <w:rFonts w:ascii="Arial" w:hAnsi="Arial" w:cs="Arial"/>
          <w:sz w:val="22"/>
          <w:szCs w:val="22"/>
        </w:rPr>
        <w:t>Solid waste and plastics are escalating threats.</w:t>
      </w:r>
      <w:r w:rsidRPr="0086056C">
        <w:rPr>
          <w:rFonts w:ascii="Arial" w:hAnsi="Arial" w:cs="Arial"/>
          <w:sz w:val="22"/>
          <w:szCs w:val="22"/>
        </w:rPr>
        <w:t xml:space="preserve"> Coastal areas generate &gt;590 t/day of MSW, with only 50–72% collected. National plastic waste exceeds 730,000 t/year, coastal leakage &gt;14,000 t/year, and sediments contain 120–350 microplastic particles/kg.</w:t>
      </w:r>
    </w:p>
    <w:p w:rsidR="0086056C" w:rsidRPr="0086056C" w:rsidRDefault="0086056C" w:rsidP="00F953C9">
      <w:pPr>
        <w:pStyle w:val="NormalWeb"/>
        <w:numPr>
          <w:ilvl w:val="0"/>
          <w:numId w:val="36"/>
        </w:numPr>
        <w:spacing w:before="120" w:beforeAutospacing="0" w:after="120" w:afterAutospacing="0"/>
        <w:ind w:left="426" w:hanging="357"/>
        <w:jc w:val="both"/>
        <w:rPr>
          <w:rFonts w:ascii="Arial" w:hAnsi="Arial" w:cs="Arial"/>
          <w:sz w:val="22"/>
          <w:szCs w:val="22"/>
        </w:rPr>
      </w:pPr>
      <w:r w:rsidRPr="0086056C">
        <w:rPr>
          <w:rStyle w:val="Strong"/>
          <w:rFonts w:ascii="Arial" w:hAnsi="Arial" w:cs="Arial"/>
          <w:sz w:val="22"/>
          <w:szCs w:val="22"/>
        </w:rPr>
        <w:t>Industrial and port activities create toxic hotspots.</w:t>
      </w:r>
      <w:r w:rsidRPr="0086056C">
        <w:rPr>
          <w:rFonts w:ascii="Arial" w:hAnsi="Arial" w:cs="Arial"/>
          <w:sz w:val="22"/>
          <w:szCs w:val="22"/>
        </w:rPr>
        <w:t xml:space="preserve"> About 60% of inspected facilities near ports/SEZs are non-compliant, with high oil &amp; grease, TPH, Pb and Zn; sediment metal levels (e.g. Zn 35–90 mg/kg, Pb 10–25 mg/kg) are rising.</w:t>
      </w:r>
    </w:p>
    <w:p w:rsidR="0086056C" w:rsidRPr="0086056C" w:rsidRDefault="0086056C" w:rsidP="00F953C9">
      <w:pPr>
        <w:pStyle w:val="NormalWeb"/>
        <w:numPr>
          <w:ilvl w:val="0"/>
          <w:numId w:val="36"/>
        </w:numPr>
        <w:spacing w:before="120" w:beforeAutospacing="0" w:after="120" w:afterAutospacing="0"/>
        <w:ind w:left="426" w:hanging="357"/>
        <w:jc w:val="both"/>
        <w:rPr>
          <w:rFonts w:ascii="Arial" w:hAnsi="Arial" w:cs="Arial"/>
          <w:sz w:val="22"/>
          <w:szCs w:val="22"/>
        </w:rPr>
      </w:pPr>
      <w:r w:rsidRPr="0086056C">
        <w:rPr>
          <w:rStyle w:val="Strong"/>
          <w:rFonts w:ascii="Arial" w:hAnsi="Arial" w:cs="Arial"/>
          <w:sz w:val="22"/>
          <w:szCs w:val="22"/>
        </w:rPr>
        <w:t>Hazardous and medical waste remain weakly controlled.</w:t>
      </w:r>
      <w:r w:rsidRPr="0086056C">
        <w:rPr>
          <w:rFonts w:ascii="Arial" w:hAnsi="Arial" w:cs="Arial"/>
          <w:sz w:val="22"/>
          <w:szCs w:val="22"/>
        </w:rPr>
        <w:t xml:space="preserve"> Industrial waste (~120,000 t/year) and COVID-era medical waste (up to 20 t/day) strain limited hazardous-waste capacity (~150,000 t/year), and smaller generators are poorly monitored.</w:t>
      </w:r>
    </w:p>
    <w:p w:rsidR="0086056C" w:rsidRPr="0086056C" w:rsidRDefault="0086056C" w:rsidP="00F953C9">
      <w:pPr>
        <w:pStyle w:val="NormalWeb"/>
        <w:numPr>
          <w:ilvl w:val="0"/>
          <w:numId w:val="36"/>
        </w:numPr>
        <w:spacing w:before="120" w:beforeAutospacing="0" w:after="120" w:afterAutospacing="0"/>
        <w:ind w:left="426" w:hanging="357"/>
        <w:jc w:val="both"/>
        <w:rPr>
          <w:rFonts w:ascii="Arial" w:hAnsi="Arial" w:cs="Arial"/>
          <w:sz w:val="22"/>
          <w:szCs w:val="22"/>
        </w:rPr>
      </w:pPr>
      <w:r w:rsidRPr="0086056C">
        <w:rPr>
          <w:rStyle w:val="Strong"/>
          <w:rFonts w:ascii="Arial" w:hAnsi="Arial" w:cs="Arial"/>
          <w:sz w:val="22"/>
          <w:szCs w:val="22"/>
        </w:rPr>
        <w:t>Pollution hotspots overlap sensitive ecosystems.</w:t>
      </w:r>
      <w:r w:rsidRPr="0086056C">
        <w:rPr>
          <w:rFonts w:ascii="Arial" w:hAnsi="Arial" w:cs="Arial"/>
          <w:sz w:val="22"/>
          <w:szCs w:val="22"/>
        </w:rPr>
        <w:t xml:space="preserve"> High-risk zones (Prek Toeuk Sap, Kampot Bay, Kep–Ha Tien, Koh Kong estuary, Phnom Penh confluence) coincide with mangroves, seagrass, Ramsar sites and coral reefs; coral cover near Koh Rong fell from 48% (2010) to ~32% (2023).</w:t>
      </w:r>
    </w:p>
    <w:p w:rsidR="0086056C" w:rsidRPr="0086056C" w:rsidRDefault="0086056C" w:rsidP="00F953C9">
      <w:pPr>
        <w:pStyle w:val="NormalWeb"/>
        <w:numPr>
          <w:ilvl w:val="0"/>
          <w:numId w:val="36"/>
        </w:numPr>
        <w:spacing w:before="120" w:beforeAutospacing="0" w:after="120" w:afterAutospacing="0"/>
        <w:ind w:left="426" w:hanging="357"/>
        <w:jc w:val="both"/>
        <w:rPr>
          <w:rFonts w:ascii="Arial" w:hAnsi="Arial" w:cs="Arial"/>
          <w:sz w:val="22"/>
          <w:szCs w:val="22"/>
        </w:rPr>
      </w:pPr>
      <w:r w:rsidRPr="0086056C">
        <w:rPr>
          <w:rStyle w:val="Strong"/>
          <w:rFonts w:ascii="Arial" w:hAnsi="Arial" w:cs="Arial"/>
          <w:sz w:val="22"/>
          <w:szCs w:val="22"/>
        </w:rPr>
        <w:t>Ecosystem decline undermines fisheries, aquaculture and tourism.</w:t>
      </w:r>
      <w:r w:rsidRPr="0086056C">
        <w:rPr>
          <w:rFonts w:ascii="Arial" w:hAnsi="Arial" w:cs="Arial"/>
          <w:sz w:val="22"/>
          <w:szCs w:val="22"/>
        </w:rPr>
        <w:t xml:space="preserve"> Fishers report reduced catches, aquaculture faces more disease, and tourist beaches experience closures and visible pollution, with public health risks peaking in the monsoon.</w:t>
      </w:r>
    </w:p>
    <w:p w:rsidR="0086056C" w:rsidRPr="007A4544" w:rsidRDefault="0086056C" w:rsidP="007A4544">
      <w:pPr>
        <w:pStyle w:val="NormalWeb"/>
        <w:numPr>
          <w:ilvl w:val="0"/>
          <w:numId w:val="36"/>
        </w:numPr>
        <w:spacing w:before="120" w:beforeAutospacing="0" w:after="120" w:afterAutospacing="0"/>
        <w:ind w:left="426" w:hanging="357"/>
        <w:jc w:val="both"/>
        <w:rPr>
          <w:rFonts w:ascii="Arial" w:hAnsi="Arial" w:cs="Arial"/>
          <w:sz w:val="22"/>
          <w:szCs w:val="22"/>
        </w:rPr>
      </w:pPr>
      <w:r w:rsidRPr="0086056C">
        <w:rPr>
          <w:rStyle w:val="Strong"/>
          <w:rFonts w:ascii="Arial" w:hAnsi="Arial" w:cs="Arial"/>
          <w:sz w:val="22"/>
          <w:szCs w:val="22"/>
        </w:rPr>
        <w:t>Governance exists but enforcement and treatment are weak.</w:t>
      </w:r>
      <w:r w:rsidRPr="0086056C">
        <w:rPr>
          <w:rFonts w:ascii="Arial" w:hAnsi="Arial" w:cs="Arial"/>
          <w:sz w:val="22"/>
          <w:szCs w:val="22"/>
        </w:rPr>
        <w:t xml:space="preserve"> Laws and policies are in place, but inspections are limited, fines rarely applied, and only ~5% of urban wastewater is treated; coastal sewerage coverage is &lt;20%.</w:t>
      </w:r>
    </w:p>
    <w:p w:rsidR="0086056C" w:rsidRPr="0086056C" w:rsidRDefault="0086056C" w:rsidP="00F953C9">
      <w:pPr>
        <w:pStyle w:val="NormalWeb"/>
        <w:numPr>
          <w:ilvl w:val="0"/>
          <w:numId w:val="36"/>
        </w:numPr>
        <w:spacing w:before="120" w:beforeAutospacing="0" w:after="120" w:afterAutospacing="0"/>
        <w:ind w:left="426" w:hanging="357"/>
        <w:jc w:val="both"/>
        <w:rPr>
          <w:rFonts w:ascii="Arial" w:hAnsi="Arial" w:cs="Arial"/>
          <w:sz w:val="22"/>
          <w:szCs w:val="22"/>
        </w:rPr>
      </w:pPr>
      <w:r w:rsidRPr="0086056C">
        <w:rPr>
          <w:rStyle w:val="Strong"/>
          <w:rFonts w:ascii="Arial" w:hAnsi="Arial" w:cs="Arial"/>
          <w:sz w:val="22"/>
          <w:szCs w:val="22"/>
        </w:rPr>
        <w:t>Cumulative risks are approaching critical thresholds.</w:t>
      </w:r>
      <w:r w:rsidRPr="0086056C">
        <w:rPr>
          <w:rFonts w:ascii="Arial" w:hAnsi="Arial" w:cs="Arial"/>
          <w:sz w:val="22"/>
          <w:szCs w:val="22"/>
        </w:rPr>
        <w:t xml:space="preserve"> Chronic exceedances of TN, TP, FC, TSS and TPH, combined with plastics and industrial pollutants, heighten risks of hypoxia, local ecosystem collapse and long-term economic losses</w:t>
      </w:r>
      <w:r w:rsidR="00907495">
        <w:rPr>
          <w:rFonts w:ascii="Arial" w:hAnsi="Arial" w:cs="Arial"/>
          <w:sz w:val="22"/>
          <w:szCs w:val="22"/>
        </w:rPr>
        <w:t>.</w:t>
      </w:r>
    </w:p>
    <w:p w:rsidR="00A464F6" w:rsidRPr="003D13CD" w:rsidRDefault="00A464F6" w:rsidP="007A4544">
      <w:pPr>
        <w:pStyle w:val="Heading2"/>
        <w:keepNext/>
        <w:adjustRightInd w:val="0"/>
        <w:snapToGrid w:val="0"/>
        <w:spacing w:before="120" w:beforeAutospacing="0" w:after="0" w:afterAutospacing="0"/>
        <w:rPr>
          <w:rStyle w:val="Strong"/>
          <w:rFonts w:ascii="Arial" w:eastAsiaTheme="majorEastAsia" w:hAnsi="Arial" w:cs="Arial"/>
          <w:b/>
          <w:bCs/>
          <w:sz w:val="28"/>
          <w:szCs w:val="28"/>
        </w:rPr>
      </w:pPr>
      <w:bookmarkStart w:id="7" w:name="_Toc217231846"/>
      <w:r w:rsidRPr="003D13CD">
        <w:rPr>
          <w:rStyle w:val="Strong"/>
          <w:rFonts w:ascii="Arial" w:eastAsiaTheme="majorEastAsia" w:hAnsi="Arial" w:cs="Arial"/>
          <w:b/>
          <w:bCs/>
          <w:sz w:val="28"/>
          <w:szCs w:val="28"/>
        </w:rPr>
        <w:t>3.2 Current Status</w:t>
      </w:r>
      <w:bookmarkEnd w:id="7"/>
    </w:p>
    <w:p w:rsidR="00A464F6" w:rsidRPr="006832DA" w:rsidRDefault="00A464F6" w:rsidP="007A4544">
      <w:pPr>
        <w:pStyle w:val="Heading3"/>
        <w:keepLines w:val="0"/>
        <w:adjustRightInd w:val="0"/>
        <w:snapToGrid w:val="0"/>
        <w:spacing w:before="120"/>
        <w:rPr>
          <w:rFonts w:ascii="Arial" w:hAnsi="Arial" w:cs="Arial"/>
          <w:b/>
          <w:bCs/>
          <w:i/>
          <w:iCs/>
        </w:rPr>
      </w:pPr>
      <w:bookmarkStart w:id="8" w:name="_Toc217231847"/>
      <w:r w:rsidRPr="006832DA">
        <w:rPr>
          <w:rFonts w:ascii="Arial" w:hAnsi="Arial" w:cs="Arial"/>
          <w:b/>
          <w:bCs/>
        </w:rPr>
        <w:t>3.2.1 Pollution sources and magnitude</w:t>
      </w:r>
      <w:bookmarkEnd w:id="8"/>
    </w:p>
    <w:p w:rsidR="00A464F6" w:rsidRPr="006832DA" w:rsidRDefault="00A464F6" w:rsidP="007A4544">
      <w:pPr>
        <w:pStyle w:val="Heading4"/>
        <w:keepLines w:val="0"/>
        <w:adjustRightInd w:val="0"/>
        <w:snapToGrid w:val="0"/>
        <w:spacing w:before="120"/>
        <w:rPr>
          <w:rFonts w:ascii="Arial" w:hAnsi="Arial" w:cs="Arial"/>
          <w:b/>
          <w:bCs/>
          <w:sz w:val="22"/>
          <w:szCs w:val="22"/>
        </w:rPr>
      </w:pPr>
      <w:r w:rsidRPr="006832DA">
        <w:rPr>
          <w:rFonts w:ascii="Arial" w:hAnsi="Arial" w:cs="Arial"/>
          <w:b/>
          <w:bCs/>
          <w:sz w:val="22"/>
          <w:szCs w:val="22"/>
        </w:rPr>
        <w:t>3.2.1.</w:t>
      </w:r>
      <w:r w:rsidR="00C01FBE" w:rsidRPr="006832DA">
        <w:rPr>
          <w:rFonts w:ascii="Arial" w:hAnsi="Arial" w:cs="Arial"/>
          <w:b/>
          <w:bCs/>
          <w:sz w:val="22"/>
          <w:szCs w:val="22"/>
        </w:rPr>
        <w:t>1</w:t>
      </w:r>
      <w:r w:rsidRPr="006832DA">
        <w:rPr>
          <w:rFonts w:ascii="Arial" w:hAnsi="Arial" w:cs="Arial"/>
          <w:b/>
          <w:bCs/>
          <w:sz w:val="22"/>
          <w:szCs w:val="22"/>
        </w:rPr>
        <w:t xml:space="preserve"> Agricultural and aquaculture runoff</w:t>
      </w:r>
    </w:p>
    <w:p w:rsidR="00AE2C90" w:rsidRPr="003D13CD" w:rsidRDefault="00AE2C90" w:rsidP="007A4544">
      <w:pPr>
        <w:pStyle w:val="NormalWeb"/>
        <w:keepNext/>
        <w:jc w:val="both"/>
        <w:rPr>
          <w:rFonts w:ascii="Arial" w:hAnsi="Arial" w:cs="Arial"/>
          <w:b/>
          <w:bCs/>
          <w:i/>
          <w:iCs/>
          <w:sz w:val="22"/>
          <w:szCs w:val="22"/>
        </w:rPr>
      </w:pPr>
      <w:r w:rsidRPr="003D13CD">
        <w:rPr>
          <w:rFonts w:ascii="Arial" w:hAnsi="Arial" w:cs="Arial"/>
          <w:b/>
          <w:bCs/>
          <w:i/>
          <w:iCs/>
          <w:sz w:val="22"/>
          <w:szCs w:val="22"/>
        </w:rPr>
        <w:t>a) Agricultural runoff</w:t>
      </w:r>
    </w:p>
    <w:p w:rsidR="003D13CD" w:rsidRDefault="00A464F6" w:rsidP="004444F0">
      <w:pPr>
        <w:pStyle w:val="NormalWeb"/>
        <w:jc w:val="both"/>
        <w:rPr>
          <w:rFonts w:ascii="Arial" w:hAnsi="Arial" w:cs="Arial"/>
          <w:sz w:val="22"/>
          <w:szCs w:val="22"/>
        </w:rPr>
      </w:pPr>
      <w:r w:rsidRPr="003D13CD">
        <w:rPr>
          <w:rFonts w:ascii="Arial" w:hAnsi="Arial" w:cs="Arial"/>
          <w:sz w:val="22"/>
          <w:szCs w:val="22"/>
        </w:rPr>
        <w:t xml:space="preserve">National </w:t>
      </w:r>
      <w:r w:rsidR="00482E22" w:rsidRPr="003D13CD">
        <w:rPr>
          <w:rFonts w:ascii="Arial" w:hAnsi="Arial" w:cs="Arial"/>
          <w:sz w:val="22"/>
          <w:szCs w:val="22"/>
        </w:rPr>
        <w:t>fertilizer</w:t>
      </w:r>
      <w:r w:rsidRPr="003D13CD">
        <w:rPr>
          <w:rFonts w:ascii="Arial" w:hAnsi="Arial" w:cs="Arial"/>
          <w:sz w:val="22"/>
          <w:szCs w:val="22"/>
        </w:rPr>
        <w:t xml:space="preserve"> use has risen steeply. </w:t>
      </w:r>
      <w:r w:rsidR="004444F0">
        <w:rPr>
          <w:rFonts w:ascii="Arial" w:hAnsi="Arial" w:cs="Arial"/>
          <w:sz w:val="22"/>
          <w:szCs w:val="22"/>
        </w:rPr>
        <w:fldChar w:fldCharType="begin"/>
      </w:r>
      <w:r w:rsidR="004444F0">
        <w:rPr>
          <w:rFonts w:ascii="Arial" w:hAnsi="Arial" w:cs="Arial"/>
          <w:sz w:val="22"/>
          <w:szCs w:val="22"/>
        </w:rPr>
        <w:instrText xml:space="preserve"> REF _Ref214534890 \h </w:instrText>
      </w:r>
      <w:r w:rsidR="004444F0">
        <w:rPr>
          <w:rFonts w:ascii="Arial" w:hAnsi="Arial" w:cs="Arial"/>
          <w:sz w:val="22"/>
          <w:szCs w:val="22"/>
        </w:rPr>
      </w:r>
      <w:r w:rsidR="004444F0">
        <w:rPr>
          <w:rFonts w:ascii="Arial" w:hAnsi="Arial" w:cs="Arial"/>
          <w:sz w:val="22"/>
          <w:szCs w:val="22"/>
        </w:rPr>
        <w:fldChar w:fldCharType="separate"/>
      </w:r>
      <w:r w:rsidR="00D35426" w:rsidRPr="00B94585">
        <w:rPr>
          <w:rFonts w:ascii="Arial" w:hAnsi="Arial" w:cs="Arial"/>
          <w:color w:val="002060"/>
          <w:sz w:val="22"/>
          <w:szCs w:val="22"/>
        </w:rPr>
        <w:t>Figure 3-</w:t>
      </w:r>
      <w:r w:rsidR="00D35426">
        <w:rPr>
          <w:rFonts w:ascii="Arial" w:hAnsi="Arial" w:cs="Arial"/>
          <w:i/>
          <w:iCs/>
          <w:noProof/>
          <w:color w:val="002060"/>
          <w:sz w:val="22"/>
          <w:szCs w:val="22"/>
        </w:rPr>
        <w:t>1</w:t>
      </w:r>
      <w:r w:rsidR="004444F0">
        <w:rPr>
          <w:rFonts w:ascii="Arial" w:hAnsi="Arial" w:cs="Arial"/>
          <w:sz w:val="22"/>
          <w:szCs w:val="22"/>
        </w:rPr>
        <w:fldChar w:fldCharType="end"/>
      </w:r>
      <w:r w:rsidR="004444F0">
        <w:rPr>
          <w:rFonts w:ascii="Arial" w:hAnsi="Arial" w:cs="Arial"/>
          <w:sz w:val="22"/>
          <w:szCs w:val="22"/>
        </w:rPr>
        <w:t xml:space="preserve"> </w:t>
      </w:r>
      <w:r w:rsidRPr="003D13CD">
        <w:rPr>
          <w:rFonts w:ascii="Arial" w:hAnsi="Arial" w:cs="Arial"/>
          <w:sz w:val="22"/>
          <w:szCs w:val="22"/>
        </w:rPr>
        <w:t xml:space="preserve">show </w:t>
      </w:r>
      <w:r w:rsidR="00493D09" w:rsidRPr="003D13CD">
        <w:rPr>
          <w:rFonts w:ascii="Arial" w:hAnsi="Arial" w:cs="Arial"/>
          <w:sz w:val="22"/>
          <w:szCs w:val="22"/>
        </w:rPr>
        <w:t>fertilizer</w:t>
      </w:r>
      <w:r w:rsidRPr="003D13CD">
        <w:rPr>
          <w:rFonts w:ascii="Arial" w:hAnsi="Arial" w:cs="Arial"/>
          <w:sz w:val="22"/>
          <w:szCs w:val="22"/>
        </w:rPr>
        <w:t xml:space="preserve"> consumption per hectare of arable land increasing from </w:t>
      </w:r>
      <w:r w:rsidRPr="003D13CD">
        <w:rPr>
          <w:rStyle w:val="Strong"/>
          <w:rFonts w:ascii="Arial" w:eastAsiaTheme="majorEastAsia" w:hAnsi="Arial" w:cs="Arial"/>
          <w:sz w:val="22"/>
          <w:szCs w:val="22"/>
        </w:rPr>
        <w:t>~5–</w:t>
      </w:r>
      <w:r w:rsidR="009D44E9">
        <w:rPr>
          <w:rStyle w:val="Strong"/>
          <w:rFonts w:ascii="Arial" w:eastAsiaTheme="majorEastAsia" w:hAnsi="Arial" w:cs="Arial"/>
          <w:sz w:val="22"/>
          <w:szCs w:val="22"/>
        </w:rPr>
        <w:t>10</w:t>
      </w:r>
      <w:r w:rsidRPr="003D13CD">
        <w:rPr>
          <w:rStyle w:val="Strong"/>
          <w:rFonts w:ascii="Arial" w:eastAsiaTheme="majorEastAsia" w:hAnsi="Arial" w:cs="Arial"/>
          <w:sz w:val="22"/>
          <w:szCs w:val="22"/>
        </w:rPr>
        <w:t xml:space="preserve"> kg/ha </w:t>
      </w:r>
      <w:r w:rsidRPr="009D44E9">
        <w:rPr>
          <w:rStyle w:val="Strong"/>
          <w:rFonts w:ascii="Arial" w:eastAsiaTheme="majorEastAsia" w:hAnsi="Arial" w:cs="Arial"/>
          <w:b w:val="0"/>
          <w:bCs w:val="0"/>
          <w:sz w:val="22"/>
          <w:szCs w:val="22"/>
        </w:rPr>
        <w:t>in 2003–200</w:t>
      </w:r>
      <w:r w:rsidR="009D44E9" w:rsidRPr="009D44E9">
        <w:rPr>
          <w:rStyle w:val="Strong"/>
          <w:rFonts w:ascii="Arial" w:eastAsiaTheme="majorEastAsia" w:hAnsi="Arial" w:cs="Arial"/>
          <w:b w:val="0"/>
          <w:bCs w:val="0"/>
          <w:sz w:val="22"/>
          <w:szCs w:val="22"/>
        </w:rPr>
        <w:t>8</w:t>
      </w:r>
      <w:r w:rsidRPr="003D13CD">
        <w:rPr>
          <w:rFonts w:ascii="Arial" w:hAnsi="Arial" w:cs="Arial"/>
          <w:sz w:val="22"/>
          <w:szCs w:val="22"/>
        </w:rPr>
        <w:t xml:space="preserve"> to roughly </w:t>
      </w:r>
      <w:r w:rsidRPr="003D13CD">
        <w:rPr>
          <w:rStyle w:val="Strong"/>
          <w:rFonts w:ascii="Arial" w:eastAsiaTheme="majorEastAsia" w:hAnsi="Arial" w:cs="Arial"/>
          <w:sz w:val="22"/>
          <w:szCs w:val="22"/>
        </w:rPr>
        <w:t xml:space="preserve">40–50 kg/ha </w:t>
      </w:r>
      <w:r w:rsidRPr="009D44E9">
        <w:rPr>
          <w:rStyle w:val="Strong"/>
          <w:rFonts w:ascii="Arial" w:eastAsiaTheme="majorEastAsia" w:hAnsi="Arial" w:cs="Arial"/>
          <w:b w:val="0"/>
          <w:bCs w:val="0"/>
          <w:sz w:val="22"/>
          <w:szCs w:val="22"/>
        </w:rPr>
        <w:t>in 2018–2021</w:t>
      </w:r>
      <w:r w:rsidRPr="003D13CD">
        <w:rPr>
          <w:rFonts w:ascii="Arial" w:hAnsi="Arial" w:cs="Arial"/>
          <w:sz w:val="22"/>
          <w:szCs w:val="22"/>
        </w:rPr>
        <w:t xml:space="preserve">, before dipping to </w:t>
      </w:r>
      <w:r w:rsidRPr="003D13CD">
        <w:rPr>
          <w:rStyle w:val="Strong"/>
          <w:rFonts w:ascii="Arial" w:eastAsiaTheme="majorEastAsia" w:hAnsi="Arial" w:cs="Arial"/>
          <w:sz w:val="22"/>
          <w:szCs w:val="22"/>
        </w:rPr>
        <w:t xml:space="preserve">~33 kg/ha </w:t>
      </w:r>
      <w:r w:rsidRPr="009D44E9">
        <w:rPr>
          <w:rStyle w:val="Strong"/>
          <w:rFonts w:ascii="Arial" w:eastAsiaTheme="majorEastAsia" w:hAnsi="Arial" w:cs="Arial"/>
          <w:b w:val="0"/>
          <w:bCs w:val="0"/>
          <w:sz w:val="22"/>
          <w:szCs w:val="22"/>
        </w:rPr>
        <w:t>in 2022</w:t>
      </w:r>
      <w:r w:rsidR="004444F0">
        <w:rPr>
          <w:rStyle w:val="Strong"/>
          <w:rFonts w:ascii="Arial" w:eastAsiaTheme="majorEastAsia" w:hAnsi="Arial" w:cs="Arial"/>
          <w:sz w:val="22"/>
          <w:szCs w:val="22"/>
        </w:rPr>
        <w:t xml:space="preserve">, </w:t>
      </w:r>
      <w:r w:rsidR="004444F0" w:rsidRPr="009D44E9">
        <w:rPr>
          <w:rStyle w:val="Strong"/>
          <w:rFonts w:ascii="Arial" w:eastAsiaTheme="majorEastAsia" w:hAnsi="Arial" w:cs="Arial"/>
          <w:b w:val="0"/>
          <w:bCs w:val="0"/>
          <w:sz w:val="22"/>
          <w:szCs w:val="22"/>
        </w:rPr>
        <w:t>and moved up to</w:t>
      </w:r>
      <w:r w:rsidR="004444F0">
        <w:rPr>
          <w:rStyle w:val="Strong"/>
          <w:rFonts w:ascii="Arial" w:eastAsiaTheme="majorEastAsia" w:hAnsi="Arial" w:cs="Arial"/>
          <w:sz w:val="22"/>
          <w:szCs w:val="22"/>
        </w:rPr>
        <w:t xml:space="preserve"> 51kg/ha </w:t>
      </w:r>
      <w:r w:rsidR="004444F0" w:rsidRPr="009D44E9">
        <w:rPr>
          <w:rStyle w:val="Strong"/>
          <w:rFonts w:ascii="Arial" w:eastAsiaTheme="majorEastAsia" w:hAnsi="Arial" w:cs="Arial"/>
          <w:b w:val="0"/>
          <w:bCs w:val="0"/>
          <w:sz w:val="22"/>
          <w:szCs w:val="22"/>
        </w:rPr>
        <w:t>in 2023</w:t>
      </w:r>
      <w:r w:rsidRPr="003D13CD">
        <w:rPr>
          <w:rFonts w:ascii="Arial" w:hAnsi="Arial" w:cs="Arial"/>
          <w:sz w:val="22"/>
          <w:szCs w:val="22"/>
        </w:rPr>
        <w:t>. Over two decades this represents about a four- to five-fold increase.</w:t>
      </w:r>
      <w:r w:rsidR="006104D4">
        <w:rPr>
          <w:rFonts w:ascii="Arial" w:hAnsi="Arial" w:cs="Arial"/>
          <w:sz w:val="22"/>
          <w:szCs w:val="22"/>
        </w:rPr>
        <w:t xml:space="preserve"> </w:t>
      </w:r>
    </w:p>
    <w:p w:rsidR="00421EB3" w:rsidRDefault="00421EB3" w:rsidP="00B94585">
      <w:pPr>
        <w:pStyle w:val="NormalWeb"/>
        <w:keepNext/>
        <w:spacing w:before="0" w:beforeAutospacing="0" w:after="0" w:afterAutospacing="0"/>
        <w:jc w:val="center"/>
        <w:rPr>
          <w:rFonts w:ascii="Arial" w:hAnsi="Arial" w:cs="Arial"/>
          <w:sz w:val="22"/>
          <w:szCs w:val="22"/>
        </w:rPr>
      </w:pPr>
      <w:r>
        <w:rPr>
          <w:noProof/>
          <w14:ligatures w14:val="standardContextual"/>
        </w:rPr>
        <w:drawing>
          <wp:inline distT="0" distB="0" distL="0" distR="0" wp14:anchorId="33E030AF" wp14:editId="7AD6A126">
            <wp:extent cx="5640070" cy="1972638"/>
            <wp:effectExtent l="0" t="0" r="11430" b="8890"/>
            <wp:docPr id="118440383" name="Chart 1">
              <a:extLst xmlns:a="http://schemas.openxmlformats.org/drawingml/2006/main">
                <a:ext uri="{FF2B5EF4-FFF2-40B4-BE49-F238E27FC236}">
                  <a16:creationId xmlns:a16="http://schemas.microsoft.com/office/drawing/2014/main" id="{A132CA27-D8EB-BE41-CD5D-28A96449C7DE}"/>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493D09" w:rsidRPr="00B94585" w:rsidRDefault="00493D09" w:rsidP="00B94585">
      <w:pPr>
        <w:pStyle w:val="Caption"/>
        <w:keepNext/>
        <w:adjustRightInd w:val="0"/>
        <w:snapToGrid w:val="0"/>
        <w:spacing w:after="0"/>
        <w:rPr>
          <w:rFonts w:ascii="Arial" w:hAnsi="Arial" w:cs="Arial"/>
          <w:i w:val="0"/>
          <w:iCs w:val="0"/>
          <w:color w:val="002060"/>
          <w:sz w:val="22"/>
          <w:szCs w:val="22"/>
        </w:rPr>
      </w:pPr>
      <w:bookmarkStart w:id="9" w:name="_Ref214534890"/>
      <w:bookmarkStart w:id="10" w:name="OLE_LINK5"/>
      <w:bookmarkStart w:id="11" w:name="_Toc214875138"/>
      <w:r w:rsidRPr="00B94585">
        <w:rPr>
          <w:rFonts w:ascii="Arial" w:hAnsi="Arial" w:cs="Arial"/>
          <w:i w:val="0"/>
          <w:iCs w:val="0"/>
          <w:color w:val="002060"/>
          <w:sz w:val="22"/>
          <w:szCs w:val="22"/>
        </w:rPr>
        <w:t>Figure 3-</w:t>
      </w:r>
      <w:r w:rsidRPr="00B94585">
        <w:rPr>
          <w:rFonts w:ascii="Arial" w:hAnsi="Arial" w:cs="Arial"/>
          <w:i w:val="0"/>
          <w:iCs w:val="0"/>
          <w:color w:val="002060"/>
          <w:sz w:val="22"/>
          <w:szCs w:val="22"/>
        </w:rPr>
        <w:fldChar w:fldCharType="begin"/>
      </w:r>
      <w:r w:rsidRPr="00B94585">
        <w:rPr>
          <w:rFonts w:ascii="Arial" w:hAnsi="Arial" w:cs="Arial"/>
          <w:i w:val="0"/>
          <w:iCs w:val="0"/>
          <w:color w:val="002060"/>
          <w:sz w:val="22"/>
          <w:szCs w:val="22"/>
        </w:rPr>
        <w:instrText xml:space="preserve"> SEQ Figure_3- \* ARABIC </w:instrText>
      </w:r>
      <w:r w:rsidRPr="00B94585">
        <w:rPr>
          <w:rFonts w:ascii="Arial" w:hAnsi="Arial" w:cs="Arial"/>
          <w:i w:val="0"/>
          <w:iCs w:val="0"/>
          <w:color w:val="002060"/>
          <w:sz w:val="22"/>
          <w:szCs w:val="22"/>
        </w:rPr>
        <w:fldChar w:fldCharType="separate"/>
      </w:r>
      <w:r w:rsidR="00D35426">
        <w:rPr>
          <w:rFonts w:ascii="Arial" w:hAnsi="Arial" w:cs="Arial"/>
          <w:i w:val="0"/>
          <w:iCs w:val="0"/>
          <w:noProof/>
          <w:color w:val="002060"/>
          <w:sz w:val="22"/>
          <w:szCs w:val="22"/>
        </w:rPr>
        <w:t>1</w:t>
      </w:r>
      <w:r w:rsidRPr="00B94585">
        <w:rPr>
          <w:rFonts w:ascii="Arial" w:hAnsi="Arial" w:cs="Arial"/>
          <w:i w:val="0"/>
          <w:iCs w:val="0"/>
          <w:color w:val="002060"/>
          <w:sz w:val="22"/>
          <w:szCs w:val="22"/>
        </w:rPr>
        <w:fldChar w:fldCharType="end"/>
      </w:r>
      <w:bookmarkEnd w:id="9"/>
      <w:r w:rsidRPr="00B94585">
        <w:rPr>
          <w:rFonts w:ascii="Arial" w:hAnsi="Arial" w:cs="Arial"/>
          <w:i w:val="0"/>
          <w:iCs w:val="0"/>
          <w:color w:val="002060"/>
          <w:sz w:val="22"/>
          <w:szCs w:val="22"/>
        </w:rPr>
        <w:t xml:space="preserve"> Cambodia’s</w:t>
      </w:r>
      <w:bookmarkEnd w:id="10"/>
      <w:r w:rsidRPr="00B94585">
        <w:rPr>
          <w:rFonts w:ascii="Arial" w:hAnsi="Arial" w:cs="Arial"/>
          <w:i w:val="0"/>
          <w:iCs w:val="0"/>
          <w:color w:val="002060"/>
          <w:sz w:val="22"/>
          <w:szCs w:val="22"/>
        </w:rPr>
        <w:t xml:space="preserve"> national </w:t>
      </w:r>
      <w:r w:rsidR="002E2486" w:rsidRPr="00B94585">
        <w:rPr>
          <w:rFonts w:ascii="Arial" w:hAnsi="Arial" w:cs="Arial"/>
          <w:i w:val="0"/>
          <w:iCs w:val="0"/>
          <w:color w:val="002060"/>
          <w:sz w:val="22"/>
          <w:szCs w:val="22"/>
        </w:rPr>
        <w:t>f</w:t>
      </w:r>
      <w:r w:rsidRPr="00B94585">
        <w:rPr>
          <w:rFonts w:ascii="Arial" w:hAnsi="Arial" w:cs="Arial"/>
          <w:i w:val="0"/>
          <w:iCs w:val="0"/>
          <w:color w:val="002060"/>
          <w:sz w:val="22"/>
          <w:szCs w:val="22"/>
        </w:rPr>
        <w:t>ertilizer consumption (</w:t>
      </w:r>
      <w:r w:rsidR="004444F0" w:rsidRPr="00B94585">
        <w:rPr>
          <w:rFonts w:ascii="Arial" w:hAnsi="Arial" w:cs="Arial"/>
          <w:i w:val="0"/>
          <w:iCs w:val="0"/>
          <w:color w:val="002060"/>
          <w:sz w:val="22"/>
          <w:szCs w:val="22"/>
        </w:rPr>
        <w:t>kg/ha</w:t>
      </w:r>
      <w:r w:rsidRPr="00B94585">
        <w:rPr>
          <w:rFonts w:ascii="Arial" w:hAnsi="Arial" w:cs="Arial"/>
          <w:i w:val="0"/>
          <w:iCs w:val="0"/>
          <w:color w:val="002060"/>
          <w:sz w:val="22"/>
          <w:szCs w:val="22"/>
        </w:rPr>
        <w:t xml:space="preserve"> of arable land)</w:t>
      </w:r>
      <w:r w:rsidR="004444F0" w:rsidRPr="00B94585">
        <w:rPr>
          <w:rFonts w:ascii="Arial" w:hAnsi="Arial" w:cs="Arial"/>
          <w:i w:val="0"/>
          <w:iCs w:val="0"/>
          <w:color w:val="002060"/>
          <w:sz w:val="22"/>
          <w:szCs w:val="22"/>
        </w:rPr>
        <w:t xml:space="preserve"> 2002-2023</w:t>
      </w:r>
      <w:bookmarkEnd w:id="11"/>
    </w:p>
    <w:p w:rsidR="00421EB3" w:rsidRPr="00B94585" w:rsidRDefault="00421EB3" w:rsidP="00B94585">
      <w:pPr>
        <w:pStyle w:val="NormalWeb"/>
        <w:keepNext/>
        <w:spacing w:before="0" w:beforeAutospacing="0" w:after="0" w:afterAutospacing="0"/>
        <w:jc w:val="both"/>
        <w:rPr>
          <w:rFonts w:ascii="Arial" w:hAnsi="Arial" w:cs="Arial"/>
          <w:i/>
          <w:iCs/>
          <w:sz w:val="20"/>
          <w:szCs w:val="20"/>
        </w:rPr>
      </w:pPr>
      <w:r w:rsidRPr="00B94585">
        <w:rPr>
          <w:rFonts w:ascii="Arial" w:hAnsi="Arial" w:cs="Arial"/>
          <w:b/>
          <w:bCs/>
          <w:i/>
          <w:iCs/>
          <w:sz w:val="20"/>
          <w:szCs w:val="20"/>
        </w:rPr>
        <w:t>Source:</w:t>
      </w:r>
      <w:r w:rsidRPr="00B94585">
        <w:rPr>
          <w:rFonts w:ascii="Arial" w:hAnsi="Arial" w:cs="Arial"/>
          <w:i/>
          <w:iCs/>
          <w:sz w:val="20"/>
          <w:szCs w:val="20"/>
        </w:rPr>
        <w:t xml:space="preserve"> </w:t>
      </w:r>
      <w:r w:rsidR="00907495" w:rsidRPr="00B94585">
        <w:rPr>
          <w:rFonts w:ascii="Arial" w:hAnsi="Arial" w:cs="Arial"/>
          <w:i/>
          <w:iCs/>
          <w:sz w:val="22"/>
          <w:szCs w:val="22"/>
        </w:rPr>
        <w:t>FAOSTAT</w:t>
      </w:r>
      <w:r w:rsidR="00907495" w:rsidRPr="00B94585">
        <w:rPr>
          <w:rFonts w:ascii="Arial" w:hAnsi="Arial" w:cs="Arial"/>
          <w:i/>
          <w:iCs/>
          <w:sz w:val="20"/>
          <w:szCs w:val="20"/>
        </w:rPr>
        <w:t>/</w:t>
      </w:r>
      <w:r w:rsidRPr="00B94585">
        <w:rPr>
          <w:rFonts w:ascii="Arial" w:hAnsi="Arial" w:cs="Arial"/>
          <w:i/>
          <w:iCs/>
          <w:sz w:val="20"/>
          <w:szCs w:val="20"/>
        </w:rPr>
        <w:t>World Bank WDI data.</w:t>
      </w:r>
    </w:p>
    <w:p w:rsidR="00B94585" w:rsidRDefault="001D36CB" w:rsidP="00C01FBE">
      <w:pPr>
        <w:pStyle w:val="NormalWeb"/>
        <w:jc w:val="both"/>
        <w:rPr>
          <w:rFonts w:ascii="Arial" w:hAnsi="Arial" w:cs="Arial"/>
          <w:sz w:val="22"/>
          <w:szCs w:val="22"/>
        </w:rPr>
      </w:pPr>
      <w:r w:rsidRPr="003D13CD">
        <w:rPr>
          <w:rFonts w:ascii="Arial" w:hAnsi="Arial" w:cs="Arial"/>
          <w:sz w:val="22"/>
          <w:szCs w:val="22"/>
        </w:rPr>
        <w:t xml:space="preserve">Recent national compilations indicate fertilizer intensity around </w:t>
      </w:r>
      <w:r w:rsidRPr="003D13CD">
        <w:rPr>
          <w:rStyle w:val="Strong"/>
          <w:rFonts w:ascii="Arial" w:eastAsiaTheme="majorEastAsia" w:hAnsi="Arial" w:cs="Arial"/>
          <w:sz w:val="22"/>
          <w:szCs w:val="22"/>
        </w:rPr>
        <w:t>110 kg N + P</w:t>
      </w:r>
      <w:r w:rsidRPr="003D13CD">
        <w:rPr>
          <w:rStyle w:val="Strong"/>
          <w:rFonts w:ascii="Cambria Math" w:eastAsiaTheme="majorEastAsia" w:hAnsi="Cambria Math" w:cs="Cambria Math"/>
          <w:sz w:val="22"/>
          <w:szCs w:val="22"/>
        </w:rPr>
        <w:t>₂</w:t>
      </w:r>
      <w:r w:rsidRPr="003D13CD">
        <w:rPr>
          <w:rStyle w:val="Strong"/>
          <w:rFonts w:ascii="Arial" w:eastAsiaTheme="majorEastAsia" w:hAnsi="Arial" w:cs="Arial"/>
          <w:sz w:val="22"/>
          <w:szCs w:val="22"/>
        </w:rPr>
        <w:t>O</w:t>
      </w:r>
      <w:r w:rsidRPr="003D13CD">
        <w:rPr>
          <w:rStyle w:val="Strong"/>
          <w:rFonts w:ascii="Cambria Math" w:eastAsiaTheme="majorEastAsia" w:hAnsi="Cambria Math" w:cs="Cambria Math"/>
          <w:sz w:val="22"/>
          <w:szCs w:val="22"/>
        </w:rPr>
        <w:t>₅</w:t>
      </w:r>
      <w:r w:rsidRPr="003D13CD">
        <w:rPr>
          <w:rStyle w:val="Strong"/>
          <w:rFonts w:ascii="Arial" w:eastAsiaTheme="majorEastAsia" w:hAnsi="Arial" w:cs="Arial"/>
          <w:sz w:val="22"/>
          <w:szCs w:val="22"/>
        </w:rPr>
        <w:t>/ha/year</w:t>
      </w:r>
      <w:r w:rsidRPr="003D13CD">
        <w:rPr>
          <w:rFonts w:ascii="Arial" w:hAnsi="Arial" w:cs="Arial"/>
          <w:sz w:val="22"/>
          <w:szCs w:val="22"/>
        </w:rPr>
        <w:t xml:space="preserve">, broadly comparable with other regional deltas (UNEP, 2022). Monitoring in selected estuaries shows rising nutrient concentrations, with </w:t>
      </w:r>
      <w:r w:rsidRPr="003D13CD">
        <w:rPr>
          <w:rStyle w:val="Strong"/>
          <w:rFonts w:ascii="Arial" w:eastAsiaTheme="majorEastAsia" w:hAnsi="Arial" w:cs="Arial"/>
          <w:sz w:val="22"/>
          <w:szCs w:val="22"/>
        </w:rPr>
        <w:t>NO</w:t>
      </w:r>
      <w:r w:rsidRPr="003D13CD">
        <w:rPr>
          <w:rStyle w:val="Strong"/>
          <w:rFonts w:ascii="Cambria Math" w:eastAsiaTheme="majorEastAsia" w:hAnsi="Cambria Math" w:cs="Cambria Math"/>
          <w:sz w:val="22"/>
          <w:szCs w:val="22"/>
        </w:rPr>
        <w:t>₃⁻</w:t>
      </w:r>
      <w:r w:rsidRPr="003D13CD">
        <w:rPr>
          <w:rStyle w:val="Strong"/>
          <w:rFonts w:ascii="Arial" w:eastAsiaTheme="majorEastAsia" w:hAnsi="Arial" w:cs="Arial"/>
          <w:sz w:val="22"/>
          <w:szCs w:val="22"/>
        </w:rPr>
        <w:t xml:space="preserve"> increasing from about 1.8 mg/L (2015) to 2.6 mg/L (2023)</w:t>
      </w:r>
      <w:r w:rsidRPr="003D13CD">
        <w:rPr>
          <w:rFonts w:ascii="Arial" w:hAnsi="Arial" w:cs="Arial"/>
          <w:sz w:val="22"/>
          <w:szCs w:val="22"/>
        </w:rPr>
        <w:t xml:space="preserve"> and </w:t>
      </w:r>
      <w:r w:rsidRPr="003D13CD">
        <w:rPr>
          <w:rStyle w:val="Strong"/>
          <w:rFonts w:ascii="Arial" w:eastAsiaTheme="majorEastAsia" w:hAnsi="Arial" w:cs="Arial"/>
          <w:sz w:val="22"/>
          <w:szCs w:val="22"/>
        </w:rPr>
        <w:t>PO</w:t>
      </w:r>
      <w:r w:rsidRPr="003D13CD">
        <w:rPr>
          <w:rStyle w:val="Strong"/>
          <w:rFonts w:ascii="Cambria Math" w:eastAsiaTheme="majorEastAsia" w:hAnsi="Cambria Math" w:cs="Cambria Math"/>
          <w:sz w:val="22"/>
          <w:szCs w:val="22"/>
        </w:rPr>
        <w:t>₄</w:t>
      </w:r>
      <w:r w:rsidRPr="003D13CD">
        <w:rPr>
          <w:rStyle w:val="Strong"/>
          <w:rFonts w:ascii="Arial" w:eastAsiaTheme="majorEastAsia" w:hAnsi="Arial" w:cs="Arial"/>
          <w:sz w:val="22"/>
          <w:szCs w:val="22"/>
        </w:rPr>
        <w:t>³</w:t>
      </w:r>
      <w:r w:rsidRPr="003D13CD">
        <w:rPr>
          <w:rStyle w:val="Strong"/>
          <w:rFonts w:ascii="Cambria Math" w:eastAsiaTheme="majorEastAsia" w:hAnsi="Cambria Math" w:cs="Cambria Math"/>
          <w:sz w:val="22"/>
          <w:szCs w:val="22"/>
        </w:rPr>
        <w:t>⁻</w:t>
      </w:r>
      <w:r w:rsidRPr="003D13CD">
        <w:rPr>
          <w:rStyle w:val="Strong"/>
          <w:rFonts w:ascii="Arial" w:eastAsiaTheme="majorEastAsia" w:hAnsi="Arial" w:cs="Arial"/>
          <w:sz w:val="22"/>
          <w:szCs w:val="22"/>
        </w:rPr>
        <w:t xml:space="preserve"> from 0.45 to 0.73 mg/L</w:t>
      </w:r>
      <w:r w:rsidRPr="003D13CD">
        <w:rPr>
          <w:rFonts w:ascii="Arial" w:hAnsi="Arial" w:cs="Arial"/>
          <w:sz w:val="22"/>
          <w:szCs w:val="22"/>
        </w:rPr>
        <w:t>, above ASEAN guideline values (NO</w:t>
      </w:r>
      <w:r w:rsidRPr="003D13CD">
        <w:rPr>
          <w:rFonts w:ascii="Cambria Math" w:hAnsi="Cambria Math" w:cs="Cambria Math"/>
          <w:sz w:val="22"/>
          <w:szCs w:val="22"/>
        </w:rPr>
        <w:t>₃⁻</w:t>
      </w:r>
      <w:r w:rsidRPr="003D13CD">
        <w:rPr>
          <w:rFonts w:ascii="Arial" w:hAnsi="Arial" w:cs="Arial"/>
          <w:sz w:val="22"/>
          <w:szCs w:val="22"/>
        </w:rPr>
        <w:t xml:space="preserve"> ≤1.0 mg/L; PO</w:t>
      </w:r>
      <w:r w:rsidRPr="003D13CD">
        <w:rPr>
          <w:rFonts w:ascii="Cambria Math" w:hAnsi="Cambria Math" w:cs="Cambria Math"/>
          <w:sz w:val="22"/>
          <w:szCs w:val="22"/>
        </w:rPr>
        <w:t>₄</w:t>
      </w:r>
      <w:r w:rsidRPr="003D13CD">
        <w:rPr>
          <w:rFonts w:ascii="Arial" w:hAnsi="Arial" w:cs="Arial"/>
          <w:sz w:val="22"/>
          <w:szCs w:val="22"/>
        </w:rPr>
        <w:t>³</w:t>
      </w:r>
      <w:r w:rsidRPr="003D13CD">
        <w:rPr>
          <w:rFonts w:ascii="Cambria Math" w:hAnsi="Cambria Math" w:cs="Cambria Math"/>
          <w:sz w:val="22"/>
          <w:szCs w:val="22"/>
        </w:rPr>
        <w:t>⁻</w:t>
      </w:r>
      <w:r w:rsidRPr="003D13CD">
        <w:rPr>
          <w:rFonts w:ascii="Arial" w:hAnsi="Arial" w:cs="Arial"/>
          <w:sz w:val="22"/>
          <w:szCs w:val="22"/>
        </w:rPr>
        <w:t xml:space="preserve"> ≤0.3 mg/L) in some locations (MoE, 2023).</w:t>
      </w:r>
      <w:r w:rsidR="00B94585">
        <w:rPr>
          <w:rFonts w:ascii="Arial" w:hAnsi="Arial" w:cs="Arial"/>
          <w:sz w:val="22"/>
          <w:szCs w:val="22"/>
        </w:rPr>
        <w:t xml:space="preserve"> </w:t>
      </w:r>
    </w:p>
    <w:p w:rsidR="002E2486" w:rsidRDefault="00AB2ACF" w:rsidP="00C01FBE">
      <w:pPr>
        <w:pStyle w:val="NormalWeb"/>
        <w:jc w:val="both"/>
        <w:rPr>
          <w:rFonts w:ascii="Arial" w:hAnsi="Arial" w:cs="Arial"/>
          <w:sz w:val="22"/>
          <w:szCs w:val="22"/>
        </w:rPr>
      </w:pPr>
      <w:r w:rsidRPr="003D13CD">
        <w:rPr>
          <w:rFonts w:ascii="Arial" w:hAnsi="Arial" w:cs="Arial"/>
          <w:sz w:val="22"/>
          <w:szCs w:val="22"/>
        </w:rPr>
        <w:t>FAOSTAT pesticide statistics</w:t>
      </w:r>
      <w:r w:rsidR="006104D4">
        <w:rPr>
          <w:rFonts w:ascii="Arial" w:hAnsi="Arial" w:cs="Arial"/>
          <w:sz w:val="22"/>
          <w:szCs w:val="22"/>
        </w:rPr>
        <w:t xml:space="preserve"> (</w:t>
      </w:r>
      <w:r w:rsidR="006104D4">
        <w:rPr>
          <w:rFonts w:ascii="Arial" w:hAnsi="Arial" w:cs="Arial"/>
          <w:sz w:val="22"/>
          <w:szCs w:val="22"/>
        </w:rPr>
        <w:fldChar w:fldCharType="begin"/>
      </w:r>
      <w:r w:rsidR="006104D4">
        <w:rPr>
          <w:rFonts w:ascii="Arial" w:hAnsi="Arial" w:cs="Arial"/>
          <w:sz w:val="22"/>
          <w:szCs w:val="22"/>
        </w:rPr>
        <w:instrText xml:space="preserve"> REF _Ref214740654 \h </w:instrText>
      </w:r>
      <w:r w:rsidR="006104D4">
        <w:rPr>
          <w:rFonts w:ascii="Arial" w:hAnsi="Arial" w:cs="Arial"/>
          <w:sz w:val="22"/>
          <w:szCs w:val="22"/>
        </w:rPr>
      </w:r>
      <w:r w:rsidR="006104D4">
        <w:rPr>
          <w:rFonts w:ascii="Arial" w:hAnsi="Arial" w:cs="Arial"/>
          <w:sz w:val="22"/>
          <w:szCs w:val="22"/>
        </w:rPr>
        <w:fldChar w:fldCharType="separate"/>
      </w:r>
      <w:r w:rsidR="00D35426" w:rsidRPr="00421EB3">
        <w:rPr>
          <w:rFonts w:ascii="Arial" w:hAnsi="Arial" w:cs="Arial"/>
          <w:color w:val="002060"/>
          <w:sz w:val="22"/>
          <w:szCs w:val="22"/>
        </w:rPr>
        <w:t>Figure 3-</w:t>
      </w:r>
      <w:r w:rsidR="00D35426">
        <w:rPr>
          <w:rFonts w:ascii="Arial" w:hAnsi="Arial" w:cs="Arial"/>
          <w:noProof/>
          <w:color w:val="002060"/>
          <w:sz w:val="22"/>
          <w:szCs w:val="22"/>
        </w:rPr>
        <w:t>2</w:t>
      </w:r>
      <w:r w:rsidR="006104D4">
        <w:rPr>
          <w:rFonts w:ascii="Arial" w:hAnsi="Arial" w:cs="Arial"/>
          <w:sz w:val="22"/>
          <w:szCs w:val="22"/>
        </w:rPr>
        <w:fldChar w:fldCharType="end"/>
      </w:r>
      <w:r w:rsidR="006104D4">
        <w:rPr>
          <w:rFonts w:ascii="Arial" w:hAnsi="Arial" w:cs="Arial"/>
          <w:sz w:val="22"/>
          <w:szCs w:val="22"/>
        </w:rPr>
        <w:t>)</w:t>
      </w:r>
      <w:r w:rsidRPr="003D13CD">
        <w:rPr>
          <w:rFonts w:ascii="Arial" w:hAnsi="Arial" w:cs="Arial"/>
          <w:sz w:val="22"/>
          <w:szCs w:val="22"/>
        </w:rPr>
        <w:t xml:space="preserve"> show an even stronger rise, from </w:t>
      </w:r>
      <w:r w:rsidRPr="003D13CD">
        <w:rPr>
          <w:rStyle w:val="Strong"/>
          <w:rFonts w:ascii="Arial" w:eastAsiaTheme="majorEastAsia" w:hAnsi="Arial" w:cs="Arial"/>
          <w:sz w:val="22"/>
          <w:szCs w:val="22"/>
        </w:rPr>
        <w:t>445 tonnes</w:t>
      </w:r>
      <w:r w:rsidRPr="003D13CD">
        <w:rPr>
          <w:rFonts w:ascii="Arial" w:hAnsi="Arial" w:cs="Arial"/>
          <w:sz w:val="22"/>
          <w:szCs w:val="22"/>
        </w:rPr>
        <w:t xml:space="preserve"> in 2000 to</w:t>
      </w:r>
      <w:r w:rsidR="002E2486">
        <w:rPr>
          <w:rFonts w:ascii="Arial" w:hAnsi="Arial" w:cs="Arial"/>
          <w:sz w:val="22"/>
          <w:szCs w:val="22"/>
        </w:rPr>
        <w:t xml:space="preserve"> </w:t>
      </w:r>
      <w:r w:rsidR="002E2486" w:rsidRPr="002E2486">
        <w:rPr>
          <w:rFonts w:ascii="Arial" w:hAnsi="Arial" w:cs="Arial"/>
          <w:b/>
          <w:bCs/>
          <w:sz w:val="22"/>
          <w:szCs w:val="22"/>
        </w:rPr>
        <w:t>5,33</w:t>
      </w:r>
      <w:r w:rsidR="002E2486">
        <w:rPr>
          <w:rFonts w:ascii="Arial" w:hAnsi="Arial" w:cs="Arial"/>
          <w:b/>
          <w:bCs/>
          <w:sz w:val="22"/>
          <w:szCs w:val="22"/>
        </w:rPr>
        <w:t>0</w:t>
      </w:r>
      <w:r w:rsidR="002E2486">
        <w:rPr>
          <w:rFonts w:ascii="Arial" w:hAnsi="Arial" w:cs="Arial"/>
          <w:sz w:val="22"/>
          <w:szCs w:val="22"/>
        </w:rPr>
        <w:t xml:space="preserve"> </w:t>
      </w:r>
      <w:r w:rsidR="002E2486" w:rsidRPr="002E2486">
        <w:rPr>
          <w:rFonts w:ascii="Arial" w:hAnsi="Arial" w:cs="Arial"/>
          <w:b/>
          <w:bCs/>
          <w:sz w:val="22"/>
          <w:szCs w:val="22"/>
        </w:rPr>
        <w:t>tonnes</w:t>
      </w:r>
      <w:r w:rsidR="002E2486">
        <w:rPr>
          <w:rFonts w:ascii="Arial" w:hAnsi="Arial" w:cs="Arial"/>
          <w:sz w:val="22"/>
          <w:szCs w:val="22"/>
        </w:rPr>
        <w:t xml:space="preserve"> in 2017 and increased to</w:t>
      </w:r>
      <w:r w:rsidRPr="003D13CD">
        <w:rPr>
          <w:rFonts w:ascii="Arial" w:hAnsi="Arial" w:cs="Arial"/>
          <w:sz w:val="22"/>
          <w:szCs w:val="22"/>
        </w:rPr>
        <w:t xml:space="preserve"> over </w:t>
      </w:r>
      <w:r w:rsidRPr="003D13CD">
        <w:rPr>
          <w:rStyle w:val="Strong"/>
          <w:rFonts w:ascii="Arial" w:eastAsiaTheme="majorEastAsia" w:hAnsi="Arial" w:cs="Arial"/>
          <w:sz w:val="22"/>
          <w:szCs w:val="22"/>
        </w:rPr>
        <w:t>19,000 tonnes</w:t>
      </w:r>
      <w:r w:rsidRPr="003D13CD">
        <w:rPr>
          <w:rFonts w:ascii="Arial" w:hAnsi="Arial" w:cs="Arial"/>
          <w:sz w:val="22"/>
          <w:szCs w:val="22"/>
        </w:rPr>
        <w:t xml:space="preserve"> in 2023</w:t>
      </w:r>
      <w:r w:rsidR="002E2486">
        <w:rPr>
          <w:rFonts w:ascii="Arial" w:hAnsi="Arial" w:cs="Arial"/>
          <w:sz w:val="22"/>
          <w:szCs w:val="22"/>
        </w:rPr>
        <w:t xml:space="preserve">. </w:t>
      </w:r>
      <w:r w:rsidR="006104D4" w:rsidRPr="003D13CD">
        <w:rPr>
          <w:rFonts w:ascii="Arial" w:hAnsi="Arial" w:cs="Arial"/>
          <w:sz w:val="22"/>
          <w:szCs w:val="22"/>
        </w:rPr>
        <w:t xml:space="preserve">Pesticide use per unit cropland increased from </w:t>
      </w:r>
      <w:r w:rsidR="006104D4" w:rsidRPr="003D13CD">
        <w:rPr>
          <w:rStyle w:val="Strong"/>
          <w:rFonts w:ascii="Arial" w:eastAsiaTheme="majorEastAsia" w:hAnsi="Arial" w:cs="Arial"/>
          <w:sz w:val="22"/>
          <w:szCs w:val="22"/>
        </w:rPr>
        <w:t>~0.12 kg/ha</w:t>
      </w:r>
      <w:r w:rsidR="006104D4" w:rsidRPr="003D13CD">
        <w:rPr>
          <w:rFonts w:ascii="Arial" w:hAnsi="Arial" w:cs="Arial"/>
          <w:sz w:val="22"/>
          <w:szCs w:val="22"/>
        </w:rPr>
        <w:t xml:space="preserve"> in 2000 to </w:t>
      </w:r>
      <w:r w:rsidR="006104D4" w:rsidRPr="003D13CD">
        <w:rPr>
          <w:rStyle w:val="Strong"/>
          <w:rFonts w:ascii="Arial" w:eastAsiaTheme="majorEastAsia" w:hAnsi="Arial" w:cs="Arial"/>
          <w:sz w:val="22"/>
          <w:szCs w:val="22"/>
        </w:rPr>
        <w:t>0.6–1.1 kg/ha</w:t>
      </w:r>
      <w:r w:rsidR="006104D4" w:rsidRPr="003D13CD">
        <w:rPr>
          <w:rFonts w:ascii="Arial" w:hAnsi="Arial" w:cs="Arial"/>
          <w:sz w:val="22"/>
          <w:szCs w:val="22"/>
        </w:rPr>
        <w:t xml:space="preserve"> in 2012–2016 and </w:t>
      </w:r>
      <w:r w:rsidR="006104D4" w:rsidRPr="003D13CD">
        <w:rPr>
          <w:rStyle w:val="Strong"/>
          <w:rFonts w:ascii="Arial" w:eastAsiaTheme="majorEastAsia" w:hAnsi="Arial" w:cs="Arial"/>
          <w:sz w:val="22"/>
          <w:szCs w:val="22"/>
        </w:rPr>
        <w:t>2.7–4.2 kg/ha</w:t>
      </w:r>
      <w:r w:rsidR="006104D4" w:rsidRPr="003D13CD">
        <w:rPr>
          <w:rFonts w:ascii="Arial" w:hAnsi="Arial" w:cs="Arial"/>
          <w:sz w:val="22"/>
          <w:szCs w:val="22"/>
        </w:rPr>
        <w:t xml:space="preserve"> in 2019–2023 (FAOSTAT RP). </w:t>
      </w:r>
    </w:p>
    <w:p w:rsidR="002E2486" w:rsidRDefault="002E2486" w:rsidP="006104D4">
      <w:pPr>
        <w:pStyle w:val="NormalWeb"/>
        <w:adjustRightInd w:val="0"/>
        <w:snapToGrid w:val="0"/>
        <w:spacing w:before="0" w:beforeAutospacing="0" w:after="0" w:afterAutospacing="0"/>
        <w:jc w:val="both"/>
        <w:rPr>
          <w:rFonts w:ascii="Arial" w:hAnsi="Arial" w:cs="Arial"/>
          <w:sz w:val="22"/>
          <w:szCs w:val="22"/>
        </w:rPr>
      </w:pPr>
      <w:r>
        <w:rPr>
          <w:noProof/>
          <w14:ligatures w14:val="standardContextual"/>
        </w:rPr>
        <w:drawing>
          <wp:inline distT="0" distB="0" distL="0" distR="0" wp14:anchorId="6740D1BA" wp14:editId="63FE8E8F">
            <wp:extent cx="2796540" cy="1665831"/>
            <wp:effectExtent l="0" t="0" r="10160" b="10795"/>
            <wp:docPr id="1097854779" name="Chart 1">
              <a:extLst xmlns:a="http://schemas.openxmlformats.org/drawingml/2006/main">
                <a:ext uri="{FF2B5EF4-FFF2-40B4-BE49-F238E27FC236}">
                  <a16:creationId xmlns:a16="http://schemas.microsoft.com/office/drawing/2014/main" id="{08E6AC65-8761-9143-B7C4-3323AC873495}"/>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r>
        <w:rPr>
          <w:noProof/>
          <w14:ligatures w14:val="standardContextual"/>
        </w:rPr>
        <w:drawing>
          <wp:inline distT="0" distB="0" distL="0" distR="0" wp14:anchorId="1C4E716E" wp14:editId="624C8938">
            <wp:extent cx="2823210" cy="1660116"/>
            <wp:effectExtent l="0" t="0" r="8890" b="16510"/>
            <wp:docPr id="511535749" name="Chart 1">
              <a:extLst xmlns:a="http://schemas.openxmlformats.org/drawingml/2006/main">
                <a:ext uri="{FF2B5EF4-FFF2-40B4-BE49-F238E27FC236}">
                  <a16:creationId xmlns:a16="http://schemas.microsoft.com/office/drawing/2014/main" id="{F9AD0BA5-29DC-9BB7-7220-DC810AFADBE6}"/>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2E2486" w:rsidRDefault="002E2486" w:rsidP="006104D4">
      <w:pPr>
        <w:pStyle w:val="NormalWeb"/>
        <w:spacing w:before="60" w:beforeAutospacing="0" w:after="0" w:afterAutospacing="0"/>
        <w:jc w:val="both"/>
        <w:rPr>
          <w:rFonts w:ascii="Arial" w:hAnsi="Arial" w:cs="Arial"/>
          <w:color w:val="002060"/>
          <w:sz w:val="22"/>
          <w:szCs w:val="22"/>
        </w:rPr>
      </w:pPr>
      <w:bookmarkStart w:id="12" w:name="_Ref214740654"/>
      <w:bookmarkStart w:id="13" w:name="_Toc214875139"/>
      <w:r w:rsidRPr="00421EB3">
        <w:rPr>
          <w:rFonts w:ascii="Arial" w:hAnsi="Arial" w:cs="Arial"/>
          <w:color w:val="002060"/>
          <w:sz w:val="22"/>
          <w:szCs w:val="22"/>
        </w:rPr>
        <w:t>Figure 3-</w:t>
      </w:r>
      <w:r w:rsidRPr="00421EB3">
        <w:rPr>
          <w:rFonts w:ascii="Arial" w:hAnsi="Arial" w:cs="Arial"/>
          <w:color w:val="002060"/>
          <w:sz w:val="22"/>
          <w:szCs w:val="22"/>
        </w:rPr>
        <w:fldChar w:fldCharType="begin"/>
      </w:r>
      <w:r w:rsidRPr="00421EB3">
        <w:rPr>
          <w:rFonts w:ascii="Arial" w:hAnsi="Arial" w:cs="Arial"/>
          <w:color w:val="002060"/>
          <w:sz w:val="22"/>
          <w:szCs w:val="22"/>
        </w:rPr>
        <w:instrText xml:space="preserve"> SEQ Figure_3- \* ARABIC </w:instrText>
      </w:r>
      <w:r w:rsidRPr="00421EB3">
        <w:rPr>
          <w:rFonts w:ascii="Arial" w:hAnsi="Arial" w:cs="Arial"/>
          <w:color w:val="002060"/>
          <w:sz w:val="22"/>
          <w:szCs w:val="22"/>
        </w:rPr>
        <w:fldChar w:fldCharType="separate"/>
      </w:r>
      <w:r w:rsidR="00D35426">
        <w:rPr>
          <w:rFonts w:ascii="Arial" w:hAnsi="Arial" w:cs="Arial"/>
          <w:noProof/>
          <w:color w:val="002060"/>
          <w:sz w:val="22"/>
          <w:szCs w:val="22"/>
        </w:rPr>
        <w:t>2</w:t>
      </w:r>
      <w:r w:rsidRPr="00421EB3">
        <w:rPr>
          <w:rFonts w:ascii="Arial" w:hAnsi="Arial" w:cs="Arial"/>
          <w:color w:val="002060"/>
          <w:sz w:val="22"/>
          <w:szCs w:val="22"/>
        </w:rPr>
        <w:fldChar w:fldCharType="end"/>
      </w:r>
      <w:bookmarkEnd w:id="12"/>
      <w:r w:rsidRPr="00421EB3">
        <w:rPr>
          <w:rFonts w:ascii="Arial" w:hAnsi="Arial" w:cs="Arial"/>
          <w:color w:val="002060"/>
          <w:sz w:val="22"/>
          <w:szCs w:val="22"/>
        </w:rPr>
        <w:t xml:space="preserve"> Cambodia’s</w:t>
      </w:r>
      <w:r>
        <w:rPr>
          <w:rFonts w:ascii="Arial" w:hAnsi="Arial" w:cs="Arial"/>
          <w:color w:val="002060"/>
          <w:sz w:val="22"/>
          <w:szCs w:val="22"/>
        </w:rPr>
        <w:t xml:space="preserve"> national p</w:t>
      </w:r>
      <w:r w:rsidRPr="002E2486">
        <w:rPr>
          <w:rFonts w:ascii="Arial" w:hAnsi="Arial" w:cs="Arial"/>
          <w:color w:val="002060"/>
          <w:sz w:val="22"/>
          <w:szCs w:val="22"/>
        </w:rPr>
        <w:t xml:space="preserve">esticide </w:t>
      </w:r>
      <w:r>
        <w:rPr>
          <w:rFonts w:ascii="Arial" w:hAnsi="Arial" w:cs="Arial"/>
          <w:color w:val="002060"/>
          <w:sz w:val="22"/>
          <w:szCs w:val="22"/>
        </w:rPr>
        <w:t>u</w:t>
      </w:r>
      <w:r w:rsidRPr="002E2486">
        <w:rPr>
          <w:rFonts w:ascii="Arial" w:hAnsi="Arial" w:cs="Arial"/>
          <w:color w:val="002060"/>
          <w:sz w:val="22"/>
          <w:szCs w:val="22"/>
        </w:rPr>
        <w:t>se</w:t>
      </w:r>
      <w:r>
        <w:rPr>
          <w:rFonts w:ascii="Arial" w:hAnsi="Arial" w:cs="Arial"/>
          <w:color w:val="002060"/>
          <w:sz w:val="22"/>
          <w:szCs w:val="22"/>
        </w:rPr>
        <w:t xml:space="preserve"> (a</w:t>
      </w:r>
      <w:r w:rsidRPr="002E2486">
        <w:rPr>
          <w:rFonts w:ascii="Arial" w:hAnsi="Arial" w:cs="Arial"/>
          <w:color w:val="002060"/>
          <w:sz w:val="22"/>
          <w:szCs w:val="22"/>
        </w:rPr>
        <w:t xml:space="preserve">gricultural </w:t>
      </w:r>
      <w:r>
        <w:rPr>
          <w:rFonts w:ascii="Arial" w:hAnsi="Arial" w:cs="Arial"/>
          <w:color w:val="002060"/>
          <w:sz w:val="22"/>
          <w:szCs w:val="22"/>
        </w:rPr>
        <w:t>u</w:t>
      </w:r>
      <w:r w:rsidRPr="002E2486">
        <w:rPr>
          <w:rFonts w:ascii="Arial" w:hAnsi="Arial" w:cs="Arial"/>
          <w:color w:val="002060"/>
          <w:sz w:val="22"/>
          <w:szCs w:val="22"/>
        </w:rPr>
        <w:t>se</w:t>
      </w:r>
      <w:r>
        <w:rPr>
          <w:rFonts w:ascii="Arial" w:hAnsi="Arial" w:cs="Arial"/>
          <w:color w:val="002060"/>
          <w:sz w:val="22"/>
          <w:szCs w:val="22"/>
        </w:rPr>
        <w:t xml:space="preserve"> &amp; u</w:t>
      </w:r>
      <w:r w:rsidRPr="002E2486">
        <w:rPr>
          <w:rFonts w:ascii="Arial" w:hAnsi="Arial" w:cs="Arial"/>
          <w:color w:val="002060"/>
          <w:sz w:val="22"/>
          <w:szCs w:val="22"/>
        </w:rPr>
        <w:t>se per area of cropland</w:t>
      </w:r>
      <w:r>
        <w:rPr>
          <w:rFonts w:ascii="Arial" w:hAnsi="Arial" w:cs="Arial"/>
          <w:color w:val="002060"/>
          <w:sz w:val="22"/>
          <w:szCs w:val="22"/>
        </w:rPr>
        <w:t>)</w:t>
      </w:r>
      <w:bookmarkEnd w:id="13"/>
    </w:p>
    <w:p w:rsidR="006104D4" w:rsidRPr="00B94585" w:rsidRDefault="006104D4" w:rsidP="006104D4">
      <w:pPr>
        <w:pStyle w:val="NormalWeb"/>
        <w:adjustRightInd w:val="0"/>
        <w:snapToGrid w:val="0"/>
        <w:spacing w:before="0" w:beforeAutospacing="0" w:after="0" w:afterAutospacing="0"/>
        <w:jc w:val="both"/>
        <w:rPr>
          <w:rFonts w:ascii="Arial" w:hAnsi="Arial" w:cs="Arial"/>
          <w:b/>
          <w:bCs/>
          <w:i/>
          <w:iCs/>
          <w:color w:val="000000" w:themeColor="text1"/>
          <w:sz w:val="18"/>
          <w:szCs w:val="18"/>
        </w:rPr>
      </w:pPr>
      <w:r w:rsidRPr="00B94585">
        <w:rPr>
          <w:rFonts w:ascii="Arial" w:hAnsi="Arial" w:cs="Arial"/>
          <w:b/>
          <w:bCs/>
          <w:i/>
          <w:iCs/>
          <w:color w:val="000000" w:themeColor="text1"/>
          <w:sz w:val="18"/>
          <w:szCs w:val="18"/>
        </w:rPr>
        <w:t xml:space="preserve">Source: </w:t>
      </w:r>
      <w:r w:rsidRPr="00B94585">
        <w:rPr>
          <w:rFonts w:ascii="Arial" w:hAnsi="Arial" w:cs="Arial"/>
          <w:i/>
          <w:iCs/>
          <w:color w:val="000000" w:themeColor="text1"/>
          <w:sz w:val="18"/>
          <w:szCs w:val="18"/>
        </w:rPr>
        <w:t>FAOSTAT, 2023.</w:t>
      </w:r>
    </w:p>
    <w:p w:rsidR="00AE2C90" w:rsidRPr="003D13CD" w:rsidRDefault="009D44E9" w:rsidP="00B94585">
      <w:pPr>
        <w:pStyle w:val="NormalWeb"/>
        <w:keepNext/>
        <w:jc w:val="both"/>
        <w:rPr>
          <w:rFonts w:ascii="Arial" w:hAnsi="Arial" w:cs="Arial"/>
          <w:b/>
          <w:bCs/>
          <w:i/>
          <w:iCs/>
          <w:sz w:val="22"/>
          <w:szCs w:val="22"/>
        </w:rPr>
      </w:pPr>
      <w:r>
        <w:rPr>
          <w:rFonts w:ascii="Arial" w:hAnsi="Arial" w:cs="Arial"/>
          <w:b/>
          <w:bCs/>
          <w:i/>
          <w:iCs/>
          <w:sz w:val="22"/>
          <w:szCs w:val="22"/>
        </w:rPr>
        <w:t xml:space="preserve">b) </w:t>
      </w:r>
      <w:r w:rsidR="00AE2C90" w:rsidRPr="003D13CD">
        <w:rPr>
          <w:rFonts w:ascii="Arial" w:hAnsi="Arial" w:cs="Arial"/>
          <w:b/>
          <w:bCs/>
          <w:i/>
          <w:iCs/>
          <w:sz w:val="22"/>
          <w:szCs w:val="22"/>
        </w:rPr>
        <w:t>Aquaculture runoff</w:t>
      </w:r>
    </w:p>
    <w:p w:rsidR="00A464F6" w:rsidRPr="0086056C" w:rsidRDefault="0086056C" w:rsidP="00C01FBE">
      <w:pPr>
        <w:pStyle w:val="NormalWeb"/>
        <w:jc w:val="both"/>
        <w:rPr>
          <w:rFonts w:ascii="Arial" w:hAnsi="Arial" w:cs="Arial"/>
          <w:sz w:val="21"/>
          <w:szCs w:val="21"/>
        </w:rPr>
      </w:pPr>
      <w:r w:rsidRPr="0086056C">
        <w:rPr>
          <w:rFonts w:ascii="Arial" w:hAnsi="Arial" w:cs="Arial"/>
          <w:sz w:val="22"/>
          <w:szCs w:val="22"/>
        </w:rPr>
        <w:t xml:space="preserve">Cambodia’s aquaculture sector continues to grow, with </w:t>
      </w:r>
      <w:r w:rsidRPr="0086056C">
        <w:rPr>
          <w:rStyle w:val="Strong"/>
          <w:rFonts w:ascii="Arial" w:hAnsi="Arial" w:cs="Arial"/>
          <w:sz w:val="22"/>
          <w:szCs w:val="22"/>
        </w:rPr>
        <w:t xml:space="preserve">1,934 ha </w:t>
      </w:r>
      <w:r w:rsidRPr="00306F63">
        <w:rPr>
          <w:rStyle w:val="Strong"/>
          <w:rFonts w:ascii="Arial" w:hAnsi="Arial" w:cs="Arial"/>
          <w:b w:val="0"/>
          <w:bCs w:val="0"/>
          <w:sz w:val="22"/>
          <w:szCs w:val="22"/>
        </w:rPr>
        <w:t>of aquaculture holdings</w:t>
      </w:r>
      <w:r w:rsidRPr="0086056C">
        <w:rPr>
          <w:rFonts w:ascii="Arial" w:hAnsi="Arial" w:cs="Arial"/>
          <w:sz w:val="22"/>
          <w:szCs w:val="22"/>
        </w:rPr>
        <w:t xml:space="preserve"> reported nationally in 2022 (NIS, 2022). Earlier data show the four coastal provinces held </w:t>
      </w:r>
      <w:r w:rsidRPr="0086056C">
        <w:rPr>
          <w:rStyle w:val="Strong"/>
          <w:rFonts w:ascii="Arial" w:hAnsi="Arial" w:cs="Arial"/>
          <w:sz w:val="22"/>
          <w:szCs w:val="22"/>
        </w:rPr>
        <w:t>≈1,803 ha</w:t>
      </w:r>
      <w:r w:rsidRPr="0086056C">
        <w:rPr>
          <w:rFonts w:ascii="Arial" w:hAnsi="Arial" w:cs="Arial"/>
          <w:sz w:val="22"/>
          <w:szCs w:val="22"/>
        </w:rPr>
        <w:t xml:space="preserve"> of ponds, pens and cages in 2014 (Kunthy et al., 2021). National aquaculture production reached </w:t>
      </w:r>
      <w:r w:rsidRPr="0086056C">
        <w:rPr>
          <w:rStyle w:val="Strong"/>
          <w:rFonts w:ascii="Arial" w:hAnsi="Arial" w:cs="Arial"/>
          <w:sz w:val="22"/>
          <w:szCs w:val="22"/>
        </w:rPr>
        <w:t>≈330,600 tonnes in 2022</w:t>
      </w:r>
      <w:r w:rsidRPr="0086056C">
        <w:rPr>
          <w:rFonts w:ascii="Arial" w:hAnsi="Arial" w:cs="Arial"/>
          <w:sz w:val="22"/>
          <w:szCs w:val="22"/>
        </w:rPr>
        <w:t xml:space="preserve">, with marine/coastal systems contributing </w:t>
      </w:r>
      <w:r w:rsidRPr="0086056C">
        <w:rPr>
          <w:rStyle w:val="Strong"/>
          <w:rFonts w:ascii="Arial" w:hAnsi="Arial" w:cs="Arial"/>
          <w:sz w:val="22"/>
          <w:szCs w:val="22"/>
        </w:rPr>
        <w:t>~5.3%</w:t>
      </w:r>
      <w:r w:rsidRPr="0086056C">
        <w:rPr>
          <w:rFonts w:ascii="Arial" w:hAnsi="Arial" w:cs="Arial"/>
          <w:sz w:val="22"/>
          <w:szCs w:val="22"/>
        </w:rPr>
        <w:t xml:space="preserve">, or about </w:t>
      </w:r>
      <w:r w:rsidRPr="0086056C">
        <w:rPr>
          <w:rStyle w:val="Strong"/>
          <w:rFonts w:ascii="Arial" w:hAnsi="Arial" w:cs="Arial"/>
          <w:sz w:val="22"/>
          <w:szCs w:val="22"/>
        </w:rPr>
        <w:t>17,500 tonnes/year</w:t>
      </w:r>
      <w:r w:rsidRPr="0086056C">
        <w:rPr>
          <w:rFonts w:ascii="Arial" w:hAnsi="Arial" w:cs="Arial"/>
          <w:sz w:val="22"/>
          <w:szCs w:val="22"/>
        </w:rPr>
        <w:t xml:space="preserve"> (WorldFish, 2022; FAO WAPI, 2021). Marine cage farms typically have </w:t>
      </w:r>
      <w:r w:rsidRPr="0086056C">
        <w:rPr>
          <w:rStyle w:val="Strong"/>
          <w:rFonts w:ascii="Arial" w:hAnsi="Arial" w:cs="Arial"/>
          <w:sz w:val="22"/>
          <w:szCs w:val="22"/>
        </w:rPr>
        <w:t>FCR 1.6–2.0</w:t>
      </w:r>
      <w:r w:rsidRPr="0086056C">
        <w:rPr>
          <w:rFonts w:ascii="Arial" w:hAnsi="Arial" w:cs="Arial"/>
          <w:sz w:val="22"/>
          <w:szCs w:val="22"/>
        </w:rPr>
        <w:t xml:space="preserve">, with </w:t>
      </w:r>
      <w:r w:rsidRPr="0086056C">
        <w:rPr>
          <w:rStyle w:val="Strong"/>
          <w:rFonts w:ascii="Arial" w:hAnsi="Arial" w:cs="Arial"/>
          <w:sz w:val="22"/>
          <w:szCs w:val="22"/>
        </w:rPr>
        <w:t xml:space="preserve">25–30% </w:t>
      </w:r>
      <w:r w:rsidRPr="00306F63">
        <w:rPr>
          <w:rStyle w:val="Strong"/>
          <w:rFonts w:ascii="Arial" w:hAnsi="Arial" w:cs="Arial"/>
          <w:b w:val="0"/>
          <w:bCs w:val="0"/>
          <w:sz w:val="22"/>
          <w:szCs w:val="22"/>
        </w:rPr>
        <w:t>of feed lost as waste</w:t>
      </w:r>
      <w:r w:rsidRPr="0086056C">
        <w:rPr>
          <w:rFonts w:ascii="Arial" w:hAnsi="Arial" w:cs="Arial"/>
          <w:sz w:val="22"/>
          <w:szCs w:val="22"/>
        </w:rPr>
        <w:t xml:space="preserve"> (UNEP, 2022), elevating BOD and TSS in dense farming areas such as Trapeang Ropov and Chroy Svay. Low-value fish made up </w:t>
      </w:r>
      <w:r w:rsidRPr="0086056C">
        <w:rPr>
          <w:rStyle w:val="Strong"/>
          <w:rFonts w:ascii="Arial" w:hAnsi="Arial" w:cs="Arial"/>
          <w:sz w:val="22"/>
          <w:szCs w:val="22"/>
        </w:rPr>
        <w:t>60–100% of feed</w:t>
      </w:r>
      <w:r w:rsidRPr="0086056C">
        <w:rPr>
          <w:rFonts w:ascii="Arial" w:hAnsi="Arial" w:cs="Arial"/>
          <w:sz w:val="22"/>
          <w:szCs w:val="22"/>
        </w:rPr>
        <w:t xml:space="preserve"> in 2014, with pellets &lt;1%, increasing organic loads and pressure on wild stocks (Kunthy et al., 2021). Wastewater studies also detect </w:t>
      </w:r>
      <w:r w:rsidRPr="0086056C">
        <w:rPr>
          <w:rStyle w:val="Strong"/>
          <w:rFonts w:ascii="Arial" w:hAnsi="Arial" w:cs="Arial"/>
          <w:sz w:val="22"/>
          <w:szCs w:val="22"/>
        </w:rPr>
        <w:t>antibiotic-resistance genes</w:t>
      </w:r>
      <w:r w:rsidRPr="0086056C">
        <w:rPr>
          <w:rFonts w:ascii="Arial" w:hAnsi="Arial" w:cs="Arial"/>
          <w:sz w:val="22"/>
          <w:szCs w:val="22"/>
        </w:rPr>
        <w:t>, indicating antimicrobial use and emerging AMR risks (</w:t>
      </w:r>
      <w:r w:rsidR="001D36CB" w:rsidRPr="001D36CB">
        <w:rPr>
          <w:rFonts w:ascii="Arial" w:hAnsi="Arial" w:cs="Arial"/>
          <w:sz w:val="22"/>
          <w:szCs w:val="22"/>
        </w:rPr>
        <w:t>Pheakdey, C.</w:t>
      </w:r>
      <w:r w:rsidR="001D36CB">
        <w:rPr>
          <w:rFonts w:ascii="Arial" w:hAnsi="Arial" w:cs="Arial"/>
          <w:sz w:val="22"/>
          <w:szCs w:val="22"/>
        </w:rPr>
        <w:t xml:space="preserve"> et al</w:t>
      </w:r>
      <w:r w:rsidR="00907495">
        <w:rPr>
          <w:rFonts w:ascii="Arial" w:hAnsi="Arial" w:cs="Arial"/>
          <w:sz w:val="22"/>
          <w:szCs w:val="22"/>
        </w:rPr>
        <w:t>.</w:t>
      </w:r>
      <w:r w:rsidR="001D36CB" w:rsidRPr="001D36CB">
        <w:rPr>
          <w:rFonts w:ascii="Arial" w:hAnsi="Arial" w:cs="Arial"/>
          <w:sz w:val="22"/>
          <w:szCs w:val="22"/>
        </w:rPr>
        <w:t>, 2022</w:t>
      </w:r>
      <w:r w:rsidRPr="0086056C">
        <w:rPr>
          <w:rFonts w:ascii="Arial" w:hAnsi="Arial" w:cs="Arial"/>
          <w:sz w:val="22"/>
          <w:szCs w:val="22"/>
        </w:rPr>
        <w:t>).</w:t>
      </w:r>
    </w:p>
    <w:p w:rsidR="009F750B" w:rsidRPr="006832DA" w:rsidRDefault="009F750B" w:rsidP="006832DA">
      <w:pPr>
        <w:pStyle w:val="Heading4"/>
        <w:spacing w:before="240" w:after="120"/>
        <w:rPr>
          <w:rFonts w:ascii="Arial" w:hAnsi="Arial" w:cs="Arial"/>
          <w:b/>
          <w:bCs/>
          <w:i w:val="0"/>
          <w:iCs w:val="0"/>
          <w:sz w:val="22"/>
          <w:szCs w:val="22"/>
        </w:rPr>
      </w:pPr>
      <w:r w:rsidRPr="006832DA">
        <w:rPr>
          <w:rFonts w:ascii="Arial" w:hAnsi="Arial" w:cs="Arial"/>
          <w:b/>
          <w:bCs/>
          <w:i w:val="0"/>
          <w:iCs w:val="0"/>
          <w:sz w:val="22"/>
          <w:szCs w:val="22"/>
        </w:rPr>
        <w:t>3.2.1.2 Pollution from Major Rivers</w:t>
      </w:r>
    </w:p>
    <w:p w:rsidR="009D44E9" w:rsidRPr="009D44E9" w:rsidRDefault="009D44E9" w:rsidP="009D44E9">
      <w:pPr>
        <w:pStyle w:val="NormalWeb"/>
        <w:jc w:val="both"/>
        <w:rPr>
          <w:rFonts w:ascii="Arial" w:hAnsi="Arial" w:cs="Arial"/>
          <w:sz w:val="22"/>
          <w:szCs w:val="22"/>
        </w:rPr>
      </w:pPr>
      <w:r w:rsidRPr="009D44E9">
        <w:rPr>
          <w:rFonts w:ascii="Arial" w:hAnsi="Arial" w:cs="Arial"/>
          <w:sz w:val="22"/>
          <w:szCs w:val="22"/>
        </w:rPr>
        <w:t>Riverine pollution is a major driver of coastal water-quality decline because the Mekong–Tonle Sap–Bassac (MTB) system delivers large loads of nutrients, sediments, organics and microbes to Cambodia’s coast and the Vietnamese delta. While the Mekong mainstream is relatively clean due to its high discharge (~14,500 m³/s) with low BOD (1–6 mg/L) and moderate TSS (~85 mg/L) (MRC 2020–2021), microbial contamination remains chronic—</w:t>
      </w:r>
      <w:r w:rsidRPr="009D44E9">
        <w:rPr>
          <w:rStyle w:val="Strong"/>
          <w:rFonts w:ascii="Arial" w:hAnsi="Arial" w:cs="Arial"/>
          <w:sz w:val="22"/>
          <w:szCs w:val="22"/>
        </w:rPr>
        <w:t>100%</w:t>
      </w:r>
      <w:r w:rsidRPr="009D44E9">
        <w:rPr>
          <w:rFonts w:ascii="Arial" w:hAnsi="Arial" w:cs="Arial"/>
          <w:sz w:val="22"/>
          <w:szCs w:val="22"/>
        </w:rPr>
        <w:t xml:space="preserve"> of fecal-coliform samples at Phnom Penh Port exceeded the </w:t>
      </w:r>
      <w:r w:rsidRPr="009D44E9">
        <w:rPr>
          <w:rStyle w:val="Strong"/>
          <w:rFonts w:ascii="Arial" w:hAnsi="Arial" w:cs="Arial"/>
          <w:sz w:val="22"/>
          <w:szCs w:val="22"/>
        </w:rPr>
        <w:t>1,000 CFU/100 mL</w:t>
      </w:r>
      <w:r w:rsidRPr="009D44E9">
        <w:rPr>
          <w:rFonts w:ascii="Arial" w:hAnsi="Arial" w:cs="Arial"/>
          <w:sz w:val="22"/>
          <w:szCs w:val="22"/>
        </w:rPr>
        <w:t xml:space="preserve"> standard in 2021.</w:t>
      </w:r>
    </w:p>
    <w:p w:rsidR="009F750B" w:rsidRPr="009D44E9" w:rsidRDefault="009D44E9" w:rsidP="009D44E9">
      <w:pPr>
        <w:pStyle w:val="NormalWeb"/>
        <w:jc w:val="both"/>
        <w:rPr>
          <w:rFonts w:ascii="Arial" w:hAnsi="Arial" w:cs="Arial"/>
          <w:sz w:val="22"/>
          <w:szCs w:val="22"/>
        </w:rPr>
      </w:pPr>
      <w:r w:rsidRPr="009D44E9">
        <w:rPr>
          <w:rFonts w:ascii="Arial" w:hAnsi="Arial" w:cs="Arial"/>
          <w:sz w:val="22"/>
          <w:szCs w:val="22"/>
        </w:rPr>
        <w:t xml:space="preserve">Phnom Penh’s </w:t>
      </w:r>
      <w:r w:rsidRPr="009D44E9">
        <w:rPr>
          <w:rStyle w:val="Strong"/>
          <w:rFonts w:ascii="Arial" w:hAnsi="Arial" w:cs="Arial"/>
          <w:sz w:val="22"/>
          <w:szCs w:val="22"/>
        </w:rPr>
        <w:t>Trabek and Tumpun canals</w:t>
      </w:r>
      <w:r w:rsidRPr="009D44E9">
        <w:rPr>
          <w:rFonts w:ascii="Arial" w:hAnsi="Arial" w:cs="Arial"/>
          <w:sz w:val="22"/>
          <w:szCs w:val="22"/>
        </w:rPr>
        <w:t xml:space="preserve"> are the largest pollution sources, with </w:t>
      </w:r>
      <w:r w:rsidRPr="009D44E9">
        <w:rPr>
          <w:rStyle w:val="Strong"/>
          <w:rFonts w:ascii="Arial" w:hAnsi="Arial" w:cs="Arial"/>
          <w:sz w:val="22"/>
          <w:szCs w:val="22"/>
        </w:rPr>
        <w:t>BOD 100–250 mg/L</w:t>
      </w:r>
      <w:r w:rsidRPr="009D44E9">
        <w:rPr>
          <w:rFonts w:ascii="Arial" w:hAnsi="Arial" w:cs="Arial"/>
          <w:sz w:val="22"/>
          <w:szCs w:val="22"/>
        </w:rPr>
        <w:t xml:space="preserve">, </w:t>
      </w:r>
      <w:r w:rsidRPr="009D44E9">
        <w:rPr>
          <w:rStyle w:val="Strong"/>
          <w:rFonts w:ascii="Arial" w:hAnsi="Arial" w:cs="Arial"/>
          <w:sz w:val="22"/>
          <w:szCs w:val="22"/>
        </w:rPr>
        <w:t>TSS 300–600 mg/L</w:t>
      </w:r>
      <w:r w:rsidRPr="009D44E9">
        <w:rPr>
          <w:rFonts w:ascii="Arial" w:hAnsi="Arial" w:cs="Arial"/>
          <w:sz w:val="22"/>
          <w:szCs w:val="22"/>
        </w:rPr>
        <w:t xml:space="preserve">, </w:t>
      </w:r>
      <w:r w:rsidRPr="009D44E9">
        <w:rPr>
          <w:rStyle w:val="Strong"/>
          <w:rFonts w:ascii="Arial" w:hAnsi="Arial" w:cs="Arial"/>
          <w:sz w:val="22"/>
          <w:szCs w:val="22"/>
        </w:rPr>
        <w:t>TN up to 8.1 mg/L</w:t>
      </w:r>
      <w:r w:rsidRPr="009D44E9">
        <w:rPr>
          <w:rFonts w:ascii="Arial" w:hAnsi="Arial" w:cs="Arial"/>
          <w:sz w:val="22"/>
          <w:szCs w:val="22"/>
        </w:rPr>
        <w:t xml:space="preserve">, and </w:t>
      </w:r>
      <w:r w:rsidRPr="009D44E9">
        <w:rPr>
          <w:rStyle w:val="Strong"/>
          <w:rFonts w:ascii="Arial" w:hAnsi="Arial" w:cs="Arial"/>
          <w:sz w:val="22"/>
          <w:szCs w:val="22"/>
        </w:rPr>
        <w:t>TP up to 6.7 mg/L</w:t>
      </w:r>
      <w:r w:rsidRPr="009D44E9">
        <w:rPr>
          <w:rFonts w:ascii="Arial" w:hAnsi="Arial" w:cs="Arial"/>
          <w:sz w:val="22"/>
          <w:szCs w:val="22"/>
        </w:rPr>
        <w:t xml:space="preserve"> (JICA; MoE), far above national limits. The Bassac River also carries high loads (</w:t>
      </w:r>
      <w:r w:rsidRPr="009D44E9">
        <w:rPr>
          <w:rStyle w:val="Strong"/>
          <w:rFonts w:ascii="Arial" w:hAnsi="Arial" w:cs="Arial"/>
          <w:sz w:val="22"/>
          <w:szCs w:val="22"/>
        </w:rPr>
        <w:t>TSS up to 2,030 mg/L; TP ~6 mg/L</w:t>
      </w:r>
      <w:r w:rsidRPr="009D44E9">
        <w:rPr>
          <w:rFonts w:ascii="Arial" w:hAnsi="Arial" w:cs="Arial"/>
          <w:sz w:val="22"/>
          <w:szCs w:val="22"/>
        </w:rPr>
        <w:t>) reflecting urban and peri-urban runoff.</w:t>
      </w:r>
      <w:r w:rsidR="00907495">
        <w:rPr>
          <w:rFonts w:ascii="Arial" w:hAnsi="Arial" w:cs="Arial"/>
          <w:sz w:val="22"/>
          <w:szCs w:val="22"/>
        </w:rPr>
        <w:t xml:space="preserve"> </w:t>
      </w:r>
      <w:r w:rsidRPr="009D44E9">
        <w:rPr>
          <w:rFonts w:ascii="Arial" w:hAnsi="Arial" w:cs="Arial"/>
          <w:sz w:val="22"/>
          <w:szCs w:val="22"/>
        </w:rPr>
        <w:t xml:space="preserve">At </w:t>
      </w:r>
      <w:r w:rsidRPr="009D44E9">
        <w:rPr>
          <w:rStyle w:val="Strong"/>
          <w:rFonts w:ascii="Arial" w:hAnsi="Arial" w:cs="Arial"/>
          <w:sz w:val="22"/>
          <w:szCs w:val="22"/>
        </w:rPr>
        <w:t>Chroy Changva</w:t>
      </w:r>
      <w:r w:rsidRPr="009D44E9">
        <w:rPr>
          <w:rFonts w:ascii="Arial" w:hAnsi="Arial" w:cs="Arial"/>
          <w:sz w:val="22"/>
          <w:szCs w:val="22"/>
        </w:rPr>
        <w:t xml:space="preserve">, where the Mekong and Tonle Sap systems converge, national datasets show repeated </w:t>
      </w:r>
      <w:r w:rsidRPr="009D44E9">
        <w:rPr>
          <w:rStyle w:val="Strong"/>
          <w:rFonts w:ascii="Arial" w:hAnsi="Arial" w:cs="Arial"/>
          <w:sz w:val="22"/>
          <w:szCs w:val="22"/>
        </w:rPr>
        <w:t>TN (2018–2019)</w:t>
      </w:r>
      <w:r w:rsidRPr="009D44E9">
        <w:rPr>
          <w:rFonts w:ascii="Arial" w:hAnsi="Arial" w:cs="Arial"/>
          <w:sz w:val="22"/>
          <w:szCs w:val="22"/>
        </w:rPr>
        <w:t xml:space="preserve"> and </w:t>
      </w:r>
      <w:r w:rsidRPr="009D44E9">
        <w:rPr>
          <w:rStyle w:val="Strong"/>
          <w:rFonts w:ascii="Arial" w:hAnsi="Arial" w:cs="Arial"/>
          <w:sz w:val="22"/>
          <w:szCs w:val="22"/>
        </w:rPr>
        <w:t>TP (2012–2019)</w:t>
      </w:r>
      <w:r w:rsidRPr="009D44E9">
        <w:rPr>
          <w:rFonts w:ascii="Arial" w:hAnsi="Arial" w:cs="Arial"/>
          <w:sz w:val="22"/>
          <w:szCs w:val="22"/>
        </w:rPr>
        <w:t xml:space="preserve"> exceedances (MoE/WEPA 2023), confirming a persistent nutrient hotspot affecting downstream loads to Viet Nam. The Tonle Sap system shows moderate but significant nutrient levels (TN ~0.9–1.15 mg/L; TP ~0.25–0.32 mg/L), contributing to seasonal eutrophication risks. The </w:t>
      </w:r>
      <w:r w:rsidRPr="009D44E9">
        <w:rPr>
          <w:rStyle w:val="Strong"/>
          <w:rFonts w:ascii="Arial" w:hAnsi="Arial" w:cs="Arial"/>
          <w:sz w:val="22"/>
          <w:szCs w:val="22"/>
        </w:rPr>
        <w:t>Bassac River at Koh Khel</w:t>
      </w:r>
      <w:r w:rsidRPr="009D44E9">
        <w:rPr>
          <w:rFonts w:ascii="Arial" w:hAnsi="Arial" w:cs="Arial"/>
          <w:sz w:val="22"/>
          <w:szCs w:val="22"/>
        </w:rPr>
        <w:t>—the final point before the Viet Nam border—provides key data for estimating transboundary nutrient and microbial export.</w:t>
      </w:r>
    </w:p>
    <w:p w:rsidR="009F750B" w:rsidRDefault="00F63707" w:rsidP="00F63707">
      <w:pPr>
        <w:pStyle w:val="NormalWeb"/>
        <w:keepNext/>
        <w:spacing w:before="240" w:beforeAutospacing="0" w:after="120" w:afterAutospacing="0"/>
        <w:jc w:val="both"/>
        <w:rPr>
          <w:rFonts w:ascii="Arial" w:hAnsi="Arial" w:cs="Arial"/>
          <w:sz w:val="22"/>
          <w:szCs w:val="22"/>
        </w:rPr>
      </w:pPr>
      <w:bookmarkStart w:id="14" w:name="_Ref214872734"/>
      <w:bookmarkStart w:id="15" w:name="_Toc214875143"/>
      <w:r w:rsidRPr="004444F0">
        <w:rPr>
          <w:rFonts w:ascii="Arial" w:hAnsi="Arial" w:cs="Arial"/>
          <w:color w:val="002060"/>
          <w:sz w:val="21"/>
          <w:szCs w:val="21"/>
        </w:rPr>
        <w:t>Table 3-</w:t>
      </w:r>
      <w:r w:rsidRPr="004444F0">
        <w:rPr>
          <w:rFonts w:ascii="Arial" w:hAnsi="Arial" w:cs="Arial"/>
          <w:color w:val="002060"/>
          <w:sz w:val="21"/>
          <w:szCs w:val="21"/>
        </w:rPr>
        <w:fldChar w:fldCharType="begin"/>
      </w:r>
      <w:r w:rsidRPr="004444F0">
        <w:rPr>
          <w:rFonts w:ascii="Arial" w:hAnsi="Arial" w:cs="Arial"/>
          <w:color w:val="002060"/>
          <w:sz w:val="21"/>
          <w:szCs w:val="21"/>
        </w:rPr>
        <w:instrText xml:space="preserve"> SEQ Table_3- \* ARABIC </w:instrText>
      </w:r>
      <w:r w:rsidRPr="004444F0">
        <w:rPr>
          <w:rFonts w:ascii="Arial" w:hAnsi="Arial" w:cs="Arial"/>
          <w:color w:val="002060"/>
          <w:sz w:val="21"/>
          <w:szCs w:val="21"/>
        </w:rPr>
        <w:fldChar w:fldCharType="separate"/>
      </w:r>
      <w:r w:rsidR="00D35426">
        <w:rPr>
          <w:rFonts w:ascii="Arial" w:hAnsi="Arial" w:cs="Arial"/>
          <w:noProof/>
          <w:color w:val="002060"/>
          <w:sz w:val="21"/>
          <w:szCs w:val="21"/>
        </w:rPr>
        <w:t>1</w:t>
      </w:r>
      <w:r w:rsidRPr="004444F0">
        <w:rPr>
          <w:rFonts w:ascii="Arial" w:hAnsi="Arial" w:cs="Arial"/>
          <w:color w:val="002060"/>
          <w:sz w:val="21"/>
          <w:szCs w:val="21"/>
        </w:rPr>
        <w:fldChar w:fldCharType="end"/>
      </w:r>
      <w:bookmarkEnd w:id="14"/>
      <w:r w:rsidRPr="004444F0">
        <w:rPr>
          <w:rFonts w:ascii="Arial" w:hAnsi="Arial" w:cs="Arial"/>
          <w:color w:val="002060"/>
          <w:sz w:val="21"/>
          <w:szCs w:val="21"/>
        </w:rPr>
        <w:t xml:space="preserve"> </w:t>
      </w:r>
      <w:r w:rsidRPr="00F63707">
        <w:rPr>
          <w:rFonts w:ascii="Arial" w:hAnsi="Arial" w:cs="Arial"/>
          <w:color w:val="002060"/>
          <w:sz w:val="21"/>
          <w:szCs w:val="21"/>
        </w:rPr>
        <w:t xml:space="preserve">Hydrology and </w:t>
      </w:r>
      <w:r w:rsidR="00035E8B">
        <w:rPr>
          <w:rFonts w:ascii="Arial" w:hAnsi="Arial" w:cs="Arial"/>
          <w:color w:val="002060"/>
          <w:sz w:val="21"/>
          <w:szCs w:val="21"/>
        </w:rPr>
        <w:t>p</w:t>
      </w:r>
      <w:r w:rsidRPr="00F63707">
        <w:rPr>
          <w:rFonts w:ascii="Arial" w:hAnsi="Arial" w:cs="Arial"/>
          <w:color w:val="002060"/>
          <w:sz w:val="21"/>
          <w:szCs w:val="21"/>
        </w:rPr>
        <w:t xml:space="preserve">ollution </w:t>
      </w:r>
      <w:r w:rsidR="00035E8B">
        <w:rPr>
          <w:rFonts w:ascii="Arial" w:hAnsi="Arial" w:cs="Arial"/>
          <w:color w:val="002060"/>
          <w:sz w:val="21"/>
          <w:szCs w:val="21"/>
        </w:rPr>
        <w:t>i</w:t>
      </w:r>
      <w:r w:rsidRPr="00F63707">
        <w:rPr>
          <w:rFonts w:ascii="Arial" w:hAnsi="Arial" w:cs="Arial"/>
          <w:color w:val="002060"/>
          <w:sz w:val="21"/>
          <w:szCs w:val="21"/>
        </w:rPr>
        <w:t xml:space="preserve">ndicators of </w:t>
      </w:r>
      <w:r w:rsidR="00035E8B">
        <w:rPr>
          <w:rFonts w:ascii="Arial" w:hAnsi="Arial" w:cs="Arial"/>
          <w:color w:val="002060"/>
          <w:sz w:val="21"/>
          <w:szCs w:val="21"/>
        </w:rPr>
        <w:t>m</w:t>
      </w:r>
      <w:r w:rsidRPr="00F63707">
        <w:rPr>
          <w:rFonts w:ascii="Arial" w:hAnsi="Arial" w:cs="Arial"/>
          <w:color w:val="002060"/>
          <w:sz w:val="21"/>
          <w:szCs w:val="21"/>
        </w:rPr>
        <w:t xml:space="preserve">ajor </w:t>
      </w:r>
      <w:r w:rsidR="00035E8B">
        <w:rPr>
          <w:rFonts w:ascii="Arial" w:hAnsi="Arial" w:cs="Arial"/>
          <w:color w:val="002060"/>
          <w:sz w:val="21"/>
          <w:szCs w:val="21"/>
        </w:rPr>
        <w:t>r</w:t>
      </w:r>
      <w:r w:rsidRPr="00F63707">
        <w:rPr>
          <w:rFonts w:ascii="Arial" w:hAnsi="Arial" w:cs="Arial"/>
          <w:color w:val="002060"/>
          <w:sz w:val="21"/>
          <w:szCs w:val="21"/>
        </w:rPr>
        <w:t xml:space="preserve">ivers – (Cambodia </w:t>
      </w:r>
      <w:r w:rsidR="009D44E9">
        <w:rPr>
          <w:rFonts w:ascii="Arial" w:hAnsi="Arial" w:cs="Arial"/>
          <w:color w:val="002060"/>
          <w:sz w:val="21"/>
          <w:szCs w:val="21"/>
        </w:rPr>
        <w:t>s</w:t>
      </w:r>
      <w:r w:rsidRPr="00F63707">
        <w:rPr>
          <w:rFonts w:ascii="Arial" w:hAnsi="Arial" w:cs="Arial"/>
          <w:color w:val="002060"/>
          <w:sz w:val="21"/>
          <w:szCs w:val="21"/>
        </w:rPr>
        <w:t>egment)</w:t>
      </w:r>
      <w:bookmarkEnd w:id="15"/>
    </w:p>
    <w:tbl>
      <w:tblPr>
        <w:tblStyle w:val="GridTable4-Accent5"/>
        <w:tblW w:w="0" w:type="auto"/>
        <w:tblLook w:val="04A0" w:firstRow="1" w:lastRow="0" w:firstColumn="1" w:lastColumn="0" w:noHBand="0" w:noVBand="1"/>
      </w:tblPr>
      <w:tblGrid>
        <w:gridCol w:w="1264"/>
        <w:gridCol w:w="857"/>
        <w:gridCol w:w="1203"/>
        <w:gridCol w:w="1346"/>
        <w:gridCol w:w="788"/>
        <w:gridCol w:w="799"/>
        <w:gridCol w:w="949"/>
        <w:gridCol w:w="797"/>
        <w:gridCol w:w="1007"/>
      </w:tblGrid>
      <w:tr w:rsidR="009F750B" w:rsidRPr="00F63707" w:rsidTr="00F63707">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vAlign w:val="center"/>
            <w:hideMark/>
          </w:tcPr>
          <w:p w:rsidR="009F750B" w:rsidRPr="00F63707" w:rsidRDefault="009F750B" w:rsidP="00F63707">
            <w:pPr>
              <w:jc w:val="center"/>
              <w:rPr>
                <w:rFonts w:ascii="Arial" w:hAnsi="Arial" w:cs="Arial"/>
                <w:sz w:val="18"/>
                <w:szCs w:val="18"/>
              </w:rPr>
            </w:pPr>
            <w:r w:rsidRPr="00F63707">
              <w:rPr>
                <w:rStyle w:val="Strong"/>
                <w:rFonts w:ascii="Arial" w:hAnsi="Arial" w:cs="Arial"/>
                <w:sz w:val="18"/>
                <w:szCs w:val="18"/>
              </w:rPr>
              <w:t>River Name</w:t>
            </w:r>
          </w:p>
        </w:tc>
        <w:tc>
          <w:tcPr>
            <w:tcW w:w="0" w:type="auto"/>
            <w:vAlign w:val="center"/>
            <w:hideMark/>
          </w:tcPr>
          <w:p w:rsidR="009F750B" w:rsidRPr="00F63707" w:rsidRDefault="009F750B" w:rsidP="00F63707">
            <w:pPr>
              <w:jc w:val="center"/>
              <w:cnfStyle w:val="100000000000" w:firstRow="1" w:lastRow="0" w:firstColumn="0" w:lastColumn="0" w:oddVBand="0" w:evenVBand="0" w:oddHBand="0" w:evenHBand="0" w:firstRowFirstColumn="0" w:firstRowLastColumn="0" w:lastRowFirstColumn="0" w:lastRowLastColumn="0"/>
              <w:rPr>
                <w:rFonts w:ascii="Arial" w:hAnsi="Arial" w:cs="Arial"/>
                <w:sz w:val="18"/>
                <w:szCs w:val="18"/>
              </w:rPr>
            </w:pPr>
            <w:r w:rsidRPr="00F63707">
              <w:rPr>
                <w:rStyle w:val="Strong"/>
                <w:rFonts w:ascii="Arial" w:hAnsi="Arial" w:cs="Arial"/>
                <w:b/>
                <w:bCs/>
                <w:sz w:val="18"/>
                <w:szCs w:val="18"/>
              </w:rPr>
              <w:t>River Length (km)</w:t>
            </w:r>
          </w:p>
        </w:tc>
        <w:tc>
          <w:tcPr>
            <w:tcW w:w="0" w:type="auto"/>
            <w:vAlign w:val="center"/>
            <w:hideMark/>
          </w:tcPr>
          <w:p w:rsidR="009F750B" w:rsidRPr="00F63707" w:rsidRDefault="009F750B" w:rsidP="00F63707">
            <w:pPr>
              <w:jc w:val="center"/>
              <w:cnfStyle w:val="100000000000" w:firstRow="1" w:lastRow="0" w:firstColumn="0" w:lastColumn="0" w:oddVBand="0" w:evenVBand="0" w:oddHBand="0" w:evenHBand="0" w:firstRowFirstColumn="0" w:firstRowLastColumn="0" w:lastRowFirstColumn="0" w:lastRowLastColumn="0"/>
              <w:rPr>
                <w:rFonts w:ascii="Arial" w:hAnsi="Arial" w:cs="Arial"/>
                <w:sz w:val="18"/>
                <w:szCs w:val="18"/>
              </w:rPr>
            </w:pPr>
            <w:r w:rsidRPr="00F63707">
              <w:rPr>
                <w:rStyle w:val="Strong"/>
                <w:rFonts w:ascii="Arial" w:hAnsi="Arial" w:cs="Arial"/>
                <w:b/>
                <w:bCs/>
                <w:sz w:val="18"/>
                <w:szCs w:val="18"/>
              </w:rPr>
              <w:t>Catchment Area</w:t>
            </w:r>
          </w:p>
        </w:tc>
        <w:tc>
          <w:tcPr>
            <w:tcW w:w="0" w:type="auto"/>
            <w:vAlign w:val="center"/>
            <w:hideMark/>
          </w:tcPr>
          <w:p w:rsidR="009F750B" w:rsidRPr="00F63707" w:rsidRDefault="009F750B" w:rsidP="00F63707">
            <w:pPr>
              <w:jc w:val="center"/>
              <w:cnfStyle w:val="100000000000" w:firstRow="1" w:lastRow="0" w:firstColumn="0" w:lastColumn="0" w:oddVBand="0" w:evenVBand="0" w:oddHBand="0" w:evenHBand="0" w:firstRowFirstColumn="0" w:firstRowLastColumn="0" w:lastRowFirstColumn="0" w:lastRowLastColumn="0"/>
              <w:rPr>
                <w:rFonts w:ascii="Arial" w:hAnsi="Arial" w:cs="Arial"/>
                <w:sz w:val="18"/>
                <w:szCs w:val="18"/>
              </w:rPr>
            </w:pPr>
            <w:r w:rsidRPr="00F63707">
              <w:rPr>
                <w:rStyle w:val="Strong"/>
                <w:rFonts w:ascii="Arial" w:hAnsi="Arial" w:cs="Arial"/>
                <w:b/>
                <w:bCs/>
                <w:sz w:val="18"/>
                <w:szCs w:val="18"/>
              </w:rPr>
              <w:t>Annual Discharge</w:t>
            </w:r>
          </w:p>
        </w:tc>
        <w:tc>
          <w:tcPr>
            <w:tcW w:w="0" w:type="auto"/>
            <w:vAlign w:val="center"/>
            <w:hideMark/>
          </w:tcPr>
          <w:p w:rsidR="009F750B" w:rsidRPr="00F63707" w:rsidRDefault="009F750B" w:rsidP="00F63707">
            <w:pPr>
              <w:jc w:val="center"/>
              <w:cnfStyle w:val="100000000000" w:firstRow="1" w:lastRow="0" w:firstColumn="0" w:lastColumn="0" w:oddVBand="0" w:evenVBand="0" w:oddHBand="0" w:evenHBand="0" w:firstRowFirstColumn="0" w:firstRowLastColumn="0" w:lastRowFirstColumn="0" w:lastRowLastColumn="0"/>
              <w:rPr>
                <w:rFonts w:ascii="Arial" w:hAnsi="Arial" w:cs="Arial"/>
                <w:sz w:val="18"/>
                <w:szCs w:val="18"/>
              </w:rPr>
            </w:pPr>
            <w:r w:rsidRPr="00F63707">
              <w:rPr>
                <w:rStyle w:val="Strong"/>
                <w:rFonts w:ascii="Arial" w:hAnsi="Arial" w:cs="Arial"/>
                <w:b/>
                <w:bCs/>
                <w:sz w:val="18"/>
                <w:szCs w:val="18"/>
              </w:rPr>
              <w:t>BOD (mg/L)</w:t>
            </w:r>
          </w:p>
        </w:tc>
        <w:tc>
          <w:tcPr>
            <w:tcW w:w="0" w:type="auto"/>
            <w:vAlign w:val="center"/>
            <w:hideMark/>
          </w:tcPr>
          <w:p w:rsidR="009F750B" w:rsidRPr="00F63707" w:rsidRDefault="009F750B" w:rsidP="00F63707">
            <w:pPr>
              <w:jc w:val="center"/>
              <w:cnfStyle w:val="100000000000" w:firstRow="1" w:lastRow="0" w:firstColumn="0" w:lastColumn="0" w:oddVBand="0" w:evenVBand="0" w:oddHBand="0" w:evenHBand="0" w:firstRowFirstColumn="0" w:firstRowLastColumn="0" w:lastRowFirstColumn="0" w:lastRowLastColumn="0"/>
              <w:rPr>
                <w:rFonts w:ascii="Arial" w:hAnsi="Arial" w:cs="Arial"/>
                <w:sz w:val="18"/>
                <w:szCs w:val="18"/>
              </w:rPr>
            </w:pPr>
            <w:r w:rsidRPr="00F63707">
              <w:rPr>
                <w:rStyle w:val="Strong"/>
                <w:rFonts w:ascii="Arial" w:hAnsi="Arial" w:cs="Arial"/>
                <w:b/>
                <w:bCs/>
                <w:sz w:val="18"/>
                <w:szCs w:val="18"/>
              </w:rPr>
              <w:t>TSS (mg/L)</w:t>
            </w:r>
          </w:p>
        </w:tc>
        <w:tc>
          <w:tcPr>
            <w:tcW w:w="0" w:type="auto"/>
            <w:vAlign w:val="center"/>
            <w:hideMark/>
          </w:tcPr>
          <w:p w:rsidR="009F750B" w:rsidRPr="00F63707" w:rsidRDefault="009F750B" w:rsidP="00F63707">
            <w:pPr>
              <w:jc w:val="center"/>
              <w:cnfStyle w:val="100000000000" w:firstRow="1" w:lastRow="0" w:firstColumn="0" w:lastColumn="0" w:oddVBand="0" w:evenVBand="0" w:oddHBand="0" w:evenHBand="0" w:firstRowFirstColumn="0" w:firstRowLastColumn="0" w:lastRowFirstColumn="0" w:lastRowLastColumn="0"/>
              <w:rPr>
                <w:rFonts w:ascii="Arial" w:hAnsi="Arial" w:cs="Arial"/>
                <w:sz w:val="18"/>
                <w:szCs w:val="18"/>
              </w:rPr>
            </w:pPr>
            <w:r w:rsidRPr="00F63707">
              <w:rPr>
                <w:rStyle w:val="Strong"/>
                <w:rFonts w:ascii="Arial" w:hAnsi="Arial" w:cs="Arial"/>
                <w:b/>
                <w:bCs/>
                <w:sz w:val="18"/>
                <w:szCs w:val="18"/>
              </w:rPr>
              <w:t>Total N (mg/L)</w:t>
            </w:r>
          </w:p>
        </w:tc>
        <w:tc>
          <w:tcPr>
            <w:tcW w:w="0" w:type="auto"/>
            <w:vAlign w:val="center"/>
            <w:hideMark/>
          </w:tcPr>
          <w:p w:rsidR="009F750B" w:rsidRPr="00F63707" w:rsidRDefault="009F750B" w:rsidP="00F63707">
            <w:pPr>
              <w:jc w:val="center"/>
              <w:cnfStyle w:val="100000000000" w:firstRow="1" w:lastRow="0" w:firstColumn="0" w:lastColumn="0" w:oddVBand="0" w:evenVBand="0" w:oddHBand="0" w:evenHBand="0" w:firstRowFirstColumn="0" w:firstRowLastColumn="0" w:lastRowFirstColumn="0" w:lastRowLastColumn="0"/>
              <w:rPr>
                <w:rFonts w:ascii="Arial" w:hAnsi="Arial" w:cs="Arial"/>
                <w:sz w:val="18"/>
                <w:szCs w:val="18"/>
              </w:rPr>
            </w:pPr>
            <w:r w:rsidRPr="00F63707">
              <w:rPr>
                <w:rStyle w:val="Strong"/>
                <w:rFonts w:ascii="Arial" w:hAnsi="Arial" w:cs="Arial"/>
                <w:b/>
                <w:bCs/>
                <w:sz w:val="18"/>
                <w:szCs w:val="18"/>
              </w:rPr>
              <w:t>Total P (mg/L)</w:t>
            </w:r>
          </w:p>
        </w:tc>
        <w:tc>
          <w:tcPr>
            <w:tcW w:w="0" w:type="auto"/>
            <w:vAlign w:val="center"/>
            <w:hideMark/>
          </w:tcPr>
          <w:p w:rsidR="009F750B" w:rsidRPr="00F63707" w:rsidRDefault="009F750B" w:rsidP="00F63707">
            <w:pPr>
              <w:jc w:val="center"/>
              <w:cnfStyle w:val="100000000000" w:firstRow="1" w:lastRow="0" w:firstColumn="0" w:lastColumn="0" w:oddVBand="0" w:evenVBand="0" w:oddHBand="0" w:evenHBand="0" w:firstRowFirstColumn="0" w:firstRowLastColumn="0" w:lastRowFirstColumn="0" w:lastRowLastColumn="0"/>
              <w:rPr>
                <w:rFonts w:ascii="Arial" w:hAnsi="Arial" w:cs="Arial"/>
                <w:sz w:val="18"/>
                <w:szCs w:val="18"/>
              </w:rPr>
            </w:pPr>
            <w:r w:rsidRPr="00F63707">
              <w:rPr>
                <w:rStyle w:val="Strong"/>
                <w:rFonts w:ascii="Arial" w:hAnsi="Arial" w:cs="Arial"/>
                <w:b/>
                <w:bCs/>
                <w:sz w:val="18"/>
                <w:szCs w:val="18"/>
              </w:rPr>
              <w:t>Total Coliform</w:t>
            </w:r>
          </w:p>
        </w:tc>
      </w:tr>
      <w:tr w:rsidR="009F750B" w:rsidRPr="00F63707" w:rsidTr="00F6370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rsidR="009F750B" w:rsidRPr="009D44E9" w:rsidRDefault="009F750B">
            <w:pPr>
              <w:rPr>
                <w:rFonts w:ascii="Arial" w:hAnsi="Arial" w:cs="Arial"/>
                <w:b w:val="0"/>
                <w:bCs w:val="0"/>
                <w:sz w:val="18"/>
                <w:szCs w:val="18"/>
              </w:rPr>
            </w:pPr>
            <w:r w:rsidRPr="009D44E9">
              <w:rPr>
                <w:rStyle w:val="Strong"/>
                <w:rFonts w:ascii="Arial" w:hAnsi="Arial" w:cs="Arial"/>
                <w:b/>
                <w:bCs/>
                <w:sz w:val="18"/>
                <w:szCs w:val="18"/>
              </w:rPr>
              <w:t>Mekong River (Cambodia segment)</w:t>
            </w:r>
          </w:p>
        </w:tc>
        <w:tc>
          <w:tcPr>
            <w:tcW w:w="0" w:type="auto"/>
            <w:vAlign w:val="center"/>
            <w:hideMark/>
          </w:tcPr>
          <w:p w:rsidR="009F750B" w:rsidRPr="00F63707" w:rsidRDefault="009F750B" w:rsidP="00F63707">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F63707">
              <w:rPr>
                <w:rFonts w:ascii="Arial" w:hAnsi="Arial" w:cs="Arial"/>
                <w:sz w:val="18"/>
                <w:szCs w:val="18"/>
              </w:rPr>
              <w:t>~500 km</w:t>
            </w:r>
          </w:p>
        </w:tc>
        <w:tc>
          <w:tcPr>
            <w:tcW w:w="0" w:type="auto"/>
            <w:vAlign w:val="center"/>
            <w:hideMark/>
          </w:tcPr>
          <w:p w:rsidR="009F750B" w:rsidRPr="00F63707" w:rsidRDefault="009F750B" w:rsidP="00F63707">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F63707">
              <w:rPr>
                <w:rFonts w:ascii="Arial" w:hAnsi="Arial" w:cs="Arial"/>
                <w:sz w:val="18"/>
                <w:szCs w:val="18"/>
              </w:rPr>
              <w:t>~795,000 km² (entire basin)</w:t>
            </w:r>
          </w:p>
        </w:tc>
        <w:tc>
          <w:tcPr>
            <w:tcW w:w="0" w:type="auto"/>
            <w:vAlign w:val="center"/>
            <w:hideMark/>
          </w:tcPr>
          <w:p w:rsidR="009F750B" w:rsidRPr="00F63707" w:rsidRDefault="009F750B" w:rsidP="00F63707">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F63707">
              <w:rPr>
                <w:rFonts w:ascii="Arial" w:hAnsi="Arial" w:cs="Arial"/>
                <w:sz w:val="18"/>
                <w:szCs w:val="18"/>
              </w:rPr>
              <w:t>~14,500 m³/s (mean discharge at Phnom Penh)</w:t>
            </w:r>
          </w:p>
        </w:tc>
        <w:tc>
          <w:tcPr>
            <w:tcW w:w="0" w:type="auto"/>
            <w:vAlign w:val="center"/>
            <w:hideMark/>
          </w:tcPr>
          <w:p w:rsidR="009F750B" w:rsidRPr="00F63707" w:rsidRDefault="009F750B" w:rsidP="00F63707">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F63707">
              <w:rPr>
                <w:rFonts w:ascii="Arial" w:hAnsi="Arial" w:cs="Arial"/>
                <w:sz w:val="18"/>
                <w:szCs w:val="18"/>
              </w:rPr>
              <w:t>~1–6.2 mg/L</w:t>
            </w:r>
          </w:p>
        </w:tc>
        <w:tc>
          <w:tcPr>
            <w:tcW w:w="0" w:type="auto"/>
            <w:vAlign w:val="center"/>
            <w:hideMark/>
          </w:tcPr>
          <w:p w:rsidR="009F750B" w:rsidRPr="00F63707" w:rsidRDefault="009F750B" w:rsidP="00F63707">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F63707">
              <w:rPr>
                <w:rFonts w:ascii="Arial" w:hAnsi="Arial" w:cs="Arial"/>
                <w:sz w:val="18"/>
                <w:szCs w:val="18"/>
              </w:rPr>
              <w:t>~85 mg/L</w:t>
            </w:r>
          </w:p>
        </w:tc>
        <w:tc>
          <w:tcPr>
            <w:tcW w:w="0" w:type="auto"/>
            <w:vAlign w:val="center"/>
            <w:hideMark/>
          </w:tcPr>
          <w:p w:rsidR="009F750B" w:rsidRPr="00F63707" w:rsidRDefault="009F750B" w:rsidP="00F63707">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F63707">
              <w:rPr>
                <w:rFonts w:ascii="Arial" w:hAnsi="Arial" w:cs="Arial"/>
                <w:sz w:val="18"/>
                <w:szCs w:val="18"/>
              </w:rPr>
              <w:t>N/A (typically low)</w:t>
            </w:r>
          </w:p>
        </w:tc>
        <w:tc>
          <w:tcPr>
            <w:tcW w:w="0" w:type="auto"/>
            <w:vAlign w:val="center"/>
            <w:hideMark/>
          </w:tcPr>
          <w:p w:rsidR="009F750B" w:rsidRPr="00F63707" w:rsidRDefault="009F750B" w:rsidP="00F63707">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F63707">
              <w:rPr>
                <w:rFonts w:ascii="Arial" w:hAnsi="Arial" w:cs="Arial"/>
                <w:sz w:val="18"/>
                <w:szCs w:val="18"/>
              </w:rPr>
              <w:t>N/A</w:t>
            </w:r>
          </w:p>
        </w:tc>
        <w:tc>
          <w:tcPr>
            <w:tcW w:w="0" w:type="auto"/>
            <w:vAlign w:val="center"/>
            <w:hideMark/>
          </w:tcPr>
          <w:p w:rsidR="009F750B" w:rsidRPr="00F63707" w:rsidRDefault="009F750B" w:rsidP="00F63707">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F63707">
              <w:rPr>
                <w:rFonts w:ascii="Arial" w:hAnsi="Arial" w:cs="Arial"/>
                <w:sz w:val="18"/>
                <w:szCs w:val="18"/>
              </w:rPr>
              <w:t>~3,190 MPN/100 mL</w:t>
            </w:r>
          </w:p>
        </w:tc>
      </w:tr>
      <w:tr w:rsidR="009F750B" w:rsidRPr="00F63707" w:rsidTr="00F63707">
        <w:tc>
          <w:tcPr>
            <w:cnfStyle w:val="001000000000" w:firstRow="0" w:lastRow="0" w:firstColumn="1" w:lastColumn="0" w:oddVBand="0" w:evenVBand="0" w:oddHBand="0" w:evenHBand="0" w:firstRowFirstColumn="0" w:firstRowLastColumn="0" w:lastRowFirstColumn="0" w:lastRowLastColumn="0"/>
            <w:tcW w:w="0" w:type="auto"/>
            <w:hideMark/>
          </w:tcPr>
          <w:p w:rsidR="009F750B" w:rsidRPr="009D44E9" w:rsidRDefault="009F750B">
            <w:pPr>
              <w:rPr>
                <w:rFonts w:ascii="Arial" w:hAnsi="Arial" w:cs="Arial"/>
                <w:b w:val="0"/>
                <w:bCs w:val="0"/>
                <w:sz w:val="18"/>
                <w:szCs w:val="18"/>
              </w:rPr>
            </w:pPr>
            <w:r w:rsidRPr="009D44E9">
              <w:rPr>
                <w:rStyle w:val="Strong"/>
                <w:rFonts w:ascii="Arial" w:hAnsi="Arial" w:cs="Arial"/>
                <w:b/>
                <w:bCs/>
                <w:sz w:val="18"/>
                <w:szCs w:val="18"/>
              </w:rPr>
              <w:t>Tonle Sap River &amp; Tonle Sap Lake system</w:t>
            </w:r>
          </w:p>
        </w:tc>
        <w:tc>
          <w:tcPr>
            <w:tcW w:w="0" w:type="auto"/>
            <w:vAlign w:val="center"/>
            <w:hideMark/>
          </w:tcPr>
          <w:p w:rsidR="009F750B" w:rsidRPr="00F63707" w:rsidRDefault="009F750B" w:rsidP="00F63707">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F63707">
              <w:rPr>
                <w:rFonts w:ascii="Arial" w:hAnsi="Arial" w:cs="Arial"/>
                <w:sz w:val="18"/>
                <w:szCs w:val="18"/>
              </w:rPr>
              <w:t>~147 km</w:t>
            </w:r>
          </w:p>
        </w:tc>
        <w:tc>
          <w:tcPr>
            <w:tcW w:w="0" w:type="auto"/>
            <w:vAlign w:val="center"/>
            <w:hideMark/>
          </w:tcPr>
          <w:p w:rsidR="009F750B" w:rsidRPr="00F63707" w:rsidRDefault="009F750B" w:rsidP="00F63707">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F63707">
              <w:rPr>
                <w:rFonts w:ascii="Arial" w:hAnsi="Arial" w:cs="Arial"/>
                <w:sz w:val="18"/>
                <w:szCs w:val="18"/>
              </w:rPr>
              <w:t>~87,940 km²</w:t>
            </w:r>
          </w:p>
        </w:tc>
        <w:tc>
          <w:tcPr>
            <w:tcW w:w="0" w:type="auto"/>
            <w:vAlign w:val="center"/>
            <w:hideMark/>
          </w:tcPr>
          <w:p w:rsidR="009F750B" w:rsidRPr="00F63707" w:rsidRDefault="009F750B" w:rsidP="00F63707">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F63707">
              <w:rPr>
                <w:rStyle w:val="Emphasis"/>
                <w:rFonts w:ascii="Arial" w:hAnsi="Arial" w:cs="Arial"/>
                <w:sz w:val="18"/>
                <w:szCs w:val="18"/>
              </w:rPr>
              <w:t>No fixed annual discharge due to flow reversal</w:t>
            </w:r>
            <w:r w:rsidRPr="00F63707">
              <w:rPr>
                <w:rFonts w:ascii="Arial" w:hAnsi="Arial" w:cs="Arial"/>
                <w:sz w:val="18"/>
                <w:szCs w:val="18"/>
              </w:rPr>
              <w:t xml:space="preserve">; seasonal reverse-flow ≈ </w:t>
            </w:r>
            <w:r w:rsidRPr="00F63707">
              <w:rPr>
                <w:rStyle w:val="Strong"/>
                <w:rFonts w:ascii="Arial" w:hAnsi="Arial" w:cs="Arial"/>
                <w:sz w:val="18"/>
                <w:szCs w:val="18"/>
              </w:rPr>
              <w:t>30 km³/year</w:t>
            </w:r>
          </w:p>
        </w:tc>
        <w:tc>
          <w:tcPr>
            <w:tcW w:w="0" w:type="auto"/>
            <w:vAlign w:val="center"/>
            <w:hideMark/>
          </w:tcPr>
          <w:p w:rsidR="009F750B" w:rsidRPr="00F63707" w:rsidRDefault="009F750B" w:rsidP="00F63707">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F63707">
              <w:rPr>
                <w:rFonts w:ascii="Arial" w:hAnsi="Arial" w:cs="Arial"/>
                <w:sz w:val="18"/>
                <w:szCs w:val="18"/>
              </w:rPr>
              <w:t>5.0–6.4 mg/L</w:t>
            </w:r>
          </w:p>
        </w:tc>
        <w:tc>
          <w:tcPr>
            <w:tcW w:w="0" w:type="auto"/>
            <w:vAlign w:val="center"/>
            <w:hideMark/>
          </w:tcPr>
          <w:p w:rsidR="009F750B" w:rsidRPr="00F63707" w:rsidRDefault="009F750B" w:rsidP="00F63707">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F63707">
              <w:rPr>
                <w:rFonts w:ascii="Arial" w:hAnsi="Arial" w:cs="Arial"/>
                <w:sz w:val="18"/>
                <w:szCs w:val="18"/>
              </w:rPr>
              <w:t>11–14 mg/L</w:t>
            </w:r>
          </w:p>
        </w:tc>
        <w:tc>
          <w:tcPr>
            <w:tcW w:w="0" w:type="auto"/>
            <w:vAlign w:val="center"/>
            <w:hideMark/>
          </w:tcPr>
          <w:p w:rsidR="009F750B" w:rsidRPr="00F63707" w:rsidRDefault="009F750B" w:rsidP="00F63707">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F63707">
              <w:rPr>
                <w:rFonts w:ascii="Arial" w:hAnsi="Arial" w:cs="Arial"/>
                <w:sz w:val="18"/>
                <w:szCs w:val="18"/>
              </w:rPr>
              <w:t>0.9–1.15 mg/L</w:t>
            </w:r>
          </w:p>
        </w:tc>
        <w:tc>
          <w:tcPr>
            <w:tcW w:w="0" w:type="auto"/>
            <w:vAlign w:val="center"/>
            <w:hideMark/>
          </w:tcPr>
          <w:p w:rsidR="009F750B" w:rsidRPr="00F63707" w:rsidRDefault="009F750B" w:rsidP="00F63707">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F63707">
              <w:rPr>
                <w:rFonts w:ascii="Arial" w:hAnsi="Arial" w:cs="Arial"/>
                <w:sz w:val="18"/>
                <w:szCs w:val="18"/>
              </w:rPr>
              <w:t>0.25–0.32 mg/L</w:t>
            </w:r>
          </w:p>
        </w:tc>
        <w:tc>
          <w:tcPr>
            <w:tcW w:w="0" w:type="auto"/>
            <w:vAlign w:val="center"/>
            <w:hideMark/>
          </w:tcPr>
          <w:p w:rsidR="009F750B" w:rsidRPr="00F63707" w:rsidRDefault="009F750B" w:rsidP="00F63707">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F63707">
              <w:rPr>
                <w:rFonts w:ascii="Arial" w:hAnsi="Arial" w:cs="Arial"/>
                <w:sz w:val="18"/>
                <w:szCs w:val="18"/>
              </w:rPr>
              <w:t>N/A</w:t>
            </w:r>
          </w:p>
        </w:tc>
      </w:tr>
      <w:tr w:rsidR="009F750B" w:rsidRPr="00F63707" w:rsidTr="00F6370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rsidR="009F750B" w:rsidRPr="009D44E9" w:rsidRDefault="009F750B">
            <w:pPr>
              <w:rPr>
                <w:rFonts w:ascii="Arial" w:hAnsi="Arial" w:cs="Arial"/>
                <w:b w:val="0"/>
                <w:bCs w:val="0"/>
                <w:sz w:val="18"/>
                <w:szCs w:val="18"/>
              </w:rPr>
            </w:pPr>
            <w:r w:rsidRPr="009D44E9">
              <w:rPr>
                <w:rStyle w:val="Strong"/>
                <w:rFonts w:ascii="Arial" w:hAnsi="Arial" w:cs="Arial"/>
                <w:b/>
                <w:bCs/>
                <w:sz w:val="18"/>
                <w:szCs w:val="18"/>
              </w:rPr>
              <w:t>Bassac River (Tonle Bassac)</w:t>
            </w:r>
          </w:p>
        </w:tc>
        <w:tc>
          <w:tcPr>
            <w:tcW w:w="0" w:type="auto"/>
            <w:vAlign w:val="center"/>
            <w:hideMark/>
          </w:tcPr>
          <w:p w:rsidR="009F750B" w:rsidRPr="00F63707" w:rsidRDefault="009F750B" w:rsidP="00F63707">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F63707">
              <w:rPr>
                <w:rFonts w:ascii="Arial" w:hAnsi="Arial" w:cs="Arial"/>
                <w:sz w:val="18"/>
                <w:szCs w:val="18"/>
              </w:rPr>
              <w:t>~190 km</w:t>
            </w:r>
          </w:p>
        </w:tc>
        <w:tc>
          <w:tcPr>
            <w:tcW w:w="0" w:type="auto"/>
            <w:vAlign w:val="center"/>
            <w:hideMark/>
          </w:tcPr>
          <w:p w:rsidR="009F750B" w:rsidRPr="00F63707" w:rsidRDefault="009F750B" w:rsidP="00F63707">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F63707">
              <w:rPr>
                <w:rFonts w:ascii="Arial" w:hAnsi="Arial" w:cs="Arial"/>
                <w:sz w:val="18"/>
                <w:szCs w:val="18"/>
              </w:rPr>
              <w:t>~3,568 km²</w:t>
            </w:r>
          </w:p>
        </w:tc>
        <w:tc>
          <w:tcPr>
            <w:tcW w:w="0" w:type="auto"/>
            <w:vAlign w:val="center"/>
            <w:hideMark/>
          </w:tcPr>
          <w:p w:rsidR="009F750B" w:rsidRPr="00F63707" w:rsidRDefault="009F750B" w:rsidP="00F63707">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F63707">
              <w:rPr>
                <w:rFonts w:ascii="Arial" w:hAnsi="Arial" w:cs="Arial"/>
                <w:sz w:val="18"/>
                <w:szCs w:val="18"/>
              </w:rPr>
              <w:t>~10,314 m³/s</w:t>
            </w:r>
          </w:p>
        </w:tc>
        <w:tc>
          <w:tcPr>
            <w:tcW w:w="0" w:type="auto"/>
            <w:vAlign w:val="center"/>
            <w:hideMark/>
          </w:tcPr>
          <w:p w:rsidR="009F750B" w:rsidRPr="00F63707" w:rsidRDefault="009F750B" w:rsidP="00F63707">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F63707">
              <w:rPr>
                <w:rFonts w:ascii="Arial" w:hAnsi="Arial" w:cs="Arial"/>
                <w:sz w:val="18"/>
                <w:szCs w:val="18"/>
              </w:rPr>
              <w:t>6–8 mg/L</w:t>
            </w:r>
          </w:p>
        </w:tc>
        <w:tc>
          <w:tcPr>
            <w:tcW w:w="0" w:type="auto"/>
            <w:vAlign w:val="center"/>
            <w:hideMark/>
          </w:tcPr>
          <w:p w:rsidR="009F750B" w:rsidRPr="00F63707" w:rsidRDefault="009F750B" w:rsidP="00F63707">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F63707">
              <w:rPr>
                <w:rFonts w:ascii="Arial" w:hAnsi="Arial" w:cs="Arial"/>
                <w:sz w:val="18"/>
                <w:szCs w:val="18"/>
              </w:rPr>
              <w:t>300–2,030 mg/L</w:t>
            </w:r>
          </w:p>
        </w:tc>
        <w:tc>
          <w:tcPr>
            <w:tcW w:w="0" w:type="auto"/>
            <w:vAlign w:val="center"/>
            <w:hideMark/>
          </w:tcPr>
          <w:p w:rsidR="009F750B" w:rsidRPr="00F63707" w:rsidRDefault="009F750B" w:rsidP="00F63707">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F63707">
              <w:rPr>
                <w:rFonts w:ascii="Arial" w:hAnsi="Arial" w:cs="Arial"/>
                <w:sz w:val="18"/>
                <w:szCs w:val="18"/>
              </w:rPr>
              <w:t>~40 mg/L</w:t>
            </w:r>
          </w:p>
        </w:tc>
        <w:tc>
          <w:tcPr>
            <w:tcW w:w="0" w:type="auto"/>
            <w:vAlign w:val="center"/>
            <w:hideMark/>
          </w:tcPr>
          <w:p w:rsidR="009F750B" w:rsidRPr="00F63707" w:rsidRDefault="009F750B" w:rsidP="00F63707">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F63707">
              <w:rPr>
                <w:rFonts w:ascii="Arial" w:hAnsi="Arial" w:cs="Arial"/>
                <w:sz w:val="18"/>
                <w:szCs w:val="18"/>
              </w:rPr>
              <w:t>~6 mg/L</w:t>
            </w:r>
          </w:p>
        </w:tc>
        <w:tc>
          <w:tcPr>
            <w:tcW w:w="0" w:type="auto"/>
            <w:vAlign w:val="center"/>
            <w:hideMark/>
          </w:tcPr>
          <w:p w:rsidR="009F750B" w:rsidRPr="00F63707" w:rsidRDefault="009F750B" w:rsidP="00F63707">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F63707">
              <w:rPr>
                <w:rFonts w:ascii="Arial" w:hAnsi="Arial" w:cs="Arial"/>
                <w:sz w:val="18"/>
                <w:szCs w:val="18"/>
              </w:rPr>
              <w:t>~1,000 MPN/100 mL</w:t>
            </w:r>
          </w:p>
        </w:tc>
      </w:tr>
    </w:tbl>
    <w:p w:rsidR="009F750B" w:rsidRPr="00B94585" w:rsidRDefault="009F750B" w:rsidP="009F750B">
      <w:pPr>
        <w:rPr>
          <w:rFonts w:ascii="Arial" w:hAnsi="Arial" w:cs="Arial"/>
          <w:i/>
          <w:iCs/>
          <w:sz w:val="21"/>
          <w:szCs w:val="21"/>
        </w:rPr>
      </w:pPr>
      <w:r w:rsidRPr="00B94585">
        <w:rPr>
          <w:rFonts w:ascii="Arial" w:hAnsi="Arial" w:cs="Arial"/>
          <w:b/>
          <w:bCs/>
          <w:i/>
          <w:iCs/>
          <w:sz w:val="18"/>
          <w:szCs w:val="18"/>
        </w:rPr>
        <w:t>Source:</w:t>
      </w:r>
      <w:r w:rsidRPr="00B94585">
        <w:rPr>
          <w:rFonts w:ascii="Arial" w:hAnsi="Arial" w:cs="Arial"/>
          <w:i/>
          <w:iCs/>
          <w:sz w:val="18"/>
          <w:szCs w:val="18"/>
        </w:rPr>
        <w:t xml:space="preserve"> MoE</w:t>
      </w:r>
      <w:r w:rsidR="00F63707" w:rsidRPr="00B94585">
        <w:rPr>
          <w:rFonts w:ascii="Arial" w:hAnsi="Arial" w:cs="Arial"/>
          <w:i/>
          <w:iCs/>
          <w:sz w:val="18"/>
          <w:szCs w:val="18"/>
        </w:rPr>
        <w:t>/WEPA</w:t>
      </w:r>
      <w:r w:rsidRPr="00B94585">
        <w:rPr>
          <w:rFonts w:ascii="Arial" w:hAnsi="Arial" w:cs="Arial"/>
          <w:i/>
          <w:iCs/>
          <w:sz w:val="18"/>
          <w:szCs w:val="18"/>
        </w:rPr>
        <w:t>, 2023; MRC, 2020-2022, JICA, 2010-2013</w:t>
      </w:r>
      <w:r w:rsidR="00F63707" w:rsidRPr="00B94585">
        <w:rPr>
          <w:rFonts w:ascii="Arial" w:hAnsi="Arial" w:cs="Arial"/>
          <w:i/>
          <w:iCs/>
          <w:sz w:val="18"/>
          <w:szCs w:val="18"/>
        </w:rPr>
        <w:t>.</w:t>
      </w:r>
    </w:p>
    <w:p w:rsidR="009F750B" w:rsidRPr="006832DA" w:rsidRDefault="00C01FBE" w:rsidP="006832DA">
      <w:pPr>
        <w:pStyle w:val="Heading4"/>
        <w:spacing w:before="240" w:after="120"/>
        <w:rPr>
          <w:rFonts w:ascii="Arial" w:hAnsi="Arial" w:cs="Arial"/>
          <w:b/>
          <w:bCs/>
          <w:i w:val="0"/>
          <w:iCs w:val="0"/>
          <w:sz w:val="22"/>
          <w:szCs w:val="22"/>
        </w:rPr>
      </w:pPr>
      <w:r w:rsidRPr="006832DA">
        <w:rPr>
          <w:rFonts w:ascii="Arial" w:hAnsi="Arial" w:cs="Arial"/>
          <w:b/>
          <w:bCs/>
          <w:i w:val="0"/>
          <w:iCs w:val="0"/>
          <w:sz w:val="22"/>
          <w:szCs w:val="22"/>
        </w:rPr>
        <w:t>3.2.1.</w:t>
      </w:r>
      <w:r w:rsidR="00F63707" w:rsidRPr="006832DA">
        <w:rPr>
          <w:rFonts w:ascii="Arial" w:hAnsi="Arial" w:cs="Arial"/>
          <w:b/>
          <w:bCs/>
          <w:i w:val="0"/>
          <w:iCs w:val="0"/>
          <w:sz w:val="22"/>
          <w:szCs w:val="22"/>
        </w:rPr>
        <w:t>3</w:t>
      </w:r>
      <w:r w:rsidRPr="006832DA">
        <w:rPr>
          <w:rFonts w:ascii="Arial" w:hAnsi="Arial" w:cs="Arial"/>
          <w:b/>
          <w:bCs/>
          <w:i w:val="0"/>
          <w:iCs w:val="0"/>
          <w:sz w:val="22"/>
          <w:szCs w:val="22"/>
        </w:rPr>
        <w:t xml:space="preserve"> </w:t>
      </w:r>
      <w:r w:rsidR="00A464F6" w:rsidRPr="006832DA">
        <w:rPr>
          <w:rFonts w:ascii="Arial" w:hAnsi="Arial" w:cs="Arial"/>
          <w:b/>
          <w:bCs/>
          <w:i w:val="0"/>
          <w:iCs w:val="0"/>
          <w:sz w:val="22"/>
          <w:szCs w:val="22"/>
        </w:rPr>
        <w:t>Marine and Coastal Water Quality</w:t>
      </w:r>
    </w:p>
    <w:p w:rsidR="00A07876" w:rsidRPr="00A07876" w:rsidRDefault="00A07876" w:rsidP="00A07876">
      <w:pPr>
        <w:pStyle w:val="NormalWeb"/>
        <w:jc w:val="both"/>
        <w:rPr>
          <w:rFonts w:ascii="Arial" w:hAnsi="Arial" w:cs="Arial"/>
          <w:sz w:val="22"/>
          <w:szCs w:val="22"/>
        </w:rPr>
      </w:pPr>
      <w:r w:rsidRPr="00A07876">
        <w:rPr>
          <w:rFonts w:ascii="Arial" w:hAnsi="Arial" w:cs="Arial"/>
          <w:sz w:val="22"/>
          <w:szCs w:val="22"/>
        </w:rPr>
        <w:t xml:space="preserve">Offshore waters generally remain in moderate condition, with </w:t>
      </w:r>
      <w:r w:rsidRPr="00A07876">
        <w:rPr>
          <w:rStyle w:val="Strong"/>
          <w:rFonts w:ascii="Arial" w:hAnsi="Arial" w:cs="Arial"/>
          <w:sz w:val="22"/>
          <w:szCs w:val="22"/>
        </w:rPr>
        <w:t>DO ~5 mg/L</w:t>
      </w:r>
      <w:r w:rsidRPr="00A07876">
        <w:rPr>
          <w:rFonts w:ascii="Arial" w:hAnsi="Arial" w:cs="Arial"/>
          <w:sz w:val="22"/>
          <w:szCs w:val="22"/>
        </w:rPr>
        <w:t xml:space="preserve">, </w:t>
      </w:r>
      <w:r w:rsidRPr="00A07876">
        <w:rPr>
          <w:rStyle w:val="Strong"/>
          <w:rFonts w:ascii="Arial" w:hAnsi="Arial" w:cs="Arial"/>
          <w:sz w:val="22"/>
          <w:szCs w:val="22"/>
        </w:rPr>
        <w:t>TN 0.2–1.0 mg/L</w:t>
      </w:r>
      <w:r w:rsidRPr="00A07876">
        <w:rPr>
          <w:rFonts w:ascii="Arial" w:hAnsi="Arial" w:cs="Arial"/>
          <w:sz w:val="22"/>
          <w:szCs w:val="22"/>
        </w:rPr>
        <w:t xml:space="preserve">, and </w:t>
      </w:r>
      <w:r w:rsidRPr="00A07876">
        <w:rPr>
          <w:rStyle w:val="Strong"/>
          <w:rFonts w:ascii="Arial" w:hAnsi="Arial" w:cs="Arial"/>
          <w:sz w:val="22"/>
          <w:szCs w:val="22"/>
        </w:rPr>
        <w:t>TP 0.02–0.09 mg/L</w:t>
      </w:r>
      <w:r w:rsidRPr="00A07876">
        <w:rPr>
          <w:rFonts w:ascii="Arial" w:hAnsi="Arial" w:cs="Arial"/>
          <w:sz w:val="22"/>
          <w:szCs w:val="22"/>
        </w:rPr>
        <w:t xml:space="preserve">, indicating slightly nutrient-enriched but non-hypoxic conditions (MoE/PEMSEA, 2018). In contrast, nearshore estuaries show strong deterioration: </w:t>
      </w:r>
      <w:r w:rsidRPr="00A07876">
        <w:rPr>
          <w:rStyle w:val="Strong"/>
          <w:rFonts w:ascii="Arial" w:hAnsi="Arial" w:cs="Arial"/>
          <w:sz w:val="22"/>
          <w:szCs w:val="22"/>
        </w:rPr>
        <w:t>NO</w:t>
      </w:r>
      <w:r w:rsidRPr="00A07876">
        <w:rPr>
          <w:rStyle w:val="Strong"/>
          <w:rFonts w:ascii="Cambria Math" w:hAnsi="Cambria Math" w:cs="Cambria Math"/>
          <w:sz w:val="22"/>
          <w:szCs w:val="22"/>
        </w:rPr>
        <w:t>₃⁻</w:t>
      </w:r>
      <w:r w:rsidRPr="00A07876">
        <w:rPr>
          <w:rStyle w:val="Strong"/>
          <w:rFonts w:ascii="Arial" w:hAnsi="Arial" w:cs="Arial"/>
          <w:sz w:val="22"/>
          <w:szCs w:val="22"/>
        </w:rPr>
        <w:t xml:space="preserve"> has risen to 2.0–2.6 mg/L</w:t>
      </w:r>
      <w:r w:rsidRPr="00A07876">
        <w:rPr>
          <w:rFonts w:ascii="Arial" w:hAnsi="Arial" w:cs="Arial"/>
          <w:sz w:val="22"/>
          <w:szCs w:val="22"/>
        </w:rPr>
        <w:t xml:space="preserve"> and </w:t>
      </w:r>
      <w:r w:rsidRPr="00A07876">
        <w:rPr>
          <w:rStyle w:val="Strong"/>
          <w:rFonts w:ascii="Arial" w:hAnsi="Arial" w:cs="Arial"/>
          <w:sz w:val="22"/>
          <w:szCs w:val="22"/>
        </w:rPr>
        <w:t>PO</w:t>
      </w:r>
      <w:r w:rsidRPr="00A07876">
        <w:rPr>
          <w:rStyle w:val="Strong"/>
          <w:rFonts w:ascii="Cambria Math" w:hAnsi="Cambria Math" w:cs="Cambria Math"/>
          <w:sz w:val="22"/>
          <w:szCs w:val="22"/>
        </w:rPr>
        <w:t>₄</w:t>
      </w:r>
      <w:r w:rsidRPr="00A07876">
        <w:rPr>
          <w:rStyle w:val="Strong"/>
          <w:rFonts w:ascii="Arial" w:hAnsi="Arial" w:cs="Arial"/>
          <w:sz w:val="22"/>
          <w:szCs w:val="22"/>
        </w:rPr>
        <w:t>³</w:t>
      </w:r>
      <w:r w:rsidRPr="00A07876">
        <w:rPr>
          <w:rStyle w:val="Strong"/>
          <w:rFonts w:ascii="Cambria Math" w:hAnsi="Cambria Math" w:cs="Cambria Math"/>
          <w:sz w:val="22"/>
          <w:szCs w:val="22"/>
        </w:rPr>
        <w:t>⁻</w:t>
      </w:r>
      <w:r w:rsidRPr="00A07876">
        <w:rPr>
          <w:rStyle w:val="Strong"/>
          <w:rFonts w:ascii="Arial" w:hAnsi="Arial" w:cs="Arial"/>
          <w:sz w:val="22"/>
          <w:szCs w:val="22"/>
        </w:rPr>
        <w:t xml:space="preserve"> to 0.7–0.8 mg/L</w:t>
      </w:r>
      <w:r w:rsidRPr="00A07876">
        <w:rPr>
          <w:rFonts w:ascii="Arial" w:hAnsi="Arial" w:cs="Arial"/>
          <w:sz w:val="22"/>
          <w:szCs w:val="22"/>
        </w:rPr>
        <w:t xml:space="preserve">, exceeding ASEAN thresholds and reflecting growing inputs from agriculture, aquaculture and untreated wastewater (MoE 2023). TSS remains low offshore (1–15 mg/L) but can exceed </w:t>
      </w:r>
      <w:r w:rsidRPr="00A07876">
        <w:rPr>
          <w:rStyle w:val="Strong"/>
          <w:rFonts w:ascii="Arial" w:hAnsi="Arial" w:cs="Arial"/>
          <w:sz w:val="22"/>
          <w:szCs w:val="22"/>
        </w:rPr>
        <w:t>250–320 mg/L</w:t>
      </w:r>
      <w:r w:rsidRPr="00A07876">
        <w:rPr>
          <w:rFonts w:ascii="Arial" w:hAnsi="Arial" w:cs="Arial"/>
          <w:sz w:val="22"/>
          <w:szCs w:val="22"/>
        </w:rPr>
        <w:t xml:space="preserve"> in monsoon-affected estuaries such as Kampot Bay.</w:t>
      </w:r>
    </w:p>
    <w:p w:rsidR="00A464F6" w:rsidRPr="00A07876" w:rsidRDefault="00A07876" w:rsidP="00A07876">
      <w:pPr>
        <w:pStyle w:val="NormalWeb"/>
        <w:jc w:val="both"/>
        <w:rPr>
          <w:rFonts w:ascii="Arial" w:hAnsi="Arial" w:cs="Arial"/>
          <w:sz w:val="22"/>
          <w:szCs w:val="22"/>
        </w:rPr>
      </w:pPr>
      <w:r w:rsidRPr="00A07876">
        <w:rPr>
          <w:rFonts w:ascii="Arial" w:hAnsi="Arial" w:cs="Arial"/>
          <w:sz w:val="22"/>
          <w:szCs w:val="22"/>
        </w:rPr>
        <w:t xml:space="preserve">Microbial contamination is widespread. Monitoring reports </w:t>
      </w:r>
      <w:r w:rsidRPr="00A07876">
        <w:rPr>
          <w:rStyle w:val="Strong"/>
          <w:rFonts w:ascii="Arial" w:hAnsi="Arial" w:cs="Arial"/>
          <w:sz w:val="22"/>
          <w:szCs w:val="22"/>
        </w:rPr>
        <w:t>4,300 MPN/100 mL</w:t>
      </w:r>
      <w:r w:rsidRPr="00A07876">
        <w:rPr>
          <w:rFonts w:ascii="Arial" w:hAnsi="Arial" w:cs="Arial"/>
          <w:sz w:val="22"/>
          <w:szCs w:val="22"/>
        </w:rPr>
        <w:t xml:space="preserve"> in Kep (ADB 2022) and </w:t>
      </w:r>
      <w:r w:rsidRPr="00A07876">
        <w:rPr>
          <w:rStyle w:val="Strong"/>
          <w:rFonts w:ascii="Arial" w:hAnsi="Arial" w:cs="Arial"/>
          <w:sz w:val="22"/>
          <w:szCs w:val="22"/>
        </w:rPr>
        <w:t>&gt;10⁵ CFU/100 mL</w:t>
      </w:r>
      <w:r w:rsidRPr="00A07876">
        <w:rPr>
          <w:rFonts w:ascii="Arial" w:hAnsi="Arial" w:cs="Arial"/>
          <w:sz w:val="22"/>
          <w:szCs w:val="22"/>
        </w:rPr>
        <w:t xml:space="preserve"> near Prek Toeuk Sap and Ream in Sihanoukville (MoE 2023), driven by sewage and tourism discharges. Hydrocarbon pollution near Sihanoukville Port is persistent, with </w:t>
      </w:r>
      <w:r w:rsidRPr="00A07876">
        <w:rPr>
          <w:rStyle w:val="Strong"/>
          <w:rFonts w:ascii="Arial" w:hAnsi="Arial" w:cs="Arial"/>
          <w:sz w:val="22"/>
          <w:szCs w:val="22"/>
        </w:rPr>
        <w:t>TPH ~0.7 mg/L</w:t>
      </w:r>
      <w:r w:rsidRPr="00A07876">
        <w:rPr>
          <w:rFonts w:ascii="Arial" w:hAnsi="Arial" w:cs="Arial"/>
          <w:sz w:val="22"/>
          <w:szCs w:val="22"/>
        </w:rPr>
        <w:t xml:space="preserve"> and </w:t>
      </w:r>
      <w:r w:rsidRPr="00A07876">
        <w:rPr>
          <w:rStyle w:val="Strong"/>
          <w:rFonts w:ascii="Arial" w:hAnsi="Arial" w:cs="Arial"/>
          <w:sz w:val="22"/>
          <w:szCs w:val="22"/>
        </w:rPr>
        <w:t>oil &amp; grease ~12 mg/L</w:t>
      </w:r>
      <w:r w:rsidRPr="00A07876">
        <w:rPr>
          <w:rFonts w:ascii="Arial" w:hAnsi="Arial" w:cs="Arial"/>
          <w:sz w:val="22"/>
          <w:szCs w:val="22"/>
        </w:rPr>
        <w:t>, both above national limits.Harmful algal blooms are occasional; two events were reported in Kep in 2016, though no major recent events are documented. While Cambodia has no confirmed persistent hypoxic zones, several semi-enclosed inlets (e.g., Kampot estuary, Trapeang Ropov) show seasonal low DO and recurring eutrophication signals (MoE 2023).</w:t>
      </w:r>
    </w:p>
    <w:p w:rsidR="00A464F6" w:rsidRPr="006832DA" w:rsidRDefault="00A464F6" w:rsidP="006832DA">
      <w:pPr>
        <w:pStyle w:val="Heading4"/>
        <w:spacing w:before="240" w:after="120"/>
        <w:rPr>
          <w:rFonts w:ascii="Arial" w:hAnsi="Arial" w:cs="Arial"/>
          <w:b/>
          <w:bCs/>
          <w:i w:val="0"/>
          <w:iCs w:val="0"/>
          <w:sz w:val="22"/>
          <w:szCs w:val="22"/>
        </w:rPr>
      </w:pPr>
      <w:r w:rsidRPr="006832DA">
        <w:rPr>
          <w:rFonts w:ascii="Arial" w:hAnsi="Arial" w:cs="Arial"/>
          <w:b/>
          <w:bCs/>
          <w:i w:val="0"/>
          <w:iCs w:val="0"/>
          <w:sz w:val="22"/>
          <w:szCs w:val="22"/>
        </w:rPr>
        <w:t>3.2.1.</w:t>
      </w:r>
      <w:r w:rsidR="00F63707" w:rsidRPr="006832DA">
        <w:rPr>
          <w:rFonts w:ascii="Arial" w:hAnsi="Arial" w:cs="Arial"/>
          <w:b/>
          <w:bCs/>
          <w:i w:val="0"/>
          <w:iCs w:val="0"/>
          <w:sz w:val="22"/>
          <w:szCs w:val="22"/>
        </w:rPr>
        <w:t>4</w:t>
      </w:r>
      <w:r w:rsidRPr="006832DA">
        <w:rPr>
          <w:rFonts w:ascii="Arial" w:hAnsi="Arial" w:cs="Arial"/>
          <w:b/>
          <w:bCs/>
          <w:i w:val="0"/>
          <w:iCs w:val="0"/>
          <w:sz w:val="22"/>
          <w:szCs w:val="22"/>
        </w:rPr>
        <w:t xml:space="preserve"> Domestic and industrial wastewater</w:t>
      </w:r>
    </w:p>
    <w:p w:rsidR="00A464F6" w:rsidRPr="003D13CD" w:rsidRDefault="00A464F6" w:rsidP="00C01FBE">
      <w:pPr>
        <w:pStyle w:val="NormalWeb"/>
        <w:jc w:val="both"/>
        <w:rPr>
          <w:rFonts w:ascii="Arial" w:hAnsi="Arial" w:cs="Arial"/>
          <w:sz w:val="22"/>
          <w:szCs w:val="22"/>
        </w:rPr>
      </w:pPr>
      <w:r w:rsidRPr="003D13CD">
        <w:rPr>
          <w:rFonts w:ascii="Arial" w:hAnsi="Arial" w:cs="Arial"/>
          <w:sz w:val="22"/>
          <w:szCs w:val="22"/>
        </w:rPr>
        <w:t xml:space="preserve">In 2019–2023, combined design capacity of major urban WWTPs (Phnom Penh, Preah Sihanouk, Siem Reap, Battambang) was about </w:t>
      </w:r>
      <w:r w:rsidRPr="003D13CD">
        <w:rPr>
          <w:rStyle w:val="Strong"/>
          <w:rFonts w:ascii="Arial" w:eastAsiaTheme="majorEastAsia" w:hAnsi="Arial" w:cs="Arial"/>
          <w:sz w:val="22"/>
          <w:szCs w:val="22"/>
        </w:rPr>
        <w:t>35,000–40,000 m³/day</w:t>
      </w:r>
      <w:r w:rsidRPr="003D13CD">
        <w:rPr>
          <w:rFonts w:ascii="Arial" w:hAnsi="Arial" w:cs="Arial"/>
          <w:sz w:val="22"/>
          <w:szCs w:val="22"/>
        </w:rPr>
        <w:t xml:space="preserve"> (≈11–13 million m³/year), while estimated urban wastewater generation is several times higher (JICA, 2015; WEPA, 2023). Nationally, </w:t>
      </w:r>
      <w:r w:rsidR="0086056C" w:rsidRPr="003D13CD">
        <w:rPr>
          <w:rFonts w:ascii="Arial" w:hAnsi="Arial" w:cs="Arial"/>
          <w:sz w:val="22"/>
          <w:szCs w:val="22"/>
        </w:rPr>
        <w:t>centralized</w:t>
      </w:r>
      <w:r w:rsidRPr="003D13CD">
        <w:rPr>
          <w:rFonts w:ascii="Arial" w:hAnsi="Arial" w:cs="Arial"/>
          <w:sz w:val="22"/>
          <w:szCs w:val="22"/>
        </w:rPr>
        <w:t xml:space="preserve"> plants were estimated to treat only </w:t>
      </w:r>
      <w:r w:rsidRPr="003D13CD">
        <w:rPr>
          <w:rStyle w:val="Strong"/>
          <w:rFonts w:ascii="Arial" w:eastAsiaTheme="majorEastAsia" w:hAnsi="Arial" w:cs="Arial"/>
          <w:sz w:val="22"/>
          <w:szCs w:val="22"/>
        </w:rPr>
        <w:t>around 5% of urban wastewater</w:t>
      </w:r>
      <w:r w:rsidRPr="003D13CD">
        <w:rPr>
          <w:rFonts w:ascii="Arial" w:hAnsi="Arial" w:cs="Arial"/>
          <w:sz w:val="22"/>
          <w:szCs w:val="22"/>
        </w:rPr>
        <w:t xml:space="preserve"> in 2019, with the remainder managed by septic tanks, on-site systems or discharged untreated (WEPA, 2023; Metawater, 2024).</w:t>
      </w:r>
    </w:p>
    <w:p w:rsidR="001D4F20" w:rsidRPr="003D13CD" w:rsidRDefault="00A464F6" w:rsidP="001D4F20">
      <w:pPr>
        <w:pStyle w:val="NormalWeb"/>
        <w:jc w:val="both"/>
        <w:rPr>
          <w:rFonts w:ascii="Arial" w:hAnsi="Arial" w:cs="Arial"/>
          <w:sz w:val="22"/>
          <w:szCs w:val="22"/>
        </w:rPr>
      </w:pPr>
      <w:r w:rsidRPr="003D13CD">
        <w:rPr>
          <w:rFonts w:ascii="Arial" w:hAnsi="Arial" w:cs="Arial"/>
          <w:sz w:val="22"/>
          <w:szCs w:val="22"/>
        </w:rPr>
        <w:t xml:space="preserve">In the coastal provinces, sewerage coverage is especially low. Recent project information indicates operating WWTPs in </w:t>
      </w:r>
      <w:r w:rsidRPr="003D13CD">
        <w:rPr>
          <w:rStyle w:val="Strong"/>
          <w:rFonts w:ascii="Arial" w:eastAsiaTheme="majorEastAsia" w:hAnsi="Arial" w:cs="Arial"/>
          <w:sz w:val="22"/>
          <w:szCs w:val="22"/>
        </w:rPr>
        <w:t>Preah Sihanouk (≈32,400 m³/day)</w:t>
      </w:r>
      <w:r w:rsidRPr="003D13CD">
        <w:rPr>
          <w:rFonts w:ascii="Arial" w:hAnsi="Arial" w:cs="Arial"/>
          <w:sz w:val="22"/>
          <w:szCs w:val="22"/>
        </w:rPr>
        <w:t xml:space="preserve"> and smaller plants in </w:t>
      </w:r>
      <w:r w:rsidRPr="003D13CD">
        <w:rPr>
          <w:rStyle w:val="Strong"/>
          <w:rFonts w:ascii="Arial" w:eastAsiaTheme="majorEastAsia" w:hAnsi="Arial" w:cs="Arial"/>
          <w:sz w:val="22"/>
          <w:szCs w:val="22"/>
        </w:rPr>
        <w:t>Kampot and Kep</w:t>
      </w:r>
      <w:r w:rsidRPr="003D13CD">
        <w:rPr>
          <w:rFonts w:ascii="Arial" w:hAnsi="Arial" w:cs="Arial"/>
          <w:sz w:val="22"/>
          <w:szCs w:val="22"/>
        </w:rPr>
        <w:t xml:space="preserve">, but less than </w:t>
      </w:r>
      <w:r w:rsidRPr="003D13CD">
        <w:rPr>
          <w:rStyle w:val="Strong"/>
          <w:rFonts w:ascii="Arial" w:eastAsiaTheme="majorEastAsia" w:hAnsi="Arial" w:cs="Arial"/>
          <w:sz w:val="22"/>
          <w:szCs w:val="22"/>
        </w:rPr>
        <w:t>20%</w:t>
      </w:r>
      <w:r w:rsidRPr="003D13CD">
        <w:rPr>
          <w:rFonts w:ascii="Arial" w:hAnsi="Arial" w:cs="Arial"/>
          <w:sz w:val="22"/>
          <w:szCs w:val="22"/>
        </w:rPr>
        <w:t xml:space="preserve"> of sewage in key coastal towns is captured and treated (ADB, 2022; MoE, 2023). Household surveys suggest that </w:t>
      </w:r>
      <w:r w:rsidRPr="003D13CD">
        <w:rPr>
          <w:rStyle w:val="Strong"/>
          <w:rFonts w:ascii="Arial" w:eastAsiaTheme="majorEastAsia" w:hAnsi="Arial" w:cs="Arial"/>
          <w:sz w:val="22"/>
          <w:szCs w:val="22"/>
        </w:rPr>
        <w:t>fewer than 10%</w:t>
      </w:r>
      <w:r w:rsidRPr="003D13CD">
        <w:rPr>
          <w:rFonts w:ascii="Arial" w:hAnsi="Arial" w:cs="Arial"/>
          <w:sz w:val="22"/>
          <w:szCs w:val="22"/>
        </w:rPr>
        <w:t xml:space="preserve"> of households in coastal cities are connected to any </w:t>
      </w:r>
      <w:r w:rsidR="009D44E9">
        <w:rPr>
          <w:rFonts w:ascii="Arial" w:hAnsi="Arial" w:cs="Arial"/>
          <w:sz w:val="22"/>
          <w:szCs w:val="22"/>
        </w:rPr>
        <w:t>urbanization</w:t>
      </w:r>
      <w:r w:rsidRPr="003D13CD">
        <w:rPr>
          <w:rFonts w:ascii="Arial" w:hAnsi="Arial" w:cs="Arial"/>
          <w:sz w:val="22"/>
          <w:szCs w:val="22"/>
        </w:rPr>
        <w:t xml:space="preserve"> system, with most relying on septic tanks that often overflow to drains and canals during the rainy season.</w:t>
      </w:r>
      <w:r w:rsidR="001D4F20">
        <w:rPr>
          <w:rFonts w:ascii="Arial" w:hAnsi="Arial" w:cs="Arial"/>
          <w:sz w:val="22"/>
          <w:szCs w:val="22"/>
        </w:rPr>
        <w:t xml:space="preserve"> </w:t>
      </w:r>
      <w:r w:rsidRPr="003D13CD">
        <w:rPr>
          <w:rFonts w:ascii="Arial" w:hAnsi="Arial" w:cs="Arial"/>
          <w:sz w:val="22"/>
          <w:szCs w:val="22"/>
        </w:rPr>
        <w:t xml:space="preserve">MoE monitoring in 2023 recorded </w:t>
      </w:r>
      <w:r w:rsidRPr="003D13CD">
        <w:rPr>
          <w:rStyle w:val="Strong"/>
          <w:rFonts w:ascii="Arial" w:eastAsiaTheme="majorEastAsia" w:hAnsi="Arial" w:cs="Arial"/>
          <w:sz w:val="22"/>
          <w:szCs w:val="22"/>
        </w:rPr>
        <w:t>BOD 20–50 mg/L</w:t>
      </w:r>
      <w:r w:rsidRPr="003D13CD">
        <w:rPr>
          <w:rFonts w:ascii="Arial" w:hAnsi="Arial" w:cs="Arial"/>
          <w:sz w:val="22"/>
          <w:szCs w:val="22"/>
        </w:rPr>
        <w:t xml:space="preserve">, </w:t>
      </w:r>
      <w:r w:rsidRPr="003D13CD">
        <w:rPr>
          <w:rStyle w:val="Strong"/>
          <w:rFonts w:ascii="Arial" w:eastAsiaTheme="majorEastAsia" w:hAnsi="Arial" w:cs="Arial"/>
          <w:sz w:val="22"/>
          <w:szCs w:val="22"/>
        </w:rPr>
        <w:t>NH</w:t>
      </w:r>
      <w:r w:rsidRPr="003D13CD">
        <w:rPr>
          <w:rStyle w:val="Strong"/>
          <w:rFonts w:ascii="Cambria Math" w:eastAsiaTheme="majorEastAsia" w:hAnsi="Cambria Math" w:cs="Cambria Math"/>
          <w:sz w:val="22"/>
          <w:szCs w:val="22"/>
        </w:rPr>
        <w:t>₃</w:t>
      </w:r>
      <w:r w:rsidRPr="003D13CD">
        <w:rPr>
          <w:rStyle w:val="Strong"/>
          <w:rFonts w:ascii="Arial" w:eastAsiaTheme="majorEastAsia" w:hAnsi="Arial" w:cs="Arial"/>
          <w:sz w:val="22"/>
          <w:szCs w:val="22"/>
        </w:rPr>
        <w:t>-N 1–5 mg/L</w:t>
      </w:r>
      <w:r w:rsidRPr="003D13CD">
        <w:rPr>
          <w:rFonts w:ascii="Arial" w:hAnsi="Arial" w:cs="Arial"/>
          <w:sz w:val="22"/>
          <w:szCs w:val="22"/>
        </w:rPr>
        <w:t xml:space="preserve">, </w:t>
      </w:r>
      <w:r w:rsidRPr="003D13CD">
        <w:rPr>
          <w:rStyle w:val="Strong"/>
          <w:rFonts w:ascii="Arial" w:eastAsiaTheme="majorEastAsia" w:hAnsi="Arial" w:cs="Arial"/>
          <w:sz w:val="22"/>
          <w:szCs w:val="22"/>
        </w:rPr>
        <w:t>TSS 80–120 mg/L</w:t>
      </w:r>
      <w:r w:rsidRPr="003D13CD">
        <w:rPr>
          <w:rFonts w:ascii="Arial" w:hAnsi="Arial" w:cs="Arial"/>
          <w:sz w:val="22"/>
          <w:szCs w:val="22"/>
        </w:rPr>
        <w:t xml:space="preserve"> and </w:t>
      </w:r>
      <w:r w:rsidRPr="003D13CD">
        <w:rPr>
          <w:rStyle w:val="Strong"/>
          <w:rFonts w:ascii="Arial" w:eastAsiaTheme="majorEastAsia" w:hAnsi="Arial" w:cs="Arial"/>
          <w:sz w:val="22"/>
          <w:szCs w:val="22"/>
        </w:rPr>
        <w:t>faecal coliforms 10⁴–10⁵ CFU/100 mL</w:t>
      </w:r>
      <w:r w:rsidRPr="003D13CD">
        <w:rPr>
          <w:rFonts w:ascii="Arial" w:hAnsi="Arial" w:cs="Arial"/>
          <w:sz w:val="22"/>
          <w:szCs w:val="22"/>
        </w:rPr>
        <w:t xml:space="preserve"> in urban canals of Sihanoukville and Kampot—above national effluent and ambient standards under the Sub-Decree on Water Pollution Control (1999).</w:t>
      </w:r>
    </w:p>
    <w:p w:rsidR="00F63707" w:rsidRPr="006832DA" w:rsidRDefault="00F63707" w:rsidP="006832DA">
      <w:pPr>
        <w:pStyle w:val="Heading4"/>
        <w:spacing w:before="240" w:after="120"/>
        <w:rPr>
          <w:rFonts w:ascii="Arial" w:hAnsi="Arial" w:cs="Arial"/>
          <w:b/>
          <w:bCs/>
          <w:i w:val="0"/>
          <w:iCs w:val="0"/>
          <w:sz w:val="22"/>
          <w:szCs w:val="22"/>
        </w:rPr>
      </w:pPr>
      <w:r w:rsidRPr="006832DA">
        <w:rPr>
          <w:rFonts w:ascii="Arial" w:hAnsi="Arial" w:cs="Arial"/>
          <w:b/>
          <w:bCs/>
          <w:i w:val="0"/>
          <w:iCs w:val="0"/>
          <w:sz w:val="22"/>
          <w:szCs w:val="22"/>
        </w:rPr>
        <w:t>3.2.1.5 Industrial and port-related wastewater</w:t>
      </w:r>
    </w:p>
    <w:p w:rsidR="00F63707" w:rsidRPr="003D13CD" w:rsidRDefault="00F63707" w:rsidP="00F63707">
      <w:pPr>
        <w:pStyle w:val="NormalWeb"/>
        <w:jc w:val="both"/>
        <w:rPr>
          <w:rFonts w:ascii="Arial" w:hAnsi="Arial" w:cs="Arial"/>
          <w:sz w:val="22"/>
          <w:szCs w:val="22"/>
        </w:rPr>
      </w:pPr>
      <w:r w:rsidRPr="003D13CD">
        <w:rPr>
          <w:rFonts w:ascii="Arial" w:hAnsi="Arial" w:cs="Arial"/>
          <w:sz w:val="22"/>
          <w:szCs w:val="22"/>
        </w:rPr>
        <w:t xml:space="preserve">Industrial zones and port areas are important </w:t>
      </w:r>
      <w:r w:rsidR="00C766A1">
        <w:rPr>
          <w:rFonts w:ascii="Arial" w:hAnsi="Arial" w:cs="Arial"/>
          <w:sz w:val="22"/>
          <w:szCs w:val="22"/>
        </w:rPr>
        <w:t>urbanized</w:t>
      </w:r>
      <w:r w:rsidRPr="003D13CD">
        <w:rPr>
          <w:rFonts w:ascii="Arial" w:hAnsi="Arial" w:cs="Arial"/>
          <w:sz w:val="22"/>
          <w:szCs w:val="22"/>
        </w:rPr>
        <w:t xml:space="preserve"> sources of wastewater and chemical pollution. At </w:t>
      </w:r>
      <w:r w:rsidRPr="003D13CD">
        <w:rPr>
          <w:rStyle w:val="Strong"/>
          <w:rFonts w:ascii="Arial" w:eastAsiaTheme="majorEastAsia" w:hAnsi="Arial" w:cs="Arial"/>
          <w:sz w:val="22"/>
          <w:szCs w:val="22"/>
        </w:rPr>
        <w:t>Sihanoukville Port SEZ</w:t>
      </w:r>
      <w:r w:rsidRPr="003D13CD">
        <w:rPr>
          <w:rFonts w:ascii="Arial" w:hAnsi="Arial" w:cs="Arial"/>
          <w:sz w:val="22"/>
          <w:szCs w:val="22"/>
        </w:rPr>
        <w:t xml:space="preserve">, a central WWTP with design capacity </w:t>
      </w:r>
      <w:r w:rsidRPr="003D13CD">
        <w:rPr>
          <w:rStyle w:val="Strong"/>
          <w:rFonts w:ascii="Arial" w:eastAsiaTheme="majorEastAsia" w:hAnsi="Arial" w:cs="Arial"/>
          <w:sz w:val="22"/>
          <w:szCs w:val="22"/>
        </w:rPr>
        <w:t>1,500 m³/day</w:t>
      </w:r>
      <w:r w:rsidRPr="003D13CD">
        <w:rPr>
          <w:rFonts w:ascii="Arial" w:hAnsi="Arial" w:cs="Arial"/>
          <w:sz w:val="22"/>
          <w:szCs w:val="22"/>
        </w:rPr>
        <w:t xml:space="preserve"> serves factories in the zone (JICA, 2024/25). Municipal WWTPs now under construction or commissioning in Preah Sihanouk (total planned </w:t>
      </w:r>
      <w:r w:rsidRPr="003D13CD">
        <w:rPr>
          <w:rStyle w:val="Strong"/>
          <w:rFonts w:ascii="Arial" w:eastAsiaTheme="majorEastAsia" w:hAnsi="Arial" w:cs="Arial"/>
          <w:sz w:val="22"/>
          <w:szCs w:val="22"/>
        </w:rPr>
        <w:t>12,000 m³/day</w:t>
      </w:r>
      <w:r w:rsidRPr="003D13CD">
        <w:rPr>
          <w:rFonts w:ascii="Arial" w:hAnsi="Arial" w:cs="Arial"/>
          <w:sz w:val="22"/>
          <w:szCs w:val="22"/>
        </w:rPr>
        <w:t>) will also receive mixed domestic-industrial flows (UNIDO, “Bridge for Cities”).</w:t>
      </w:r>
      <w:r>
        <w:rPr>
          <w:rFonts w:ascii="Arial" w:hAnsi="Arial" w:cs="Arial"/>
          <w:sz w:val="22"/>
          <w:szCs w:val="22"/>
        </w:rPr>
        <w:t xml:space="preserve"> </w:t>
      </w:r>
    </w:p>
    <w:p w:rsidR="00F63707" w:rsidRPr="003D13CD" w:rsidRDefault="00F63707" w:rsidP="00F63707">
      <w:pPr>
        <w:pStyle w:val="NormalWeb"/>
        <w:jc w:val="both"/>
        <w:rPr>
          <w:rFonts w:ascii="Arial" w:hAnsi="Arial" w:cs="Arial"/>
          <w:sz w:val="22"/>
          <w:szCs w:val="22"/>
        </w:rPr>
      </w:pPr>
      <w:r w:rsidRPr="0042339F">
        <w:rPr>
          <w:rFonts w:ascii="Arial" w:hAnsi="Arial" w:cs="Arial"/>
          <w:sz w:val="22"/>
          <w:szCs w:val="22"/>
        </w:rPr>
        <w:t xml:space="preserve">Monitoring of drainage channels in Phnom Penh (Trabek and Tumpun) shows consistently elevated pollutant levels during 2010–2013, with </w:t>
      </w:r>
      <w:r w:rsidRPr="0042339F">
        <w:rPr>
          <w:rStyle w:val="Strong"/>
          <w:rFonts w:ascii="Arial" w:eastAsiaTheme="majorEastAsia" w:hAnsi="Arial" w:cs="Arial"/>
          <w:sz w:val="22"/>
          <w:szCs w:val="22"/>
        </w:rPr>
        <w:t>BOD 100–250 mg/L</w:t>
      </w:r>
      <w:r w:rsidRPr="0042339F">
        <w:rPr>
          <w:rFonts w:ascii="Arial" w:hAnsi="Arial" w:cs="Arial"/>
          <w:sz w:val="22"/>
          <w:szCs w:val="22"/>
        </w:rPr>
        <w:t xml:space="preserve">, </w:t>
      </w:r>
      <w:r w:rsidRPr="0042339F">
        <w:rPr>
          <w:rStyle w:val="Strong"/>
          <w:rFonts w:ascii="Arial" w:eastAsiaTheme="majorEastAsia" w:hAnsi="Arial" w:cs="Arial"/>
          <w:sz w:val="22"/>
          <w:szCs w:val="22"/>
        </w:rPr>
        <w:t>COD 200–380 mg/L</w:t>
      </w:r>
      <w:r w:rsidRPr="0042339F">
        <w:rPr>
          <w:rFonts w:ascii="Arial" w:hAnsi="Arial" w:cs="Arial"/>
          <w:sz w:val="22"/>
          <w:szCs w:val="22"/>
        </w:rPr>
        <w:t xml:space="preserve">, </w:t>
      </w:r>
      <w:r w:rsidRPr="0042339F">
        <w:rPr>
          <w:rStyle w:val="Strong"/>
          <w:rFonts w:ascii="Arial" w:eastAsiaTheme="majorEastAsia" w:hAnsi="Arial" w:cs="Arial"/>
          <w:sz w:val="22"/>
          <w:szCs w:val="22"/>
        </w:rPr>
        <w:t>TSS 300–600 mg/L</w:t>
      </w:r>
      <w:r w:rsidRPr="0042339F">
        <w:rPr>
          <w:rFonts w:ascii="Arial" w:hAnsi="Arial" w:cs="Arial"/>
          <w:sz w:val="22"/>
          <w:szCs w:val="22"/>
        </w:rPr>
        <w:t xml:space="preserve">, </w:t>
      </w:r>
      <w:r w:rsidRPr="0042339F">
        <w:rPr>
          <w:rStyle w:val="Strong"/>
          <w:rFonts w:ascii="Arial" w:eastAsiaTheme="majorEastAsia" w:hAnsi="Arial" w:cs="Arial"/>
          <w:sz w:val="22"/>
          <w:szCs w:val="22"/>
        </w:rPr>
        <w:t>T-N up to 8.1 mg/L</w:t>
      </w:r>
      <w:r w:rsidRPr="0042339F">
        <w:rPr>
          <w:rFonts w:ascii="Arial" w:hAnsi="Arial" w:cs="Arial"/>
          <w:sz w:val="22"/>
          <w:szCs w:val="22"/>
        </w:rPr>
        <w:t xml:space="preserve">, </w:t>
      </w:r>
      <w:r w:rsidRPr="0042339F">
        <w:rPr>
          <w:rStyle w:val="Strong"/>
          <w:rFonts w:ascii="Arial" w:eastAsiaTheme="majorEastAsia" w:hAnsi="Arial" w:cs="Arial"/>
          <w:sz w:val="22"/>
          <w:szCs w:val="22"/>
        </w:rPr>
        <w:t>T-P up to 6.7 mg/L</w:t>
      </w:r>
      <w:r w:rsidRPr="0042339F">
        <w:rPr>
          <w:rFonts w:ascii="Arial" w:hAnsi="Arial" w:cs="Arial"/>
          <w:sz w:val="22"/>
          <w:szCs w:val="22"/>
        </w:rPr>
        <w:t>, and nutrients and Cr⁶</w:t>
      </w:r>
      <w:r w:rsidRPr="0042339F">
        <w:rPr>
          <w:rFonts w:ascii="Cambria Math" w:hAnsi="Cambria Math" w:cs="Cambria Math"/>
          <w:sz w:val="22"/>
          <w:szCs w:val="22"/>
        </w:rPr>
        <w:t>⁺</w:t>
      </w:r>
      <w:r w:rsidRPr="0042339F">
        <w:rPr>
          <w:rFonts w:ascii="Arial" w:hAnsi="Arial" w:cs="Arial"/>
          <w:sz w:val="22"/>
          <w:szCs w:val="22"/>
        </w:rPr>
        <w:t xml:space="preserve"> frequently exceeding standards (JICA, 2016; DPWT/JICA, 2019).</w:t>
      </w:r>
      <w:r w:rsidR="00306F63">
        <w:rPr>
          <w:rFonts w:ascii="Arial" w:hAnsi="Arial" w:cs="Arial"/>
          <w:sz w:val="22"/>
          <w:szCs w:val="22"/>
        </w:rPr>
        <w:t xml:space="preserve"> </w:t>
      </w:r>
      <w:r w:rsidRPr="0042339F">
        <w:rPr>
          <w:rFonts w:ascii="Arial" w:hAnsi="Arial" w:cs="Arial"/>
          <w:sz w:val="22"/>
          <w:szCs w:val="22"/>
        </w:rPr>
        <w:t xml:space="preserve">Inspections in the Sihanoukville-port area in 2023 reported non-compliance with effluent standards in around </w:t>
      </w:r>
      <w:r w:rsidRPr="0042339F">
        <w:rPr>
          <w:rStyle w:val="Strong"/>
          <w:rFonts w:ascii="Arial" w:eastAsiaTheme="majorEastAsia" w:hAnsi="Arial" w:cs="Arial"/>
          <w:sz w:val="22"/>
          <w:szCs w:val="22"/>
        </w:rPr>
        <w:t>60%</w:t>
      </w:r>
      <w:r w:rsidRPr="0042339F">
        <w:rPr>
          <w:rFonts w:ascii="Arial" w:hAnsi="Arial" w:cs="Arial"/>
          <w:sz w:val="22"/>
          <w:szCs w:val="22"/>
        </w:rPr>
        <w:t xml:space="preserve"> of inspected facilities. Sample results near the port showed </w:t>
      </w:r>
      <w:r w:rsidRPr="0042339F">
        <w:rPr>
          <w:rStyle w:val="Strong"/>
          <w:rFonts w:ascii="Arial" w:eastAsiaTheme="majorEastAsia" w:hAnsi="Arial" w:cs="Arial"/>
          <w:sz w:val="22"/>
          <w:szCs w:val="22"/>
        </w:rPr>
        <w:t>oil and grease ≈12 mg/L</w:t>
      </w:r>
      <w:r w:rsidRPr="0042339F">
        <w:rPr>
          <w:rFonts w:ascii="Arial" w:hAnsi="Arial" w:cs="Arial"/>
          <w:sz w:val="22"/>
          <w:szCs w:val="22"/>
        </w:rPr>
        <w:t xml:space="preserve">, </w:t>
      </w:r>
      <w:r w:rsidRPr="0042339F">
        <w:rPr>
          <w:rStyle w:val="Strong"/>
          <w:rFonts w:ascii="Arial" w:eastAsiaTheme="majorEastAsia" w:hAnsi="Arial" w:cs="Arial"/>
          <w:sz w:val="22"/>
          <w:szCs w:val="22"/>
        </w:rPr>
        <w:t>TPH ≈0.7 mg/L</w:t>
      </w:r>
      <w:r w:rsidRPr="0042339F">
        <w:rPr>
          <w:rFonts w:ascii="Arial" w:hAnsi="Arial" w:cs="Arial"/>
          <w:sz w:val="22"/>
          <w:szCs w:val="22"/>
        </w:rPr>
        <w:t xml:space="preserve">, </w:t>
      </w:r>
      <w:r w:rsidRPr="0042339F">
        <w:rPr>
          <w:rStyle w:val="Strong"/>
          <w:rFonts w:ascii="Arial" w:eastAsiaTheme="majorEastAsia" w:hAnsi="Arial" w:cs="Arial"/>
          <w:sz w:val="22"/>
          <w:szCs w:val="22"/>
        </w:rPr>
        <w:t>Pb ≈0.25 mg/L</w:t>
      </w:r>
      <w:r w:rsidRPr="0042339F">
        <w:rPr>
          <w:rFonts w:ascii="Arial" w:hAnsi="Arial" w:cs="Arial"/>
          <w:sz w:val="22"/>
          <w:szCs w:val="22"/>
        </w:rPr>
        <w:t xml:space="preserve"> and </w:t>
      </w:r>
      <w:r w:rsidRPr="0042339F">
        <w:rPr>
          <w:rStyle w:val="Strong"/>
          <w:rFonts w:ascii="Arial" w:eastAsiaTheme="majorEastAsia" w:hAnsi="Arial" w:cs="Arial"/>
          <w:sz w:val="22"/>
          <w:szCs w:val="22"/>
        </w:rPr>
        <w:t>Zn ≈1.1 mg/L</w:t>
      </w:r>
      <w:r w:rsidRPr="0042339F">
        <w:rPr>
          <w:rFonts w:ascii="Arial" w:hAnsi="Arial" w:cs="Arial"/>
          <w:sz w:val="22"/>
          <w:szCs w:val="22"/>
        </w:rPr>
        <w:t xml:space="preserve">, all at or above national limits. Coastal sediments near Prek Toeuk Sap and Stung Hav Bay contain elevated metals, with Zn </w:t>
      </w:r>
      <w:r w:rsidRPr="0042339F">
        <w:rPr>
          <w:rStyle w:val="Strong"/>
          <w:rFonts w:ascii="Arial" w:eastAsiaTheme="majorEastAsia" w:hAnsi="Arial" w:cs="Arial"/>
          <w:sz w:val="22"/>
          <w:szCs w:val="22"/>
        </w:rPr>
        <w:t>35–90 mg/kg</w:t>
      </w:r>
      <w:r w:rsidRPr="0042339F">
        <w:rPr>
          <w:rFonts w:ascii="Arial" w:hAnsi="Arial" w:cs="Arial"/>
          <w:sz w:val="22"/>
          <w:szCs w:val="22"/>
        </w:rPr>
        <w:t xml:space="preserve">, Pb </w:t>
      </w:r>
      <w:r w:rsidRPr="0042339F">
        <w:rPr>
          <w:rStyle w:val="Strong"/>
          <w:rFonts w:ascii="Arial" w:eastAsiaTheme="majorEastAsia" w:hAnsi="Arial" w:cs="Arial"/>
          <w:sz w:val="22"/>
          <w:szCs w:val="22"/>
        </w:rPr>
        <w:t>10–25 mg/kg</w:t>
      </w:r>
      <w:r w:rsidRPr="0042339F">
        <w:rPr>
          <w:rFonts w:ascii="Arial" w:hAnsi="Arial" w:cs="Arial"/>
          <w:sz w:val="22"/>
          <w:szCs w:val="22"/>
        </w:rPr>
        <w:t xml:space="preserve"> and Cu </w:t>
      </w:r>
      <w:r w:rsidRPr="0042339F">
        <w:rPr>
          <w:rStyle w:val="Strong"/>
          <w:rFonts w:ascii="Arial" w:eastAsiaTheme="majorEastAsia" w:hAnsi="Arial" w:cs="Arial"/>
          <w:sz w:val="22"/>
          <w:szCs w:val="22"/>
        </w:rPr>
        <w:t>12–28 mg/kg</w:t>
      </w:r>
      <w:r w:rsidRPr="0042339F">
        <w:rPr>
          <w:rFonts w:ascii="Arial" w:hAnsi="Arial" w:cs="Arial"/>
          <w:sz w:val="22"/>
          <w:szCs w:val="22"/>
        </w:rPr>
        <w:t xml:space="preserve"> (MoE, 2023). The POSEZ industrial estate in Banteay Meanchey has a WWTP designed for </w:t>
      </w:r>
      <w:r w:rsidRPr="0042339F">
        <w:rPr>
          <w:rStyle w:val="Strong"/>
          <w:rFonts w:ascii="Arial" w:eastAsiaTheme="majorEastAsia" w:hAnsi="Arial" w:cs="Arial"/>
          <w:sz w:val="22"/>
          <w:szCs w:val="22"/>
        </w:rPr>
        <w:t>19,000 m³/day</w:t>
      </w:r>
      <w:r w:rsidRPr="0042339F">
        <w:rPr>
          <w:rFonts w:ascii="Arial" w:hAnsi="Arial" w:cs="Arial"/>
          <w:sz w:val="22"/>
          <w:szCs w:val="22"/>
        </w:rPr>
        <w:t>, illustrating the scale of industrial flows nationally (JICA, 2016; Cambodia Chamber of Investment).</w:t>
      </w:r>
    </w:p>
    <w:p w:rsidR="00A464F6" w:rsidRPr="006832DA" w:rsidRDefault="00A464F6" w:rsidP="006832DA">
      <w:pPr>
        <w:pStyle w:val="Heading4"/>
        <w:spacing w:before="240" w:after="120"/>
        <w:rPr>
          <w:rFonts w:ascii="Arial" w:hAnsi="Arial" w:cs="Arial"/>
          <w:b/>
          <w:bCs/>
          <w:i w:val="0"/>
          <w:iCs w:val="0"/>
          <w:sz w:val="22"/>
          <w:szCs w:val="22"/>
        </w:rPr>
      </w:pPr>
      <w:r w:rsidRPr="006832DA">
        <w:rPr>
          <w:rFonts w:ascii="Arial" w:hAnsi="Arial" w:cs="Arial"/>
          <w:b/>
          <w:bCs/>
          <w:i w:val="0"/>
          <w:iCs w:val="0"/>
          <w:sz w:val="22"/>
          <w:szCs w:val="22"/>
        </w:rPr>
        <w:t>3.2.1.</w:t>
      </w:r>
      <w:r w:rsidR="00F63707" w:rsidRPr="006832DA">
        <w:rPr>
          <w:rFonts w:ascii="Arial" w:hAnsi="Arial" w:cs="Arial"/>
          <w:b/>
          <w:bCs/>
          <w:i w:val="0"/>
          <w:iCs w:val="0"/>
          <w:sz w:val="22"/>
          <w:szCs w:val="22"/>
        </w:rPr>
        <w:t>6</w:t>
      </w:r>
      <w:r w:rsidRPr="006832DA">
        <w:rPr>
          <w:rFonts w:ascii="Arial" w:hAnsi="Arial" w:cs="Arial"/>
          <w:b/>
          <w:bCs/>
          <w:i w:val="0"/>
          <w:iCs w:val="0"/>
          <w:sz w:val="22"/>
          <w:szCs w:val="22"/>
        </w:rPr>
        <w:t xml:space="preserve"> Solid waste and plastic leakage</w:t>
      </w:r>
    </w:p>
    <w:p w:rsidR="001635A6" w:rsidRDefault="001635A6" w:rsidP="001635A6">
      <w:pPr>
        <w:pStyle w:val="NormalWeb"/>
        <w:jc w:val="both"/>
        <w:rPr>
          <w:rFonts w:ascii="Arial" w:hAnsi="Arial" w:cs="Arial"/>
          <w:sz w:val="22"/>
          <w:szCs w:val="22"/>
        </w:rPr>
      </w:pPr>
      <w:r w:rsidRPr="001635A6">
        <w:rPr>
          <w:rFonts w:ascii="Arial" w:hAnsi="Arial" w:cs="Arial"/>
          <w:sz w:val="22"/>
          <w:szCs w:val="22"/>
        </w:rPr>
        <w:t xml:space="preserve">Municipal solid waste (MSW) in Cambodia is rising with </w:t>
      </w:r>
      <w:r w:rsidR="009D44E9">
        <w:rPr>
          <w:rFonts w:ascii="Arial" w:hAnsi="Arial" w:cs="Arial"/>
          <w:sz w:val="22"/>
          <w:szCs w:val="22"/>
        </w:rPr>
        <w:t>u</w:t>
      </w:r>
      <w:r w:rsidR="00F953C9">
        <w:rPr>
          <w:rFonts w:ascii="Arial" w:hAnsi="Arial" w:cs="Arial"/>
          <w:sz w:val="22"/>
          <w:szCs w:val="22"/>
        </w:rPr>
        <w:t>rbanization</w:t>
      </w:r>
      <w:r w:rsidRPr="001635A6">
        <w:rPr>
          <w:rFonts w:ascii="Arial" w:hAnsi="Arial" w:cs="Arial"/>
          <w:sz w:val="22"/>
          <w:szCs w:val="22"/>
        </w:rPr>
        <w:t xml:space="preserve"> and tourism. National MSW reached </w:t>
      </w:r>
      <w:r w:rsidRPr="001635A6">
        <w:rPr>
          <w:rStyle w:val="Strong"/>
          <w:rFonts w:ascii="Arial" w:hAnsi="Arial" w:cs="Arial"/>
          <w:sz w:val="22"/>
          <w:szCs w:val="22"/>
        </w:rPr>
        <w:t>≈4.8 million t/year in 2020</w:t>
      </w:r>
      <w:r w:rsidRPr="001635A6">
        <w:rPr>
          <w:rFonts w:ascii="Arial" w:hAnsi="Arial" w:cs="Arial"/>
          <w:sz w:val="22"/>
          <w:szCs w:val="22"/>
        </w:rPr>
        <w:t xml:space="preserve">, with </w:t>
      </w:r>
      <w:r w:rsidRPr="001635A6">
        <w:rPr>
          <w:rStyle w:val="Strong"/>
          <w:rFonts w:ascii="Arial" w:hAnsi="Arial" w:cs="Arial"/>
          <w:sz w:val="22"/>
          <w:szCs w:val="22"/>
        </w:rPr>
        <w:t>0.78 kg/cap/day</w:t>
      </w:r>
      <w:r w:rsidRPr="001635A6">
        <w:rPr>
          <w:rFonts w:ascii="Arial" w:hAnsi="Arial" w:cs="Arial"/>
          <w:sz w:val="22"/>
          <w:szCs w:val="22"/>
        </w:rPr>
        <w:t xml:space="preserve"> in urban areas (Pheakdey et al., 2022). Phnom Penh generates the highest volumes, with per-capita rates declining from </w:t>
      </w:r>
      <w:r w:rsidRPr="001635A6">
        <w:rPr>
          <w:rStyle w:val="Strong"/>
          <w:rFonts w:ascii="Arial" w:hAnsi="Arial" w:cs="Arial"/>
          <w:sz w:val="22"/>
          <w:szCs w:val="22"/>
        </w:rPr>
        <w:t>1.32 kg/day (2016)</w:t>
      </w:r>
      <w:r w:rsidRPr="001635A6">
        <w:rPr>
          <w:rFonts w:ascii="Arial" w:hAnsi="Arial" w:cs="Arial"/>
          <w:sz w:val="22"/>
          <w:szCs w:val="22"/>
        </w:rPr>
        <w:t xml:space="preserve"> to </w:t>
      </w:r>
      <w:r w:rsidRPr="001635A6">
        <w:rPr>
          <w:rStyle w:val="Strong"/>
          <w:rFonts w:ascii="Arial" w:hAnsi="Arial" w:cs="Arial"/>
          <w:sz w:val="22"/>
          <w:szCs w:val="22"/>
        </w:rPr>
        <w:t>0.98 kg/day (2022)</w:t>
      </w:r>
      <w:r w:rsidRPr="001635A6">
        <w:rPr>
          <w:rFonts w:ascii="Arial" w:hAnsi="Arial" w:cs="Arial"/>
          <w:sz w:val="22"/>
          <w:szCs w:val="22"/>
        </w:rPr>
        <w:t xml:space="preserve"> (UNEP/PPCA, 2018; PPSWMA, 2023).</w:t>
      </w:r>
      <w:r>
        <w:rPr>
          <w:rFonts w:ascii="Arial" w:hAnsi="Arial" w:cs="Arial"/>
          <w:sz w:val="22"/>
          <w:szCs w:val="22"/>
        </w:rPr>
        <w:t xml:space="preserve"> </w:t>
      </w:r>
      <w:r w:rsidRPr="001635A6">
        <w:rPr>
          <w:rFonts w:ascii="Arial" w:hAnsi="Arial" w:cs="Arial"/>
          <w:sz w:val="22"/>
          <w:szCs w:val="22"/>
        </w:rPr>
        <w:t xml:space="preserve">Waste-composition studies show </w:t>
      </w:r>
      <w:r w:rsidRPr="001635A6">
        <w:rPr>
          <w:rStyle w:val="Strong"/>
          <w:rFonts w:ascii="Arial" w:hAnsi="Arial" w:cs="Arial"/>
          <w:sz w:val="22"/>
          <w:szCs w:val="22"/>
        </w:rPr>
        <w:t>50–60% organic</w:t>
      </w:r>
      <w:r w:rsidRPr="001635A6">
        <w:rPr>
          <w:rFonts w:ascii="Arial" w:hAnsi="Arial" w:cs="Arial"/>
          <w:sz w:val="22"/>
          <w:szCs w:val="22"/>
        </w:rPr>
        <w:t xml:space="preserve"> and </w:t>
      </w:r>
      <w:r w:rsidRPr="001635A6">
        <w:rPr>
          <w:rStyle w:val="Strong"/>
          <w:rFonts w:ascii="Arial" w:hAnsi="Arial" w:cs="Arial"/>
          <w:sz w:val="22"/>
          <w:szCs w:val="22"/>
        </w:rPr>
        <w:t>~20% plastics</w:t>
      </w:r>
      <w:r w:rsidRPr="001635A6">
        <w:rPr>
          <w:rFonts w:ascii="Arial" w:hAnsi="Arial" w:cs="Arial"/>
          <w:sz w:val="22"/>
          <w:szCs w:val="22"/>
        </w:rPr>
        <w:t xml:space="preserve">; national 3R assessments report </w:t>
      </w:r>
      <w:r w:rsidRPr="001635A6">
        <w:rPr>
          <w:rStyle w:val="Strong"/>
          <w:rFonts w:ascii="Arial" w:hAnsi="Arial" w:cs="Arial"/>
          <w:sz w:val="22"/>
          <w:szCs w:val="22"/>
        </w:rPr>
        <w:t>63–80% organic</w:t>
      </w:r>
      <w:r w:rsidRPr="001635A6">
        <w:rPr>
          <w:rFonts w:ascii="Arial" w:hAnsi="Arial" w:cs="Arial"/>
          <w:sz w:val="22"/>
          <w:szCs w:val="22"/>
        </w:rPr>
        <w:t xml:space="preserve"> and </w:t>
      </w:r>
      <w:r w:rsidRPr="001635A6">
        <w:rPr>
          <w:rStyle w:val="Strong"/>
          <w:rFonts w:ascii="Arial" w:hAnsi="Arial" w:cs="Arial"/>
          <w:sz w:val="22"/>
          <w:szCs w:val="22"/>
        </w:rPr>
        <w:t>3–16% plastics/rubber/leather</w:t>
      </w:r>
      <w:r w:rsidRPr="001635A6">
        <w:rPr>
          <w:rFonts w:ascii="Arial" w:hAnsi="Arial" w:cs="Arial"/>
          <w:sz w:val="22"/>
          <w:szCs w:val="22"/>
        </w:rPr>
        <w:t xml:space="preserve"> across cities (UNCRD, 2017; MoE, 2023).</w:t>
      </w:r>
    </w:p>
    <w:p w:rsidR="001635A6" w:rsidRPr="001635A6" w:rsidRDefault="001635A6" w:rsidP="001635A6">
      <w:pPr>
        <w:pStyle w:val="NormalWeb"/>
        <w:jc w:val="both"/>
        <w:rPr>
          <w:rFonts w:ascii="Arial" w:hAnsi="Arial" w:cs="Arial"/>
          <w:sz w:val="22"/>
          <w:szCs w:val="22"/>
        </w:rPr>
      </w:pPr>
      <w:r w:rsidRPr="001635A6">
        <w:rPr>
          <w:rFonts w:ascii="Arial" w:hAnsi="Arial" w:cs="Arial"/>
          <w:sz w:val="22"/>
          <w:szCs w:val="22"/>
        </w:rPr>
        <w:t xml:space="preserve">Coastal provinces contribute substantial waste: </w:t>
      </w:r>
      <w:r w:rsidRPr="001635A6">
        <w:rPr>
          <w:rStyle w:val="Strong"/>
          <w:rFonts w:ascii="Arial" w:hAnsi="Arial" w:cs="Arial"/>
          <w:sz w:val="22"/>
          <w:szCs w:val="22"/>
        </w:rPr>
        <w:t>450–500 t</w:t>
      </w:r>
      <w:r w:rsidR="00907495">
        <w:rPr>
          <w:rStyle w:val="Strong"/>
          <w:rFonts w:ascii="Arial" w:hAnsi="Arial" w:cs="Arial"/>
          <w:sz w:val="22"/>
          <w:szCs w:val="22"/>
        </w:rPr>
        <w:t>onnes</w:t>
      </w:r>
      <w:r w:rsidRPr="001635A6">
        <w:rPr>
          <w:rStyle w:val="Strong"/>
          <w:rFonts w:ascii="Arial" w:hAnsi="Arial" w:cs="Arial"/>
          <w:sz w:val="22"/>
          <w:szCs w:val="22"/>
        </w:rPr>
        <w:t>/day</w:t>
      </w:r>
      <w:r w:rsidRPr="001635A6">
        <w:rPr>
          <w:rFonts w:ascii="Arial" w:hAnsi="Arial" w:cs="Arial"/>
          <w:sz w:val="22"/>
          <w:szCs w:val="22"/>
        </w:rPr>
        <w:t xml:space="preserve"> in Preah Sihanouk, </w:t>
      </w:r>
      <w:r w:rsidRPr="001635A6">
        <w:rPr>
          <w:rStyle w:val="Strong"/>
          <w:rFonts w:ascii="Arial" w:hAnsi="Arial" w:cs="Arial"/>
          <w:sz w:val="22"/>
          <w:szCs w:val="22"/>
        </w:rPr>
        <w:t>170–200 t</w:t>
      </w:r>
      <w:r w:rsidR="00306F63">
        <w:rPr>
          <w:rStyle w:val="Strong"/>
          <w:rFonts w:ascii="Arial" w:hAnsi="Arial" w:cs="Arial"/>
          <w:sz w:val="22"/>
          <w:szCs w:val="22"/>
        </w:rPr>
        <w:t>onne</w:t>
      </w:r>
      <w:r w:rsidR="00907495">
        <w:rPr>
          <w:rStyle w:val="Strong"/>
          <w:rFonts w:ascii="Arial" w:hAnsi="Arial" w:cs="Arial"/>
          <w:sz w:val="22"/>
          <w:szCs w:val="22"/>
        </w:rPr>
        <w:t>s</w:t>
      </w:r>
      <w:r w:rsidRPr="001635A6">
        <w:rPr>
          <w:rStyle w:val="Strong"/>
          <w:rFonts w:ascii="Arial" w:hAnsi="Arial" w:cs="Arial"/>
          <w:sz w:val="22"/>
          <w:szCs w:val="22"/>
        </w:rPr>
        <w:t>/day</w:t>
      </w:r>
      <w:r w:rsidRPr="001635A6">
        <w:rPr>
          <w:rFonts w:ascii="Arial" w:hAnsi="Arial" w:cs="Arial"/>
          <w:sz w:val="22"/>
          <w:szCs w:val="22"/>
        </w:rPr>
        <w:t xml:space="preserve"> in Kampot, </w:t>
      </w:r>
      <w:r w:rsidRPr="001635A6">
        <w:rPr>
          <w:rStyle w:val="Strong"/>
          <w:rFonts w:ascii="Arial" w:hAnsi="Arial" w:cs="Arial"/>
          <w:sz w:val="22"/>
          <w:szCs w:val="22"/>
        </w:rPr>
        <w:t>45–55 t</w:t>
      </w:r>
      <w:r w:rsidR="00907495">
        <w:rPr>
          <w:rStyle w:val="Strong"/>
          <w:rFonts w:ascii="Arial" w:hAnsi="Arial" w:cs="Arial"/>
          <w:sz w:val="22"/>
          <w:szCs w:val="22"/>
        </w:rPr>
        <w:t>onnes</w:t>
      </w:r>
      <w:r w:rsidRPr="001635A6">
        <w:rPr>
          <w:rStyle w:val="Strong"/>
          <w:rFonts w:ascii="Arial" w:hAnsi="Arial" w:cs="Arial"/>
          <w:sz w:val="22"/>
          <w:szCs w:val="22"/>
        </w:rPr>
        <w:t>/day</w:t>
      </w:r>
      <w:r w:rsidRPr="001635A6">
        <w:rPr>
          <w:rFonts w:ascii="Arial" w:hAnsi="Arial" w:cs="Arial"/>
          <w:sz w:val="22"/>
          <w:szCs w:val="22"/>
        </w:rPr>
        <w:t xml:space="preserve"> in Kep, </w:t>
      </w:r>
      <w:r w:rsidRPr="001635A6">
        <w:rPr>
          <w:rStyle w:val="Strong"/>
          <w:rFonts w:ascii="Arial" w:hAnsi="Arial" w:cs="Arial"/>
          <w:sz w:val="22"/>
          <w:szCs w:val="22"/>
        </w:rPr>
        <w:t>≈20 t</w:t>
      </w:r>
      <w:r w:rsidR="00306F63">
        <w:rPr>
          <w:rStyle w:val="Strong"/>
          <w:rFonts w:ascii="Arial" w:hAnsi="Arial" w:cs="Arial"/>
          <w:sz w:val="22"/>
          <w:szCs w:val="22"/>
        </w:rPr>
        <w:t>onnes</w:t>
      </w:r>
      <w:r w:rsidRPr="001635A6">
        <w:rPr>
          <w:rStyle w:val="Strong"/>
          <w:rFonts w:ascii="Arial" w:hAnsi="Arial" w:cs="Arial"/>
          <w:sz w:val="22"/>
          <w:szCs w:val="22"/>
        </w:rPr>
        <w:t>/day</w:t>
      </w:r>
      <w:r w:rsidRPr="001635A6">
        <w:rPr>
          <w:rFonts w:ascii="Arial" w:hAnsi="Arial" w:cs="Arial"/>
          <w:sz w:val="22"/>
          <w:szCs w:val="22"/>
        </w:rPr>
        <w:t xml:space="preserve"> in Koh Kong town, and </w:t>
      </w:r>
      <w:r w:rsidRPr="001635A6">
        <w:rPr>
          <w:rStyle w:val="Strong"/>
          <w:rFonts w:ascii="Arial" w:hAnsi="Arial" w:cs="Arial"/>
          <w:sz w:val="22"/>
          <w:szCs w:val="22"/>
        </w:rPr>
        <w:t>≈2 t</w:t>
      </w:r>
      <w:r w:rsidR="00306F63">
        <w:rPr>
          <w:rStyle w:val="Strong"/>
          <w:rFonts w:ascii="Arial" w:hAnsi="Arial" w:cs="Arial"/>
          <w:sz w:val="22"/>
          <w:szCs w:val="22"/>
        </w:rPr>
        <w:t>onnes</w:t>
      </w:r>
      <w:r w:rsidRPr="001635A6">
        <w:rPr>
          <w:rStyle w:val="Strong"/>
          <w:rFonts w:ascii="Arial" w:hAnsi="Arial" w:cs="Arial"/>
          <w:sz w:val="22"/>
          <w:szCs w:val="22"/>
        </w:rPr>
        <w:t>/day</w:t>
      </w:r>
      <w:r w:rsidRPr="001635A6">
        <w:rPr>
          <w:rFonts w:ascii="Arial" w:hAnsi="Arial" w:cs="Arial"/>
          <w:sz w:val="22"/>
          <w:szCs w:val="22"/>
        </w:rPr>
        <w:t xml:space="preserve"> on Koh Sdech (Khmer Times, 2021–2023; CamboJA, 2022; UN-Habitat, 2025). Collection efficiency is often </w:t>
      </w:r>
      <w:r w:rsidRPr="001635A6">
        <w:rPr>
          <w:rStyle w:val="Strong"/>
          <w:rFonts w:ascii="Arial" w:hAnsi="Arial" w:cs="Arial"/>
          <w:sz w:val="22"/>
          <w:szCs w:val="22"/>
        </w:rPr>
        <w:t>&lt;70%</w:t>
      </w:r>
      <w:r w:rsidRPr="001635A6">
        <w:rPr>
          <w:rFonts w:ascii="Arial" w:hAnsi="Arial" w:cs="Arial"/>
          <w:sz w:val="22"/>
          <w:szCs w:val="22"/>
        </w:rPr>
        <w:t>, with uncollected waste commonly open-dumped or burned near waterways.</w:t>
      </w:r>
      <w:r>
        <w:rPr>
          <w:rFonts w:ascii="Arial" w:hAnsi="Arial" w:cs="Arial"/>
          <w:sz w:val="22"/>
          <w:szCs w:val="22"/>
        </w:rPr>
        <w:t xml:space="preserve"> </w:t>
      </w:r>
      <w:r w:rsidRPr="001635A6">
        <w:rPr>
          <w:rFonts w:ascii="Arial" w:hAnsi="Arial" w:cs="Arial"/>
          <w:sz w:val="22"/>
          <w:szCs w:val="22"/>
        </w:rPr>
        <w:t xml:space="preserve">Cambodia had </w:t>
      </w:r>
      <w:r w:rsidRPr="001635A6">
        <w:rPr>
          <w:rStyle w:val="Strong"/>
          <w:rFonts w:ascii="Arial" w:hAnsi="Arial" w:cs="Arial"/>
          <w:sz w:val="22"/>
          <w:szCs w:val="22"/>
        </w:rPr>
        <w:t>~164 dumpsites</w:t>
      </w:r>
      <w:r w:rsidRPr="001635A6">
        <w:rPr>
          <w:rFonts w:ascii="Arial" w:hAnsi="Arial" w:cs="Arial"/>
          <w:sz w:val="22"/>
          <w:szCs w:val="22"/>
        </w:rPr>
        <w:t xml:space="preserve"> in 2020—mostly open dumps lacking liners or leachate control (Pheakdey et al., 2022; ODC, 2023).</w:t>
      </w:r>
    </w:p>
    <w:p w:rsidR="00A464F6" w:rsidRPr="003D13CD" w:rsidRDefault="001635A6" w:rsidP="00AE2C90">
      <w:pPr>
        <w:pStyle w:val="NormalWeb"/>
        <w:jc w:val="both"/>
        <w:rPr>
          <w:rFonts w:ascii="Arial" w:hAnsi="Arial" w:cs="Arial"/>
          <w:sz w:val="22"/>
          <w:szCs w:val="22"/>
        </w:rPr>
      </w:pPr>
      <w:r w:rsidRPr="001635A6">
        <w:rPr>
          <w:rFonts w:ascii="Arial" w:hAnsi="Arial" w:cs="Arial"/>
          <w:sz w:val="22"/>
          <w:szCs w:val="22"/>
        </w:rPr>
        <w:t xml:space="preserve">Plastic waste is significant: </w:t>
      </w:r>
      <w:r w:rsidRPr="001635A6">
        <w:rPr>
          <w:rStyle w:val="Strong"/>
          <w:rFonts w:ascii="Arial" w:hAnsi="Arial" w:cs="Arial"/>
          <w:sz w:val="22"/>
          <w:szCs w:val="22"/>
        </w:rPr>
        <w:t>~730,000 t/year</w:t>
      </w:r>
      <w:r w:rsidRPr="001635A6">
        <w:rPr>
          <w:rFonts w:ascii="Arial" w:hAnsi="Arial" w:cs="Arial"/>
          <w:sz w:val="22"/>
          <w:szCs w:val="22"/>
        </w:rPr>
        <w:t xml:space="preserve"> nationally (RGC/UNEP, 2021). Phnom Penh alone generates </w:t>
      </w:r>
      <w:r w:rsidRPr="001635A6">
        <w:rPr>
          <w:rStyle w:val="Strong"/>
          <w:rFonts w:ascii="Arial" w:hAnsi="Arial" w:cs="Arial"/>
          <w:sz w:val="22"/>
          <w:szCs w:val="22"/>
        </w:rPr>
        <w:t>≈0.205 kg/cap/day</w:t>
      </w:r>
      <w:r w:rsidRPr="001635A6">
        <w:rPr>
          <w:rFonts w:ascii="Arial" w:hAnsi="Arial" w:cs="Arial"/>
          <w:sz w:val="22"/>
          <w:szCs w:val="22"/>
        </w:rPr>
        <w:t xml:space="preserve"> of plastics, or </w:t>
      </w:r>
      <w:r w:rsidRPr="001635A6">
        <w:rPr>
          <w:rStyle w:val="Strong"/>
          <w:rFonts w:ascii="Arial" w:hAnsi="Arial" w:cs="Arial"/>
          <w:sz w:val="22"/>
          <w:szCs w:val="22"/>
        </w:rPr>
        <w:t>≈262,800 t/year</w:t>
      </w:r>
      <w:r w:rsidRPr="001635A6">
        <w:rPr>
          <w:rFonts w:ascii="Arial" w:hAnsi="Arial" w:cs="Arial"/>
          <w:sz w:val="22"/>
          <w:szCs w:val="22"/>
        </w:rPr>
        <w:t xml:space="preserve">, assuming ~20% plastic in total waste (PPWMS 2018; UNDP, 2022). Coastal beach and sediment surveys (Otres, Ream, Koh Rong Sanloem) consistently find plastic bags, wrappers and bottles dominating debris, with microplastic levels in sediments reaching </w:t>
      </w:r>
      <w:r w:rsidRPr="00035E8B">
        <w:rPr>
          <w:rStyle w:val="Strong"/>
          <w:rFonts w:ascii="Arial" w:hAnsi="Arial" w:cs="Arial"/>
          <w:b w:val="0"/>
          <w:bCs w:val="0"/>
          <w:sz w:val="22"/>
          <w:szCs w:val="22"/>
        </w:rPr>
        <w:t>hundreds of items/kg</w:t>
      </w:r>
      <w:r w:rsidRPr="00035E8B">
        <w:rPr>
          <w:rFonts w:ascii="Arial" w:hAnsi="Arial" w:cs="Arial"/>
          <w:b/>
          <w:bCs/>
          <w:sz w:val="22"/>
          <w:szCs w:val="22"/>
        </w:rPr>
        <w:t>.</w:t>
      </w:r>
    </w:p>
    <w:p w:rsidR="00A464F6" w:rsidRPr="006832DA" w:rsidRDefault="00A464F6" w:rsidP="006832DA">
      <w:pPr>
        <w:pStyle w:val="Heading4"/>
        <w:spacing w:before="240" w:after="120"/>
        <w:rPr>
          <w:rFonts w:ascii="Arial" w:hAnsi="Arial" w:cs="Arial"/>
          <w:b/>
          <w:bCs/>
          <w:i w:val="0"/>
          <w:iCs w:val="0"/>
          <w:sz w:val="22"/>
          <w:szCs w:val="22"/>
        </w:rPr>
      </w:pPr>
      <w:r w:rsidRPr="006832DA">
        <w:rPr>
          <w:rFonts w:ascii="Arial" w:hAnsi="Arial" w:cs="Arial"/>
          <w:b/>
          <w:bCs/>
          <w:i w:val="0"/>
          <w:iCs w:val="0"/>
          <w:sz w:val="22"/>
          <w:szCs w:val="22"/>
        </w:rPr>
        <w:t>3.2.1.</w:t>
      </w:r>
      <w:r w:rsidR="00F63707" w:rsidRPr="006832DA">
        <w:rPr>
          <w:rFonts w:ascii="Arial" w:hAnsi="Arial" w:cs="Arial"/>
          <w:b/>
          <w:bCs/>
          <w:i w:val="0"/>
          <w:iCs w:val="0"/>
          <w:sz w:val="22"/>
          <w:szCs w:val="22"/>
        </w:rPr>
        <w:t>7</w:t>
      </w:r>
      <w:r w:rsidRPr="006832DA">
        <w:rPr>
          <w:rFonts w:ascii="Arial" w:hAnsi="Arial" w:cs="Arial"/>
          <w:b/>
          <w:bCs/>
          <w:i w:val="0"/>
          <w:iCs w:val="0"/>
          <w:sz w:val="22"/>
          <w:szCs w:val="22"/>
        </w:rPr>
        <w:t xml:space="preserve"> Hazardous waste</w:t>
      </w:r>
    </w:p>
    <w:p w:rsidR="006E75D0" w:rsidRPr="006E75D0" w:rsidRDefault="006E75D0" w:rsidP="006E75D0">
      <w:pPr>
        <w:pStyle w:val="NormalWeb"/>
        <w:jc w:val="both"/>
        <w:rPr>
          <w:rFonts w:ascii="Arial" w:hAnsi="Arial" w:cs="Arial"/>
          <w:sz w:val="22"/>
          <w:szCs w:val="22"/>
        </w:rPr>
      </w:pPr>
      <w:r w:rsidRPr="006E75D0">
        <w:rPr>
          <w:rFonts w:ascii="Arial" w:hAnsi="Arial" w:cs="Arial"/>
          <w:sz w:val="22"/>
          <w:szCs w:val="22"/>
        </w:rPr>
        <w:t xml:space="preserve">Data on hazardous waste remain incomplete, but available sources show rising medical and industrial streams. Pre-COVID estimates put Phnom Penh’s medical waste at </w:t>
      </w:r>
      <w:r w:rsidRPr="006E75D0">
        <w:rPr>
          <w:rStyle w:val="Strong"/>
          <w:rFonts w:ascii="Arial" w:hAnsi="Arial" w:cs="Arial"/>
          <w:sz w:val="22"/>
          <w:szCs w:val="22"/>
        </w:rPr>
        <w:t>~40 t/month (~480 t/year)</w:t>
      </w:r>
      <w:r w:rsidRPr="006E75D0">
        <w:rPr>
          <w:rFonts w:ascii="Arial" w:hAnsi="Arial" w:cs="Arial"/>
          <w:sz w:val="22"/>
          <w:szCs w:val="22"/>
        </w:rPr>
        <w:t xml:space="preserve"> (GIZ, 2020), surging during COVID-19 to </w:t>
      </w:r>
      <w:r w:rsidRPr="006E75D0">
        <w:rPr>
          <w:rStyle w:val="Strong"/>
          <w:rFonts w:ascii="Arial" w:hAnsi="Arial" w:cs="Arial"/>
          <w:sz w:val="22"/>
          <w:szCs w:val="22"/>
        </w:rPr>
        <w:t>up to 20 t/day (~7,300 t/year)</w:t>
      </w:r>
      <w:r w:rsidRPr="006E75D0">
        <w:rPr>
          <w:rFonts w:ascii="Arial" w:hAnsi="Arial" w:cs="Arial"/>
          <w:sz w:val="22"/>
          <w:szCs w:val="22"/>
        </w:rPr>
        <w:t xml:space="preserve"> (UNDP, 2021). Industrial waste is substantial: a 2021 Korean study estimated </w:t>
      </w:r>
      <w:r w:rsidRPr="006E75D0">
        <w:rPr>
          <w:rStyle w:val="Strong"/>
          <w:rFonts w:ascii="Arial" w:hAnsi="Arial" w:cs="Arial"/>
          <w:sz w:val="22"/>
          <w:szCs w:val="22"/>
        </w:rPr>
        <w:t>~120,000 t/year</w:t>
      </w:r>
      <w:r w:rsidRPr="006E75D0">
        <w:rPr>
          <w:rFonts w:ascii="Arial" w:hAnsi="Arial" w:cs="Arial"/>
          <w:sz w:val="22"/>
          <w:szCs w:val="22"/>
        </w:rPr>
        <w:t xml:space="preserve"> of collected industrial waste, a mixed stream with hazardous components including chemical sludges, metal-bearing wastes, oils, solvents, acids/alkalis and contaminated packaging (KSP, 2021; BSfD, 2023).</w:t>
      </w:r>
    </w:p>
    <w:p w:rsidR="00A464F6" w:rsidRPr="006E75D0" w:rsidRDefault="006E75D0" w:rsidP="006E75D0">
      <w:pPr>
        <w:pStyle w:val="NormalWeb"/>
        <w:jc w:val="both"/>
        <w:rPr>
          <w:rFonts w:ascii="Arial" w:hAnsi="Arial" w:cs="Arial"/>
          <w:sz w:val="22"/>
          <w:szCs w:val="22"/>
        </w:rPr>
      </w:pPr>
      <w:r w:rsidRPr="006E75D0">
        <w:rPr>
          <w:rFonts w:ascii="Arial" w:hAnsi="Arial" w:cs="Arial"/>
          <w:sz w:val="22"/>
          <w:szCs w:val="22"/>
        </w:rPr>
        <w:t xml:space="preserve">Treatment capacity has expanded via the </w:t>
      </w:r>
      <w:r w:rsidRPr="006E75D0">
        <w:rPr>
          <w:rStyle w:val="Strong"/>
          <w:rFonts w:ascii="Arial" w:hAnsi="Arial" w:cs="Arial"/>
          <w:sz w:val="22"/>
          <w:szCs w:val="22"/>
        </w:rPr>
        <w:t>Chip Mong Ecocycle</w:t>
      </w:r>
      <w:r w:rsidRPr="006E75D0">
        <w:rPr>
          <w:rFonts w:ascii="Arial" w:hAnsi="Arial" w:cs="Arial"/>
          <w:sz w:val="22"/>
          <w:szCs w:val="22"/>
        </w:rPr>
        <w:t xml:space="preserve"> co-processing facility in Kampot, with </w:t>
      </w:r>
      <w:r w:rsidRPr="006E75D0">
        <w:rPr>
          <w:rStyle w:val="Strong"/>
          <w:rFonts w:ascii="Arial" w:hAnsi="Arial" w:cs="Arial"/>
          <w:sz w:val="22"/>
          <w:szCs w:val="22"/>
        </w:rPr>
        <w:t>~150,000 t/year</w:t>
      </w:r>
      <w:r w:rsidRPr="006E75D0">
        <w:rPr>
          <w:rFonts w:ascii="Arial" w:hAnsi="Arial" w:cs="Arial"/>
          <w:sz w:val="22"/>
          <w:szCs w:val="22"/>
        </w:rPr>
        <w:t xml:space="preserve"> cement-kiln capacity and </w:t>
      </w:r>
      <w:r w:rsidRPr="006E75D0">
        <w:rPr>
          <w:rStyle w:val="Strong"/>
          <w:rFonts w:ascii="Arial" w:hAnsi="Arial" w:cs="Arial"/>
          <w:sz w:val="22"/>
          <w:szCs w:val="22"/>
        </w:rPr>
        <w:t>~1,100 t</w:t>
      </w:r>
      <w:r w:rsidRPr="006E75D0">
        <w:rPr>
          <w:rFonts w:ascii="Arial" w:hAnsi="Arial" w:cs="Arial"/>
          <w:sz w:val="22"/>
          <w:szCs w:val="22"/>
        </w:rPr>
        <w:t xml:space="preserve"> of hazardous-waste storage (UNCRD, 2023; BSfD, 2023). For medical waste, Cambodia operated </w:t>
      </w:r>
      <w:r w:rsidRPr="006E75D0">
        <w:rPr>
          <w:rStyle w:val="Strong"/>
          <w:rFonts w:ascii="Arial" w:hAnsi="Arial" w:cs="Arial"/>
          <w:sz w:val="22"/>
          <w:szCs w:val="22"/>
        </w:rPr>
        <w:t>~34 incinerators in 2022</w:t>
      </w:r>
      <w:r w:rsidRPr="006E75D0">
        <w:rPr>
          <w:rFonts w:ascii="Arial" w:hAnsi="Arial" w:cs="Arial"/>
          <w:sz w:val="22"/>
          <w:szCs w:val="22"/>
        </w:rPr>
        <w:t>, including five new JICA-supported units.</w:t>
      </w:r>
    </w:p>
    <w:p w:rsidR="00A464F6" w:rsidRPr="006832DA" w:rsidRDefault="00A464F6" w:rsidP="006832DA">
      <w:pPr>
        <w:pStyle w:val="Heading4"/>
        <w:spacing w:before="240" w:after="120"/>
        <w:rPr>
          <w:rFonts w:ascii="Arial" w:hAnsi="Arial" w:cs="Arial"/>
          <w:b/>
          <w:bCs/>
          <w:i w:val="0"/>
          <w:iCs w:val="0"/>
          <w:sz w:val="22"/>
          <w:szCs w:val="22"/>
        </w:rPr>
      </w:pPr>
      <w:r w:rsidRPr="006832DA">
        <w:rPr>
          <w:rFonts w:ascii="Arial" w:hAnsi="Arial" w:cs="Arial"/>
          <w:b/>
          <w:bCs/>
          <w:i w:val="0"/>
          <w:iCs w:val="0"/>
          <w:sz w:val="22"/>
          <w:szCs w:val="22"/>
        </w:rPr>
        <w:t>3.2.1.</w:t>
      </w:r>
      <w:r w:rsidR="00F63707" w:rsidRPr="006832DA">
        <w:rPr>
          <w:rFonts w:ascii="Arial" w:hAnsi="Arial" w:cs="Arial"/>
          <w:b/>
          <w:bCs/>
          <w:i w:val="0"/>
          <w:iCs w:val="0"/>
          <w:sz w:val="22"/>
          <w:szCs w:val="22"/>
        </w:rPr>
        <w:t>8</w:t>
      </w:r>
      <w:r w:rsidRPr="006832DA">
        <w:rPr>
          <w:rFonts w:ascii="Arial" w:hAnsi="Arial" w:cs="Arial"/>
          <w:b/>
          <w:bCs/>
          <w:i w:val="0"/>
          <w:iCs w:val="0"/>
          <w:sz w:val="22"/>
          <w:szCs w:val="22"/>
        </w:rPr>
        <w:t xml:space="preserve"> Oil pollution</w:t>
      </w:r>
    </w:p>
    <w:p w:rsidR="00A464F6" w:rsidRPr="006E75D0" w:rsidRDefault="006E75D0" w:rsidP="00C01FBE">
      <w:pPr>
        <w:pStyle w:val="NormalWeb"/>
        <w:jc w:val="both"/>
        <w:rPr>
          <w:rFonts w:ascii="Arial" w:hAnsi="Arial" w:cs="Arial"/>
          <w:sz w:val="21"/>
          <w:szCs w:val="21"/>
        </w:rPr>
      </w:pPr>
      <w:r w:rsidRPr="006E75D0">
        <w:rPr>
          <w:rFonts w:ascii="Arial" w:hAnsi="Arial" w:cs="Arial"/>
          <w:sz w:val="22"/>
          <w:szCs w:val="22"/>
        </w:rPr>
        <w:t xml:space="preserve">The most recent documented incident is the </w:t>
      </w:r>
      <w:r w:rsidRPr="006E75D0">
        <w:rPr>
          <w:rStyle w:val="Strong"/>
          <w:rFonts w:ascii="Arial" w:hAnsi="Arial" w:cs="Arial"/>
          <w:sz w:val="22"/>
          <w:szCs w:val="22"/>
        </w:rPr>
        <w:t>February 2025 oiling at Prek Treng Beach (Preah Sihanouk)</w:t>
      </w:r>
      <w:r w:rsidRPr="006E75D0">
        <w:rPr>
          <w:rFonts w:ascii="Arial" w:hAnsi="Arial" w:cs="Arial"/>
          <w:sz w:val="22"/>
          <w:szCs w:val="22"/>
        </w:rPr>
        <w:t xml:space="preserve">, where an estimated </w:t>
      </w:r>
      <w:r w:rsidRPr="006E75D0">
        <w:rPr>
          <w:rStyle w:val="Strong"/>
          <w:rFonts w:ascii="Arial" w:hAnsi="Arial" w:cs="Arial"/>
          <w:sz w:val="22"/>
          <w:szCs w:val="22"/>
        </w:rPr>
        <w:t>~2,000 litres</w:t>
      </w:r>
      <w:r w:rsidRPr="006E75D0">
        <w:rPr>
          <w:rFonts w:ascii="Arial" w:hAnsi="Arial" w:cs="Arial"/>
          <w:sz w:val="22"/>
          <w:szCs w:val="22"/>
        </w:rPr>
        <w:t xml:space="preserve"> leaked and </w:t>
      </w:r>
      <w:r w:rsidRPr="006E75D0">
        <w:rPr>
          <w:rStyle w:val="Strong"/>
          <w:rFonts w:ascii="Arial" w:hAnsi="Arial" w:cs="Arial"/>
          <w:sz w:val="22"/>
          <w:szCs w:val="22"/>
        </w:rPr>
        <w:t>≈95%</w:t>
      </w:r>
      <w:r w:rsidRPr="006E75D0">
        <w:rPr>
          <w:rFonts w:ascii="Arial" w:hAnsi="Arial" w:cs="Arial"/>
          <w:sz w:val="22"/>
          <w:szCs w:val="22"/>
        </w:rPr>
        <w:t xml:space="preserve"> was cleaned within days (Kiripost; Khmer Times; Cambodianess, 2025). Cambodia has </w:t>
      </w:r>
      <w:r w:rsidRPr="006E75D0">
        <w:rPr>
          <w:rStyle w:val="Strong"/>
          <w:rFonts w:ascii="Arial" w:hAnsi="Arial" w:cs="Arial"/>
          <w:sz w:val="22"/>
          <w:szCs w:val="22"/>
        </w:rPr>
        <w:t>no consolidated national spill time-series</w:t>
      </w:r>
      <w:r w:rsidRPr="006E75D0">
        <w:rPr>
          <w:rFonts w:ascii="Arial" w:hAnsi="Arial" w:cs="Arial"/>
          <w:sz w:val="22"/>
          <w:szCs w:val="22"/>
        </w:rPr>
        <w:t>. The two main international ports—</w:t>
      </w:r>
      <w:r w:rsidRPr="006E75D0">
        <w:rPr>
          <w:rStyle w:val="Strong"/>
          <w:rFonts w:ascii="Arial" w:hAnsi="Arial" w:cs="Arial"/>
          <w:sz w:val="22"/>
          <w:szCs w:val="22"/>
        </w:rPr>
        <w:t>PAS</w:t>
      </w:r>
      <w:r w:rsidRPr="006E75D0">
        <w:rPr>
          <w:rFonts w:ascii="Arial" w:hAnsi="Arial" w:cs="Arial"/>
          <w:sz w:val="22"/>
          <w:szCs w:val="22"/>
        </w:rPr>
        <w:t xml:space="preserve"> (Sihanoukville) and </w:t>
      </w:r>
      <w:r w:rsidRPr="006E75D0">
        <w:rPr>
          <w:rStyle w:val="Strong"/>
          <w:rFonts w:ascii="Arial" w:hAnsi="Arial" w:cs="Arial"/>
          <w:sz w:val="22"/>
          <w:szCs w:val="22"/>
        </w:rPr>
        <w:t>PPAP</w:t>
      </w:r>
      <w:r w:rsidRPr="006E75D0">
        <w:rPr>
          <w:rFonts w:ascii="Arial" w:hAnsi="Arial" w:cs="Arial"/>
          <w:sz w:val="22"/>
          <w:szCs w:val="22"/>
        </w:rPr>
        <w:t xml:space="preserve"> (Phnom Penh)—have reception facilities or contractors for oily waste and bilge water, though annual treatment volumes are not publicly reported (IMO MEPSEAS; JICA). Information on oily-waste handling at </w:t>
      </w:r>
      <w:r w:rsidRPr="006E75D0">
        <w:rPr>
          <w:rStyle w:val="Strong"/>
          <w:rFonts w:ascii="Arial" w:hAnsi="Arial" w:cs="Arial"/>
          <w:sz w:val="22"/>
          <w:szCs w:val="22"/>
        </w:rPr>
        <w:t>smaller ports, fishing harbors and repair yards</w:t>
      </w:r>
      <w:r w:rsidRPr="006E75D0">
        <w:rPr>
          <w:rFonts w:ascii="Arial" w:hAnsi="Arial" w:cs="Arial"/>
          <w:sz w:val="22"/>
          <w:szCs w:val="22"/>
        </w:rPr>
        <w:t xml:space="preserve"> remains limited.</w:t>
      </w:r>
    </w:p>
    <w:p w:rsidR="00A464F6" w:rsidRPr="006832DA" w:rsidRDefault="00A464F6" w:rsidP="006832DA">
      <w:pPr>
        <w:pStyle w:val="Heading4"/>
        <w:spacing w:before="240" w:after="120"/>
        <w:rPr>
          <w:rFonts w:ascii="Arial" w:hAnsi="Arial" w:cs="Arial"/>
          <w:b/>
          <w:bCs/>
          <w:i w:val="0"/>
          <w:iCs w:val="0"/>
          <w:sz w:val="22"/>
          <w:szCs w:val="22"/>
        </w:rPr>
      </w:pPr>
      <w:r w:rsidRPr="006832DA">
        <w:rPr>
          <w:rFonts w:ascii="Arial" w:hAnsi="Arial" w:cs="Arial"/>
          <w:b/>
          <w:bCs/>
          <w:i w:val="0"/>
          <w:iCs w:val="0"/>
          <w:sz w:val="22"/>
          <w:szCs w:val="22"/>
        </w:rPr>
        <w:t>3.2.1.</w:t>
      </w:r>
      <w:r w:rsidR="00F63707" w:rsidRPr="006832DA">
        <w:rPr>
          <w:rFonts w:ascii="Arial" w:hAnsi="Arial" w:cs="Arial"/>
          <w:b/>
          <w:bCs/>
          <w:i w:val="0"/>
          <w:iCs w:val="0"/>
          <w:sz w:val="22"/>
          <w:szCs w:val="22"/>
        </w:rPr>
        <w:t>9</w:t>
      </w:r>
      <w:r w:rsidRPr="006832DA">
        <w:rPr>
          <w:rFonts w:ascii="Arial" w:hAnsi="Arial" w:cs="Arial"/>
          <w:b/>
          <w:bCs/>
          <w:i w:val="0"/>
          <w:iCs w:val="0"/>
          <w:sz w:val="22"/>
          <w:szCs w:val="22"/>
        </w:rPr>
        <w:t xml:space="preserve"> Atmospheric pollution</w:t>
      </w:r>
    </w:p>
    <w:p w:rsidR="00A464F6" w:rsidRPr="003D13CD" w:rsidRDefault="00A464F6" w:rsidP="00C1682C">
      <w:pPr>
        <w:pStyle w:val="NormalWeb"/>
        <w:jc w:val="both"/>
        <w:rPr>
          <w:rFonts w:ascii="Arial" w:hAnsi="Arial" w:cs="Arial"/>
          <w:sz w:val="22"/>
          <w:szCs w:val="22"/>
        </w:rPr>
      </w:pPr>
      <w:r w:rsidRPr="003D13CD">
        <w:rPr>
          <w:rFonts w:ascii="Arial" w:hAnsi="Arial" w:cs="Arial"/>
          <w:sz w:val="22"/>
          <w:szCs w:val="22"/>
        </w:rPr>
        <w:t xml:space="preserve">Cambodia’s national GHG inventory reports </w:t>
      </w:r>
      <w:r w:rsidRPr="003D13CD">
        <w:rPr>
          <w:rStyle w:val="Strong"/>
          <w:rFonts w:ascii="Arial" w:eastAsiaTheme="majorEastAsia" w:hAnsi="Arial" w:cs="Arial"/>
          <w:sz w:val="22"/>
          <w:szCs w:val="22"/>
        </w:rPr>
        <w:t>SO</w:t>
      </w:r>
      <w:r w:rsidRPr="003D13CD">
        <w:rPr>
          <w:rStyle w:val="Strong"/>
          <w:rFonts w:ascii="Cambria Math" w:eastAsiaTheme="majorEastAsia" w:hAnsi="Cambria Math" w:cs="Cambria Math"/>
          <w:sz w:val="22"/>
          <w:szCs w:val="22"/>
        </w:rPr>
        <w:t>₂</w:t>
      </w:r>
      <w:r w:rsidRPr="003D13CD">
        <w:rPr>
          <w:rStyle w:val="Strong"/>
          <w:rFonts w:ascii="Arial" w:eastAsiaTheme="majorEastAsia" w:hAnsi="Arial" w:cs="Arial"/>
          <w:sz w:val="22"/>
          <w:szCs w:val="22"/>
        </w:rPr>
        <w:t xml:space="preserve"> emissions of 32.61 kt</w:t>
      </w:r>
      <w:r w:rsidRPr="003D13CD">
        <w:rPr>
          <w:rFonts w:ascii="Arial" w:hAnsi="Arial" w:cs="Arial"/>
          <w:sz w:val="22"/>
          <w:szCs w:val="22"/>
        </w:rPr>
        <w:t xml:space="preserve"> and </w:t>
      </w:r>
      <w:r w:rsidRPr="003D13CD">
        <w:rPr>
          <w:rStyle w:val="Strong"/>
          <w:rFonts w:ascii="Arial" w:eastAsiaTheme="majorEastAsia" w:hAnsi="Arial" w:cs="Arial"/>
          <w:sz w:val="22"/>
          <w:szCs w:val="22"/>
        </w:rPr>
        <w:t>NOₓ (as NO</w:t>
      </w:r>
      <w:r w:rsidRPr="003D13CD">
        <w:rPr>
          <w:rStyle w:val="Strong"/>
          <w:rFonts w:ascii="Cambria Math" w:eastAsiaTheme="majorEastAsia" w:hAnsi="Cambria Math" w:cs="Cambria Math"/>
          <w:sz w:val="22"/>
          <w:szCs w:val="22"/>
        </w:rPr>
        <w:t>₂</w:t>
      </w:r>
      <w:r w:rsidRPr="003D13CD">
        <w:rPr>
          <w:rStyle w:val="Strong"/>
          <w:rFonts w:ascii="Arial" w:eastAsiaTheme="majorEastAsia" w:hAnsi="Arial" w:cs="Arial"/>
          <w:sz w:val="22"/>
          <w:szCs w:val="22"/>
        </w:rPr>
        <w:t>) of 43.43 kt</w:t>
      </w:r>
      <w:r w:rsidRPr="003D13CD">
        <w:rPr>
          <w:rFonts w:ascii="Arial" w:hAnsi="Arial" w:cs="Arial"/>
          <w:sz w:val="22"/>
          <w:szCs w:val="22"/>
        </w:rPr>
        <w:t xml:space="preserve"> in 2016, and </w:t>
      </w:r>
      <w:r w:rsidRPr="003D13CD">
        <w:rPr>
          <w:rStyle w:val="Strong"/>
          <w:rFonts w:ascii="Arial" w:eastAsiaTheme="majorEastAsia" w:hAnsi="Arial" w:cs="Arial"/>
          <w:sz w:val="22"/>
          <w:szCs w:val="22"/>
        </w:rPr>
        <w:t>territorial CO</w:t>
      </w:r>
      <w:r w:rsidRPr="003D13CD">
        <w:rPr>
          <w:rStyle w:val="Strong"/>
          <w:rFonts w:ascii="Cambria Math" w:eastAsiaTheme="majorEastAsia" w:hAnsi="Cambria Math" w:cs="Cambria Math"/>
          <w:sz w:val="22"/>
          <w:szCs w:val="22"/>
        </w:rPr>
        <w:t>₂</w:t>
      </w:r>
      <w:r w:rsidRPr="003D13CD">
        <w:rPr>
          <w:rStyle w:val="Strong"/>
          <w:rFonts w:ascii="Arial" w:eastAsiaTheme="majorEastAsia" w:hAnsi="Arial" w:cs="Arial"/>
          <w:sz w:val="22"/>
          <w:szCs w:val="22"/>
        </w:rPr>
        <w:t xml:space="preserve"> emissions of about 17,620 kt</w:t>
      </w:r>
      <w:r w:rsidRPr="003D13CD">
        <w:rPr>
          <w:rFonts w:ascii="Arial" w:hAnsi="Arial" w:cs="Arial"/>
          <w:sz w:val="22"/>
          <w:szCs w:val="22"/>
        </w:rPr>
        <w:t xml:space="preserve"> in 2022 (UNFCCC, 2019; BUR3).</w:t>
      </w:r>
      <w:r w:rsidR="00A07876">
        <w:rPr>
          <w:rFonts w:ascii="Arial" w:hAnsi="Arial" w:cs="Arial"/>
          <w:sz w:val="22"/>
          <w:szCs w:val="22"/>
        </w:rPr>
        <w:t xml:space="preserve"> </w:t>
      </w:r>
      <w:r w:rsidRPr="003D13CD">
        <w:rPr>
          <w:rFonts w:ascii="Arial" w:hAnsi="Arial" w:cs="Arial"/>
          <w:sz w:val="22"/>
          <w:szCs w:val="22"/>
        </w:rPr>
        <w:t xml:space="preserve">Cambodia participates in the </w:t>
      </w:r>
      <w:r w:rsidRPr="003D13CD">
        <w:rPr>
          <w:rStyle w:val="Strong"/>
          <w:rFonts w:ascii="Arial" w:eastAsiaTheme="majorEastAsia" w:hAnsi="Arial" w:cs="Arial"/>
          <w:sz w:val="22"/>
          <w:szCs w:val="22"/>
        </w:rPr>
        <w:t>EANET</w:t>
      </w:r>
      <w:r w:rsidRPr="003D13CD">
        <w:rPr>
          <w:rFonts w:ascii="Arial" w:hAnsi="Arial" w:cs="Arial"/>
          <w:sz w:val="22"/>
          <w:szCs w:val="22"/>
        </w:rPr>
        <w:t xml:space="preserve"> acid-deposition network with an urban wet-deposition monitoring site in Phnom Penh. Regional assessments suggest typical urban wet deposition of </w:t>
      </w:r>
      <w:r w:rsidRPr="003D13CD">
        <w:rPr>
          <w:rStyle w:val="Strong"/>
          <w:rFonts w:ascii="Arial" w:eastAsiaTheme="majorEastAsia" w:hAnsi="Arial" w:cs="Arial"/>
          <w:sz w:val="22"/>
          <w:szCs w:val="22"/>
        </w:rPr>
        <w:t>&gt;10–30 kg S/ha/year</w:t>
      </w:r>
      <w:r w:rsidRPr="003D13CD">
        <w:rPr>
          <w:rFonts w:ascii="Arial" w:hAnsi="Arial" w:cs="Arial"/>
          <w:sz w:val="22"/>
          <w:szCs w:val="22"/>
        </w:rPr>
        <w:t xml:space="preserve"> and </w:t>
      </w:r>
      <w:r w:rsidRPr="003D13CD">
        <w:rPr>
          <w:rStyle w:val="Strong"/>
          <w:rFonts w:ascii="Arial" w:eastAsiaTheme="majorEastAsia" w:hAnsi="Arial" w:cs="Arial"/>
          <w:sz w:val="22"/>
          <w:szCs w:val="22"/>
        </w:rPr>
        <w:t>~5 kg N/ha/year</w:t>
      </w:r>
      <w:r w:rsidRPr="003D13CD">
        <w:rPr>
          <w:rFonts w:ascii="Arial" w:hAnsi="Arial" w:cs="Arial"/>
          <w:sz w:val="22"/>
          <w:szCs w:val="22"/>
        </w:rPr>
        <w:t xml:space="preserve"> at many East and Southeast Asian sites (EANET PRSAD4, 2022; MICS-Asia III, 2020).</w:t>
      </w:r>
    </w:p>
    <w:p w:rsidR="00A464F6" w:rsidRPr="003D13CD" w:rsidRDefault="00A464F6" w:rsidP="006832DA">
      <w:pPr>
        <w:pStyle w:val="Heading3"/>
        <w:rPr>
          <w:rFonts w:ascii="Arial" w:hAnsi="Arial" w:cs="Arial"/>
        </w:rPr>
      </w:pPr>
      <w:bookmarkStart w:id="16" w:name="_Toc217231848"/>
      <w:r w:rsidRPr="006832DA">
        <w:rPr>
          <w:rFonts w:ascii="Arial" w:hAnsi="Arial" w:cs="Arial"/>
          <w:b/>
          <w:bCs/>
        </w:rPr>
        <w:t>3.2.2 Pollution hotspots and sensitive areas</w:t>
      </w:r>
      <w:bookmarkEnd w:id="16"/>
    </w:p>
    <w:p w:rsidR="00B94585" w:rsidRPr="00B94585" w:rsidRDefault="00B94585" w:rsidP="00B94585">
      <w:pPr>
        <w:pStyle w:val="NormalWeb"/>
        <w:jc w:val="both"/>
        <w:rPr>
          <w:rFonts w:ascii="Arial" w:hAnsi="Arial" w:cs="Arial"/>
          <w:sz w:val="22"/>
          <w:szCs w:val="22"/>
        </w:rPr>
      </w:pPr>
      <w:r w:rsidRPr="00B94585">
        <w:rPr>
          <w:rFonts w:ascii="Arial" w:hAnsi="Arial" w:cs="Arial"/>
          <w:sz w:val="22"/>
          <w:szCs w:val="22"/>
        </w:rPr>
        <w:t xml:space="preserve">Monitoring across riverine and coastal stations shows recurring pollution hotspots where BOD, nutrients, solids and microbial indicators exceed standards. At the Mekong–Tonle Sap confluence (CPP), </w:t>
      </w:r>
      <w:r w:rsidRPr="00B94585">
        <w:rPr>
          <w:rStyle w:val="Strong"/>
          <w:rFonts w:ascii="Arial" w:hAnsi="Arial" w:cs="Arial"/>
          <w:sz w:val="22"/>
          <w:szCs w:val="22"/>
        </w:rPr>
        <w:t>100% of fecal-coliform samples</w:t>
      </w:r>
      <w:r w:rsidRPr="00B94585">
        <w:rPr>
          <w:rFonts w:ascii="Arial" w:hAnsi="Arial" w:cs="Arial"/>
          <w:sz w:val="22"/>
          <w:szCs w:val="22"/>
        </w:rPr>
        <w:t xml:space="preserve"> in 2021 exceeded the 1,000 CFU/100 mL limit despite low BOD (~1 mg/L), indicating severe microbial loading (MRC 2020–2021). Chroy Changva recorded </w:t>
      </w:r>
      <w:r w:rsidRPr="00B94585">
        <w:rPr>
          <w:rStyle w:val="Strong"/>
          <w:rFonts w:ascii="Arial" w:hAnsi="Arial" w:cs="Arial"/>
          <w:sz w:val="22"/>
          <w:szCs w:val="22"/>
        </w:rPr>
        <w:t>TN exceedances (2018–2019)</w:t>
      </w:r>
      <w:r w:rsidRPr="00B94585">
        <w:rPr>
          <w:rFonts w:ascii="Arial" w:hAnsi="Arial" w:cs="Arial"/>
          <w:sz w:val="22"/>
          <w:szCs w:val="22"/>
        </w:rPr>
        <w:t xml:space="preserve"> and repeated </w:t>
      </w:r>
      <w:r w:rsidRPr="00B94585">
        <w:rPr>
          <w:rStyle w:val="Strong"/>
          <w:rFonts w:ascii="Arial" w:hAnsi="Arial" w:cs="Arial"/>
          <w:sz w:val="22"/>
          <w:szCs w:val="22"/>
        </w:rPr>
        <w:t>TP exceedance (2012–2019)</w:t>
      </w:r>
      <w:r w:rsidRPr="00B94585">
        <w:rPr>
          <w:rFonts w:ascii="Arial" w:hAnsi="Arial" w:cs="Arial"/>
          <w:sz w:val="22"/>
          <w:szCs w:val="22"/>
        </w:rPr>
        <w:t xml:space="preserve">, while CTK–Takhmao remains a nutrient hotspot linked to urban expansion. Phnom Penh tributaries Trabek and Tumpun show </w:t>
      </w:r>
      <w:r w:rsidRPr="00B94585">
        <w:rPr>
          <w:rStyle w:val="Strong"/>
          <w:rFonts w:ascii="Arial" w:hAnsi="Arial" w:cs="Arial"/>
          <w:sz w:val="22"/>
          <w:szCs w:val="22"/>
        </w:rPr>
        <w:t>extreme pollution</w:t>
      </w:r>
      <w:r w:rsidRPr="00B94585">
        <w:rPr>
          <w:rFonts w:ascii="Arial" w:hAnsi="Arial" w:cs="Arial"/>
          <w:sz w:val="22"/>
          <w:szCs w:val="22"/>
        </w:rPr>
        <w:t xml:space="preserve"> (BOD 100–250 mg/L; TSS 300–600 mg/L; high TN/TP).</w:t>
      </w:r>
    </w:p>
    <w:p w:rsidR="00B94585" w:rsidRDefault="00B94585" w:rsidP="00B94585">
      <w:pPr>
        <w:pStyle w:val="NormalWeb"/>
        <w:jc w:val="both"/>
        <w:rPr>
          <w:rFonts w:ascii="Arial" w:hAnsi="Arial" w:cs="Arial"/>
          <w:sz w:val="22"/>
          <w:szCs w:val="22"/>
        </w:rPr>
      </w:pPr>
      <w:r w:rsidRPr="00B94585">
        <w:rPr>
          <w:rFonts w:ascii="Arial" w:hAnsi="Arial" w:cs="Arial"/>
          <w:sz w:val="22"/>
          <w:szCs w:val="22"/>
        </w:rPr>
        <w:t xml:space="preserve">In the coastal zone, Kep exceeded </w:t>
      </w:r>
      <w:r w:rsidRPr="00B94585">
        <w:rPr>
          <w:rStyle w:val="Strong"/>
          <w:rFonts w:ascii="Arial" w:hAnsi="Arial" w:cs="Arial"/>
          <w:sz w:val="22"/>
          <w:szCs w:val="22"/>
        </w:rPr>
        <w:t>TN, TP and oil &amp; grease</w:t>
      </w:r>
      <w:r w:rsidRPr="00B94585">
        <w:rPr>
          <w:rFonts w:ascii="Arial" w:hAnsi="Arial" w:cs="Arial"/>
          <w:sz w:val="22"/>
          <w:szCs w:val="22"/>
        </w:rPr>
        <w:t xml:space="preserve"> in 2018 (MoE/WEPA). Recent MoE/FIA monitoring identifies hotspots at:</w:t>
      </w:r>
    </w:p>
    <w:p w:rsidR="00B94585" w:rsidRDefault="00B94585" w:rsidP="00B94585">
      <w:pPr>
        <w:pStyle w:val="NormalWeb"/>
        <w:numPr>
          <w:ilvl w:val="0"/>
          <w:numId w:val="42"/>
        </w:numPr>
        <w:jc w:val="both"/>
        <w:rPr>
          <w:rFonts w:ascii="Arial" w:hAnsi="Arial" w:cs="Arial"/>
          <w:sz w:val="22"/>
          <w:szCs w:val="22"/>
        </w:rPr>
      </w:pPr>
      <w:r w:rsidRPr="00B94585">
        <w:rPr>
          <w:rStyle w:val="Strong"/>
          <w:rFonts w:ascii="Arial" w:hAnsi="Arial" w:cs="Arial"/>
          <w:sz w:val="22"/>
          <w:szCs w:val="22"/>
        </w:rPr>
        <w:t>Prek Toeuk Sap (Sihanoukville):</w:t>
      </w:r>
      <w:r w:rsidRPr="00B94585">
        <w:rPr>
          <w:rFonts w:ascii="Arial" w:hAnsi="Arial" w:cs="Arial"/>
          <w:sz w:val="22"/>
          <w:szCs w:val="22"/>
        </w:rPr>
        <w:t xml:space="preserve"> BOD 25–60; COD &gt;80; FC &gt;10⁵ CFU/100 mL</w:t>
      </w:r>
    </w:p>
    <w:p w:rsidR="00B94585" w:rsidRDefault="00B94585" w:rsidP="00B94585">
      <w:pPr>
        <w:pStyle w:val="NormalWeb"/>
        <w:numPr>
          <w:ilvl w:val="0"/>
          <w:numId w:val="42"/>
        </w:numPr>
        <w:jc w:val="both"/>
        <w:rPr>
          <w:rFonts w:ascii="Arial" w:hAnsi="Arial" w:cs="Arial"/>
          <w:sz w:val="22"/>
          <w:szCs w:val="22"/>
        </w:rPr>
      </w:pPr>
      <w:r w:rsidRPr="00B94585">
        <w:rPr>
          <w:rStyle w:val="Strong"/>
          <w:rFonts w:ascii="Arial" w:hAnsi="Arial" w:cs="Arial"/>
          <w:sz w:val="22"/>
          <w:szCs w:val="22"/>
        </w:rPr>
        <w:t>Kampot River:</w:t>
      </w:r>
      <w:r w:rsidRPr="00B94585">
        <w:rPr>
          <w:rFonts w:ascii="Arial" w:hAnsi="Arial" w:cs="Arial"/>
          <w:sz w:val="22"/>
          <w:szCs w:val="22"/>
        </w:rPr>
        <w:t xml:space="preserve"> TSS 120; NO</w:t>
      </w:r>
      <w:r w:rsidRPr="00B94585">
        <w:rPr>
          <w:rFonts w:ascii="Cambria Math" w:hAnsi="Cambria Math" w:cs="Cambria Math"/>
          <w:sz w:val="22"/>
          <w:szCs w:val="22"/>
        </w:rPr>
        <w:t>₃⁻</w:t>
      </w:r>
      <w:r w:rsidRPr="00B94585">
        <w:rPr>
          <w:rFonts w:ascii="Arial" w:hAnsi="Arial" w:cs="Arial"/>
          <w:sz w:val="22"/>
          <w:szCs w:val="22"/>
        </w:rPr>
        <w:t xml:space="preserve"> 2.4; PO</w:t>
      </w:r>
      <w:r w:rsidRPr="00B94585">
        <w:rPr>
          <w:rFonts w:ascii="Cambria Math" w:hAnsi="Cambria Math" w:cs="Cambria Math"/>
          <w:sz w:val="22"/>
          <w:szCs w:val="22"/>
        </w:rPr>
        <w:t>₄</w:t>
      </w:r>
      <w:r w:rsidRPr="00B94585">
        <w:rPr>
          <w:rFonts w:ascii="Arial" w:hAnsi="Arial" w:cs="Arial"/>
          <w:sz w:val="22"/>
          <w:szCs w:val="22"/>
        </w:rPr>
        <w:t>³</w:t>
      </w:r>
      <w:r w:rsidRPr="00B94585">
        <w:rPr>
          <w:rFonts w:ascii="Cambria Math" w:hAnsi="Cambria Math" w:cs="Cambria Math"/>
          <w:sz w:val="22"/>
          <w:szCs w:val="22"/>
        </w:rPr>
        <w:t>⁻</w:t>
      </w:r>
      <w:r w:rsidRPr="00B94585">
        <w:rPr>
          <w:rFonts w:ascii="Arial" w:hAnsi="Arial" w:cs="Arial"/>
          <w:sz w:val="22"/>
          <w:szCs w:val="22"/>
        </w:rPr>
        <w:t xml:space="preserve"> 0.8 mg/L; DO &lt;4 mg/L</w:t>
      </w:r>
    </w:p>
    <w:p w:rsidR="00B94585" w:rsidRPr="00B94585" w:rsidRDefault="00B94585" w:rsidP="00B94585">
      <w:pPr>
        <w:pStyle w:val="NormalWeb"/>
        <w:numPr>
          <w:ilvl w:val="0"/>
          <w:numId w:val="42"/>
        </w:numPr>
        <w:jc w:val="both"/>
        <w:rPr>
          <w:rFonts w:ascii="Arial" w:hAnsi="Arial" w:cs="Arial"/>
          <w:sz w:val="22"/>
          <w:szCs w:val="22"/>
        </w:rPr>
      </w:pPr>
      <w:r w:rsidRPr="00B94585">
        <w:rPr>
          <w:rStyle w:val="Strong"/>
          <w:rFonts w:ascii="Arial" w:hAnsi="Arial" w:cs="Arial"/>
          <w:sz w:val="22"/>
          <w:szCs w:val="22"/>
        </w:rPr>
        <w:t>Tatai estuary:</w:t>
      </w:r>
      <w:r w:rsidRPr="00B94585">
        <w:rPr>
          <w:rFonts w:ascii="Arial" w:hAnsi="Arial" w:cs="Arial"/>
          <w:sz w:val="22"/>
          <w:szCs w:val="22"/>
        </w:rPr>
        <w:t xml:space="preserve"> BOD 20–35; coliform &gt;10⁴ CFU/100 mL</w:t>
      </w:r>
    </w:p>
    <w:p w:rsidR="009D44E9" w:rsidRPr="00B94585" w:rsidRDefault="00B94585" w:rsidP="00B94585">
      <w:pPr>
        <w:pStyle w:val="NormalWeb"/>
        <w:jc w:val="both"/>
        <w:rPr>
          <w:rFonts w:ascii="Arial" w:hAnsi="Arial" w:cs="Arial"/>
          <w:sz w:val="22"/>
          <w:szCs w:val="22"/>
        </w:rPr>
      </w:pPr>
      <w:r w:rsidRPr="00B94585">
        <w:rPr>
          <w:rFonts w:ascii="Arial" w:hAnsi="Arial" w:cs="Arial"/>
          <w:sz w:val="22"/>
          <w:szCs w:val="22"/>
        </w:rPr>
        <w:t xml:space="preserve">These exceed Cambodian coastal standards and ASEAN Class B levels. Sensitive habitats show cumulative impacts: </w:t>
      </w:r>
      <w:r w:rsidRPr="00B94585">
        <w:rPr>
          <w:rStyle w:val="Strong"/>
          <w:rFonts w:ascii="Arial" w:hAnsi="Arial" w:cs="Arial"/>
          <w:sz w:val="22"/>
          <w:szCs w:val="22"/>
        </w:rPr>
        <w:t>Peam Krasop sediments</w:t>
      </w:r>
      <w:r w:rsidRPr="00B94585">
        <w:rPr>
          <w:rFonts w:ascii="Arial" w:hAnsi="Arial" w:cs="Arial"/>
          <w:sz w:val="22"/>
          <w:szCs w:val="22"/>
        </w:rPr>
        <w:t xml:space="preserve"> contain </w:t>
      </w:r>
      <w:r w:rsidRPr="00B94585">
        <w:rPr>
          <w:rStyle w:val="Strong"/>
          <w:rFonts w:ascii="Arial" w:hAnsi="Arial" w:cs="Arial"/>
          <w:sz w:val="22"/>
          <w:szCs w:val="22"/>
        </w:rPr>
        <w:t>Zn 35–90 mg/kg; Pb 10–25 mg/kg</w:t>
      </w:r>
      <w:r w:rsidRPr="00B94585">
        <w:rPr>
          <w:rFonts w:ascii="Arial" w:hAnsi="Arial" w:cs="Arial"/>
          <w:sz w:val="22"/>
          <w:szCs w:val="22"/>
        </w:rPr>
        <w:t xml:space="preserve">, and coral cover around </w:t>
      </w:r>
      <w:r w:rsidRPr="00B94585">
        <w:rPr>
          <w:rStyle w:val="Strong"/>
          <w:rFonts w:ascii="Arial" w:hAnsi="Arial" w:cs="Arial"/>
          <w:sz w:val="22"/>
          <w:szCs w:val="22"/>
        </w:rPr>
        <w:t>Koh Rong/Sanloem</w:t>
      </w:r>
      <w:r w:rsidRPr="00B94585">
        <w:rPr>
          <w:rFonts w:ascii="Arial" w:hAnsi="Arial" w:cs="Arial"/>
          <w:sz w:val="22"/>
          <w:szCs w:val="22"/>
        </w:rPr>
        <w:t xml:space="preserve"> has declined from ~48% (2010) to ~32% (2023), with strongest impacts near discharge zones.</w:t>
      </w:r>
    </w:p>
    <w:p w:rsidR="001D4B8D" w:rsidRPr="003D13CD" w:rsidRDefault="001D4B8D" w:rsidP="004F75B1">
      <w:pPr>
        <w:pStyle w:val="Heading2"/>
        <w:keepNext/>
        <w:jc w:val="both"/>
        <w:rPr>
          <w:rFonts w:ascii="Arial" w:hAnsi="Arial" w:cs="Arial"/>
          <w:sz w:val="28"/>
          <w:szCs w:val="28"/>
        </w:rPr>
      </w:pPr>
      <w:bookmarkStart w:id="17" w:name="_Toc217231849"/>
      <w:r w:rsidRPr="003D13CD">
        <w:rPr>
          <w:rFonts w:ascii="Arial" w:hAnsi="Arial" w:cs="Arial"/>
          <w:sz w:val="28"/>
          <w:szCs w:val="28"/>
        </w:rPr>
        <w:t>3.3. Discussion and Conclusions</w:t>
      </w:r>
      <w:bookmarkEnd w:id="17"/>
    </w:p>
    <w:p w:rsidR="001D4B8D" w:rsidRPr="006832DA" w:rsidRDefault="001D4B8D" w:rsidP="006832DA">
      <w:pPr>
        <w:pStyle w:val="Heading3"/>
        <w:spacing w:before="240" w:after="240"/>
        <w:rPr>
          <w:rFonts w:ascii="Arial" w:hAnsi="Arial" w:cs="Arial"/>
          <w:b/>
          <w:bCs/>
        </w:rPr>
      </w:pPr>
      <w:bookmarkStart w:id="18" w:name="_Toc217231850"/>
      <w:r w:rsidRPr="006832DA">
        <w:rPr>
          <w:rFonts w:ascii="Arial" w:hAnsi="Arial" w:cs="Arial"/>
          <w:b/>
          <w:bCs/>
        </w:rPr>
        <w:t>3.3.1 Priority Transboundary Pollution Issues</w:t>
      </w:r>
      <w:bookmarkEnd w:id="18"/>
    </w:p>
    <w:p w:rsidR="00CF1B3C" w:rsidRPr="006832DA" w:rsidRDefault="00CF1B3C" w:rsidP="006832DA">
      <w:pPr>
        <w:pStyle w:val="Heading4"/>
        <w:spacing w:before="240" w:after="120"/>
        <w:rPr>
          <w:rFonts w:ascii="Arial" w:hAnsi="Arial" w:cs="Arial"/>
          <w:b/>
          <w:bCs/>
          <w:i w:val="0"/>
          <w:iCs w:val="0"/>
          <w:sz w:val="22"/>
          <w:szCs w:val="22"/>
        </w:rPr>
      </w:pPr>
      <w:r w:rsidRPr="006832DA">
        <w:rPr>
          <w:rFonts w:ascii="Arial" w:hAnsi="Arial" w:cs="Arial"/>
          <w:b/>
          <w:bCs/>
          <w:i w:val="0"/>
          <w:iCs w:val="0"/>
          <w:sz w:val="22"/>
          <w:szCs w:val="22"/>
        </w:rPr>
        <w:t>3.3.1.1 Mekong–Tonle Sap–Bassac System: Nutrient and Microbial Loads</w:t>
      </w:r>
    </w:p>
    <w:p w:rsidR="00290EB4" w:rsidRDefault="00290EB4" w:rsidP="00CF1B3C">
      <w:pPr>
        <w:spacing w:before="240" w:after="240"/>
        <w:jc w:val="both"/>
        <w:rPr>
          <w:rFonts w:ascii="Arial" w:hAnsi="Arial" w:cs="Arial"/>
          <w:sz w:val="22"/>
          <w:szCs w:val="22"/>
        </w:rPr>
      </w:pPr>
      <w:r w:rsidRPr="00290EB4">
        <w:rPr>
          <w:rFonts w:ascii="Arial" w:hAnsi="Arial" w:cs="Arial"/>
          <w:sz w:val="22"/>
          <w:szCs w:val="22"/>
        </w:rPr>
        <w:t xml:space="preserve">The MTB system is the primary transboundary pollution route from Cambodia to Viet Nam. At Phnom Penh’s CPP station, </w:t>
      </w:r>
      <w:r w:rsidRPr="00290EB4">
        <w:rPr>
          <w:rStyle w:val="Strong"/>
          <w:rFonts w:ascii="Arial" w:hAnsi="Arial" w:cs="Arial"/>
          <w:sz w:val="22"/>
          <w:szCs w:val="22"/>
        </w:rPr>
        <w:t>fecal coliform exceeded standards in 100% of 2021 samples</w:t>
      </w:r>
      <w:r w:rsidRPr="00290EB4">
        <w:rPr>
          <w:rFonts w:ascii="Arial" w:hAnsi="Arial" w:cs="Arial"/>
          <w:sz w:val="22"/>
          <w:szCs w:val="22"/>
        </w:rPr>
        <w:t xml:space="preserve"> (MRC</w:t>
      </w:r>
      <w:r w:rsidR="00452A45">
        <w:rPr>
          <w:rFonts w:ascii="Arial" w:hAnsi="Arial" w:cs="Arial"/>
          <w:sz w:val="22"/>
          <w:szCs w:val="22"/>
        </w:rPr>
        <w:t>,</w:t>
      </w:r>
      <w:r w:rsidRPr="00290EB4">
        <w:rPr>
          <w:rFonts w:ascii="Arial" w:hAnsi="Arial" w:cs="Arial"/>
          <w:sz w:val="22"/>
          <w:szCs w:val="22"/>
        </w:rPr>
        <w:t xml:space="preserve"> 2021), reflecting chronic untreated wastewater discharge. Long-term TN and TP exceedances at Chroy Changva (2012–2019) (MoE/WEPA</w:t>
      </w:r>
      <w:r w:rsidR="00452A45">
        <w:rPr>
          <w:rFonts w:ascii="Arial" w:hAnsi="Arial" w:cs="Arial"/>
          <w:sz w:val="22"/>
          <w:szCs w:val="22"/>
        </w:rPr>
        <w:t>,</w:t>
      </w:r>
      <w:r w:rsidRPr="00290EB4">
        <w:rPr>
          <w:rFonts w:ascii="Arial" w:hAnsi="Arial" w:cs="Arial"/>
          <w:sz w:val="22"/>
          <w:szCs w:val="22"/>
        </w:rPr>
        <w:t xml:space="preserve"> 2023) and highly polluted tributaries—e.g., Trabek and Tumpun canals with </w:t>
      </w:r>
      <w:r w:rsidRPr="00290EB4">
        <w:rPr>
          <w:rStyle w:val="Strong"/>
          <w:rFonts w:ascii="Arial" w:hAnsi="Arial" w:cs="Arial"/>
          <w:sz w:val="22"/>
          <w:szCs w:val="22"/>
        </w:rPr>
        <w:t>BOD 100–250 mg/L</w:t>
      </w:r>
      <w:r w:rsidRPr="00290EB4">
        <w:rPr>
          <w:rFonts w:ascii="Arial" w:hAnsi="Arial" w:cs="Arial"/>
          <w:sz w:val="22"/>
          <w:szCs w:val="22"/>
        </w:rPr>
        <w:t xml:space="preserve">, </w:t>
      </w:r>
      <w:r w:rsidRPr="00290EB4">
        <w:rPr>
          <w:rStyle w:val="Strong"/>
          <w:rFonts w:ascii="Arial" w:hAnsi="Arial" w:cs="Arial"/>
          <w:sz w:val="22"/>
          <w:szCs w:val="22"/>
        </w:rPr>
        <w:t>TP up to 6.7 mg/L</w:t>
      </w:r>
      <w:r w:rsidRPr="00290EB4">
        <w:rPr>
          <w:rFonts w:ascii="Arial" w:hAnsi="Arial" w:cs="Arial"/>
          <w:sz w:val="22"/>
          <w:szCs w:val="22"/>
        </w:rPr>
        <w:t xml:space="preserve">, </w:t>
      </w:r>
      <w:r w:rsidRPr="00290EB4">
        <w:rPr>
          <w:rStyle w:val="Strong"/>
          <w:rFonts w:ascii="Arial" w:hAnsi="Arial" w:cs="Arial"/>
          <w:sz w:val="22"/>
          <w:szCs w:val="22"/>
        </w:rPr>
        <w:t>TSS up to 600 mg/L</w:t>
      </w:r>
      <w:r w:rsidRPr="00290EB4">
        <w:rPr>
          <w:rFonts w:ascii="Arial" w:hAnsi="Arial" w:cs="Arial"/>
          <w:sz w:val="22"/>
          <w:szCs w:val="22"/>
        </w:rPr>
        <w:t>—demonstrate sustained nutrient and microbial loading.</w:t>
      </w:r>
    </w:p>
    <w:p w:rsidR="00CF1B3C" w:rsidRPr="00290EB4" w:rsidRDefault="00290EB4" w:rsidP="00CF1B3C">
      <w:pPr>
        <w:spacing w:before="240" w:after="240"/>
        <w:jc w:val="both"/>
        <w:rPr>
          <w:rFonts w:ascii="Arial" w:hAnsi="Arial" w:cs="Arial"/>
          <w:sz w:val="22"/>
          <w:szCs w:val="22"/>
        </w:rPr>
      </w:pPr>
      <w:r w:rsidRPr="00290EB4">
        <w:rPr>
          <w:rFonts w:ascii="Arial" w:hAnsi="Arial" w:cs="Arial"/>
          <w:sz w:val="22"/>
          <w:szCs w:val="22"/>
        </w:rPr>
        <w:t xml:space="preserve">Given </w:t>
      </w:r>
      <w:r w:rsidRPr="007520E0">
        <w:rPr>
          <w:rFonts w:ascii="Arial" w:hAnsi="Arial" w:cs="Arial"/>
          <w:b/>
          <w:bCs/>
          <w:sz w:val="22"/>
          <w:szCs w:val="22"/>
        </w:rPr>
        <w:t>Phnom Penh’s</w:t>
      </w:r>
      <w:r w:rsidRPr="00290EB4">
        <w:rPr>
          <w:rFonts w:ascii="Arial" w:hAnsi="Arial" w:cs="Arial"/>
          <w:sz w:val="22"/>
          <w:szCs w:val="22"/>
        </w:rPr>
        <w:t xml:space="preserve"> position mid-system, pollutants reach the Vietnamese Mekong Delta within days to weeks, contributing to algal blooms, fish kills, and microbial contamination recorded in the Bassac and Hau Rivers. Upstream FC and solids have been linked to disease outbreaks in Viet Nam’s Pangasius farms, with implications for export quality. The Cambodia–Viet Nam Joint Commission has repeatedly emphasized improved wastewater control in Phnom Penh due to its direct effects on delta aquaculture, food safety, and estuarine productivity</w:t>
      </w:r>
      <w:r w:rsidR="00CF1B3C" w:rsidRPr="00290EB4">
        <w:rPr>
          <w:rFonts w:ascii="Arial" w:hAnsi="Arial" w:cs="Arial"/>
          <w:sz w:val="22"/>
          <w:szCs w:val="22"/>
        </w:rPr>
        <w:t>.</w:t>
      </w:r>
    </w:p>
    <w:p w:rsidR="00CF1B3C" w:rsidRPr="006832DA" w:rsidRDefault="00CF1B3C" w:rsidP="006832DA">
      <w:pPr>
        <w:pStyle w:val="Heading4"/>
        <w:spacing w:before="240" w:after="120"/>
        <w:rPr>
          <w:rFonts w:ascii="Arial" w:hAnsi="Arial" w:cs="Arial"/>
          <w:b/>
          <w:bCs/>
          <w:i w:val="0"/>
          <w:iCs w:val="0"/>
          <w:sz w:val="22"/>
          <w:szCs w:val="22"/>
        </w:rPr>
      </w:pPr>
      <w:r w:rsidRPr="006832DA">
        <w:rPr>
          <w:rFonts w:ascii="Arial" w:hAnsi="Arial" w:cs="Arial"/>
          <w:b/>
          <w:bCs/>
          <w:i w:val="0"/>
          <w:iCs w:val="0"/>
          <w:sz w:val="22"/>
          <w:szCs w:val="22"/>
        </w:rPr>
        <w:t>3.3.1.2 Gulf of Thailand Circulation: Marine Litter and Microplastics</w:t>
      </w:r>
    </w:p>
    <w:p w:rsidR="00290EB4" w:rsidRPr="00290EB4" w:rsidRDefault="00290EB4" w:rsidP="00CF1B3C">
      <w:pPr>
        <w:spacing w:before="240" w:after="240"/>
        <w:jc w:val="both"/>
        <w:rPr>
          <w:rFonts w:ascii="Arial" w:hAnsi="Arial" w:cs="Arial"/>
          <w:sz w:val="22"/>
          <w:szCs w:val="22"/>
        </w:rPr>
      </w:pPr>
      <w:r w:rsidRPr="00290EB4">
        <w:rPr>
          <w:rFonts w:ascii="Arial" w:hAnsi="Arial" w:cs="Arial"/>
          <w:sz w:val="22"/>
          <w:szCs w:val="22"/>
        </w:rPr>
        <w:t xml:space="preserve">Cambodia’s coastal provinces leak an estimated </w:t>
      </w:r>
      <w:r w:rsidRPr="00290EB4">
        <w:rPr>
          <w:rStyle w:val="Strong"/>
          <w:rFonts w:ascii="Arial" w:hAnsi="Arial" w:cs="Arial"/>
          <w:sz w:val="22"/>
          <w:szCs w:val="22"/>
        </w:rPr>
        <w:t>14,400 tons of plastic annually</w:t>
      </w:r>
      <w:r w:rsidRPr="00290EB4">
        <w:rPr>
          <w:rFonts w:ascii="Arial" w:hAnsi="Arial" w:cs="Arial"/>
          <w:sz w:val="22"/>
          <w:szCs w:val="22"/>
        </w:rPr>
        <w:t xml:space="preserve"> due to low waste-collection rates (50–68%), open dumping, and burning (MoE</w:t>
      </w:r>
      <w:r w:rsidR="00452A45">
        <w:rPr>
          <w:rFonts w:ascii="Arial" w:hAnsi="Arial" w:cs="Arial"/>
          <w:sz w:val="22"/>
          <w:szCs w:val="22"/>
        </w:rPr>
        <w:t>,</w:t>
      </w:r>
      <w:r w:rsidRPr="00290EB4">
        <w:rPr>
          <w:rFonts w:ascii="Arial" w:hAnsi="Arial" w:cs="Arial"/>
          <w:sz w:val="22"/>
          <w:szCs w:val="22"/>
        </w:rPr>
        <w:t xml:space="preserve"> 2024; ADB</w:t>
      </w:r>
      <w:r w:rsidR="00452A45">
        <w:rPr>
          <w:rFonts w:ascii="Arial" w:hAnsi="Arial" w:cs="Arial"/>
          <w:sz w:val="22"/>
          <w:szCs w:val="22"/>
        </w:rPr>
        <w:t>,</w:t>
      </w:r>
      <w:r w:rsidRPr="00290EB4">
        <w:rPr>
          <w:rFonts w:ascii="Arial" w:hAnsi="Arial" w:cs="Arial"/>
          <w:sz w:val="22"/>
          <w:szCs w:val="22"/>
        </w:rPr>
        <w:t xml:space="preserve"> 2022). Nearshore sediments already contain </w:t>
      </w:r>
      <w:r w:rsidRPr="00290EB4">
        <w:rPr>
          <w:rStyle w:val="Strong"/>
          <w:rFonts w:ascii="Arial" w:hAnsi="Arial" w:cs="Arial"/>
          <w:sz w:val="22"/>
          <w:szCs w:val="22"/>
        </w:rPr>
        <w:t>120–350 microplastic particles/kg</w:t>
      </w:r>
      <w:r w:rsidRPr="00290EB4">
        <w:rPr>
          <w:rFonts w:ascii="Arial" w:hAnsi="Arial" w:cs="Arial"/>
          <w:sz w:val="22"/>
          <w:szCs w:val="22"/>
        </w:rPr>
        <w:t xml:space="preserve"> (FiA &amp; UNDP 2023), indicating widespread fragmentation and dispersion.</w:t>
      </w:r>
    </w:p>
    <w:p w:rsidR="00CF1B3C" w:rsidRPr="00290EB4" w:rsidRDefault="00290EB4" w:rsidP="00CF1B3C">
      <w:pPr>
        <w:spacing w:before="240" w:after="240"/>
        <w:jc w:val="both"/>
        <w:rPr>
          <w:rFonts w:ascii="Arial" w:hAnsi="Arial" w:cs="Arial"/>
          <w:sz w:val="22"/>
          <w:szCs w:val="22"/>
        </w:rPr>
      </w:pPr>
      <w:r w:rsidRPr="00290EB4">
        <w:rPr>
          <w:rFonts w:ascii="Arial" w:hAnsi="Arial" w:cs="Arial"/>
          <w:sz w:val="22"/>
          <w:szCs w:val="22"/>
        </w:rPr>
        <w:t xml:space="preserve">UNEP circulation modelling (2022) shows that plastics from Sihanoukville and Kampot drift </w:t>
      </w:r>
      <w:r w:rsidR="007A4544" w:rsidRPr="00E90A60">
        <w:rPr>
          <w:rFonts w:ascii="Arial" w:hAnsi="Arial" w:cs="Arial"/>
          <w:sz w:val="22"/>
          <w:szCs w:val="22"/>
        </w:rPr>
        <w:t xml:space="preserve">toward </w:t>
      </w:r>
      <w:r w:rsidR="007A4544" w:rsidRPr="006832DA">
        <w:rPr>
          <w:rFonts w:ascii="Arial" w:hAnsi="Arial" w:cs="Arial"/>
          <w:b/>
          <w:bCs/>
          <w:sz w:val="22"/>
          <w:szCs w:val="22"/>
        </w:rPr>
        <w:t>Gulf of Thailand</w:t>
      </w:r>
      <w:r w:rsidR="007A4544">
        <w:rPr>
          <w:rFonts w:ascii="Arial" w:hAnsi="Arial" w:cs="Arial"/>
          <w:b/>
          <w:bCs/>
          <w:sz w:val="22"/>
          <w:szCs w:val="22"/>
        </w:rPr>
        <w:t>’s</w:t>
      </w:r>
      <w:r w:rsidR="007A4544" w:rsidRPr="006832DA">
        <w:rPr>
          <w:rFonts w:ascii="Arial" w:hAnsi="Arial" w:cs="Arial"/>
          <w:b/>
          <w:bCs/>
          <w:sz w:val="22"/>
          <w:szCs w:val="22"/>
        </w:rPr>
        <w:t xml:space="preserve"> </w:t>
      </w:r>
      <w:r w:rsidRPr="00290EB4">
        <w:rPr>
          <w:rFonts w:ascii="Arial" w:hAnsi="Arial" w:cs="Arial"/>
          <w:sz w:val="22"/>
          <w:szCs w:val="22"/>
        </w:rPr>
        <w:t>central convergence zone before returning seasonally to Cambodian waters. Without coordinated monitoring and cleanup, the Gulf may become a regional microplastic hotspot by 2030</w:t>
      </w:r>
      <w:r w:rsidR="00CF1B3C" w:rsidRPr="00290EB4">
        <w:rPr>
          <w:rFonts w:ascii="Arial" w:hAnsi="Arial" w:cs="Arial"/>
          <w:sz w:val="22"/>
          <w:szCs w:val="22"/>
        </w:rPr>
        <w:t>.</w:t>
      </w:r>
    </w:p>
    <w:p w:rsidR="00CF1B3C" w:rsidRPr="006832DA" w:rsidRDefault="00CF1B3C" w:rsidP="006832DA">
      <w:pPr>
        <w:pStyle w:val="Heading4"/>
        <w:spacing w:before="240" w:after="120"/>
        <w:rPr>
          <w:rFonts w:ascii="Arial" w:hAnsi="Arial" w:cs="Arial"/>
          <w:b/>
          <w:bCs/>
          <w:i w:val="0"/>
          <w:iCs w:val="0"/>
          <w:sz w:val="22"/>
          <w:szCs w:val="22"/>
        </w:rPr>
      </w:pPr>
      <w:r w:rsidRPr="006832DA">
        <w:rPr>
          <w:rFonts w:ascii="Arial" w:hAnsi="Arial" w:cs="Arial"/>
          <w:b/>
          <w:bCs/>
          <w:i w:val="0"/>
          <w:iCs w:val="0"/>
          <w:sz w:val="22"/>
          <w:szCs w:val="22"/>
        </w:rPr>
        <w:t>3.3.1.3 Aquaculture-Driven Nutrient and Organic Pollution</w:t>
      </w:r>
    </w:p>
    <w:p w:rsidR="00290EB4" w:rsidRPr="00290EB4" w:rsidRDefault="00290EB4" w:rsidP="00CF1B3C">
      <w:pPr>
        <w:spacing w:before="240" w:after="240"/>
        <w:jc w:val="both"/>
        <w:rPr>
          <w:rFonts w:ascii="Arial" w:hAnsi="Arial" w:cs="Arial"/>
          <w:sz w:val="22"/>
          <w:szCs w:val="22"/>
        </w:rPr>
      </w:pPr>
      <w:r w:rsidRPr="00290EB4">
        <w:rPr>
          <w:rFonts w:ascii="Arial" w:hAnsi="Arial" w:cs="Arial"/>
          <w:sz w:val="22"/>
          <w:szCs w:val="22"/>
        </w:rPr>
        <w:t xml:space="preserve">Marine aquaculture accounts for only </w:t>
      </w:r>
      <w:r w:rsidRPr="00290EB4">
        <w:rPr>
          <w:rStyle w:val="Strong"/>
          <w:rFonts w:ascii="Arial" w:hAnsi="Arial" w:cs="Arial"/>
          <w:sz w:val="22"/>
          <w:szCs w:val="22"/>
        </w:rPr>
        <w:t>5–6%</w:t>
      </w:r>
      <w:r w:rsidRPr="00290EB4">
        <w:rPr>
          <w:rFonts w:ascii="Arial" w:hAnsi="Arial" w:cs="Arial"/>
          <w:sz w:val="22"/>
          <w:szCs w:val="22"/>
        </w:rPr>
        <w:t xml:space="preserve"> of Cambodia’s aquaculture output (~17,000 t/yr) but causes concentrated nutrient and organic loading in shared embayments. Inefficient FCRs (</w:t>
      </w:r>
      <w:r w:rsidRPr="00290EB4">
        <w:rPr>
          <w:rStyle w:val="Strong"/>
          <w:rFonts w:ascii="Arial" w:hAnsi="Arial" w:cs="Arial"/>
          <w:sz w:val="22"/>
          <w:szCs w:val="22"/>
        </w:rPr>
        <w:t>1.6–2.0</w:t>
      </w:r>
      <w:r w:rsidRPr="00290EB4">
        <w:rPr>
          <w:rFonts w:ascii="Arial" w:hAnsi="Arial" w:cs="Arial"/>
          <w:sz w:val="22"/>
          <w:szCs w:val="22"/>
        </w:rPr>
        <w:t xml:space="preserve">) release </w:t>
      </w:r>
      <w:r w:rsidRPr="00290EB4">
        <w:rPr>
          <w:rStyle w:val="Strong"/>
          <w:rFonts w:ascii="Arial" w:hAnsi="Arial" w:cs="Arial"/>
          <w:sz w:val="22"/>
          <w:szCs w:val="22"/>
        </w:rPr>
        <w:t>600–1,000 kg</w:t>
      </w:r>
      <w:r w:rsidRPr="00290EB4">
        <w:rPr>
          <w:rFonts w:ascii="Arial" w:hAnsi="Arial" w:cs="Arial"/>
          <w:sz w:val="22"/>
          <w:szCs w:val="22"/>
        </w:rPr>
        <w:t xml:space="preserve"> of uneaten feed and waste per tonne of fish, with </w:t>
      </w:r>
      <w:r w:rsidRPr="00290EB4">
        <w:rPr>
          <w:rStyle w:val="Strong"/>
          <w:rFonts w:ascii="Arial" w:hAnsi="Arial" w:cs="Arial"/>
          <w:sz w:val="22"/>
          <w:szCs w:val="22"/>
        </w:rPr>
        <w:t>25–30%</w:t>
      </w:r>
      <w:r w:rsidRPr="00290EB4">
        <w:rPr>
          <w:rFonts w:ascii="Arial" w:hAnsi="Arial" w:cs="Arial"/>
          <w:sz w:val="22"/>
          <w:szCs w:val="22"/>
        </w:rPr>
        <w:t xml:space="preserve"> of feed becoming direct nutrient discharge (UNEP</w:t>
      </w:r>
      <w:r w:rsidR="00452A45">
        <w:rPr>
          <w:rFonts w:ascii="Arial" w:hAnsi="Arial" w:cs="Arial"/>
          <w:sz w:val="22"/>
          <w:szCs w:val="22"/>
        </w:rPr>
        <w:t>,</w:t>
      </w:r>
      <w:r w:rsidRPr="00290EB4">
        <w:rPr>
          <w:rFonts w:ascii="Arial" w:hAnsi="Arial" w:cs="Arial"/>
          <w:sz w:val="22"/>
          <w:szCs w:val="22"/>
        </w:rPr>
        <w:t xml:space="preserve"> 2022).</w:t>
      </w:r>
    </w:p>
    <w:p w:rsidR="00CF1B3C" w:rsidRPr="00CF1B3C" w:rsidRDefault="00290EB4" w:rsidP="00CF1B3C">
      <w:pPr>
        <w:spacing w:before="240" w:after="240"/>
        <w:jc w:val="both"/>
        <w:rPr>
          <w:rFonts w:ascii="Arial" w:hAnsi="Arial" w:cs="Arial"/>
          <w:sz w:val="22"/>
          <w:szCs w:val="22"/>
        </w:rPr>
      </w:pPr>
      <w:r w:rsidRPr="00290EB4">
        <w:rPr>
          <w:rFonts w:ascii="Arial" w:hAnsi="Arial" w:cs="Arial"/>
          <w:sz w:val="22"/>
          <w:szCs w:val="22"/>
        </w:rPr>
        <w:t xml:space="preserve">Coastal monitoring shows </w:t>
      </w:r>
      <w:r w:rsidRPr="00290EB4">
        <w:rPr>
          <w:rStyle w:val="Strong"/>
          <w:rFonts w:ascii="Arial" w:hAnsi="Arial" w:cs="Arial"/>
          <w:sz w:val="22"/>
          <w:szCs w:val="22"/>
        </w:rPr>
        <w:t>TN 0.2–1.0 mg/L</w:t>
      </w:r>
      <w:r w:rsidRPr="00290EB4">
        <w:rPr>
          <w:rFonts w:ascii="Arial" w:hAnsi="Arial" w:cs="Arial"/>
          <w:sz w:val="22"/>
          <w:szCs w:val="22"/>
        </w:rPr>
        <w:t xml:space="preserve"> and </w:t>
      </w:r>
      <w:r w:rsidRPr="00290EB4">
        <w:rPr>
          <w:rStyle w:val="Strong"/>
          <w:rFonts w:ascii="Arial" w:hAnsi="Arial" w:cs="Arial"/>
          <w:sz w:val="22"/>
          <w:szCs w:val="22"/>
        </w:rPr>
        <w:t>TP 0.02–0.09 mg/L</w:t>
      </w:r>
      <w:r w:rsidRPr="00290EB4">
        <w:rPr>
          <w:rFonts w:ascii="Arial" w:hAnsi="Arial" w:cs="Arial"/>
          <w:sz w:val="22"/>
          <w:szCs w:val="22"/>
        </w:rPr>
        <w:t xml:space="preserve"> (PEMSEA</w:t>
      </w:r>
      <w:r w:rsidR="00452A45">
        <w:rPr>
          <w:rFonts w:ascii="Arial" w:hAnsi="Arial" w:cs="Arial"/>
          <w:sz w:val="22"/>
          <w:szCs w:val="22"/>
        </w:rPr>
        <w:t>&amp;</w:t>
      </w:r>
      <w:r w:rsidR="00452A45" w:rsidRPr="00290EB4">
        <w:rPr>
          <w:rFonts w:ascii="Arial" w:hAnsi="Arial" w:cs="Arial"/>
          <w:sz w:val="22"/>
          <w:szCs w:val="22"/>
        </w:rPr>
        <w:t>MoE</w:t>
      </w:r>
      <w:r w:rsidR="00452A45">
        <w:rPr>
          <w:rFonts w:ascii="Arial" w:hAnsi="Arial" w:cs="Arial"/>
          <w:sz w:val="22"/>
          <w:szCs w:val="22"/>
        </w:rPr>
        <w:t>,</w:t>
      </w:r>
      <w:r w:rsidRPr="00290EB4">
        <w:rPr>
          <w:rFonts w:ascii="Arial" w:hAnsi="Arial" w:cs="Arial"/>
          <w:sz w:val="22"/>
          <w:szCs w:val="22"/>
        </w:rPr>
        <w:t xml:space="preserve"> 2018), with elevated values near farms in Kampot, Kep, and Koh Kong—consistent with early eutrophication. In shared estuaries such as </w:t>
      </w:r>
      <w:r w:rsidRPr="00290EB4">
        <w:rPr>
          <w:rStyle w:val="Strong"/>
          <w:rFonts w:ascii="Arial" w:hAnsi="Arial" w:cs="Arial"/>
          <w:sz w:val="22"/>
          <w:szCs w:val="22"/>
        </w:rPr>
        <w:t>Koh Kong–Trat</w:t>
      </w:r>
      <w:r w:rsidRPr="00290EB4">
        <w:rPr>
          <w:rFonts w:ascii="Arial" w:hAnsi="Arial" w:cs="Arial"/>
          <w:sz w:val="22"/>
          <w:szCs w:val="22"/>
        </w:rPr>
        <w:t xml:space="preserve"> and </w:t>
      </w:r>
      <w:r w:rsidRPr="00290EB4">
        <w:rPr>
          <w:rStyle w:val="Strong"/>
          <w:rFonts w:ascii="Arial" w:hAnsi="Arial" w:cs="Arial"/>
          <w:sz w:val="22"/>
          <w:szCs w:val="22"/>
        </w:rPr>
        <w:t>Kep–Ha Tien</w:t>
      </w:r>
      <w:r w:rsidRPr="00290EB4">
        <w:rPr>
          <w:rFonts w:ascii="Arial" w:hAnsi="Arial" w:cs="Arial"/>
          <w:sz w:val="22"/>
          <w:szCs w:val="22"/>
        </w:rPr>
        <w:t>, nutrient enrichment alters plankton communities, reduces juvenile fish survival, and disrupts recruitment of migratory species (anchovies, mackerel, shrimp) exploited by Cambodia, Thailand, and Viet Nam</w:t>
      </w:r>
      <w:r w:rsidR="00CF1B3C" w:rsidRPr="00290EB4">
        <w:rPr>
          <w:rFonts w:ascii="Arial" w:hAnsi="Arial" w:cs="Arial"/>
          <w:sz w:val="22"/>
          <w:szCs w:val="22"/>
        </w:rPr>
        <w:t>.</w:t>
      </w:r>
    </w:p>
    <w:p w:rsidR="00CF1B3C" w:rsidRPr="006832DA" w:rsidRDefault="00CF1B3C" w:rsidP="006832DA">
      <w:pPr>
        <w:pStyle w:val="Heading4"/>
        <w:spacing w:before="240" w:after="120"/>
        <w:rPr>
          <w:rFonts w:ascii="Arial" w:hAnsi="Arial" w:cs="Arial"/>
          <w:b/>
          <w:bCs/>
          <w:i w:val="0"/>
          <w:iCs w:val="0"/>
          <w:sz w:val="22"/>
          <w:szCs w:val="22"/>
        </w:rPr>
      </w:pPr>
      <w:r w:rsidRPr="006832DA">
        <w:rPr>
          <w:rFonts w:ascii="Arial" w:hAnsi="Arial" w:cs="Arial"/>
          <w:b/>
          <w:bCs/>
          <w:i w:val="0"/>
          <w:iCs w:val="0"/>
          <w:sz w:val="22"/>
          <w:szCs w:val="22"/>
        </w:rPr>
        <w:t>3.3.1.4 Hazardous and Industrial Waste: Hydrocarbon and Heavy-Metal Risks</w:t>
      </w:r>
    </w:p>
    <w:p w:rsidR="00290EB4" w:rsidRDefault="00290EB4" w:rsidP="00CF1B3C">
      <w:pPr>
        <w:spacing w:before="100" w:beforeAutospacing="1" w:after="100" w:afterAutospacing="1"/>
        <w:jc w:val="both"/>
        <w:rPr>
          <w:rFonts w:ascii="Arial" w:hAnsi="Arial" w:cs="Arial"/>
          <w:sz w:val="22"/>
          <w:szCs w:val="22"/>
        </w:rPr>
      </w:pPr>
      <w:r w:rsidRPr="00290EB4">
        <w:rPr>
          <w:rFonts w:ascii="Arial" w:hAnsi="Arial" w:cs="Arial"/>
          <w:sz w:val="22"/>
          <w:szCs w:val="22"/>
        </w:rPr>
        <w:t xml:space="preserve">Industrial expansion in Sihanoukville has increased hydrocarbon and metal contamination with cross-border implications. In 2023, waters contained </w:t>
      </w:r>
      <w:r w:rsidRPr="00290EB4">
        <w:rPr>
          <w:rStyle w:val="Strong"/>
          <w:rFonts w:ascii="Arial" w:hAnsi="Arial" w:cs="Arial"/>
          <w:sz w:val="22"/>
          <w:szCs w:val="22"/>
        </w:rPr>
        <w:t>TPH 0.7 mg/L</w:t>
      </w:r>
      <w:r w:rsidRPr="00290EB4">
        <w:rPr>
          <w:rFonts w:ascii="Arial" w:hAnsi="Arial" w:cs="Arial"/>
          <w:sz w:val="22"/>
          <w:szCs w:val="22"/>
        </w:rPr>
        <w:t xml:space="preserve">, </w:t>
      </w:r>
      <w:r w:rsidRPr="00290EB4">
        <w:rPr>
          <w:rStyle w:val="Strong"/>
          <w:rFonts w:ascii="Arial" w:hAnsi="Arial" w:cs="Arial"/>
          <w:sz w:val="22"/>
          <w:szCs w:val="22"/>
        </w:rPr>
        <w:t>oil and grease 12 mg/L</w:t>
      </w:r>
      <w:r w:rsidRPr="00290EB4">
        <w:rPr>
          <w:rFonts w:ascii="Arial" w:hAnsi="Arial" w:cs="Arial"/>
          <w:sz w:val="22"/>
          <w:szCs w:val="22"/>
        </w:rPr>
        <w:t xml:space="preserve">, and elevated </w:t>
      </w:r>
      <w:r w:rsidRPr="00290EB4">
        <w:rPr>
          <w:rStyle w:val="Strong"/>
          <w:rFonts w:ascii="Arial" w:hAnsi="Arial" w:cs="Arial"/>
          <w:sz w:val="22"/>
          <w:szCs w:val="22"/>
        </w:rPr>
        <w:t>Pb (0.25 mg/L)</w:t>
      </w:r>
      <w:r w:rsidRPr="00290EB4">
        <w:rPr>
          <w:rFonts w:ascii="Arial" w:hAnsi="Arial" w:cs="Arial"/>
          <w:sz w:val="22"/>
          <w:szCs w:val="22"/>
        </w:rPr>
        <w:t xml:space="preserve"> and </w:t>
      </w:r>
      <w:r w:rsidRPr="00290EB4">
        <w:rPr>
          <w:rStyle w:val="Strong"/>
          <w:rFonts w:ascii="Arial" w:hAnsi="Arial" w:cs="Arial"/>
          <w:sz w:val="22"/>
          <w:szCs w:val="22"/>
        </w:rPr>
        <w:t>Zn (1.1 mg/L)</w:t>
      </w:r>
      <w:r w:rsidRPr="00290EB4">
        <w:rPr>
          <w:rFonts w:ascii="Arial" w:hAnsi="Arial" w:cs="Arial"/>
          <w:sz w:val="22"/>
          <w:szCs w:val="22"/>
        </w:rPr>
        <w:t>—all above national limits (MoE</w:t>
      </w:r>
      <w:r w:rsidR="00452A45">
        <w:rPr>
          <w:rFonts w:ascii="Arial" w:hAnsi="Arial" w:cs="Arial"/>
          <w:sz w:val="22"/>
          <w:szCs w:val="22"/>
        </w:rPr>
        <w:t>,</w:t>
      </w:r>
      <w:r w:rsidRPr="00290EB4">
        <w:rPr>
          <w:rFonts w:ascii="Arial" w:hAnsi="Arial" w:cs="Arial"/>
          <w:sz w:val="22"/>
          <w:szCs w:val="22"/>
        </w:rPr>
        <w:t>2023). Sediment records in Peam Krasop and Stung Hav show chronic accumulation (</w:t>
      </w:r>
      <w:r w:rsidRPr="00290EB4">
        <w:rPr>
          <w:rStyle w:val="Strong"/>
          <w:rFonts w:ascii="Arial" w:hAnsi="Arial" w:cs="Arial"/>
          <w:sz w:val="22"/>
          <w:szCs w:val="22"/>
        </w:rPr>
        <w:t>Zn 35–90 mg/kg</w:t>
      </w:r>
      <w:r w:rsidRPr="00290EB4">
        <w:rPr>
          <w:rFonts w:ascii="Arial" w:hAnsi="Arial" w:cs="Arial"/>
          <w:sz w:val="22"/>
          <w:szCs w:val="22"/>
        </w:rPr>
        <w:t xml:space="preserve">, </w:t>
      </w:r>
      <w:r w:rsidRPr="00290EB4">
        <w:rPr>
          <w:rStyle w:val="Strong"/>
          <w:rFonts w:ascii="Arial" w:hAnsi="Arial" w:cs="Arial"/>
          <w:sz w:val="22"/>
          <w:szCs w:val="22"/>
        </w:rPr>
        <w:t>Pb 10–25 mg/kg</w:t>
      </w:r>
      <w:r w:rsidRPr="00290EB4">
        <w:rPr>
          <w:rFonts w:ascii="Arial" w:hAnsi="Arial" w:cs="Arial"/>
          <w:sz w:val="22"/>
          <w:szCs w:val="22"/>
        </w:rPr>
        <w:t>) linked to industrial effluent, ship repair, and port runoff.</w:t>
      </w:r>
    </w:p>
    <w:p w:rsidR="001D4B8D" w:rsidRPr="00290EB4" w:rsidRDefault="00290EB4" w:rsidP="00CF1B3C">
      <w:pPr>
        <w:spacing w:before="100" w:beforeAutospacing="1" w:after="100" w:afterAutospacing="1"/>
        <w:jc w:val="both"/>
        <w:rPr>
          <w:rFonts w:ascii="Arial" w:hAnsi="Arial" w:cs="Arial"/>
          <w:sz w:val="22"/>
          <w:szCs w:val="22"/>
        </w:rPr>
      </w:pPr>
      <w:r w:rsidRPr="00290EB4">
        <w:rPr>
          <w:rFonts w:ascii="Arial" w:hAnsi="Arial" w:cs="Arial"/>
          <w:sz w:val="22"/>
          <w:szCs w:val="22"/>
        </w:rPr>
        <w:t xml:space="preserve">Given Sihanoukville’s location on major regional shipping routes, oily waste and spills can reach Thai and Vietnamese waters within days. The </w:t>
      </w:r>
      <w:r w:rsidRPr="00290EB4">
        <w:rPr>
          <w:rStyle w:val="Strong"/>
          <w:rFonts w:ascii="Arial" w:hAnsi="Arial" w:cs="Arial"/>
          <w:sz w:val="22"/>
          <w:szCs w:val="22"/>
        </w:rPr>
        <w:t>2025 Prek Treng spill (~2,000 L)</w:t>
      </w:r>
      <w:r w:rsidRPr="00290EB4">
        <w:rPr>
          <w:rFonts w:ascii="Arial" w:hAnsi="Arial" w:cs="Arial"/>
          <w:sz w:val="22"/>
          <w:szCs w:val="22"/>
        </w:rPr>
        <w:t xml:space="preserve"> highlighted weak surveillance and response capacity. Limited port-reception facilities, incomplete MARPOL enforcement, and the absence of a spill inventory heighten risks of illegal at-sea discharges, contributing to regional hydrocarbon contamination</w:t>
      </w:r>
      <w:r w:rsidR="00CF1B3C" w:rsidRPr="00290EB4">
        <w:rPr>
          <w:rFonts w:ascii="Arial" w:hAnsi="Arial" w:cs="Arial"/>
          <w:sz w:val="22"/>
          <w:szCs w:val="22"/>
        </w:rPr>
        <w:t>.</w:t>
      </w:r>
    </w:p>
    <w:p w:rsidR="00BF0F75" w:rsidRPr="006832DA" w:rsidRDefault="00BF0F75" w:rsidP="006832DA">
      <w:pPr>
        <w:pStyle w:val="Heading3"/>
        <w:spacing w:before="240" w:after="240"/>
        <w:rPr>
          <w:rFonts w:ascii="Arial" w:hAnsi="Arial" w:cs="Arial"/>
          <w:b/>
          <w:bCs/>
        </w:rPr>
      </w:pPr>
      <w:bookmarkStart w:id="19" w:name="_Toc217231851"/>
      <w:r w:rsidRPr="006832DA">
        <w:rPr>
          <w:rFonts w:ascii="Arial" w:hAnsi="Arial" w:cs="Arial"/>
          <w:b/>
          <w:bCs/>
        </w:rPr>
        <w:t>3.3.2 Interactions: Impacts on Environment and Society</w:t>
      </w:r>
      <w:bookmarkEnd w:id="19"/>
    </w:p>
    <w:p w:rsidR="00BF0F75" w:rsidRPr="006832DA" w:rsidRDefault="00BF0F75" w:rsidP="006832DA">
      <w:pPr>
        <w:pStyle w:val="Heading4"/>
        <w:spacing w:before="240" w:after="120"/>
        <w:rPr>
          <w:rFonts w:ascii="Arial" w:hAnsi="Arial" w:cs="Arial"/>
          <w:b/>
          <w:bCs/>
          <w:i w:val="0"/>
          <w:iCs w:val="0"/>
          <w:sz w:val="22"/>
          <w:szCs w:val="22"/>
        </w:rPr>
      </w:pPr>
      <w:r w:rsidRPr="006832DA">
        <w:rPr>
          <w:rFonts w:ascii="Arial" w:hAnsi="Arial" w:cs="Arial"/>
          <w:b/>
          <w:bCs/>
          <w:i w:val="0"/>
          <w:iCs w:val="0"/>
          <w:sz w:val="22"/>
          <w:szCs w:val="22"/>
        </w:rPr>
        <w:t>3.3.2.1 Environmental Interactions</w:t>
      </w:r>
    </w:p>
    <w:p w:rsidR="001D36CB" w:rsidRDefault="00705653" w:rsidP="001D36CB">
      <w:pPr>
        <w:jc w:val="both"/>
        <w:rPr>
          <w:i/>
          <w:iCs/>
        </w:rPr>
      </w:pPr>
      <w:r w:rsidRPr="00E57E03">
        <w:rPr>
          <w:rStyle w:val="Strong"/>
          <w:rFonts w:ascii="Arial" w:hAnsi="Arial" w:cs="Arial"/>
          <w:sz w:val="22"/>
          <w:szCs w:val="22"/>
        </w:rPr>
        <w:t>Eutrophication, hypoxia, and ecosystem shifts</w:t>
      </w:r>
      <w:r w:rsidR="001D36CB" w:rsidRPr="00E57E03">
        <w:rPr>
          <w:rStyle w:val="Strong"/>
          <w:rFonts w:ascii="Arial" w:hAnsi="Arial" w:cs="Arial"/>
          <w:sz w:val="22"/>
          <w:szCs w:val="22"/>
        </w:rPr>
        <w:t>:</w:t>
      </w:r>
      <w:r w:rsidR="001D36CB">
        <w:rPr>
          <w:rStyle w:val="Strong"/>
          <w:rFonts w:ascii="Arial" w:hAnsi="Arial" w:cs="Arial"/>
          <w:i/>
          <w:iCs/>
          <w:sz w:val="22"/>
          <w:szCs w:val="22"/>
        </w:rPr>
        <w:t xml:space="preserve"> </w:t>
      </w:r>
      <w:r w:rsidRPr="00705653">
        <w:rPr>
          <w:rFonts w:ascii="Arial" w:hAnsi="Arial" w:cs="Arial"/>
          <w:sz w:val="22"/>
          <w:szCs w:val="22"/>
        </w:rPr>
        <w:t xml:space="preserve">Rising nutrient inputs from untreated wastewater, fertilizers, and aquaculture waste are driving eutrophication in estuaries such as Kampot Bay, Prek Toeuk Sap, and the Tatai River. Monitoring shows </w:t>
      </w:r>
      <w:r w:rsidRPr="00705653">
        <w:rPr>
          <w:rStyle w:val="Strong"/>
          <w:rFonts w:ascii="Arial" w:hAnsi="Arial" w:cs="Arial"/>
          <w:sz w:val="22"/>
          <w:szCs w:val="22"/>
        </w:rPr>
        <w:t>NO</w:t>
      </w:r>
      <w:r w:rsidRPr="00705653">
        <w:rPr>
          <w:rStyle w:val="Strong"/>
          <w:rFonts w:ascii="Cambria Math" w:hAnsi="Cambria Math" w:cs="Cambria Math"/>
          <w:sz w:val="22"/>
          <w:szCs w:val="22"/>
        </w:rPr>
        <w:t>₃⁻</w:t>
      </w:r>
      <w:r w:rsidRPr="00705653">
        <w:rPr>
          <w:rStyle w:val="Strong"/>
          <w:rFonts w:ascii="Arial" w:hAnsi="Arial" w:cs="Arial"/>
          <w:sz w:val="22"/>
          <w:szCs w:val="22"/>
        </w:rPr>
        <w:t xml:space="preserve"> up to 2.4 mg/L</w:t>
      </w:r>
      <w:r w:rsidRPr="00705653">
        <w:rPr>
          <w:rFonts w:ascii="Arial" w:hAnsi="Arial" w:cs="Arial"/>
          <w:sz w:val="22"/>
          <w:szCs w:val="22"/>
        </w:rPr>
        <w:t xml:space="preserve">, </w:t>
      </w:r>
      <w:r w:rsidRPr="00705653">
        <w:rPr>
          <w:rStyle w:val="Strong"/>
          <w:rFonts w:ascii="Arial" w:hAnsi="Arial" w:cs="Arial"/>
          <w:sz w:val="22"/>
          <w:szCs w:val="22"/>
        </w:rPr>
        <w:t>PO</w:t>
      </w:r>
      <w:r w:rsidRPr="00705653">
        <w:rPr>
          <w:rStyle w:val="Strong"/>
          <w:rFonts w:ascii="Cambria Math" w:hAnsi="Cambria Math" w:cs="Cambria Math"/>
          <w:sz w:val="22"/>
          <w:szCs w:val="22"/>
        </w:rPr>
        <w:t>₄</w:t>
      </w:r>
      <w:r w:rsidRPr="00705653">
        <w:rPr>
          <w:rStyle w:val="Strong"/>
          <w:rFonts w:ascii="Arial" w:hAnsi="Arial" w:cs="Arial"/>
          <w:sz w:val="22"/>
          <w:szCs w:val="22"/>
        </w:rPr>
        <w:t>³</w:t>
      </w:r>
      <w:r w:rsidRPr="00705653">
        <w:rPr>
          <w:rStyle w:val="Strong"/>
          <w:rFonts w:ascii="Cambria Math" w:hAnsi="Cambria Math" w:cs="Cambria Math"/>
          <w:sz w:val="22"/>
          <w:szCs w:val="22"/>
        </w:rPr>
        <w:t>⁻</w:t>
      </w:r>
      <w:r w:rsidRPr="00705653">
        <w:rPr>
          <w:rStyle w:val="Strong"/>
          <w:rFonts w:ascii="Arial" w:hAnsi="Arial" w:cs="Arial"/>
          <w:sz w:val="22"/>
          <w:szCs w:val="22"/>
        </w:rPr>
        <w:t xml:space="preserve"> up to 0.8 mg/L</w:t>
      </w:r>
      <w:r w:rsidRPr="00705653">
        <w:rPr>
          <w:rFonts w:ascii="Arial" w:hAnsi="Arial" w:cs="Arial"/>
          <w:sz w:val="22"/>
          <w:szCs w:val="22"/>
        </w:rPr>
        <w:t xml:space="preserve">, and </w:t>
      </w:r>
      <w:r w:rsidRPr="00705653">
        <w:rPr>
          <w:rStyle w:val="Strong"/>
          <w:rFonts w:ascii="Arial" w:hAnsi="Arial" w:cs="Arial"/>
          <w:sz w:val="22"/>
          <w:szCs w:val="22"/>
        </w:rPr>
        <w:t>DO &lt;4 mg/L</w:t>
      </w:r>
      <w:r w:rsidRPr="00705653">
        <w:rPr>
          <w:rFonts w:ascii="Arial" w:hAnsi="Arial" w:cs="Arial"/>
          <w:sz w:val="22"/>
          <w:szCs w:val="22"/>
        </w:rPr>
        <w:t xml:space="preserve"> (MoE 2023; FiA 2024)—all above national and ASEAN thresholds and consistent with early hypoxia. These conditions trigger dense phytoplankton growth, reduced light penetration to seagrass, and higher risk of harmful algal blooms. Resulting ecosystem shifts favour opportunistic, pollution-tolerant species, reflected in coral declines in Kampot and Kep (</w:t>
      </w:r>
      <w:r w:rsidRPr="00705653">
        <w:rPr>
          <w:rStyle w:val="Strong"/>
          <w:rFonts w:ascii="Arial" w:hAnsi="Arial" w:cs="Arial"/>
          <w:sz w:val="22"/>
          <w:szCs w:val="22"/>
        </w:rPr>
        <w:t xml:space="preserve">48% </w:t>
      </w:r>
      <w:r w:rsidR="00AC1240">
        <w:rPr>
          <w:rStyle w:val="Strong"/>
          <w:rFonts w:ascii="Arial" w:hAnsi="Arial" w:cs="Arial"/>
          <w:sz w:val="22"/>
          <w:szCs w:val="22"/>
        </w:rPr>
        <w:t>to</w:t>
      </w:r>
      <w:r w:rsidRPr="00705653">
        <w:rPr>
          <w:rStyle w:val="Strong"/>
          <w:rFonts w:ascii="Arial" w:hAnsi="Arial" w:cs="Arial"/>
          <w:sz w:val="22"/>
          <w:szCs w:val="22"/>
        </w:rPr>
        <w:t xml:space="preserve"> 32%</w:t>
      </w:r>
      <w:r w:rsidRPr="00705653">
        <w:rPr>
          <w:rFonts w:ascii="Arial" w:hAnsi="Arial" w:cs="Arial"/>
          <w:sz w:val="22"/>
          <w:szCs w:val="22"/>
        </w:rPr>
        <w:t>, 2010–2023; FiA &amp; UNDP 2022).</w:t>
      </w:r>
    </w:p>
    <w:p w:rsidR="00705653" w:rsidRPr="001D36CB" w:rsidRDefault="00705653" w:rsidP="001D36CB">
      <w:pPr>
        <w:spacing w:before="240" w:after="240"/>
        <w:jc w:val="both"/>
        <w:rPr>
          <w:i/>
          <w:iCs/>
        </w:rPr>
      </w:pPr>
      <w:r w:rsidRPr="00E57E03">
        <w:rPr>
          <w:rStyle w:val="Strong"/>
          <w:rFonts w:ascii="Arial" w:hAnsi="Arial" w:cs="Arial"/>
          <w:sz w:val="22"/>
          <w:szCs w:val="22"/>
        </w:rPr>
        <w:t>Habitat degradation from sedimentation, plastics, and suspended solids</w:t>
      </w:r>
      <w:r w:rsidR="001D36CB" w:rsidRPr="00E57E03">
        <w:rPr>
          <w:rStyle w:val="Strong"/>
          <w:rFonts w:ascii="Arial" w:hAnsi="Arial" w:cs="Arial"/>
          <w:sz w:val="22"/>
          <w:szCs w:val="22"/>
        </w:rPr>
        <w:t>:</w:t>
      </w:r>
      <w:r w:rsidR="001D36CB">
        <w:rPr>
          <w:rStyle w:val="Strong"/>
          <w:rFonts w:ascii="Arial" w:hAnsi="Arial" w:cs="Arial"/>
          <w:i/>
          <w:iCs/>
          <w:sz w:val="22"/>
          <w:szCs w:val="22"/>
        </w:rPr>
        <w:t xml:space="preserve"> </w:t>
      </w:r>
      <w:r w:rsidRPr="00705653">
        <w:rPr>
          <w:rFonts w:ascii="Arial" w:hAnsi="Arial" w:cs="Arial"/>
          <w:sz w:val="22"/>
          <w:szCs w:val="22"/>
        </w:rPr>
        <w:t xml:space="preserve">High </w:t>
      </w:r>
      <w:r w:rsidRPr="00705653">
        <w:rPr>
          <w:rStyle w:val="Strong"/>
          <w:rFonts w:ascii="Arial" w:hAnsi="Arial" w:cs="Arial"/>
          <w:sz w:val="22"/>
          <w:szCs w:val="22"/>
        </w:rPr>
        <w:t>TSS (80–120 mg/L)</w:t>
      </w:r>
      <w:r w:rsidRPr="00705653">
        <w:rPr>
          <w:rFonts w:ascii="Arial" w:hAnsi="Arial" w:cs="Arial"/>
          <w:sz w:val="22"/>
          <w:szCs w:val="22"/>
        </w:rPr>
        <w:t xml:space="preserve">, chronic sedimentation, and </w:t>
      </w:r>
      <w:r w:rsidRPr="00705653">
        <w:rPr>
          <w:rStyle w:val="Strong"/>
          <w:rFonts w:ascii="Arial" w:hAnsi="Arial" w:cs="Arial"/>
          <w:sz w:val="22"/>
          <w:szCs w:val="22"/>
        </w:rPr>
        <w:t>&gt;14,000 t/year</w:t>
      </w:r>
      <w:r w:rsidRPr="00705653">
        <w:rPr>
          <w:rFonts w:ascii="Arial" w:hAnsi="Arial" w:cs="Arial"/>
          <w:sz w:val="22"/>
          <w:szCs w:val="22"/>
        </w:rPr>
        <w:t xml:space="preserve"> of plastic leakage are smothering mangroves, seagrass, and corals. Sediments contain </w:t>
      </w:r>
      <w:r w:rsidRPr="00705653">
        <w:rPr>
          <w:rStyle w:val="Strong"/>
          <w:rFonts w:ascii="Arial" w:hAnsi="Arial" w:cs="Arial"/>
          <w:sz w:val="22"/>
          <w:szCs w:val="22"/>
        </w:rPr>
        <w:t>120–350 microplastic particles/kg</w:t>
      </w:r>
      <w:r w:rsidRPr="00705653">
        <w:rPr>
          <w:rFonts w:ascii="Arial" w:hAnsi="Arial" w:cs="Arial"/>
          <w:sz w:val="22"/>
          <w:szCs w:val="22"/>
        </w:rPr>
        <w:t>, indicating accelerating fragmentation (FiA &amp; UNDP 2023). Mangrove cores from Peam Krasop show rising heavy metals (</w:t>
      </w:r>
      <w:r w:rsidRPr="00705653">
        <w:rPr>
          <w:rStyle w:val="Strong"/>
          <w:rFonts w:ascii="Arial" w:hAnsi="Arial" w:cs="Arial"/>
          <w:sz w:val="22"/>
          <w:szCs w:val="22"/>
        </w:rPr>
        <w:t>Zn 35–90 mg/kg; Pb 10–25 mg/kg</w:t>
      </w:r>
      <w:r w:rsidRPr="00705653">
        <w:rPr>
          <w:rFonts w:ascii="Arial" w:hAnsi="Arial" w:cs="Arial"/>
          <w:sz w:val="22"/>
          <w:szCs w:val="22"/>
        </w:rPr>
        <w:t>), while seagrass beds in Kampot exhibit shorter leaves and heavier epiphyte loads linked to nutrient and sediment stress. Coral reefs around Koh Rong show localized mortality and reduced recruitment near discharge zones.</w:t>
      </w:r>
    </w:p>
    <w:p w:rsidR="00705653" w:rsidRPr="001D36CB" w:rsidRDefault="00705653" w:rsidP="001D36CB">
      <w:pPr>
        <w:jc w:val="both"/>
        <w:rPr>
          <w:b/>
          <w:bCs/>
          <w:i/>
          <w:iCs/>
        </w:rPr>
      </w:pPr>
      <w:r w:rsidRPr="00AC1240">
        <w:rPr>
          <w:rStyle w:val="Strong"/>
          <w:rFonts w:ascii="Arial" w:hAnsi="Arial" w:cs="Arial"/>
          <w:sz w:val="22"/>
          <w:szCs w:val="22"/>
        </w:rPr>
        <w:t>Toxicity and food-web contamination</w:t>
      </w:r>
      <w:r w:rsidR="001D36CB" w:rsidRPr="00AC1240">
        <w:rPr>
          <w:rStyle w:val="Strong"/>
          <w:rFonts w:ascii="Arial" w:hAnsi="Arial" w:cs="Arial"/>
          <w:sz w:val="22"/>
          <w:szCs w:val="22"/>
        </w:rPr>
        <w:t>:</w:t>
      </w:r>
      <w:r w:rsidR="001D36CB">
        <w:rPr>
          <w:rStyle w:val="Strong"/>
          <w:rFonts w:ascii="Arial" w:hAnsi="Arial" w:cs="Arial"/>
          <w:i/>
          <w:iCs/>
          <w:sz w:val="22"/>
          <w:szCs w:val="22"/>
        </w:rPr>
        <w:t xml:space="preserve"> </w:t>
      </w:r>
      <w:r w:rsidRPr="00705653">
        <w:rPr>
          <w:rFonts w:ascii="Arial" w:hAnsi="Arial" w:cs="Arial"/>
          <w:sz w:val="22"/>
          <w:szCs w:val="22"/>
        </w:rPr>
        <w:t xml:space="preserve">Industrial effluents containing </w:t>
      </w:r>
      <w:r w:rsidRPr="00705653">
        <w:rPr>
          <w:rStyle w:val="Strong"/>
          <w:rFonts w:ascii="Arial" w:hAnsi="Arial" w:cs="Arial"/>
          <w:sz w:val="22"/>
          <w:szCs w:val="22"/>
        </w:rPr>
        <w:t>Pb, Zn, Cu</w:t>
      </w:r>
      <w:r w:rsidRPr="00705653">
        <w:rPr>
          <w:rFonts w:ascii="Arial" w:hAnsi="Arial" w:cs="Arial"/>
          <w:sz w:val="22"/>
          <w:szCs w:val="22"/>
        </w:rPr>
        <w:t>, and hydrocarbons affect reproduction and early-life stages of fish, crustaceans, and mollusks. Elevated metals in sediments near Stung Hav and Prek Toeuk Sap increase risks of bioaccumulation in commercial species. Hydrocarbon contamination (</w:t>
      </w:r>
      <w:r w:rsidRPr="00705653">
        <w:rPr>
          <w:rStyle w:val="Strong"/>
          <w:rFonts w:ascii="Arial" w:hAnsi="Arial" w:cs="Arial"/>
          <w:sz w:val="22"/>
          <w:szCs w:val="22"/>
        </w:rPr>
        <w:t>TPH 0.7 mg/L</w:t>
      </w:r>
      <w:r w:rsidRPr="00705653">
        <w:rPr>
          <w:rFonts w:ascii="Arial" w:hAnsi="Arial" w:cs="Arial"/>
          <w:sz w:val="22"/>
          <w:szCs w:val="22"/>
        </w:rPr>
        <w:t xml:space="preserve">) is associated with impaired gill function, higher disease susceptibility, and reduced spawning success. Because many affected species migrate across the Gulf of Thailand, toxicity and contamination have </w:t>
      </w:r>
      <w:r w:rsidRPr="00C766A1">
        <w:rPr>
          <w:rStyle w:val="Strong"/>
          <w:rFonts w:ascii="Arial" w:hAnsi="Arial" w:cs="Arial"/>
          <w:b w:val="0"/>
          <w:bCs w:val="0"/>
          <w:sz w:val="22"/>
          <w:szCs w:val="22"/>
        </w:rPr>
        <w:t>cross-border implications</w:t>
      </w:r>
      <w:r w:rsidRPr="00705653">
        <w:rPr>
          <w:rFonts w:ascii="Arial" w:hAnsi="Arial" w:cs="Arial"/>
          <w:sz w:val="22"/>
          <w:szCs w:val="22"/>
        </w:rPr>
        <w:t xml:space="preserve"> for recruitment and regional fish-stock dynamics.</w:t>
      </w:r>
    </w:p>
    <w:p w:rsidR="00BF0F75" w:rsidRPr="006832DA" w:rsidRDefault="00BF0F75" w:rsidP="006832DA">
      <w:pPr>
        <w:pStyle w:val="Heading4"/>
        <w:spacing w:before="240" w:after="120"/>
        <w:rPr>
          <w:rFonts w:ascii="Arial" w:hAnsi="Arial" w:cs="Arial"/>
          <w:b/>
          <w:bCs/>
          <w:i w:val="0"/>
          <w:iCs w:val="0"/>
          <w:sz w:val="22"/>
          <w:szCs w:val="22"/>
        </w:rPr>
      </w:pPr>
      <w:r w:rsidRPr="006832DA">
        <w:rPr>
          <w:rFonts w:ascii="Arial" w:hAnsi="Arial" w:cs="Arial"/>
          <w:b/>
          <w:bCs/>
          <w:i w:val="0"/>
          <w:iCs w:val="0"/>
          <w:sz w:val="22"/>
          <w:szCs w:val="22"/>
        </w:rPr>
        <w:t>3.3.2.2 Social and Economic Interactions</w:t>
      </w:r>
    </w:p>
    <w:p w:rsidR="001D36CB" w:rsidRDefault="001D36CB" w:rsidP="001D36CB">
      <w:pPr>
        <w:spacing w:before="240" w:after="240"/>
        <w:jc w:val="both"/>
        <w:rPr>
          <w:b/>
          <w:bCs/>
          <w:i/>
          <w:iCs/>
        </w:rPr>
      </w:pPr>
      <w:r w:rsidRPr="007520E0">
        <w:rPr>
          <w:rStyle w:val="Strong"/>
          <w:rFonts w:ascii="Arial" w:hAnsi="Arial" w:cs="Arial"/>
          <w:sz w:val="22"/>
          <w:szCs w:val="22"/>
        </w:rPr>
        <w:t xml:space="preserve">Public health risks from microbial and chemical contamination: </w:t>
      </w:r>
      <w:r w:rsidRPr="007520E0">
        <w:rPr>
          <w:rFonts w:ascii="Arial" w:hAnsi="Arial" w:cs="Arial"/>
          <w:sz w:val="22"/>
          <w:szCs w:val="22"/>
        </w:rPr>
        <w:t>Extremely high fecal-coliform</w:t>
      </w:r>
      <w:r w:rsidRPr="001D36CB">
        <w:rPr>
          <w:rFonts w:ascii="Arial" w:hAnsi="Arial" w:cs="Arial"/>
          <w:sz w:val="22"/>
          <w:szCs w:val="22"/>
        </w:rPr>
        <w:t xml:space="preserve"> levels (</w:t>
      </w:r>
      <w:r w:rsidRPr="001D36CB">
        <w:rPr>
          <w:rStyle w:val="Strong"/>
          <w:rFonts w:ascii="Arial" w:hAnsi="Arial" w:cs="Arial"/>
          <w:sz w:val="22"/>
          <w:szCs w:val="22"/>
        </w:rPr>
        <w:t>&gt;10⁵ CFU/100 mL</w:t>
      </w:r>
      <w:r w:rsidRPr="001D36CB">
        <w:rPr>
          <w:rFonts w:ascii="Arial" w:hAnsi="Arial" w:cs="Arial"/>
          <w:sz w:val="22"/>
          <w:szCs w:val="22"/>
        </w:rPr>
        <w:t>) in coastal bathing waters and fish-landing sites (MoE 2023) pose immediate health risks, with seasonal spikes in gastrointestinal illness reported in Kampot and Sihanoukville during monsoon periods when runoff and sewage overflow intensify. Chemical risks also arise where heavy metals and hydrocarbons contaminate nearshore waters, exposing low-income, fish-dependent households—especially shellfish consumers—to chronic toxicity.</w:t>
      </w:r>
    </w:p>
    <w:p w:rsidR="001D36CB" w:rsidRPr="001D36CB" w:rsidRDefault="001D36CB" w:rsidP="001D36CB">
      <w:pPr>
        <w:spacing w:before="240" w:after="240"/>
        <w:jc w:val="both"/>
        <w:rPr>
          <w:b/>
          <w:bCs/>
          <w:i/>
          <w:iCs/>
        </w:rPr>
      </w:pPr>
      <w:r w:rsidRPr="007520E0">
        <w:rPr>
          <w:rStyle w:val="Strong"/>
          <w:rFonts w:ascii="Arial" w:hAnsi="Arial" w:cs="Arial"/>
          <w:sz w:val="22"/>
          <w:szCs w:val="22"/>
        </w:rPr>
        <w:t>Impacts on fisheries livelihoods and food security:</w:t>
      </w:r>
      <w:r>
        <w:rPr>
          <w:rStyle w:val="Strong"/>
          <w:rFonts w:ascii="Arial" w:hAnsi="Arial" w:cs="Arial"/>
          <w:i/>
          <w:iCs/>
          <w:sz w:val="22"/>
          <w:szCs w:val="22"/>
        </w:rPr>
        <w:t xml:space="preserve"> </w:t>
      </w:r>
      <w:r w:rsidRPr="001D36CB">
        <w:rPr>
          <w:rFonts w:ascii="Arial" w:hAnsi="Arial" w:cs="Arial"/>
          <w:sz w:val="22"/>
          <w:szCs w:val="22"/>
        </w:rPr>
        <w:t>Pollution reduces fishery productivity through hypoxia, habitat degradation, contamination, and higher disease prevalence in both wild and cultured fish. Small-scale fishers in Kampot and Kep report declining catches and longer travel distances to viable grounds. Aquaculture farmers face higher mortality, greater antibiotic use, and reduced profitability—contributing to emerging antimicrobial resistance (AMR) documented in Cambodian marine aquaculture (IJERPH</w:t>
      </w:r>
      <w:r w:rsidR="00C766A1">
        <w:rPr>
          <w:rFonts w:ascii="Arial" w:hAnsi="Arial" w:cs="Arial"/>
          <w:sz w:val="22"/>
          <w:szCs w:val="22"/>
        </w:rPr>
        <w:t xml:space="preserve">, </w:t>
      </w:r>
      <w:r w:rsidRPr="001D36CB">
        <w:rPr>
          <w:rFonts w:ascii="Arial" w:hAnsi="Arial" w:cs="Arial"/>
          <w:sz w:val="22"/>
          <w:szCs w:val="22"/>
        </w:rPr>
        <w:t>2020). These stresses undermine household food security and erode seafood market competitiveness.</w:t>
      </w:r>
    </w:p>
    <w:p w:rsidR="001D36CB" w:rsidRPr="001D36CB" w:rsidRDefault="001D36CB" w:rsidP="001D36CB">
      <w:pPr>
        <w:spacing w:before="240" w:after="240"/>
        <w:jc w:val="both"/>
        <w:rPr>
          <w:b/>
          <w:bCs/>
          <w:i/>
          <w:iCs/>
        </w:rPr>
      </w:pPr>
      <w:r w:rsidRPr="007520E0">
        <w:rPr>
          <w:rStyle w:val="Strong"/>
          <w:rFonts w:ascii="Arial" w:hAnsi="Arial" w:cs="Arial"/>
          <w:sz w:val="22"/>
          <w:szCs w:val="22"/>
        </w:rPr>
        <w:t xml:space="preserve">Tourism and coastal-economy degradation: </w:t>
      </w:r>
      <w:r w:rsidRPr="001D36CB">
        <w:rPr>
          <w:rFonts w:ascii="Arial" w:hAnsi="Arial" w:cs="Arial"/>
          <w:sz w:val="22"/>
          <w:szCs w:val="22"/>
        </w:rPr>
        <w:t xml:space="preserve">Tourism—one of Cambodia’s fastest-growing coastal sectors—is highly sensitive to pollution. Sewage-driven beach closures in Sihanoukville, visible algal blooms, plastic accumulation, and the </w:t>
      </w:r>
      <w:r w:rsidRPr="001D36CB">
        <w:rPr>
          <w:rStyle w:val="Strong"/>
          <w:rFonts w:ascii="Arial" w:hAnsi="Arial" w:cs="Arial"/>
          <w:sz w:val="22"/>
          <w:szCs w:val="22"/>
        </w:rPr>
        <w:t>2025 Prek Treng oiling incident</w:t>
      </w:r>
      <w:r w:rsidRPr="001D36CB">
        <w:rPr>
          <w:rFonts w:ascii="Arial" w:hAnsi="Arial" w:cs="Arial"/>
          <w:sz w:val="22"/>
          <w:szCs w:val="22"/>
        </w:rPr>
        <w:t xml:space="preserve"> have triggered booking cancellations in Koh Rong and Kampot Bay. Environmental decline increasingly deters investors, while reduced tourism revenue further weakens municipal budgets for waste and wastewater management, creating a reinforcing cycle of degradation.</w:t>
      </w:r>
    </w:p>
    <w:p w:rsidR="001D36CB" w:rsidRPr="001D36CB" w:rsidRDefault="001D36CB" w:rsidP="001D36CB">
      <w:pPr>
        <w:spacing w:before="240" w:after="240"/>
        <w:jc w:val="both"/>
        <w:rPr>
          <w:b/>
          <w:bCs/>
          <w:i/>
          <w:iCs/>
        </w:rPr>
      </w:pPr>
      <w:r w:rsidRPr="007520E0">
        <w:rPr>
          <w:rStyle w:val="Strong"/>
          <w:rFonts w:ascii="Arial" w:hAnsi="Arial" w:cs="Arial"/>
          <w:sz w:val="22"/>
          <w:szCs w:val="22"/>
        </w:rPr>
        <w:t>Loss of ecosystem services:</w:t>
      </w:r>
      <w:r>
        <w:rPr>
          <w:rStyle w:val="Strong"/>
          <w:rFonts w:ascii="Arial" w:hAnsi="Arial" w:cs="Arial"/>
          <w:i/>
          <w:iCs/>
          <w:sz w:val="22"/>
          <w:szCs w:val="22"/>
        </w:rPr>
        <w:t xml:space="preserve"> </w:t>
      </w:r>
      <w:r w:rsidRPr="001D36CB">
        <w:rPr>
          <w:rFonts w:ascii="Arial" w:hAnsi="Arial" w:cs="Arial"/>
          <w:sz w:val="22"/>
          <w:szCs w:val="22"/>
        </w:rPr>
        <w:t>Pollution-driven degradation of mangroves, seagrass and coral reefs reduces key ecosystem services: nursery habitat productivity, blue-carbon storage, storm-buffering capacity, and sediment trapping function. These losses increase erosion and coastal vulnerability while undermining long-term climate-adaptation capacity.</w:t>
      </w:r>
    </w:p>
    <w:p w:rsidR="00BE664B" w:rsidRPr="006832DA" w:rsidRDefault="00BE664B" w:rsidP="006832DA">
      <w:pPr>
        <w:pStyle w:val="Heading3"/>
        <w:spacing w:before="240" w:after="240"/>
        <w:rPr>
          <w:rFonts w:ascii="Arial" w:hAnsi="Arial" w:cs="Arial"/>
          <w:b/>
          <w:bCs/>
        </w:rPr>
      </w:pPr>
      <w:bookmarkStart w:id="20" w:name="_Toc217231852"/>
      <w:r w:rsidRPr="006832DA">
        <w:rPr>
          <w:rFonts w:ascii="Arial" w:hAnsi="Arial" w:cs="Arial"/>
          <w:b/>
          <w:bCs/>
        </w:rPr>
        <w:t>3.3.3 Risk Assessment</w:t>
      </w:r>
      <w:bookmarkEnd w:id="20"/>
    </w:p>
    <w:p w:rsidR="00CD48E0" w:rsidRPr="006832DA" w:rsidRDefault="006E2B55" w:rsidP="006832DA">
      <w:pPr>
        <w:pStyle w:val="Heading4"/>
        <w:spacing w:before="240" w:after="120"/>
        <w:rPr>
          <w:rFonts w:ascii="Arial" w:hAnsi="Arial" w:cs="Arial"/>
          <w:b/>
          <w:bCs/>
          <w:i w:val="0"/>
          <w:iCs w:val="0"/>
          <w:sz w:val="22"/>
          <w:szCs w:val="22"/>
        </w:rPr>
      </w:pPr>
      <w:r w:rsidRPr="006832DA">
        <w:rPr>
          <w:rFonts w:ascii="Arial" w:hAnsi="Arial" w:cs="Arial"/>
          <w:b/>
          <w:bCs/>
          <w:i w:val="0"/>
          <w:iCs w:val="0"/>
          <w:sz w:val="22"/>
          <w:szCs w:val="22"/>
        </w:rPr>
        <w:t xml:space="preserve">3.3.3.1 </w:t>
      </w:r>
      <w:r w:rsidR="00CD48E0" w:rsidRPr="006832DA">
        <w:rPr>
          <w:rFonts w:ascii="Arial" w:hAnsi="Arial" w:cs="Arial"/>
          <w:b/>
          <w:bCs/>
          <w:i w:val="0"/>
          <w:iCs w:val="0"/>
          <w:sz w:val="22"/>
          <w:szCs w:val="22"/>
        </w:rPr>
        <w:t>Nutrient Enrichment &amp; Eutrophication</w:t>
      </w:r>
    </w:p>
    <w:p w:rsidR="00F953C9" w:rsidRPr="00E55815" w:rsidRDefault="00F439E3" w:rsidP="00F953C9">
      <w:pPr>
        <w:pStyle w:val="NormalWeb"/>
        <w:jc w:val="both"/>
        <w:rPr>
          <w:rFonts w:ascii="Arial" w:hAnsi="Arial" w:cs="Arial"/>
          <w:sz w:val="22"/>
          <w:szCs w:val="22"/>
        </w:rPr>
      </w:pPr>
      <w:r w:rsidRPr="00E55815">
        <w:rPr>
          <w:rFonts w:ascii="Arial" w:hAnsi="Arial" w:cs="Arial"/>
          <w:sz w:val="22"/>
          <w:szCs w:val="22"/>
        </w:rPr>
        <w:t xml:space="preserve">Nutrient loading from agriculture, aquaculture and untreated wastewater represents a </w:t>
      </w:r>
      <w:r w:rsidRPr="00E55815">
        <w:rPr>
          <w:rStyle w:val="Strong"/>
          <w:rFonts w:ascii="Arial" w:hAnsi="Arial" w:cs="Arial"/>
          <w:sz w:val="22"/>
          <w:szCs w:val="22"/>
        </w:rPr>
        <w:t>very high-likelihood</w:t>
      </w:r>
      <w:r w:rsidRPr="00E55815">
        <w:rPr>
          <w:rFonts w:ascii="Arial" w:hAnsi="Arial" w:cs="Arial"/>
          <w:sz w:val="22"/>
          <w:szCs w:val="22"/>
        </w:rPr>
        <w:t xml:space="preserve"> systemic risk. Fertilizer use has increased 4–5× since the early 2000s, pesticide inputs exceed </w:t>
      </w:r>
      <w:r w:rsidRPr="00E55815">
        <w:rPr>
          <w:rStyle w:val="Strong"/>
          <w:rFonts w:ascii="Arial" w:hAnsi="Arial" w:cs="Arial"/>
          <w:sz w:val="22"/>
          <w:szCs w:val="22"/>
        </w:rPr>
        <w:t>19,000 t/yr</w:t>
      </w:r>
      <w:r w:rsidRPr="00E55815">
        <w:rPr>
          <w:rFonts w:ascii="Arial" w:hAnsi="Arial" w:cs="Arial"/>
          <w:sz w:val="22"/>
          <w:szCs w:val="22"/>
        </w:rPr>
        <w:t xml:space="preserve">, and coastal provinces release </w:t>
      </w:r>
      <w:r w:rsidRPr="00E55815">
        <w:rPr>
          <w:rStyle w:val="Strong"/>
          <w:rFonts w:ascii="Arial" w:hAnsi="Arial" w:cs="Arial"/>
          <w:sz w:val="22"/>
          <w:szCs w:val="22"/>
        </w:rPr>
        <w:t>&gt;21 million m³</w:t>
      </w:r>
      <w:r w:rsidRPr="00E55815">
        <w:rPr>
          <w:rFonts w:ascii="Arial" w:hAnsi="Arial" w:cs="Arial"/>
          <w:sz w:val="22"/>
          <w:szCs w:val="22"/>
        </w:rPr>
        <w:t xml:space="preserve"> of untreated wastewater annually (WDI; FAOSTAT; MoE</w:t>
      </w:r>
      <w:r w:rsidR="00E55815">
        <w:rPr>
          <w:rFonts w:ascii="Arial" w:hAnsi="Arial" w:cs="Arial"/>
          <w:sz w:val="22"/>
          <w:szCs w:val="22"/>
        </w:rPr>
        <w:t>,</w:t>
      </w:r>
      <w:r w:rsidRPr="00E55815">
        <w:rPr>
          <w:rFonts w:ascii="Arial" w:hAnsi="Arial" w:cs="Arial"/>
          <w:sz w:val="22"/>
          <w:szCs w:val="22"/>
        </w:rPr>
        <w:t xml:space="preserve"> 2023). In Kampot Bay, Kep and Sihanoukville, </w:t>
      </w:r>
      <w:r w:rsidRPr="00E55815">
        <w:rPr>
          <w:rStyle w:val="Strong"/>
          <w:rFonts w:ascii="Arial" w:hAnsi="Arial" w:cs="Arial"/>
          <w:sz w:val="22"/>
          <w:szCs w:val="22"/>
        </w:rPr>
        <w:t>NO</w:t>
      </w:r>
      <w:r w:rsidRPr="00E55815">
        <w:rPr>
          <w:rStyle w:val="Strong"/>
          <w:rFonts w:ascii="Cambria Math" w:hAnsi="Cambria Math" w:cs="Cambria Math"/>
          <w:sz w:val="22"/>
          <w:szCs w:val="22"/>
        </w:rPr>
        <w:t>₃⁻</w:t>
      </w:r>
      <w:r w:rsidRPr="00E55815">
        <w:rPr>
          <w:rStyle w:val="Strong"/>
          <w:rFonts w:ascii="Arial" w:hAnsi="Arial" w:cs="Arial"/>
          <w:sz w:val="22"/>
          <w:szCs w:val="22"/>
        </w:rPr>
        <w:t xml:space="preserve"> 2.4–2.6 mg/L</w:t>
      </w:r>
      <w:r w:rsidRPr="00E55815">
        <w:rPr>
          <w:rFonts w:ascii="Arial" w:hAnsi="Arial" w:cs="Arial"/>
          <w:sz w:val="22"/>
          <w:szCs w:val="22"/>
        </w:rPr>
        <w:t xml:space="preserve"> and </w:t>
      </w:r>
      <w:r w:rsidRPr="00E55815">
        <w:rPr>
          <w:rStyle w:val="Strong"/>
          <w:rFonts w:ascii="Arial" w:hAnsi="Arial" w:cs="Arial"/>
          <w:sz w:val="22"/>
          <w:szCs w:val="22"/>
        </w:rPr>
        <w:t>PO</w:t>
      </w:r>
      <w:r w:rsidRPr="00E55815">
        <w:rPr>
          <w:rStyle w:val="Strong"/>
          <w:rFonts w:ascii="Cambria Math" w:hAnsi="Cambria Math" w:cs="Cambria Math"/>
          <w:sz w:val="22"/>
          <w:szCs w:val="22"/>
        </w:rPr>
        <w:t>₄</w:t>
      </w:r>
      <w:r w:rsidRPr="00E55815">
        <w:rPr>
          <w:rStyle w:val="Strong"/>
          <w:rFonts w:ascii="Arial" w:hAnsi="Arial" w:cs="Arial"/>
          <w:sz w:val="22"/>
          <w:szCs w:val="22"/>
        </w:rPr>
        <w:t>³</w:t>
      </w:r>
      <w:r w:rsidRPr="00E55815">
        <w:rPr>
          <w:rStyle w:val="Strong"/>
          <w:rFonts w:ascii="Cambria Math" w:hAnsi="Cambria Math" w:cs="Cambria Math"/>
          <w:sz w:val="22"/>
          <w:szCs w:val="22"/>
        </w:rPr>
        <w:t>⁻</w:t>
      </w:r>
      <w:r w:rsidRPr="00E55815">
        <w:rPr>
          <w:rStyle w:val="Strong"/>
          <w:rFonts w:ascii="Arial" w:hAnsi="Arial" w:cs="Arial"/>
          <w:sz w:val="22"/>
          <w:szCs w:val="22"/>
        </w:rPr>
        <w:t xml:space="preserve"> 0.73–0.8 mg/L</w:t>
      </w:r>
      <w:r w:rsidRPr="00E55815">
        <w:rPr>
          <w:rFonts w:ascii="Arial" w:hAnsi="Arial" w:cs="Arial"/>
          <w:sz w:val="22"/>
          <w:szCs w:val="22"/>
        </w:rPr>
        <w:t xml:space="preserve"> exceed ASEAN thresholds, generating </w:t>
      </w:r>
      <w:r w:rsidRPr="00E55815">
        <w:rPr>
          <w:rStyle w:val="Strong"/>
          <w:rFonts w:ascii="Arial" w:hAnsi="Arial" w:cs="Arial"/>
          <w:sz w:val="22"/>
          <w:szCs w:val="22"/>
        </w:rPr>
        <w:t>RQ=2–3</w:t>
      </w:r>
      <w:r w:rsidRPr="00E55815">
        <w:rPr>
          <w:rFonts w:ascii="Arial" w:hAnsi="Arial" w:cs="Arial"/>
          <w:sz w:val="22"/>
          <w:szCs w:val="22"/>
        </w:rPr>
        <w:t xml:space="preserve"> and consistent eutrophication symptoms: hypoxia (DO &lt;4 mg/L), recurrent algal blooms, coral decline (</w:t>
      </w:r>
      <w:r w:rsidRPr="00E55815">
        <w:rPr>
          <w:rStyle w:val="Strong"/>
          <w:rFonts w:ascii="Arial" w:hAnsi="Arial" w:cs="Arial"/>
          <w:sz w:val="22"/>
          <w:szCs w:val="22"/>
        </w:rPr>
        <w:t>48%</w:t>
      </w:r>
      <w:r w:rsidR="00C766A1">
        <w:rPr>
          <w:rStyle w:val="Strong"/>
          <w:rFonts w:ascii="Arial" w:hAnsi="Arial" w:cs="Arial"/>
          <w:sz w:val="22"/>
          <w:szCs w:val="22"/>
        </w:rPr>
        <w:t xml:space="preserve"> to </w:t>
      </w:r>
      <w:r w:rsidRPr="00E55815">
        <w:rPr>
          <w:rStyle w:val="Strong"/>
          <w:rFonts w:ascii="Arial" w:hAnsi="Arial" w:cs="Arial"/>
          <w:sz w:val="22"/>
          <w:szCs w:val="22"/>
        </w:rPr>
        <w:t>32%</w:t>
      </w:r>
      <w:r w:rsidRPr="00E55815">
        <w:rPr>
          <w:rFonts w:ascii="Arial" w:hAnsi="Arial" w:cs="Arial"/>
          <w:sz w:val="22"/>
          <w:szCs w:val="22"/>
        </w:rPr>
        <w:t>, 2010–2023), and high TSS (</w:t>
      </w:r>
      <w:r w:rsidRPr="00E55815">
        <w:rPr>
          <w:rStyle w:val="Strong"/>
          <w:rFonts w:ascii="Arial" w:hAnsi="Arial" w:cs="Arial"/>
          <w:sz w:val="22"/>
          <w:szCs w:val="22"/>
        </w:rPr>
        <w:t>120–320 mg/L</w:t>
      </w:r>
      <w:r w:rsidRPr="00E55815">
        <w:rPr>
          <w:rFonts w:ascii="Arial" w:hAnsi="Arial" w:cs="Arial"/>
          <w:sz w:val="22"/>
          <w:szCs w:val="22"/>
        </w:rPr>
        <w:t xml:space="preserve">). Low-flushing sites—Trapeang Ropov, Peam Krasop, Kampot estuary—are especially sensitive, and Gulf-wide circulation gives this risk </w:t>
      </w:r>
      <w:r w:rsidRPr="00E55815">
        <w:rPr>
          <w:rStyle w:val="Strong"/>
          <w:rFonts w:ascii="Arial" w:hAnsi="Arial" w:cs="Arial"/>
          <w:sz w:val="22"/>
          <w:szCs w:val="22"/>
        </w:rPr>
        <w:t>high transboundary significance</w:t>
      </w:r>
      <w:r w:rsidRPr="00E55815">
        <w:rPr>
          <w:rFonts w:ascii="Arial" w:hAnsi="Arial" w:cs="Arial"/>
          <w:sz w:val="22"/>
          <w:szCs w:val="22"/>
        </w:rPr>
        <w:t>, affecting shared fisheries and coastal water quality.</w:t>
      </w:r>
    </w:p>
    <w:p w:rsidR="00CD48E0" w:rsidRPr="006832DA" w:rsidRDefault="00FE2697" w:rsidP="006832DA">
      <w:pPr>
        <w:pStyle w:val="Heading4"/>
        <w:spacing w:before="240" w:after="120"/>
        <w:rPr>
          <w:rFonts w:ascii="Arial" w:hAnsi="Arial" w:cs="Arial"/>
          <w:b/>
          <w:bCs/>
          <w:i w:val="0"/>
          <w:iCs w:val="0"/>
          <w:sz w:val="22"/>
          <w:szCs w:val="22"/>
        </w:rPr>
      </w:pPr>
      <w:r>
        <w:rPr>
          <w:rFonts w:ascii="Arial" w:hAnsi="Arial" w:cs="Arial"/>
          <w:b/>
          <w:bCs/>
          <w:i w:val="0"/>
          <w:iCs w:val="0"/>
          <w:sz w:val="22"/>
          <w:szCs w:val="22"/>
        </w:rPr>
        <w:t xml:space="preserve">3.3.3.2 </w:t>
      </w:r>
      <w:r w:rsidR="00CD48E0" w:rsidRPr="006832DA">
        <w:rPr>
          <w:rFonts w:ascii="Arial" w:hAnsi="Arial" w:cs="Arial"/>
          <w:b/>
          <w:bCs/>
          <w:i w:val="0"/>
          <w:iCs w:val="0"/>
          <w:sz w:val="22"/>
          <w:szCs w:val="22"/>
        </w:rPr>
        <w:t>Microbial Contamination &amp; Public-Health Risk</w:t>
      </w:r>
    </w:p>
    <w:p w:rsidR="00CD48E0" w:rsidRPr="00E55815" w:rsidRDefault="00F439E3" w:rsidP="006E2B55">
      <w:pPr>
        <w:pStyle w:val="NormalWeb"/>
        <w:adjustRightInd w:val="0"/>
        <w:snapToGrid w:val="0"/>
        <w:spacing w:before="240" w:beforeAutospacing="0" w:after="240" w:afterAutospacing="0"/>
        <w:jc w:val="both"/>
        <w:rPr>
          <w:rFonts w:ascii="Arial" w:hAnsi="Arial" w:cs="Arial"/>
          <w:sz w:val="22"/>
          <w:szCs w:val="22"/>
        </w:rPr>
      </w:pPr>
      <w:r w:rsidRPr="00E55815">
        <w:rPr>
          <w:rFonts w:ascii="Arial" w:hAnsi="Arial" w:cs="Arial"/>
          <w:sz w:val="22"/>
          <w:szCs w:val="22"/>
        </w:rPr>
        <w:t xml:space="preserve">Microbial contamination is an acute health and environmental risk, with exceedances recorded across riverine and coastal sites. Phnom Penh Port showed </w:t>
      </w:r>
      <w:r w:rsidRPr="00E55815">
        <w:rPr>
          <w:rStyle w:val="Strong"/>
          <w:rFonts w:ascii="Arial" w:hAnsi="Arial" w:cs="Arial"/>
          <w:sz w:val="22"/>
          <w:szCs w:val="22"/>
        </w:rPr>
        <w:t>100% FC exceedance</w:t>
      </w:r>
      <w:r w:rsidRPr="00E55815">
        <w:rPr>
          <w:rFonts w:ascii="Arial" w:hAnsi="Arial" w:cs="Arial"/>
          <w:sz w:val="22"/>
          <w:szCs w:val="22"/>
        </w:rPr>
        <w:t xml:space="preserve"> in 2021 (MRC); Sihanoukville canals regularly exceed </w:t>
      </w:r>
      <w:r w:rsidRPr="00E55815">
        <w:rPr>
          <w:rStyle w:val="Strong"/>
          <w:rFonts w:ascii="Arial" w:hAnsi="Arial" w:cs="Arial"/>
          <w:sz w:val="22"/>
          <w:szCs w:val="22"/>
        </w:rPr>
        <w:t>10⁵ CFU/100 mL</w:t>
      </w:r>
      <w:r w:rsidRPr="00E55815">
        <w:rPr>
          <w:rFonts w:ascii="Arial" w:hAnsi="Arial" w:cs="Arial"/>
          <w:sz w:val="22"/>
          <w:szCs w:val="22"/>
        </w:rPr>
        <w:t xml:space="preserve">; and Kep recorded </w:t>
      </w:r>
      <w:r w:rsidRPr="00E55815">
        <w:rPr>
          <w:rStyle w:val="Strong"/>
          <w:rFonts w:ascii="Arial" w:hAnsi="Arial" w:cs="Arial"/>
          <w:sz w:val="22"/>
          <w:szCs w:val="22"/>
        </w:rPr>
        <w:t>4,300 MPN/100 mL</w:t>
      </w:r>
      <w:r w:rsidRPr="00E55815">
        <w:rPr>
          <w:rFonts w:ascii="Arial" w:hAnsi="Arial" w:cs="Arial"/>
          <w:sz w:val="22"/>
          <w:szCs w:val="22"/>
        </w:rPr>
        <w:t xml:space="preserve"> in 2022 (RQ=4.3).</w:t>
      </w:r>
      <w:r w:rsidR="00E55815">
        <w:rPr>
          <w:rFonts w:ascii="Arial" w:hAnsi="Arial" w:cs="Arial"/>
          <w:sz w:val="22"/>
          <w:szCs w:val="22"/>
        </w:rPr>
        <w:t xml:space="preserve"> </w:t>
      </w:r>
      <w:r w:rsidRPr="00E55815">
        <w:rPr>
          <w:rFonts w:ascii="Arial" w:hAnsi="Arial" w:cs="Arial"/>
          <w:sz w:val="22"/>
          <w:szCs w:val="22"/>
        </w:rPr>
        <w:t xml:space="preserve">With sewerage coverage below </w:t>
      </w:r>
      <w:r w:rsidRPr="00E55815">
        <w:rPr>
          <w:rStyle w:val="Strong"/>
          <w:rFonts w:ascii="Arial" w:hAnsi="Arial" w:cs="Arial"/>
          <w:sz w:val="22"/>
          <w:szCs w:val="22"/>
        </w:rPr>
        <w:t>14%</w:t>
      </w:r>
      <w:r w:rsidRPr="00E55815">
        <w:rPr>
          <w:rFonts w:ascii="Arial" w:hAnsi="Arial" w:cs="Arial"/>
          <w:sz w:val="22"/>
          <w:szCs w:val="22"/>
        </w:rPr>
        <w:t xml:space="preserve"> in coastal provinces, the likelihood of persistent contamination is </w:t>
      </w:r>
      <w:r w:rsidRPr="00E55815">
        <w:rPr>
          <w:rStyle w:val="Strong"/>
          <w:rFonts w:ascii="Arial" w:hAnsi="Arial" w:cs="Arial"/>
          <w:sz w:val="22"/>
          <w:szCs w:val="22"/>
        </w:rPr>
        <w:t>very high</w:t>
      </w:r>
      <w:r w:rsidRPr="00E55815">
        <w:rPr>
          <w:rFonts w:ascii="Arial" w:hAnsi="Arial" w:cs="Arial"/>
          <w:sz w:val="22"/>
          <w:szCs w:val="22"/>
        </w:rPr>
        <w:t xml:space="preserve">, contributing to disease outbreaks, unsafe shellfish harvests, and tourism risks. WQI screening classifies hotspots such as Prek Toeuk Sap, Tumpun Canal and Kampot River mouth as </w:t>
      </w:r>
      <w:r w:rsidRPr="00E55815">
        <w:rPr>
          <w:rStyle w:val="Strong"/>
          <w:rFonts w:ascii="Arial" w:hAnsi="Arial" w:cs="Arial"/>
          <w:sz w:val="22"/>
          <w:szCs w:val="22"/>
        </w:rPr>
        <w:t>“poor–very poor”</w:t>
      </w:r>
      <w:r w:rsidRPr="00E55815">
        <w:rPr>
          <w:rFonts w:ascii="Arial" w:hAnsi="Arial" w:cs="Arial"/>
          <w:sz w:val="22"/>
          <w:szCs w:val="22"/>
        </w:rPr>
        <w:t xml:space="preserve">, requiring urgent wastewater and sanitation interventions. Because microbial loads move through the Mekong–Bassac system and nearshore currents, this risk holds </w:t>
      </w:r>
      <w:r w:rsidRPr="00E55815">
        <w:rPr>
          <w:rStyle w:val="Strong"/>
          <w:rFonts w:ascii="Arial" w:hAnsi="Arial" w:cs="Arial"/>
          <w:sz w:val="22"/>
          <w:szCs w:val="22"/>
        </w:rPr>
        <w:t>moderate–high transboundary relevance</w:t>
      </w:r>
      <w:r w:rsidRPr="00E55815">
        <w:rPr>
          <w:rFonts w:ascii="Arial" w:hAnsi="Arial" w:cs="Arial"/>
          <w:sz w:val="22"/>
          <w:szCs w:val="22"/>
        </w:rPr>
        <w:t>.</w:t>
      </w:r>
    </w:p>
    <w:p w:rsidR="00CD48E0" w:rsidRPr="006832DA" w:rsidRDefault="006E2B55" w:rsidP="006832DA">
      <w:pPr>
        <w:pStyle w:val="Heading4"/>
        <w:spacing w:before="240" w:after="120"/>
        <w:rPr>
          <w:rFonts w:ascii="Arial" w:hAnsi="Arial" w:cs="Arial"/>
          <w:b/>
          <w:bCs/>
          <w:i w:val="0"/>
          <w:iCs w:val="0"/>
          <w:sz w:val="22"/>
          <w:szCs w:val="22"/>
        </w:rPr>
      </w:pPr>
      <w:r w:rsidRPr="006832DA">
        <w:rPr>
          <w:rFonts w:ascii="Arial" w:hAnsi="Arial" w:cs="Arial"/>
          <w:b/>
          <w:bCs/>
          <w:i w:val="0"/>
          <w:iCs w:val="0"/>
          <w:sz w:val="22"/>
          <w:szCs w:val="22"/>
        </w:rPr>
        <w:t>3.3.3.</w:t>
      </w:r>
      <w:r w:rsidR="00CD48E0" w:rsidRPr="006832DA">
        <w:rPr>
          <w:rFonts w:ascii="Arial" w:hAnsi="Arial" w:cs="Arial"/>
          <w:b/>
          <w:bCs/>
          <w:i w:val="0"/>
          <w:iCs w:val="0"/>
          <w:sz w:val="22"/>
          <w:szCs w:val="22"/>
        </w:rPr>
        <w:t>3 Solid Waste Leakage &amp; Microplastics</w:t>
      </w:r>
    </w:p>
    <w:p w:rsidR="00CD48E0" w:rsidRPr="00E55815" w:rsidRDefault="00F439E3" w:rsidP="006E2B55">
      <w:pPr>
        <w:pStyle w:val="NormalWeb"/>
        <w:adjustRightInd w:val="0"/>
        <w:snapToGrid w:val="0"/>
        <w:spacing w:before="240" w:beforeAutospacing="0" w:after="240" w:afterAutospacing="0"/>
        <w:jc w:val="both"/>
        <w:rPr>
          <w:rFonts w:ascii="Arial" w:hAnsi="Arial" w:cs="Arial"/>
          <w:sz w:val="22"/>
          <w:szCs w:val="22"/>
        </w:rPr>
      </w:pPr>
      <w:r w:rsidRPr="00E55815">
        <w:rPr>
          <w:rFonts w:ascii="Arial" w:hAnsi="Arial" w:cs="Arial"/>
          <w:sz w:val="22"/>
          <w:szCs w:val="22"/>
        </w:rPr>
        <w:t xml:space="preserve">Solid waste leakage is a chronic and expanding pressure. Coastal provinces generate </w:t>
      </w:r>
      <w:r w:rsidRPr="00E55815">
        <w:rPr>
          <w:rStyle w:val="Strong"/>
          <w:rFonts w:ascii="Arial" w:hAnsi="Arial" w:cs="Arial"/>
          <w:sz w:val="22"/>
          <w:szCs w:val="22"/>
        </w:rPr>
        <w:t>~590 t/day</w:t>
      </w:r>
      <w:r w:rsidRPr="00E55815">
        <w:rPr>
          <w:rFonts w:ascii="Arial" w:hAnsi="Arial" w:cs="Arial"/>
          <w:sz w:val="22"/>
          <w:szCs w:val="22"/>
        </w:rPr>
        <w:t xml:space="preserve">, with only </w:t>
      </w:r>
      <w:r w:rsidRPr="00E55815">
        <w:rPr>
          <w:rStyle w:val="Strong"/>
          <w:rFonts w:ascii="Arial" w:hAnsi="Arial" w:cs="Arial"/>
          <w:sz w:val="22"/>
          <w:szCs w:val="22"/>
        </w:rPr>
        <w:t>50–72%</w:t>
      </w:r>
      <w:r w:rsidRPr="00E55815">
        <w:rPr>
          <w:rFonts w:ascii="Arial" w:hAnsi="Arial" w:cs="Arial"/>
          <w:sz w:val="22"/>
          <w:szCs w:val="22"/>
        </w:rPr>
        <w:t xml:space="preserve"> collection efficiency—resulting in </w:t>
      </w:r>
      <w:r w:rsidRPr="00E55815">
        <w:rPr>
          <w:rStyle w:val="Strong"/>
          <w:rFonts w:ascii="Arial" w:hAnsi="Arial" w:cs="Arial"/>
          <w:sz w:val="22"/>
          <w:szCs w:val="22"/>
        </w:rPr>
        <w:t>&gt;14,000 t/year</w:t>
      </w:r>
      <w:r w:rsidRPr="00E55815">
        <w:rPr>
          <w:rFonts w:ascii="Arial" w:hAnsi="Arial" w:cs="Arial"/>
          <w:sz w:val="22"/>
          <w:szCs w:val="22"/>
        </w:rPr>
        <w:t xml:space="preserve"> of plastic leakage (ADB 2022; MoE 2024). Microplastics reach </w:t>
      </w:r>
      <w:r w:rsidRPr="00E55815">
        <w:rPr>
          <w:rStyle w:val="Strong"/>
          <w:rFonts w:ascii="Arial" w:hAnsi="Arial" w:cs="Arial"/>
          <w:sz w:val="22"/>
          <w:szCs w:val="22"/>
        </w:rPr>
        <w:t>120–350 particles/kg</w:t>
      </w:r>
      <w:r w:rsidRPr="00E55815">
        <w:rPr>
          <w:rFonts w:ascii="Arial" w:hAnsi="Arial" w:cs="Arial"/>
          <w:sz w:val="22"/>
          <w:szCs w:val="22"/>
        </w:rPr>
        <w:t xml:space="preserve"> in sediments near beaches and ports (FiA &amp; UNDP 2023).</w:t>
      </w:r>
      <w:r w:rsidR="00E55815">
        <w:rPr>
          <w:rFonts w:ascii="Arial" w:hAnsi="Arial" w:cs="Arial"/>
          <w:sz w:val="22"/>
          <w:szCs w:val="22"/>
        </w:rPr>
        <w:t xml:space="preserve"> </w:t>
      </w:r>
      <w:r w:rsidRPr="00E55815">
        <w:rPr>
          <w:rFonts w:ascii="Arial" w:hAnsi="Arial" w:cs="Arial"/>
          <w:sz w:val="22"/>
          <w:szCs w:val="22"/>
        </w:rPr>
        <w:t xml:space="preserve">The likelihood of ongoing leakage is </w:t>
      </w:r>
      <w:r w:rsidRPr="00E55815">
        <w:rPr>
          <w:rStyle w:val="Strong"/>
          <w:rFonts w:ascii="Arial" w:hAnsi="Arial" w:cs="Arial"/>
          <w:sz w:val="22"/>
          <w:szCs w:val="22"/>
        </w:rPr>
        <w:t>high</w:t>
      </w:r>
      <w:r w:rsidRPr="00E55815">
        <w:rPr>
          <w:rFonts w:ascii="Arial" w:hAnsi="Arial" w:cs="Arial"/>
          <w:sz w:val="22"/>
          <w:szCs w:val="22"/>
        </w:rPr>
        <w:t>, driven by unengineered landfills, rainfall, tourism and riverine transport. Impacts include ingestion/entanglement of marine fauna, seagrass and mangrove damage, visual pollution and accumulation in food webs.</w:t>
      </w:r>
      <w:r w:rsidR="00E55815">
        <w:rPr>
          <w:rFonts w:ascii="Arial" w:hAnsi="Arial" w:cs="Arial"/>
          <w:sz w:val="22"/>
          <w:szCs w:val="22"/>
        </w:rPr>
        <w:t xml:space="preserve"> </w:t>
      </w:r>
      <w:r w:rsidRPr="00E55815">
        <w:rPr>
          <w:rFonts w:ascii="Arial" w:hAnsi="Arial" w:cs="Arial"/>
          <w:sz w:val="22"/>
          <w:szCs w:val="22"/>
        </w:rPr>
        <w:t xml:space="preserve">Gulf circulation transports plastics across borders, giving this category </w:t>
      </w:r>
      <w:r w:rsidRPr="00E55815">
        <w:rPr>
          <w:rStyle w:val="Strong"/>
          <w:rFonts w:ascii="Arial" w:hAnsi="Arial" w:cs="Arial"/>
          <w:sz w:val="22"/>
          <w:szCs w:val="22"/>
        </w:rPr>
        <w:t>very high transboundary significance</w:t>
      </w:r>
      <w:r w:rsidRPr="00E55815">
        <w:rPr>
          <w:rFonts w:ascii="Arial" w:hAnsi="Arial" w:cs="Arial"/>
          <w:sz w:val="22"/>
          <w:szCs w:val="22"/>
        </w:rPr>
        <w:t xml:space="preserve"> and </w:t>
      </w:r>
      <w:r w:rsidRPr="00E55815">
        <w:rPr>
          <w:rStyle w:val="Strong"/>
          <w:rFonts w:ascii="Arial" w:hAnsi="Arial" w:cs="Arial"/>
          <w:sz w:val="22"/>
          <w:szCs w:val="22"/>
        </w:rPr>
        <w:t>RQ=2–6</w:t>
      </w:r>
      <w:r w:rsidRPr="00E55815">
        <w:rPr>
          <w:rFonts w:ascii="Arial" w:hAnsi="Arial" w:cs="Arial"/>
          <w:sz w:val="22"/>
          <w:szCs w:val="22"/>
        </w:rPr>
        <w:t xml:space="preserve"> relative to regional baseline densities.</w:t>
      </w:r>
    </w:p>
    <w:p w:rsidR="00CD48E0" w:rsidRPr="006832DA" w:rsidRDefault="006E2B55" w:rsidP="006832DA">
      <w:pPr>
        <w:pStyle w:val="Heading4"/>
        <w:spacing w:before="240" w:after="120"/>
        <w:rPr>
          <w:rFonts w:ascii="Arial" w:hAnsi="Arial" w:cs="Arial"/>
          <w:b/>
          <w:bCs/>
          <w:i w:val="0"/>
          <w:iCs w:val="0"/>
          <w:sz w:val="22"/>
          <w:szCs w:val="22"/>
        </w:rPr>
      </w:pPr>
      <w:r w:rsidRPr="006832DA">
        <w:rPr>
          <w:rFonts w:ascii="Arial" w:hAnsi="Arial" w:cs="Arial"/>
          <w:b/>
          <w:bCs/>
          <w:i w:val="0"/>
          <w:iCs w:val="0"/>
          <w:sz w:val="22"/>
          <w:szCs w:val="22"/>
        </w:rPr>
        <w:t>3.3.3.</w:t>
      </w:r>
      <w:r w:rsidR="00CD48E0" w:rsidRPr="006832DA">
        <w:rPr>
          <w:rFonts w:ascii="Arial" w:hAnsi="Arial" w:cs="Arial"/>
          <w:b/>
          <w:bCs/>
          <w:i w:val="0"/>
          <w:iCs w:val="0"/>
          <w:sz w:val="22"/>
          <w:szCs w:val="22"/>
        </w:rPr>
        <w:t>4 Industrial &amp; Port-Related Contaminants</w:t>
      </w:r>
    </w:p>
    <w:p w:rsidR="007E128D" w:rsidRPr="00E55815" w:rsidRDefault="00E55815" w:rsidP="006E2B55">
      <w:pPr>
        <w:pStyle w:val="NormalWeb"/>
        <w:adjustRightInd w:val="0"/>
        <w:snapToGrid w:val="0"/>
        <w:spacing w:before="240" w:beforeAutospacing="0" w:after="240" w:afterAutospacing="0"/>
        <w:jc w:val="both"/>
        <w:rPr>
          <w:rFonts w:ascii="Arial" w:hAnsi="Arial" w:cs="Arial"/>
          <w:sz w:val="22"/>
          <w:szCs w:val="22"/>
        </w:rPr>
      </w:pPr>
      <w:r w:rsidRPr="00E55815">
        <w:rPr>
          <w:rFonts w:ascii="Arial" w:hAnsi="Arial" w:cs="Arial"/>
          <w:sz w:val="22"/>
          <w:szCs w:val="22"/>
        </w:rPr>
        <w:t>Industrial and port-related pollution shows widespread non-compliance as</w:t>
      </w:r>
      <w:r w:rsidRPr="00E55815">
        <w:rPr>
          <w:rStyle w:val="Strong"/>
          <w:rFonts w:ascii="Arial" w:hAnsi="Arial" w:cs="Arial"/>
          <w:sz w:val="22"/>
          <w:szCs w:val="22"/>
        </w:rPr>
        <w:t xml:space="preserve"> </w:t>
      </w:r>
      <w:r w:rsidR="007E128D" w:rsidRPr="00E55815">
        <w:rPr>
          <w:rFonts w:ascii="Arial" w:hAnsi="Arial" w:cs="Arial"/>
          <w:sz w:val="22"/>
          <w:szCs w:val="22"/>
        </w:rPr>
        <w:t>the industrial effluent monitoring shows routine violations of Cambodia’s Sub-Decree on Water Pollution Control</w:t>
      </w:r>
      <w:r w:rsidR="000C2E26" w:rsidRPr="00E55815">
        <w:rPr>
          <w:rFonts w:ascii="Arial" w:hAnsi="Arial" w:cs="Arial"/>
          <w:sz w:val="22"/>
          <w:szCs w:val="22"/>
        </w:rPr>
        <w:t xml:space="preserve">, as shown in the </w:t>
      </w:r>
      <w:r w:rsidRPr="00E55815">
        <w:rPr>
          <w:rFonts w:ascii="Arial" w:hAnsi="Arial" w:cs="Arial"/>
          <w:sz w:val="22"/>
          <w:szCs w:val="22"/>
        </w:rPr>
        <w:fldChar w:fldCharType="begin"/>
      </w:r>
      <w:r w:rsidRPr="00E55815">
        <w:rPr>
          <w:rFonts w:ascii="Arial" w:hAnsi="Arial" w:cs="Arial"/>
          <w:sz w:val="22"/>
          <w:szCs w:val="22"/>
        </w:rPr>
        <w:instrText xml:space="preserve"> REF _Ref214872734 \h  \* MERGEFORMAT </w:instrText>
      </w:r>
      <w:r w:rsidRPr="00E55815">
        <w:rPr>
          <w:rFonts w:ascii="Arial" w:hAnsi="Arial" w:cs="Arial"/>
          <w:sz w:val="22"/>
          <w:szCs w:val="22"/>
        </w:rPr>
      </w:r>
      <w:r w:rsidRPr="00E55815">
        <w:rPr>
          <w:rFonts w:ascii="Arial" w:hAnsi="Arial" w:cs="Arial"/>
          <w:sz w:val="22"/>
          <w:szCs w:val="22"/>
        </w:rPr>
        <w:fldChar w:fldCharType="separate"/>
      </w:r>
      <w:r w:rsidR="00D35426" w:rsidRPr="00D35426">
        <w:rPr>
          <w:rFonts w:ascii="Arial" w:hAnsi="Arial" w:cs="Arial"/>
          <w:color w:val="002060"/>
          <w:sz w:val="22"/>
          <w:szCs w:val="22"/>
        </w:rPr>
        <w:t>Table 3-1</w:t>
      </w:r>
      <w:r w:rsidRPr="00E55815">
        <w:rPr>
          <w:rFonts w:ascii="Arial" w:hAnsi="Arial" w:cs="Arial"/>
          <w:sz w:val="22"/>
          <w:szCs w:val="22"/>
        </w:rPr>
        <w:fldChar w:fldCharType="end"/>
      </w:r>
      <w:r w:rsidRPr="00E55815">
        <w:rPr>
          <w:rFonts w:ascii="Arial" w:hAnsi="Arial" w:cs="Arial"/>
          <w:sz w:val="22"/>
          <w:szCs w:val="22"/>
        </w:rPr>
        <w:t xml:space="preserve"> </w:t>
      </w:r>
      <w:r w:rsidR="000C2E26" w:rsidRPr="00E55815">
        <w:rPr>
          <w:rFonts w:ascii="Arial" w:hAnsi="Arial" w:cs="Arial"/>
          <w:sz w:val="22"/>
          <w:szCs w:val="22"/>
        </w:rPr>
        <w:t>below</w:t>
      </w:r>
      <w:r w:rsidR="00B356F2" w:rsidRPr="00E55815">
        <w:rPr>
          <w:rFonts w:ascii="Arial" w:hAnsi="Arial" w:cs="Arial"/>
          <w:sz w:val="22"/>
          <w:szCs w:val="22"/>
        </w:rPr>
        <w:t>:</w:t>
      </w:r>
    </w:p>
    <w:p w:rsidR="005C5DB7" w:rsidRPr="003D13CD" w:rsidRDefault="005C5DB7" w:rsidP="00C766A1">
      <w:pPr>
        <w:pStyle w:val="Caption"/>
        <w:keepNext/>
        <w:adjustRightInd w:val="0"/>
        <w:snapToGrid w:val="0"/>
        <w:spacing w:before="240" w:after="120"/>
        <w:rPr>
          <w:rFonts w:ascii="Arial" w:eastAsia="Times New Roman" w:hAnsi="Arial" w:cs="Arial"/>
          <w:color w:val="002060"/>
          <w:kern w:val="0"/>
          <w:sz w:val="28"/>
          <w:szCs w:val="28"/>
          <w14:ligatures w14:val="none"/>
        </w:rPr>
      </w:pPr>
      <w:bookmarkStart w:id="21" w:name="_Toc214875144"/>
      <w:r w:rsidRPr="003D13CD">
        <w:rPr>
          <w:rFonts w:ascii="Arial" w:hAnsi="Arial" w:cs="Arial"/>
          <w:color w:val="002060"/>
          <w:sz w:val="21"/>
          <w:szCs w:val="21"/>
        </w:rPr>
        <w:t>Table 3-</w:t>
      </w:r>
      <w:r w:rsidRPr="003D13CD">
        <w:rPr>
          <w:rFonts w:ascii="Arial" w:hAnsi="Arial" w:cs="Arial"/>
          <w:color w:val="002060"/>
          <w:sz w:val="21"/>
          <w:szCs w:val="21"/>
        </w:rPr>
        <w:fldChar w:fldCharType="begin"/>
      </w:r>
      <w:r w:rsidRPr="003D13CD">
        <w:rPr>
          <w:rFonts w:ascii="Arial" w:hAnsi="Arial" w:cs="Arial"/>
          <w:color w:val="002060"/>
          <w:sz w:val="21"/>
          <w:szCs w:val="21"/>
        </w:rPr>
        <w:instrText xml:space="preserve"> SEQ Table_3- \* ARABIC </w:instrText>
      </w:r>
      <w:r w:rsidRPr="003D13CD">
        <w:rPr>
          <w:rFonts w:ascii="Arial" w:hAnsi="Arial" w:cs="Arial"/>
          <w:color w:val="002060"/>
          <w:sz w:val="21"/>
          <w:szCs w:val="21"/>
        </w:rPr>
        <w:fldChar w:fldCharType="separate"/>
      </w:r>
      <w:r w:rsidR="00D35426">
        <w:rPr>
          <w:rFonts w:ascii="Arial" w:hAnsi="Arial" w:cs="Arial"/>
          <w:noProof/>
          <w:color w:val="002060"/>
          <w:sz w:val="21"/>
          <w:szCs w:val="21"/>
        </w:rPr>
        <w:t>2</w:t>
      </w:r>
      <w:r w:rsidRPr="003D13CD">
        <w:rPr>
          <w:rFonts w:ascii="Arial" w:hAnsi="Arial" w:cs="Arial"/>
          <w:color w:val="002060"/>
          <w:sz w:val="21"/>
          <w:szCs w:val="21"/>
        </w:rPr>
        <w:fldChar w:fldCharType="end"/>
      </w:r>
      <w:r w:rsidR="00BF61B4" w:rsidRPr="003D13CD">
        <w:rPr>
          <w:rFonts w:ascii="Arial" w:hAnsi="Arial" w:cs="Arial"/>
          <w:color w:val="002060"/>
          <w:sz w:val="21"/>
          <w:szCs w:val="21"/>
        </w:rPr>
        <w:t xml:space="preserve"> </w:t>
      </w:r>
      <w:r w:rsidR="00F953C9">
        <w:rPr>
          <w:rFonts w:ascii="Arial" w:hAnsi="Arial" w:cs="Arial"/>
          <w:color w:val="002060"/>
          <w:sz w:val="21"/>
          <w:szCs w:val="21"/>
        </w:rPr>
        <w:t>C</w:t>
      </w:r>
      <w:r w:rsidR="00F953C9" w:rsidRPr="003D13CD">
        <w:rPr>
          <w:rFonts w:ascii="Arial" w:hAnsi="Arial" w:cs="Arial"/>
          <w:color w:val="002060"/>
          <w:sz w:val="21"/>
          <w:szCs w:val="21"/>
        </w:rPr>
        <w:t xml:space="preserve">ompliance assessment of key pollution indicators using </w:t>
      </w:r>
      <w:r w:rsidR="00BF61B4" w:rsidRPr="003D13CD">
        <w:rPr>
          <w:rFonts w:ascii="Arial" w:hAnsi="Arial" w:cs="Arial"/>
          <w:color w:val="002060"/>
          <w:sz w:val="21"/>
          <w:szCs w:val="21"/>
        </w:rPr>
        <w:t>RQ</w:t>
      </w:r>
      <w:bookmarkEnd w:id="21"/>
    </w:p>
    <w:tbl>
      <w:tblPr>
        <w:tblStyle w:val="GridTable4-Accent5"/>
        <w:tblW w:w="8926" w:type="dxa"/>
        <w:tblLook w:val="04A0" w:firstRow="1" w:lastRow="0" w:firstColumn="1" w:lastColumn="0" w:noHBand="0" w:noVBand="1"/>
      </w:tblPr>
      <w:tblGrid>
        <w:gridCol w:w="1696"/>
        <w:gridCol w:w="2835"/>
        <w:gridCol w:w="1418"/>
        <w:gridCol w:w="1118"/>
        <w:gridCol w:w="1859"/>
      </w:tblGrid>
      <w:tr w:rsidR="00E34412" w:rsidRPr="00E55815" w:rsidTr="00AE2C90">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96" w:type="dxa"/>
            <w:vAlign w:val="center"/>
          </w:tcPr>
          <w:p w:rsidR="00E34412" w:rsidRPr="00E55815" w:rsidRDefault="00E34412" w:rsidP="00E34412">
            <w:pPr>
              <w:pStyle w:val="NormalWeb"/>
              <w:adjustRightInd w:val="0"/>
              <w:snapToGrid w:val="0"/>
              <w:spacing w:before="0" w:beforeAutospacing="0" w:after="0" w:afterAutospacing="0"/>
              <w:jc w:val="center"/>
              <w:rPr>
                <w:rFonts w:ascii="Arial" w:hAnsi="Arial" w:cs="Arial"/>
                <w:sz w:val="20"/>
                <w:szCs w:val="20"/>
              </w:rPr>
            </w:pPr>
            <w:r w:rsidRPr="00E55815">
              <w:rPr>
                <w:rFonts w:ascii="Arial" w:hAnsi="Arial" w:cs="Arial"/>
                <w:sz w:val="20"/>
                <w:szCs w:val="20"/>
              </w:rPr>
              <w:t>Parameter</w:t>
            </w:r>
          </w:p>
        </w:tc>
        <w:tc>
          <w:tcPr>
            <w:tcW w:w="2835" w:type="dxa"/>
            <w:vAlign w:val="center"/>
          </w:tcPr>
          <w:p w:rsidR="00E34412" w:rsidRPr="00E55815" w:rsidRDefault="00E34412" w:rsidP="00E34412">
            <w:pPr>
              <w:pStyle w:val="NormalWeb"/>
              <w:adjustRightInd w:val="0"/>
              <w:snapToGrid w:val="0"/>
              <w:spacing w:before="0" w:beforeAutospacing="0" w:after="0" w:afterAutospacing="0"/>
              <w:jc w:val="center"/>
              <w:cnfStyle w:val="100000000000" w:firstRow="1" w:lastRow="0" w:firstColumn="0" w:lastColumn="0" w:oddVBand="0" w:evenVBand="0" w:oddHBand="0" w:evenHBand="0" w:firstRowFirstColumn="0" w:firstRowLastColumn="0" w:lastRowFirstColumn="0" w:lastRowLastColumn="0"/>
              <w:rPr>
                <w:rFonts w:ascii="Arial" w:hAnsi="Arial" w:cs="Arial"/>
                <w:sz w:val="20"/>
                <w:szCs w:val="20"/>
              </w:rPr>
            </w:pPr>
            <w:r w:rsidRPr="00E55815">
              <w:rPr>
                <w:rFonts w:ascii="Arial" w:hAnsi="Arial" w:cs="Arial"/>
                <w:sz w:val="20"/>
                <w:szCs w:val="20"/>
              </w:rPr>
              <w:t>Observed</w:t>
            </w:r>
          </w:p>
        </w:tc>
        <w:tc>
          <w:tcPr>
            <w:tcW w:w="1418" w:type="dxa"/>
            <w:vAlign w:val="center"/>
          </w:tcPr>
          <w:p w:rsidR="00E34412" w:rsidRPr="00E55815" w:rsidRDefault="00E34412" w:rsidP="00E34412">
            <w:pPr>
              <w:pStyle w:val="NormalWeb"/>
              <w:adjustRightInd w:val="0"/>
              <w:snapToGrid w:val="0"/>
              <w:spacing w:before="0" w:beforeAutospacing="0" w:after="0" w:afterAutospacing="0"/>
              <w:jc w:val="center"/>
              <w:cnfStyle w:val="100000000000" w:firstRow="1" w:lastRow="0" w:firstColumn="0" w:lastColumn="0" w:oddVBand="0" w:evenVBand="0" w:oddHBand="0" w:evenHBand="0" w:firstRowFirstColumn="0" w:firstRowLastColumn="0" w:lastRowFirstColumn="0" w:lastRowLastColumn="0"/>
              <w:rPr>
                <w:rFonts w:ascii="Arial" w:hAnsi="Arial" w:cs="Arial"/>
                <w:sz w:val="20"/>
                <w:szCs w:val="20"/>
              </w:rPr>
            </w:pPr>
            <w:r w:rsidRPr="00E55815">
              <w:rPr>
                <w:rFonts w:ascii="Arial" w:hAnsi="Arial" w:cs="Arial"/>
                <w:sz w:val="20"/>
                <w:szCs w:val="20"/>
              </w:rPr>
              <w:t>Standard</w:t>
            </w:r>
          </w:p>
        </w:tc>
        <w:tc>
          <w:tcPr>
            <w:tcW w:w="1118" w:type="dxa"/>
            <w:vAlign w:val="center"/>
          </w:tcPr>
          <w:p w:rsidR="00E34412" w:rsidRPr="00E55815" w:rsidRDefault="00E34412" w:rsidP="00E34412">
            <w:pPr>
              <w:pStyle w:val="NormalWeb"/>
              <w:adjustRightInd w:val="0"/>
              <w:snapToGrid w:val="0"/>
              <w:spacing w:before="0" w:beforeAutospacing="0" w:after="0" w:afterAutospacing="0"/>
              <w:jc w:val="center"/>
              <w:cnfStyle w:val="100000000000" w:firstRow="1" w:lastRow="0" w:firstColumn="0" w:lastColumn="0" w:oddVBand="0" w:evenVBand="0" w:oddHBand="0" w:evenHBand="0" w:firstRowFirstColumn="0" w:firstRowLastColumn="0" w:lastRowFirstColumn="0" w:lastRowLastColumn="0"/>
              <w:rPr>
                <w:rFonts w:ascii="Arial" w:hAnsi="Arial" w:cs="Arial"/>
                <w:sz w:val="20"/>
                <w:szCs w:val="20"/>
              </w:rPr>
            </w:pPr>
            <w:r w:rsidRPr="00E55815">
              <w:rPr>
                <w:rFonts w:ascii="Arial" w:hAnsi="Arial" w:cs="Arial"/>
                <w:sz w:val="20"/>
                <w:szCs w:val="20"/>
              </w:rPr>
              <w:t>RQ</w:t>
            </w:r>
          </w:p>
        </w:tc>
        <w:tc>
          <w:tcPr>
            <w:tcW w:w="1859" w:type="dxa"/>
          </w:tcPr>
          <w:p w:rsidR="00E34412" w:rsidRPr="00E55815" w:rsidRDefault="00E34412" w:rsidP="00E34412">
            <w:pPr>
              <w:pStyle w:val="NormalWeb"/>
              <w:adjustRightInd w:val="0"/>
              <w:snapToGrid w:val="0"/>
              <w:spacing w:before="0" w:beforeAutospacing="0" w:after="0" w:afterAutospacing="0"/>
              <w:jc w:val="center"/>
              <w:cnfStyle w:val="100000000000" w:firstRow="1" w:lastRow="0" w:firstColumn="0" w:lastColumn="0" w:oddVBand="0" w:evenVBand="0" w:oddHBand="0" w:evenHBand="0" w:firstRowFirstColumn="0" w:firstRowLastColumn="0" w:lastRowFirstColumn="0" w:lastRowLastColumn="0"/>
              <w:rPr>
                <w:rFonts w:ascii="Arial" w:hAnsi="Arial" w:cs="Arial"/>
                <w:sz w:val="20"/>
                <w:szCs w:val="20"/>
              </w:rPr>
            </w:pPr>
            <w:r w:rsidRPr="00E55815">
              <w:rPr>
                <w:rFonts w:ascii="Arial" w:hAnsi="Arial" w:cs="Arial"/>
                <w:sz w:val="20"/>
                <w:szCs w:val="20"/>
              </w:rPr>
              <w:t>Compliance Status</w:t>
            </w:r>
          </w:p>
        </w:tc>
      </w:tr>
      <w:tr w:rsidR="00E34412" w:rsidRPr="00E55815" w:rsidTr="00AE2C9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96" w:type="dxa"/>
            <w:vAlign w:val="center"/>
          </w:tcPr>
          <w:p w:rsidR="00E34412" w:rsidRPr="00E55815" w:rsidRDefault="00E34412" w:rsidP="00E34412">
            <w:pPr>
              <w:rPr>
                <w:rFonts w:ascii="Arial" w:hAnsi="Arial" w:cs="Arial"/>
                <w:sz w:val="20"/>
                <w:szCs w:val="20"/>
              </w:rPr>
            </w:pPr>
            <w:r w:rsidRPr="00E55815">
              <w:rPr>
                <w:rFonts w:ascii="Arial" w:hAnsi="Arial" w:cs="Arial"/>
                <w:sz w:val="20"/>
                <w:szCs w:val="20"/>
              </w:rPr>
              <w:t>Overall facility compliance</w:t>
            </w:r>
          </w:p>
        </w:tc>
        <w:tc>
          <w:tcPr>
            <w:tcW w:w="2835" w:type="dxa"/>
            <w:vAlign w:val="center"/>
          </w:tcPr>
          <w:p w:rsidR="00E34412" w:rsidRPr="00E55815" w:rsidRDefault="00E34412" w:rsidP="00E34412">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E55815">
              <w:rPr>
                <w:rFonts w:ascii="Arial" w:hAnsi="Arial" w:cs="Arial"/>
                <w:sz w:val="20"/>
                <w:szCs w:val="20"/>
              </w:rPr>
              <w:t xml:space="preserve">60% of inspected facilities </w:t>
            </w:r>
            <w:r w:rsidRPr="00E55815">
              <w:rPr>
                <w:rFonts w:ascii="Arial" w:hAnsi="Arial" w:cs="Arial"/>
                <w:b/>
                <w:bCs/>
                <w:sz w:val="20"/>
                <w:szCs w:val="20"/>
              </w:rPr>
              <w:t>non-compliant</w:t>
            </w:r>
          </w:p>
        </w:tc>
        <w:tc>
          <w:tcPr>
            <w:tcW w:w="1418" w:type="dxa"/>
            <w:vAlign w:val="center"/>
          </w:tcPr>
          <w:p w:rsidR="00E34412" w:rsidRPr="00E55815" w:rsidRDefault="00E34412" w:rsidP="00E34412">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E55815">
              <w:rPr>
                <w:rFonts w:ascii="Arial" w:hAnsi="Arial" w:cs="Arial"/>
                <w:sz w:val="20"/>
                <w:szCs w:val="20"/>
              </w:rPr>
              <w:t>—</w:t>
            </w:r>
          </w:p>
        </w:tc>
        <w:tc>
          <w:tcPr>
            <w:tcW w:w="1118" w:type="dxa"/>
            <w:vAlign w:val="center"/>
          </w:tcPr>
          <w:p w:rsidR="00E34412" w:rsidRPr="00E55815" w:rsidRDefault="00E34412" w:rsidP="00E34412">
            <w:pPr>
              <w:pStyle w:val="NormalWeb"/>
              <w:adjustRightInd w:val="0"/>
              <w:snapToGrid w:val="0"/>
              <w:spacing w:before="0" w:beforeAutospacing="0" w:after="0" w:afterAutospacing="0"/>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E55815">
              <w:rPr>
                <w:rFonts w:ascii="Arial" w:hAnsi="Arial" w:cs="Arial"/>
                <w:sz w:val="20"/>
                <w:szCs w:val="20"/>
              </w:rPr>
              <w:t>---</w:t>
            </w:r>
          </w:p>
        </w:tc>
        <w:tc>
          <w:tcPr>
            <w:tcW w:w="1859" w:type="dxa"/>
            <w:vAlign w:val="center"/>
          </w:tcPr>
          <w:p w:rsidR="00E34412" w:rsidRPr="00E55815" w:rsidRDefault="00E34412" w:rsidP="00E34412">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E55815">
              <w:rPr>
                <w:rFonts w:ascii="Arial" w:hAnsi="Arial" w:cs="Arial"/>
                <w:b/>
                <w:bCs/>
                <w:sz w:val="20"/>
                <w:szCs w:val="20"/>
              </w:rPr>
              <w:t>Non-compliant</w:t>
            </w:r>
          </w:p>
        </w:tc>
      </w:tr>
      <w:tr w:rsidR="00E34412" w:rsidRPr="00E55815" w:rsidTr="00AE2C90">
        <w:tc>
          <w:tcPr>
            <w:cnfStyle w:val="001000000000" w:firstRow="0" w:lastRow="0" w:firstColumn="1" w:lastColumn="0" w:oddVBand="0" w:evenVBand="0" w:oddHBand="0" w:evenHBand="0" w:firstRowFirstColumn="0" w:firstRowLastColumn="0" w:lastRowFirstColumn="0" w:lastRowLastColumn="0"/>
            <w:tcW w:w="1696" w:type="dxa"/>
            <w:vAlign w:val="center"/>
          </w:tcPr>
          <w:p w:rsidR="00E34412" w:rsidRPr="00E55815" w:rsidRDefault="00E34412" w:rsidP="00E34412">
            <w:pPr>
              <w:pStyle w:val="NormalWeb"/>
              <w:adjustRightInd w:val="0"/>
              <w:snapToGrid w:val="0"/>
              <w:spacing w:before="0" w:beforeAutospacing="0" w:after="0" w:afterAutospacing="0"/>
              <w:jc w:val="both"/>
              <w:rPr>
                <w:rFonts w:ascii="Arial" w:hAnsi="Arial" w:cs="Arial"/>
                <w:sz w:val="20"/>
                <w:szCs w:val="20"/>
              </w:rPr>
            </w:pPr>
            <w:r w:rsidRPr="00E55815">
              <w:rPr>
                <w:rFonts w:ascii="Arial" w:hAnsi="Arial" w:cs="Arial"/>
                <w:sz w:val="20"/>
                <w:szCs w:val="20"/>
              </w:rPr>
              <w:t>Oil &amp; Grease</w:t>
            </w:r>
          </w:p>
        </w:tc>
        <w:tc>
          <w:tcPr>
            <w:tcW w:w="2835" w:type="dxa"/>
            <w:vAlign w:val="center"/>
          </w:tcPr>
          <w:p w:rsidR="00E34412" w:rsidRPr="00E55815" w:rsidRDefault="00E34412" w:rsidP="00E34412">
            <w:pPr>
              <w:pStyle w:val="NormalWeb"/>
              <w:adjustRightInd w:val="0"/>
              <w:snapToGrid w:val="0"/>
              <w:spacing w:before="0" w:beforeAutospacing="0" w:after="0" w:afterAutospacing="0"/>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E55815">
              <w:rPr>
                <w:rFonts w:ascii="Arial" w:hAnsi="Arial" w:cs="Arial"/>
                <w:sz w:val="20"/>
                <w:szCs w:val="20"/>
              </w:rPr>
              <w:t>12 mg/L</w:t>
            </w:r>
          </w:p>
        </w:tc>
        <w:tc>
          <w:tcPr>
            <w:tcW w:w="1418" w:type="dxa"/>
            <w:vAlign w:val="center"/>
          </w:tcPr>
          <w:p w:rsidR="00E34412" w:rsidRPr="00E55815" w:rsidRDefault="00E34412" w:rsidP="00E34412">
            <w:pPr>
              <w:pStyle w:val="NormalWeb"/>
              <w:adjustRightInd w:val="0"/>
              <w:snapToGrid w:val="0"/>
              <w:spacing w:before="0" w:beforeAutospacing="0" w:after="0" w:afterAutospacing="0"/>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E55815">
              <w:rPr>
                <w:rFonts w:ascii="Arial" w:hAnsi="Arial" w:cs="Arial"/>
                <w:sz w:val="20"/>
                <w:szCs w:val="20"/>
              </w:rPr>
              <w:t>5 mg/L</w:t>
            </w:r>
          </w:p>
        </w:tc>
        <w:tc>
          <w:tcPr>
            <w:tcW w:w="1118" w:type="dxa"/>
            <w:vAlign w:val="center"/>
          </w:tcPr>
          <w:p w:rsidR="00E34412" w:rsidRPr="00E55815" w:rsidRDefault="00E34412" w:rsidP="00E34412">
            <w:pPr>
              <w:pStyle w:val="NormalWeb"/>
              <w:adjustRightInd w:val="0"/>
              <w:snapToGrid w:val="0"/>
              <w:spacing w:before="0" w:beforeAutospacing="0" w:after="0" w:afterAutospacing="0"/>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E55815">
              <w:rPr>
                <w:rStyle w:val="Strong"/>
                <w:rFonts w:ascii="Arial" w:hAnsi="Arial" w:cs="Arial"/>
                <w:sz w:val="20"/>
                <w:szCs w:val="20"/>
              </w:rPr>
              <w:t>2.4</w:t>
            </w:r>
          </w:p>
        </w:tc>
        <w:tc>
          <w:tcPr>
            <w:tcW w:w="1859" w:type="dxa"/>
          </w:tcPr>
          <w:p w:rsidR="00E34412" w:rsidRPr="00E55815" w:rsidRDefault="00E34412" w:rsidP="00E34412">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E55815">
              <w:rPr>
                <w:rFonts w:ascii="Arial" w:hAnsi="Arial" w:cs="Arial"/>
                <w:sz w:val="20"/>
                <w:szCs w:val="20"/>
              </w:rPr>
              <w:t>Exceeds limit</w:t>
            </w:r>
          </w:p>
        </w:tc>
      </w:tr>
      <w:tr w:rsidR="00E34412" w:rsidRPr="00E55815" w:rsidTr="00AE2C9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96" w:type="dxa"/>
            <w:vAlign w:val="center"/>
          </w:tcPr>
          <w:p w:rsidR="00E34412" w:rsidRPr="00E55815" w:rsidRDefault="00E34412" w:rsidP="00E34412">
            <w:pPr>
              <w:pStyle w:val="NormalWeb"/>
              <w:adjustRightInd w:val="0"/>
              <w:snapToGrid w:val="0"/>
              <w:spacing w:before="0" w:beforeAutospacing="0" w:after="0" w:afterAutospacing="0"/>
              <w:jc w:val="both"/>
              <w:rPr>
                <w:rFonts w:ascii="Arial" w:hAnsi="Arial" w:cs="Arial"/>
                <w:sz w:val="20"/>
                <w:szCs w:val="20"/>
              </w:rPr>
            </w:pPr>
            <w:r w:rsidRPr="00E55815">
              <w:rPr>
                <w:rFonts w:ascii="Arial" w:hAnsi="Arial" w:cs="Arial"/>
                <w:sz w:val="20"/>
                <w:szCs w:val="20"/>
              </w:rPr>
              <w:t>TPH</w:t>
            </w:r>
          </w:p>
        </w:tc>
        <w:tc>
          <w:tcPr>
            <w:tcW w:w="2835" w:type="dxa"/>
            <w:vAlign w:val="center"/>
          </w:tcPr>
          <w:p w:rsidR="00E34412" w:rsidRPr="00E55815" w:rsidRDefault="00E34412" w:rsidP="00E34412">
            <w:pPr>
              <w:pStyle w:val="NormalWeb"/>
              <w:adjustRightInd w:val="0"/>
              <w:snapToGrid w:val="0"/>
              <w:spacing w:before="0" w:beforeAutospacing="0" w:after="0" w:afterAutospacing="0"/>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E55815">
              <w:rPr>
                <w:rFonts w:ascii="Arial" w:hAnsi="Arial" w:cs="Arial"/>
                <w:sz w:val="20"/>
                <w:szCs w:val="20"/>
              </w:rPr>
              <w:t>0.7 mg/L</w:t>
            </w:r>
          </w:p>
        </w:tc>
        <w:tc>
          <w:tcPr>
            <w:tcW w:w="1418" w:type="dxa"/>
            <w:vAlign w:val="center"/>
          </w:tcPr>
          <w:p w:rsidR="00E34412" w:rsidRPr="00E55815" w:rsidRDefault="00E34412" w:rsidP="00E34412">
            <w:pPr>
              <w:pStyle w:val="NormalWeb"/>
              <w:adjustRightInd w:val="0"/>
              <w:snapToGrid w:val="0"/>
              <w:spacing w:before="0" w:beforeAutospacing="0" w:after="0" w:afterAutospacing="0"/>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E55815">
              <w:rPr>
                <w:rFonts w:ascii="Arial" w:hAnsi="Arial" w:cs="Arial"/>
                <w:sz w:val="20"/>
                <w:szCs w:val="20"/>
              </w:rPr>
              <w:t>0.5 mg/L</w:t>
            </w:r>
          </w:p>
        </w:tc>
        <w:tc>
          <w:tcPr>
            <w:tcW w:w="1118" w:type="dxa"/>
            <w:vAlign w:val="center"/>
          </w:tcPr>
          <w:p w:rsidR="00E34412" w:rsidRPr="00E55815" w:rsidRDefault="00E34412" w:rsidP="00E34412">
            <w:pPr>
              <w:pStyle w:val="NormalWeb"/>
              <w:adjustRightInd w:val="0"/>
              <w:snapToGrid w:val="0"/>
              <w:spacing w:before="0" w:beforeAutospacing="0" w:after="0" w:afterAutospacing="0"/>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E55815">
              <w:rPr>
                <w:rStyle w:val="Strong"/>
                <w:rFonts w:ascii="Arial" w:hAnsi="Arial" w:cs="Arial"/>
                <w:sz w:val="20"/>
                <w:szCs w:val="20"/>
              </w:rPr>
              <w:t>1.4</w:t>
            </w:r>
          </w:p>
        </w:tc>
        <w:tc>
          <w:tcPr>
            <w:tcW w:w="1859" w:type="dxa"/>
          </w:tcPr>
          <w:p w:rsidR="00E34412" w:rsidRPr="00E55815" w:rsidRDefault="00E34412" w:rsidP="00E34412">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E55815">
              <w:rPr>
                <w:rFonts w:ascii="Arial" w:hAnsi="Arial" w:cs="Arial"/>
                <w:sz w:val="20"/>
                <w:szCs w:val="20"/>
              </w:rPr>
              <w:t>Exceeds limit</w:t>
            </w:r>
          </w:p>
        </w:tc>
      </w:tr>
      <w:tr w:rsidR="00E34412" w:rsidRPr="00E55815" w:rsidTr="00AE2C90">
        <w:tc>
          <w:tcPr>
            <w:cnfStyle w:val="001000000000" w:firstRow="0" w:lastRow="0" w:firstColumn="1" w:lastColumn="0" w:oddVBand="0" w:evenVBand="0" w:oddHBand="0" w:evenHBand="0" w:firstRowFirstColumn="0" w:firstRowLastColumn="0" w:lastRowFirstColumn="0" w:lastRowLastColumn="0"/>
            <w:tcW w:w="1696" w:type="dxa"/>
            <w:vAlign w:val="center"/>
          </w:tcPr>
          <w:p w:rsidR="00E34412" w:rsidRPr="00E55815" w:rsidRDefault="00E34412" w:rsidP="00E34412">
            <w:pPr>
              <w:pStyle w:val="NormalWeb"/>
              <w:adjustRightInd w:val="0"/>
              <w:snapToGrid w:val="0"/>
              <w:spacing w:before="0" w:beforeAutospacing="0" w:after="0" w:afterAutospacing="0"/>
              <w:jc w:val="both"/>
              <w:rPr>
                <w:rFonts w:ascii="Arial" w:hAnsi="Arial" w:cs="Arial"/>
                <w:sz w:val="20"/>
                <w:szCs w:val="20"/>
              </w:rPr>
            </w:pPr>
            <w:r w:rsidRPr="00E55815">
              <w:rPr>
                <w:rFonts w:ascii="Arial" w:hAnsi="Arial" w:cs="Arial"/>
                <w:sz w:val="20"/>
                <w:szCs w:val="20"/>
              </w:rPr>
              <w:t>Pb</w:t>
            </w:r>
          </w:p>
        </w:tc>
        <w:tc>
          <w:tcPr>
            <w:tcW w:w="2835" w:type="dxa"/>
            <w:vAlign w:val="center"/>
          </w:tcPr>
          <w:p w:rsidR="00E34412" w:rsidRPr="00E55815" w:rsidRDefault="00E34412" w:rsidP="00E34412">
            <w:pPr>
              <w:pStyle w:val="NormalWeb"/>
              <w:adjustRightInd w:val="0"/>
              <w:snapToGrid w:val="0"/>
              <w:spacing w:before="0" w:beforeAutospacing="0" w:after="0" w:afterAutospacing="0"/>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E55815">
              <w:rPr>
                <w:rFonts w:ascii="Arial" w:hAnsi="Arial" w:cs="Arial"/>
                <w:sz w:val="20"/>
                <w:szCs w:val="20"/>
              </w:rPr>
              <w:t>0.25 mg/L</w:t>
            </w:r>
          </w:p>
        </w:tc>
        <w:tc>
          <w:tcPr>
            <w:tcW w:w="1418" w:type="dxa"/>
            <w:vAlign w:val="center"/>
          </w:tcPr>
          <w:p w:rsidR="00E34412" w:rsidRPr="00E55815" w:rsidRDefault="00E34412" w:rsidP="00E34412">
            <w:pPr>
              <w:pStyle w:val="NormalWeb"/>
              <w:adjustRightInd w:val="0"/>
              <w:snapToGrid w:val="0"/>
              <w:spacing w:before="0" w:beforeAutospacing="0" w:after="0" w:afterAutospacing="0"/>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E55815">
              <w:rPr>
                <w:rFonts w:ascii="Arial" w:hAnsi="Arial" w:cs="Arial"/>
                <w:sz w:val="20"/>
                <w:szCs w:val="20"/>
              </w:rPr>
              <w:t>0.1 mg/L</w:t>
            </w:r>
          </w:p>
        </w:tc>
        <w:tc>
          <w:tcPr>
            <w:tcW w:w="1118" w:type="dxa"/>
            <w:vAlign w:val="center"/>
          </w:tcPr>
          <w:p w:rsidR="00E34412" w:rsidRPr="00E55815" w:rsidRDefault="00E34412" w:rsidP="00E34412">
            <w:pPr>
              <w:pStyle w:val="NormalWeb"/>
              <w:adjustRightInd w:val="0"/>
              <w:snapToGrid w:val="0"/>
              <w:spacing w:before="0" w:beforeAutospacing="0" w:after="0" w:afterAutospacing="0"/>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E55815">
              <w:rPr>
                <w:rStyle w:val="Strong"/>
                <w:rFonts w:ascii="Arial" w:hAnsi="Arial" w:cs="Arial"/>
                <w:sz w:val="20"/>
                <w:szCs w:val="20"/>
              </w:rPr>
              <w:t>2.5</w:t>
            </w:r>
          </w:p>
        </w:tc>
        <w:tc>
          <w:tcPr>
            <w:tcW w:w="1859" w:type="dxa"/>
          </w:tcPr>
          <w:p w:rsidR="00E34412" w:rsidRPr="00E55815" w:rsidRDefault="00E34412" w:rsidP="00E34412">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E55815">
              <w:rPr>
                <w:rFonts w:ascii="Arial" w:hAnsi="Arial" w:cs="Arial"/>
                <w:sz w:val="20"/>
                <w:szCs w:val="20"/>
              </w:rPr>
              <w:t>Exceeds limit</w:t>
            </w:r>
          </w:p>
        </w:tc>
      </w:tr>
      <w:tr w:rsidR="00E34412" w:rsidRPr="00E55815" w:rsidTr="00AE2C9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96" w:type="dxa"/>
            <w:vAlign w:val="center"/>
          </w:tcPr>
          <w:p w:rsidR="00E34412" w:rsidRPr="00E55815" w:rsidRDefault="00E34412" w:rsidP="00E34412">
            <w:pPr>
              <w:pStyle w:val="NormalWeb"/>
              <w:adjustRightInd w:val="0"/>
              <w:snapToGrid w:val="0"/>
              <w:spacing w:before="0" w:beforeAutospacing="0" w:after="0" w:afterAutospacing="0"/>
              <w:jc w:val="both"/>
              <w:rPr>
                <w:rFonts w:ascii="Arial" w:hAnsi="Arial" w:cs="Arial"/>
                <w:sz w:val="20"/>
                <w:szCs w:val="20"/>
              </w:rPr>
            </w:pPr>
            <w:r w:rsidRPr="00E55815">
              <w:rPr>
                <w:rFonts w:ascii="Arial" w:hAnsi="Arial" w:cs="Arial"/>
                <w:sz w:val="20"/>
                <w:szCs w:val="20"/>
              </w:rPr>
              <w:t>Zn</w:t>
            </w:r>
          </w:p>
        </w:tc>
        <w:tc>
          <w:tcPr>
            <w:tcW w:w="2835" w:type="dxa"/>
            <w:vAlign w:val="center"/>
          </w:tcPr>
          <w:p w:rsidR="00E34412" w:rsidRPr="00E55815" w:rsidRDefault="00E34412" w:rsidP="00E34412">
            <w:pPr>
              <w:pStyle w:val="NormalWeb"/>
              <w:adjustRightInd w:val="0"/>
              <w:snapToGrid w:val="0"/>
              <w:spacing w:before="0" w:beforeAutospacing="0" w:after="0" w:afterAutospacing="0"/>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E55815">
              <w:rPr>
                <w:rFonts w:ascii="Arial" w:hAnsi="Arial" w:cs="Arial"/>
                <w:sz w:val="20"/>
                <w:szCs w:val="20"/>
              </w:rPr>
              <w:t>1.1 mg/L</w:t>
            </w:r>
          </w:p>
        </w:tc>
        <w:tc>
          <w:tcPr>
            <w:tcW w:w="1418" w:type="dxa"/>
            <w:vAlign w:val="center"/>
          </w:tcPr>
          <w:p w:rsidR="00E34412" w:rsidRPr="00E55815" w:rsidRDefault="00E34412" w:rsidP="00E34412">
            <w:pPr>
              <w:pStyle w:val="NormalWeb"/>
              <w:adjustRightInd w:val="0"/>
              <w:snapToGrid w:val="0"/>
              <w:spacing w:before="0" w:beforeAutospacing="0" w:after="0" w:afterAutospacing="0"/>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E55815">
              <w:rPr>
                <w:rFonts w:ascii="Arial" w:hAnsi="Arial" w:cs="Arial"/>
                <w:sz w:val="20"/>
                <w:szCs w:val="20"/>
              </w:rPr>
              <w:t>1.0 mg/L</w:t>
            </w:r>
          </w:p>
        </w:tc>
        <w:tc>
          <w:tcPr>
            <w:tcW w:w="1118" w:type="dxa"/>
            <w:vAlign w:val="center"/>
          </w:tcPr>
          <w:p w:rsidR="00E34412" w:rsidRPr="00E55815" w:rsidRDefault="00E34412" w:rsidP="00E34412">
            <w:pPr>
              <w:pStyle w:val="NormalWeb"/>
              <w:adjustRightInd w:val="0"/>
              <w:snapToGrid w:val="0"/>
              <w:spacing w:before="0" w:beforeAutospacing="0" w:after="0" w:afterAutospacing="0"/>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E55815">
              <w:rPr>
                <w:rStyle w:val="Strong"/>
                <w:rFonts w:ascii="Arial" w:hAnsi="Arial" w:cs="Arial"/>
                <w:sz w:val="20"/>
                <w:szCs w:val="20"/>
              </w:rPr>
              <w:t>1.1</w:t>
            </w:r>
          </w:p>
        </w:tc>
        <w:tc>
          <w:tcPr>
            <w:tcW w:w="1859" w:type="dxa"/>
          </w:tcPr>
          <w:p w:rsidR="00E34412" w:rsidRPr="00E55815" w:rsidRDefault="00E34412" w:rsidP="00E34412">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E55815">
              <w:rPr>
                <w:rFonts w:ascii="Arial" w:hAnsi="Arial" w:cs="Arial"/>
                <w:sz w:val="20"/>
                <w:szCs w:val="20"/>
              </w:rPr>
              <w:t>Slightly exceeds limit</w:t>
            </w:r>
          </w:p>
        </w:tc>
      </w:tr>
    </w:tbl>
    <w:p w:rsidR="005C5DB7" w:rsidRPr="003D13CD" w:rsidRDefault="005C5DB7" w:rsidP="00BF61B4">
      <w:pPr>
        <w:pStyle w:val="NormalWeb"/>
        <w:adjustRightInd w:val="0"/>
        <w:snapToGrid w:val="0"/>
        <w:spacing w:before="0" w:beforeAutospacing="0" w:after="0" w:afterAutospacing="0"/>
        <w:jc w:val="both"/>
        <w:rPr>
          <w:rFonts w:ascii="Arial" w:hAnsi="Arial" w:cs="Arial"/>
          <w:sz w:val="20"/>
          <w:szCs w:val="20"/>
        </w:rPr>
      </w:pPr>
      <w:r w:rsidRPr="007B1033">
        <w:rPr>
          <w:rFonts w:ascii="Arial" w:hAnsi="Arial" w:cs="Arial"/>
          <w:b/>
          <w:bCs/>
          <w:sz w:val="20"/>
          <w:szCs w:val="20"/>
        </w:rPr>
        <w:t>Source:</w:t>
      </w:r>
      <w:r w:rsidRPr="003D13CD">
        <w:rPr>
          <w:rFonts w:ascii="Arial" w:hAnsi="Arial" w:cs="Arial"/>
          <w:sz w:val="20"/>
          <w:szCs w:val="20"/>
        </w:rPr>
        <w:t xml:space="preserve"> MoE, 2023.</w:t>
      </w:r>
    </w:p>
    <w:p w:rsidR="00CD48E0" w:rsidRPr="00E55815" w:rsidRDefault="00E55815" w:rsidP="006E2B55">
      <w:pPr>
        <w:pStyle w:val="NormalWeb"/>
        <w:adjustRightInd w:val="0"/>
        <w:snapToGrid w:val="0"/>
        <w:spacing w:before="240" w:beforeAutospacing="0" w:after="240" w:afterAutospacing="0"/>
        <w:jc w:val="both"/>
        <w:rPr>
          <w:rFonts w:ascii="Arial" w:hAnsi="Arial" w:cs="Arial"/>
          <w:sz w:val="21"/>
          <w:szCs w:val="21"/>
        </w:rPr>
      </w:pPr>
      <w:r w:rsidRPr="00E55815">
        <w:rPr>
          <w:rFonts w:ascii="Arial" w:hAnsi="Arial" w:cs="Arial"/>
          <w:sz w:val="22"/>
          <w:szCs w:val="22"/>
        </w:rPr>
        <w:t xml:space="preserve">Sediments in Sihanoukville, Peam Krasop and Koh Kong show elevated </w:t>
      </w:r>
      <w:r w:rsidRPr="00E55815">
        <w:rPr>
          <w:rStyle w:val="Strong"/>
          <w:rFonts w:ascii="Arial" w:hAnsi="Arial" w:cs="Arial"/>
          <w:sz w:val="22"/>
          <w:szCs w:val="22"/>
        </w:rPr>
        <w:t>Zn (35–90 mg/kg)</w:t>
      </w:r>
      <w:r w:rsidRPr="00E55815">
        <w:rPr>
          <w:rFonts w:ascii="Arial" w:hAnsi="Arial" w:cs="Arial"/>
          <w:sz w:val="22"/>
          <w:szCs w:val="22"/>
        </w:rPr>
        <w:t xml:space="preserve">, </w:t>
      </w:r>
      <w:r w:rsidRPr="00E55815">
        <w:rPr>
          <w:rStyle w:val="Strong"/>
          <w:rFonts w:ascii="Arial" w:hAnsi="Arial" w:cs="Arial"/>
          <w:sz w:val="22"/>
          <w:szCs w:val="22"/>
        </w:rPr>
        <w:t>Pb (10–25 mg/kg)</w:t>
      </w:r>
      <w:r w:rsidRPr="00E55815">
        <w:rPr>
          <w:rFonts w:ascii="Arial" w:hAnsi="Arial" w:cs="Arial"/>
          <w:sz w:val="22"/>
          <w:szCs w:val="22"/>
        </w:rPr>
        <w:t xml:space="preserve"> and </w:t>
      </w:r>
      <w:r w:rsidRPr="00E55815">
        <w:rPr>
          <w:rStyle w:val="Strong"/>
          <w:rFonts w:ascii="Arial" w:hAnsi="Arial" w:cs="Arial"/>
          <w:sz w:val="22"/>
          <w:szCs w:val="22"/>
        </w:rPr>
        <w:t>Cu (12–28 mg/kg)</w:t>
      </w:r>
      <w:r w:rsidRPr="00E55815">
        <w:rPr>
          <w:rFonts w:ascii="Arial" w:hAnsi="Arial" w:cs="Arial"/>
          <w:sz w:val="22"/>
          <w:szCs w:val="22"/>
        </w:rPr>
        <w:t xml:space="preserve">—above pre-2000 baselines. Likelihood is </w:t>
      </w:r>
      <w:r w:rsidRPr="00E55815">
        <w:rPr>
          <w:rStyle w:val="Strong"/>
          <w:rFonts w:ascii="Arial" w:hAnsi="Arial" w:cs="Arial"/>
          <w:sz w:val="22"/>
          <w:szCs w:val="22"/>
        </w:rPr>
        <w:t>moderate–high</w:t>
      </w:r>
      <w:r w:rsidRPr="00E55815">
        <w:rPr>
          <w:rFonts w:ascii="Arial" w:hAnsi="Arial" w:cs="Arial"/>
          <w:sz w:val="22"/>
          <w:szCs w:val="22"/>
        </w:rPr>
        <w:t xml:space="preserve"> near ports, SEZs and industrial corridors, with hotspots at PAS, Stung Hav, Prek Toeuk Sap and Tumpun–Trabek. Impacts include chronic toxicity, metal bioaccumulation in fish and constraints on aquaculture. Sediment transport along the coast creates </w:t>
      </w:r>
      <w:r w:rsidRPr="00E55815">
        <w:rPr>
          <w:rStyle w:val="Strong"/>
          <w:rFonts w:ascii="Arial" w:hAnsi="Arial" w:cs="Arial"/>
          <w:sz w:val="22"/>
          <w:szCs w:val="22"/>
        </w:rPr>
        <w:t>moderate</w:t>
      </w:r>
      <w:r w:rsidRPr="00E55815">
        <w:rPr>
          <w:rFonts w:ascii="Arial" w:hAnsi="Arial" w:cs="Arial"/>
          <w:sz w:val="22"/>
          <w:szCs w:val="22"/>
        </w:rPr>
        <w:t xml:space="preserve"> transboundary risk, especially toward the Cambodian–Thai shelf. </w:t>
      </w:r>
      <w:r w:rsidR="007E128D" w:rsidRPr="00E55815">
        <w:rPr>
          <w:rFonts w:ascii="Arial" w:hAnsi="Arial" w:cs="Arial"/>
          <w:sz w:val="21"/>
          <w:szCs w:val="21"/>
        </w:rPr>
        <w:t xml:space="preserve"> </w:t>
      </w:r>
    </w:p>
    <w:p w:rsidR="00CD48E0" w:rsidRPr="006832DA" w:rsidRDefault="006E2B55" w:rsidP="006832DA">
      <w:pPr>
        <w:pStyle w:val="Heading4"/>
        <w:spacing w:before="240" w:after="120"/>
        <w:rPr>
          <w:rFonts w:ascii="Arial" w:hAnsi="Arial" w:cs="Arial"/>
          <w:b/>
          <w:bCs/>
          <w:i w:val="0"/>
          <w:iCs w:val="0"/>
          <w:sz w:val="22"/>
          <w:szCs w:val="22"/>
        </w:rPr>
      </w:pPr>
      <w:r w:rsidRPr="006832DA">
        <w:rPr>
          <w:rFonts w:ascii="Arial" w:hAnsi="Arial" w:cs="Arial"/>
          <w:b/>
          <w:bCs/>
          <w:i w:val="0"/>
          <w:iCs w:val="0"/>
          <w:sz w:val="22"/>
          <w:szCs w:val="22"/>
        </w:rPr>
        <w:t>3.3.3.</w:t>
      </w:r>
      <w:r w:rsidR="00CD48E0" w:rsidRPr="006832DA">
        <w:rPr>
          <w:rFonts w:ascii="Arial" w:hAnsi="Arial" w:cs="Arial"/>
          <w:b/>
          <w:bCs/>
          <w:i w:val="0"/>
          <w:iCs w:val="0"/>
          <w:sz w:val="22"/>
          <w:szCs w:val="22"/>
        </w:rPr>
        <w:t>5. Oil Spills &amp; Hydrocarbon Pollution</w:t>
      </w:r>
    </w:p>
    <w:p w:rsidR="00CD48E0" w:rsidRPr="00E55815" w:rsidRDefault="00E55815" w:rsidP="006E2B55">
      <w:pPr>
        <w:pStyle w:val="NormalWeb"/>
        <w:adjustRightInd w:val="0"/>
        <w:snapToGrid w:val="0"/>
        <w:spacing w:before="240" w:beforeAutospacing="0" w:after="240" w:afterAutospacing="0"/>
        <w:jc w:val="both"/>
        <w:rPr>
          <w:rFonts w:ascii="Arial" w:hAnsi="Arial" w:cs="Arial"/>
          <w:sz w:val="21"/>
          <w:szCs w:val="21"/>
        </w:rPr>
      </w:pPr>
      <w:r w:rsidRPr="00E55815">
        <w:rPr>
          <w:rFonts w:ascii="Arial" w:hAnsi="Arial" w:cs="Arial"/>
          <w:sz w:val="22"/>
          <w:szCs w:val="22"/>
        </w:rPr>
        <w:t xml:space="preserve">Oil pollution is episodic but potentially severe. The </w:t>
      </w:r>
      <w:r w:rsidRPr="00E55815">
        <w:rPr>
          <w:rStyle w:val="Strong"/>
          <w:rFonts w:ascii="Arial" w:hAnsi="Arial" w:cs="Arial"/>
          <w:sz w:val="22"/>
          <w:szCs w:val="22"/>
        </w:rPr>
        <w:t>2025 Prek Treng spill (~2,000 L)</w:t>
      </w:r>
      <w:r w:rsidRPr="00E55815">
        <w:rPr>
          <w:rFonts w:ascii="Arial" w:hAnsi="Arial" w:cs="Arial"/>
          <w:sz w:val="22"/>
          <w:szCs w:val="22"/>
        </w:rPr>
        <w:t xml:space="preserve"> highlighted vulnerability of beaches and port-adjacent habitats. Chronic low-level releases from bilge water and ship repair are suspected though not well quantified.</w:t>
      </w:r>
      <w:r>
        <w:rPr>
          <w:rFonts w:ascii="Arial" w:hAnsi="Arial" w:cs="Arial"/>
          <w:sz w:val="22"/>
          <w:szCs w:val="22"/>
        </w:rPr>
        <w:t xml:space="preserve"> </w:t>
      </w:r>
      <w:r w:rsidRPr="00E55815">
        <w:rPr>
          <w:rFonts w:ascii="Arial" w:hAnsi="Arial" w:cs="Arial"/>
          <w:sz w:val="22"/>
          <w:szCs w:val="22"/>
        </w:rPr>
        <w:t xml:space="preserve">Likelihood of major spills is </w:t>
      </w:r>
      <w:r w:rsidRPr="00E55815">
        <w:rPr>
          <w:rStyle w:val="Strong"/>
          <w:rFonts w:ascii="Arial" w:hAnsi="Arial" w:cs="Arial"/>
          <w:sz w:val="22"/>
          <w:szCs w:val="22"/>
        </w:rPr>
        <w:t>low–moderate</w:t>
      </w:r>
      <w:r w:rsidRPr="00E55815">
        <w:rPr>
          <w:rFonts w:ascii="Arial" w:hAnsi="Arial" w:cs="Arial"/>
          <w:sz w:val="22"/>
          <w:szCs w:val="22"/>
        </w:rPr>
        <w:t xml:space="preserve">, but consequences are </w:t>
      </w:r>
      <w:r w:rsidRPr="00E55815">
        <w:rPr>
          <w:rStyle w:val="Strong"/>
          <w:rFonts w:ascii="Arial" w:hAnsi="Arial" w:cs="Arial"/>
          <w:sz w:val="22"/>
          <w:szCs w:val="22"/>
        </w:rPr>
        <w:t>high</w:t>
      </w:r>
      <w:r w:rsidRPr="00E55815">
        <w:rPr>
          <w:rFonts w:ascii="Arial" w:hAnsi="Arial" w:cs="Arial"/>
          <w:sz w:val="22"/>
          <w:szCs w:val="22"/>
        </w:rPr>
        <w:t xml:space="preserve">, including smothering of coral and seagrass, fish mortality and tourism disruption. Strong currents mean even moderate spills can drift regionally, giving this category </w:t>
      </w:r>
      <w:r w:rsidRPr="00E55815">
        <w:rPr>
          <w:rStyle w:val="Strong"/>
          <w:rFonts w:ascii="Arial" w:hAnsi="Arial" w:cs="Arial"/>
          <w:sz w:val="22"/>
          <w:szCs w:val="22"/>
        </w:rPr>
        <w:t>high transboundary significance</w:t>
      </w:r>
      <w:r w:rsidRPr="00E55815">
        <w:rPr>
          <w:rFonts w:ascii="Arial" w:hAnsi="Arial" w:cs="Arial"/>
          <w:sz w:val="22"/>
          <w:szCs w:val="22"/>
        </w:rPr>
        <w:t>.</w:t>
      </w:r>
    </w:p>
    <w:p w:rsidR="00CD48E0" w:rsidRPr="006832DA" w:rsidRDefault="006E2B55" w:rsidP="006832DA">
      <w:pPr>
        <w:pStyle w:val="Heading4"/>
        <w:spacing w:before="240" w:after="120"/>
        <w:rPr>
          <w:rFonts w:ascii="Arial" w:hAnsi="Arial" w:cs="Arial"/>
          <w:b/>
          <w:bCs/>
          <w:i w:val="0"/>
          <w:iCs w:val="0"/>
          <w:sz w:val="22"/>
          <w:szCs w:val="22"/>
        </w:rPr>
      </w:pPr>
      <w:r w:rsidRPr="006832DA">
        <w:rPr>
          <w:rFonts w:ascii="Arial" w:hAnsi="Arial" w:cs="Arial"/>
          <w:b/>
          <w:bCs/>
          <w:i w:val="0"/>
          <w:iCs w:val="0"/>
          <w:sz w:val="22"/>
          <w:szCs w:val="22"/>
        </w:rPr>
        <w:t>3.3.3.</w:t>
      </w:r>
      <w:r w:rsidR="00CD48E0" w:rsidRPr="006832DA">
        <w:rPr>
          <w:rFonts w:ascii="Arial" w:hAnsi="Arial" w:cs="Arial"/>
          <w:b/>
          <w:bCs/>
          <w:i w:val="0"/>
          <w:iCs w:val="0"/>
          <w:sz w:val="22"/>
          <w:szCs w:val="22"/>
        </w:rPr>
        <w:t>6 Hazardous Waste Mismanagement</w:t>
      </w:r>
    </w:p>
    <w:p w:rsidR="00CD48E0" w:rsidRPr="00E55815" w:rsidRDefault="00E55815" w:rsidP="006E2B55">
      <w:pPr>
        <w:pStyle w:val="NormalWeb"/>
        <w:adjustRightInd w:val="0"/>
        <w:snapToGrid w:val="0"/>
        <w:spacing w:before="240" w:beforeAutospacing="0" w:after="240" w:afterAutospacing="0"/>
        <w:jc w:val="both"/>
        <w:rPr>
          <w:rFonts w:ascii="Arial" w:hAnsi="Arial" w:cs="Arial"/>
          <w:sz w:val="21"/>
          <w:szCs w:val="21"/>
        </w:rPr>
      </w:pPr>
      <w:r w:rsidRPr="00E55815">
        <w:rPr>
          <w:rFonts w:ascii="Arial" w:hAnsi="Arial" w:cs="Arial"/>
          <w:sz w:val="22"/>
          <w:szCs w:val="22"/>
        </w:rPr>
        <w:t xml:space="preserve">Hazardous waste management remains limited, with estimates of </w:t>
      </w:r>
      <w:r w:rsidRPr="00E55815">
        <w:rPr>
          <w:rStyle w:val="Strong"/>
          <w:rFonts w:ascii="Arial" w:hAnsi="Arial" w:cs="Arial"/>
          <w:sz w:val="22"/>
          <w:szCs w:val="22"/>
        </w:rPr>
        <w:t>~120,000 t/year</w:t>
      </w:r>
      <w:r w:rsidRPr="00E55815">
        <w:rPr>
          <w:rFonts w:ascii="Arial" w:hAnsi="Arial" w:cs="Arial"/>
          <w:sz w:val="22"/>
          <w:szCs w:val="22"/>
        </w:rPr>
        <w:t xml:space="preserve"> of industrial waste potentially containing hazardous fractions (KSP 2021). COVID-19 surges generated </w:t>
      </w:r>
      <w:r w:rsidRPr="00E55815">
        <w:rPr>
          <w:rStyle w:val="Strong"/>
          <w:rFonts w:ascii="Arial" w:hAnsi="Arial" w:cs="Arial"/>
          <w:sz w:val="22"/>
          <w:szCs w:val="22"/>
        </w:rPr>
        <w:t>up to 20 t/day</w:t>
      </w:r>
      <w:r w:rsidRPr="00E55815">
        <w:rPr>
          <w:rFonts w:ascii="Arial" w:hAnsi="Arial" w:cs="Arial"/>
          <w:sz w:val="22"/>
          <w:szCs w:val="22"/>
        </w:rPr>
        <w:t xml:space="preserve"> of medical waste (UNDP 2021). With only one co-processing facility and weak tracking systems, the likelihood of improper disposal is </w:t>
      </w:r>
      <w:r w:rsidRPr="00E55815">
        <w:rPr>
          <w:rStyle w:val="Strong"/>
          <w:rFonts w:ascii="Arial" w:hAnsi="Arial" w:cs="Arial"/>
          <w:sz w:val="22"/>
          <w:szCs w:val="22"/>
        </w:rPr>
        <w:t>moderate</w:t>
      </w:r>
      <w:r w:rsidRPr="00E55815">
        <w:rPr>
          <w:rFonts w:ascii="Arial" w:hAnsi="Arial" w:cs="Arial"/>
          <w:sz w:val="22"/>
          <w:szCs w:val="22"/>
        </w:rPr>
        <w:t xml:space="preserve">, with risks of soil/groundwater contamination and toxic residues entering rivers and estuaries. Transboundary significance is </w:t>
      </w:r>
      <w:r w:rsidRPr="00E55815">
        <w:rPr>
          <w:rStyle w:val="Strong"/>
          <w:rFonts w:ascii="Arial" w:hAnsi="Arial" w:cs="Arial"/>
          <w:sz w:val="22"/>
          <w:szCs w:val="22"/>
        </w:rPr>
        <w:t>moderate</w:t>
      </w:r>
      <w:r w:rsidRPr="00E55815">
        <w:rPr>
          <w:rFonts w:ascii="Arial" w:hAnsi="Arial" w:cs="Arial"/>
          <w:sz w:val="22"/>
          <w:szCs w:val="22"/>
        </w:rPr>
        <w:t>, mainly through Mekong–Bassac runoff pathways.</w:t>
      </w:r>
    </w:p>
    <w:p w:rsidR="00CD48E0" w:rsidRPr="006832DA" w:rsidRDefault="006E2B55" w:rsidP="00E55815">
      <w:pPr>
        <w:pStyle w:val="Heading4"/>
        <w:keepLines w:val="0"/>
        <w:spacing w:before="240" w:after="120"/>
        <w:rPr>
          <w:rFonts w:ascii="Arial" w:hAnsi="Arial" w:cs="Arial"/>
          <w:b/>
          <w:bCs/>
          <w:i w:val="0"/>
          <w:iCs w:val="0"/>
          <w:sz w:val="22"/>
          <w:szCs w:val="22"/>
        </w:rPr>
      </w:pPr>
      <w:r w:rsidRPr="006832DA">
        <w:rPr>
          <w:rFonts w:ascii="Arial" w:hAnsi="Arial" w:cs="Arial"/>
          <w:b/>
          <w:bCs/>
          <w:i w:val="0"/>
          <w:iCs w:val="0"/>
          <w:sz w:val="22"/>
          <w:szCs w:val="22"/>
        </w:rPr>
        <w:t>3.3.3.7</w:t>
      </w:r>
      <w:r w:rsidR="00CD48E0" w:rsidRPr="006832DA">
        <w:rPr>
          <w:rFonts w:ascii="Arial" w:hAnsi="Arial" w:cs="Arial"/>
          <w:b/>
          <w:bCs/>
          <w:i w:val="0"/>
          <w:iCs w:val="0"/>
          <w:sz w:val="22"/>
          <w:szCs w:val="22"/>
        </w:rPr>
        <w:t xml:space="preserve"> Cumulative and Systemic Risk</w:t>
      </w:r>
    </w:p>
    <w:p w:rsidR="00302B88" w:rsidRPr="003D13CD" w:rsidRDefault="00AE2C90" w:rsidP="00E55815">
      <w:pPr>
        <w:pStyle w:val="NormalWeb"/>
        <w:keepNext/>
        <w:adjustRightInd w:val="0"/>
        <w:snapToGrid w:val="0"/>
        <w:spacing w:before="240" w:beforeAutospacing="0" w:after="240" w:afterAutospacing="0"/>
        <w:jc w:val="both"/>
        <w:rPr>
          <w:rFonts w:ascii="Arial" w:hAnsi="Arial" w:cs="Arial"/>
          <w:i/>
          <w:iCs/>
          <w:sz w:val="22"/>
          <w:szCs w:val="22"/>
        </w:rPr>
      </w:pPr>
      <w:r w:rsidRPr="003D13CD">
        <w:rPr>
          <w:rStyle w:val="Strong"/>
          <w:rFonts w:ascii="Arial" w:hAnsi="Arial" w:cs="Arial"/>
          <w:i/>
          <w:iCs/>
          <w:sz w:val="22"/>
          <w:szCs w:val="22"/>
        </w:rPr>
        <w:t xml:space="preserve">a) </w:t>
      </w:r>
      <w:r w:rsidR="00302B88" w:rsidRPr="003D13CD">
        <w:rPr>
          <w:rStyle w:val="Strong"/>
          <w:rFonts w:ascii="Arial" w:hAnsi="Arial" w:cs="Arial"/>
          <w:i/>
          <w:iCs/>
          <w:sz w:val="22"/>
          <w:szCs w:val="22"/>
        </w:rPr>
        <w:t>Key cumulative risk and impacts</w:t>
      </w:r>
    </w:p>
    <w:p w:rsidR="00E55815" w:rsidRPr="00E55815" w:rsidRDefault="00E55815" w:rsidP="00E55815">
      <w:pPr>
        <w:pStyle w:val="NormalWeb"/>
        <w:jc w:val="both"/>
        <w:rPr>
          <w:rFonts w:ascii="Arial" w:hAnsi="Arial" w:cs="Arial"/>
          <w:sz w:val="22"/>
          <w:szCs w:val="22"/>
        </w:rPr>
      </w:pPr>
      <w:r w:rsidRPr="00E55815">
        <w:rPr>
          <w:rFonts w:ascii="Arial" w:hAnsi="Arial" w:cs="Arial"/>
          <w:sz w:val="22"/>
          <w:szCs w:val="22"/>
        </w:rPr>
        <w:t xml:space="preserve">Cambodia’s greatest pollution risk arises from </w:t>
      </w:r>
      <w:r w:rsidRPr="00E55815">
        <w:rPr>
          <w:rStyle w:val="Strong"/>
          <w:rFonts w:ascii="Arial" w:hAnsi="Arial" w:cs="Arial"/>
          <w:sz w:val="22"/>
          <w:szCs w:val="22"/>
        </w:rPr>
        <w:t>multiple pollutants interacting simultaneously</w:t>
      </w:r>
      <w:r w:rsidRPr="00E55815">
        <w:rPr>
          <w:rFonts w:ascii="Arial" w:hAnsi="Arial" w:cs="Arial"/>
          <w:sz w:val="22"/>
          <w:szCs w:val="22"/>
        </w:rPr>
        <w:t>—nutrients, microbes, plastics, hydrocarbons and metals—pushing ecosystems toward ecological thresholds. Documented cumulative impacts include:</w:t>
      </w:r>
    </w:p>
    <w:p w:rsidR="00E55815" w:rsidRPr="00E55815" w:rsidRDefault="00E55815" w:rsidP="00E55815">
      <w:pPr>
        <w:pStyle w:val="NormalWeb"/>
        <w:numPr>
          <w:ilvl w:val="0"/>
          <w:numId w:val="38"/>
        </w:numPr>
        <w:jc w:val="both"/>
        <w:rPr>
          <w:rFonts w:ascii="Arial" w:hAnsi="Arial" w:cs="Arial"/>
          <w:sz w:val="22"/>
          <w:szCs w:val="22"/>
        </w:rPr>
      </w:pPr>
      <w:r w:rsidRPr="00E55815">
        <w:rPr>
          <w:rFonts w:ascii="Arial" w:hAnsi="Arial" w:cs="Arial"/>
          <w:sz w:val="22"/>
          <w:szCs w:val="22"/>
        </w:rPr>
        <w:t>Persistent hypoxia in sheltered bays (Kampot Bay, Trapeang Ropov).</w:t>
      </w:r>
    </w:p>
    <w:p w:rsidR="00E55815" w:rsidRPr="00E55815" w:rsidRDefault="00E55815" w:rsidP="00E55815">
      <w:pPr>
        <w:pStyle w:val="NormalWeb"/>
        <w:numPr>
          <w:ilvl w:val="0"/>
          <w:numId w:val="38"/>
        </w:numPr>
        <w:jc w:val="both"/>
        <w:rPr>
          <w:rFonts w:ascii="Arial" w:hAnsi="Arial" w:cs="Arial"/>
          <w:sz w:val="22"/>
          <w:szCs w:val="22"/>
        </w:rPr>
      </w:pPr>
      <w:r w:rsidRPr="00E55815">
        <w:rPr>
          <w:rFonts w:ascii="Arial" w:hAnsi="Arial" w:cs="Arial"/>
          <w:sz w:val="22"/>
          <w:szCs w:val="22"/>
        </w:rPr>
        <w:t>Coral and seagrass decline (</w:t>
      </w:r>
      <w:r w:rsidRPr="00E55815">
        <w:rPr>
          <w:rStyle w:val="Strong"/>
          <w:rFonts w:ascii="Arial" w:hAnsi="Arial" w:cs="Arial"/>
          <w:sz w:val="22"/>
          <w:szCs w:val="22"/>
        </w:rPr>
        <w:t xml:space="preserve">48% </w:t>
      </w:r>
      <w:r w:rsidR="00AC1240" w:rsidRPr="00AC1240">
        <w:rPr>
          <w:rStyle w:val="Strong"/>
          <w:rFonts w:ascii="Arial" w:hAnsi="Arial" w:cs="Arial"/>
          <w:b w:val="0"/>
          <w:bCs w:val="0"/>
          <w:sz w:val="22"/>
          <w:szCs w:val="22"/>
        </w:rPr>
        <w:t>to</w:t>
      </w:r>
      <w:r w:rsidRPr="00E55815">
        <w:rPr>
          <w:rStyle w:val="Strong"/>
          <w:rFonts w:ascii="Arial" w:hAnsi="Arial" w:cs="Arial"/>
          <w:sz w:val="22"/>
          <w:szCs w:val="22"/>
        </w:rPr>
        <w:t xml:space="preserve"> 32% </w:t>
      </w:r>
      <w:r w:rsidRPr="00AC1240">
        <w:rPr>
          <w:rStyle w:val="Strong"/>
          <w:rFonts w:ascii="Arial" w:hAnsi="Arial" w:cs="Arial"/>
          <w:b w:val="0"/>
          <w:bCs w:val="0"/>
          <w:sz w:val="22"/>
          <w:szCs w:val="22"/>
        </w:rPr>
        <w:t>coral cover</w:t>
      </w:r>
      <w:r w:rsidRPr="00E55815">
        <w:rPr>
          <w:rFonts w:ascii="Arial" w:hAnsi="Arial" w:cs="Arial"/>
          <w:sz w:val="22"/>
          <w:szCs w:val="22"/>
        </w:rPr>
        <w:t>, 2010–2023).</w:t>
      </w:r>
    </w:p>
    <w:p w:rsidR="00E55815" w:rsidRPr="00E55815" w:rsidRDefault="00E55815" w:rsidP="00E55815">
      <w:pPr>
        <w:pStyle w:val="NormalWeb"/>
        <w:numPr>
          <w:ilvl w:val="0"/>
          <w:numId w:val="38"/>
        </w:numPr>
        <w:jc w:val="both"/>
        <w:rPr>
          <w:rFonts w:ascii="Arial" w:hAnsi="Arial" w:cs="Arial"/>
          <w:sz w:val="22"/>
          <w:szCs w:val="22"/>
        </w:rPr>
      </w:pPr>
      <w:r w:rsidRPr="00E55815">
        <w:rPr>
          <w:rFonts w:ascii="Arial" w:hAnsi="Arial" w:cs="Arial"/>
          <w:sz w:val="22"/>
          <w:szCs w:val="22"/>
        </w:rPr>
        <w:t>Long-term reductions in fisheries productivity and juvenile habitats.</w:t>
      </w:r>
    </w:p>
    <w:p w:rsidR="00E55815" w:rsidRPr="00E55815" w:rsidRDefault="00E55815" w:rsidP="00E55815">
      <w:pPr>
        <w:pStyle w:val="NormalWeb"/>
        <w:numPr>
          <w:ilvl w:val="0"/>
          <w:numId w:val="38"/>
        </w:numPr>
        <w:jc w:val="both"/>
        <w:rPr>
          <w:rFonts w:ascii="Arial" w:hAnsi="Arial" w:cs="Arial"/>
          <w:sz w:val="22"/>
          <w:szCs w:val="22"/>
        </w:rPr>
      </w:pPr>
      <w:r w:rsidRPr="00E55815">
        <w:rPr>
          <w:rFonts w:ascii="Arial" w:hAnsi="Arial" w:cs="Arial"/>
          <w:sz w:val="22"/>
          <w:szCs w:val="22"/>
        </w:rPr>
        <w:t xml:space="preserve">Emerging </w:t>
      </w:r>
      <w:r w:rsidRPr="00AC1240">
        <w:rPr>
          <w:rStyle w:val="Strong"/>
          <w:rFonts w:ascii="Arial" w:hAnsi="Arial" w:cs="Arial"/>
          <w:b w:val="0"/>
          <w:bCs w:val="0"/>
          <w:sz w:val="22"/>
          <w:szCs w:val="22"/>
        </w:rPr>
        <w:t>antimicrobial resistance (AMR)</w:t>
      </w:r>
      <w:r w:rsidRPr="00E55815">
        <w:rPr>
          <w:rFonts w:ascii="Arial" w:hAnsi="Arial" w:cs="Arial"/>
          <w:sz w:val="22"/>
          <w:szCs w:val="22"/>
        </w:rPr>
        <w:t xml:space="preserve"> in aquaculture environments.</w:t>
      </w:r>
    </w:p>
    <w:p w:rsidR="00E55815" w:rsidRPr="00E55815" w:rsidRDefault="00E55815" w:rsidP="00E55815">
      <w:pPr>
        <w:pStyle w:val="NormalWeb"/>
        <w:numPr>
          <w:ilvl w:val="0"/>
          <w:numId w:val="38"/>
        </w:numPr>
        <w:jc w:val="both"/>
        <w:rPr>
          <w:rFonts w:ascii="Arial" w:hAnsi="Arial" w:cs="Arial"/>
          <w:sz w:val="22"/>
          <w:szCs w:val="22"/>
        </w:rPr>
      </w:pPr>
      <w:r w:rsidRPr="00E55815">
        <w:rPr>
          <w:rFonts w:ascii="Arial" w:hAnsi="Arial" w:cs="Arial"/>
          <w:sz w:val="22"/>
          <w:szCs w:val="22"/>
        </w:rPr>
        <w:t>Major tourism and public-health incidents driven by fecal contamination and algal blooms.</w:t>
      </w:r>
    </w:p>
    <w:p w:rsidR="006E2B55" w:rsidRPr="00E55815" w:rsidRDefault="00E55815" w:rsidP="00E55815">
      <w:pPr>
        <w:pStyle w:val="NormalWeb"/>
        <w:numPr>
          <w:ilvl w:val="0"/>
          <w:numId w:val="38"/>
        </w:numPr>
        <w:jc w:val="both"/>
        <w:rPr>
          <w:rFonts w:ascii="Arial" w:hAnsi="Arial" w:cs="Arial"/>
          <w:sz w:val="22"/>
          <w:szCs w:val="22"/>
        </w:rPr>
      </w:pPr>
      <w:r w:rsidRPr="00E55815">
        <w:rPr>
          <w:rFonts w:ascii="Arial" w:hAnsi="Arial" w:cs="Arial"/>
          <w:sz w:val="22"/>
          <w:szCs w:val="22"/>
        </w:rPr>
        <w:t>Regional ecosystem degradation as pollutants circulate across the Gulf of Thailand.</w:t>
      </w:r>
    </w:p>
    <w:p w:rsidR="006E2B55" w:rsidRPr="003D13CD" w:rsidRDefault="00AE2C90" w:rsidP="00C766A1">
      <w:pPr>
        <w:pStyle w:val="NormalWeb"/>
        <w:keepNext/>
        <w:adjustRightInd w:val="0"/>
        <w:snapToGrid w:val="0"/>
        <w:spacing w:before="240" w:beforeAutospacing="0" w:after="240" w:afterAutospacing="0"/>
        <w:jc w:val="both"/>
        <w:rPr>
          <w:rStyle w:val="Strong"/>
          <w:rFonts w:ascii="Arial" w:hAnsi="Arial" w:cs="Arial"/>
          <w:i/>
          <w:iCs/>
          <w:sz w:val="22"/>
          <w:szCs w:val="22"/>
        </w:rPr>
      </w:pPr>
      <w:r w:rsidRPr="003D13CD">
        <w:rPr>
          <w:rStyle w:val="Strong"/>
          <w:rFonts w:ascii="Arial" w:hAnsi="Arial" w:cs="Arial"/>
          <w:i/>
          <w:iCs/>
          <w:sz w:val="22"/>
          <w:szCs w:val="22"/>
        </w:rPr>
        <w:t xml:space="preserve">b) </w:t>
      </w:r>
      <w:r w:rsidR="006E2B55" w:rsidRPr="003D13CD">
        <w:rPr>
          <w:rStyle w:val="Strong"/>
          <w:rFonts w:ascii="Arial" w:hAnsi="Arial" w:cs="Arial"/>
          <w:i/>
          <w:iCs/>
          <w:sz w:val="22"/>
          <w:szCs w:val="22"/>
        </w:rPr>
        <w:t>High-Risk Geographic Hotspots</w:t>
      </w:r>
    </w:p>
    <w:p w:rsidR="006E2B55" w:rsidRPr="003D13CD" w:rsidRDefault="00E55815" w:rsidP="006E2B55">
      <w:pPr>
        <w:pStyle w:val="NormalWeb"/>
        <w:adjustRightInd w:val="0"/>
        <w:snapToGrid w:val="0"/>
        <w:spacing w:before="240" w:beforeAutospacing="0" w:after="240" w:afterAutospacing="0"/>
        <w:jc w:val="both"/>
        <w:rPr>
          <w:rStyle w:val="Emphasis"/>
          <w:rFonts w:ascii="Arial" w:eastAsiaTheme="majorEastAsia" w:hAnsi="Arial" w:cs="Arial"/>
          <w:i w:val="0"/>
          <w:iCs w:val="0"/>
          <w:sz w:val="22"/>
          <w:szCs w:val="22"/>
        </w:rPr>
      </w:pPr>
      <w:r>
        <w:rPr>
          <w:rStyle w:val="Emphasis"/>
          <w:rFonts w:ascii="Arial" w:eastAsiaTheme="majorEastAsia" w:hAnsi="Arial" w:cs="Arial"/>
          <w:i w:val="0"/>
          <w:iCs w:val="0"/>
          <w:sz w:val="22"/>
          <w:szCs w:val="22"/>
        </w:rPr>
        <w:fldChar w:fldCharType="begin"/>
      </w:r>
      <w:r>
        <w:rPr>
          <w:rStyle w:val="Emphasis"/>
          <w:rFonts w:ascii="Arial" w:eastAsiaTheme="majorEastAsia" w:hAnsi="Arial" w:cs="Arial"/>
          <w:i w:val="0"/>
          <w:iCs w:val="0"/>
          <w:sz w:val="22"/>
          <w:szCs w:val="22"/>
        </w:rPr>
        <w:instrText xml:space="preserve"> REF _Ref214872842 \h </w:instrText>
      </w:r>
      <w:r>
        <w:rPr>
          <w:rStyle w:val="Emphasis"/>
          <w:rFonts w:ascii="Arial" w:eastAsiaTheme="majorEastAsia" w:hAnsi="Arial" w:cs="Arial"/>
          <w:i w:val="0"/>
          <w:iCs w:val="0"/>
          <w:sz w:val="22"/>
          <w:szCs w:val="22"/>
        </w:rPr>
      </w:r>
      <w:r>
        <w:rPr>
          <w:rStyle w:val="Emphasis"/>
          <w:rFonts w:ascii="Arial" w:eastAsiaTheme="majorEastAsia" w:hAnsi="Arial" w:cs="Arial"/>
          <w:i w:val="0"/>
          <w:iCs w:val="0"/>
          <w:sz w:val="22"/>
          <w:szCs w:val="22"/>
        </w:rPr>
        <w:fldChar w:fldCharType="separate"/>
      </w:r>
      <w:r w:rsidR="00D35426" w:rsidRPr="004444F0">
        <w:rPr>
          <w:rFonts w:ascii="Arial" w:hAnsi="Arial" w:cs="Arial"/>
          <w:color w:val="002060"/>
          <w:sz w:val="21"/>
          <w:szCs w:val="21"/>
        </w:rPr>
        <w:t>Table 3-</w:t>
      </w:r>
      <w:r w:rsidR="00D35426">
        <w:rPr>
          <w:rFonts w:ascii="Arial" w:hAnsi="Arial" w:cs="Arial"/>
          <w:noProof/>
          <w:color w:val="002060"/>
          <w:sz w:val="21"/>
          <w:szCs w:val="21"/>
        </w:rPr>
        <w:t>3</w:t>
      </w:r>
      <w:r>
        <w:rPr>
          <w:rStyle w:val="Emphasis"/>
          <w:rFonts w:ascii="Arial" w:eastAsiaTheme="majorEastAsia" w:hAnsi="Arial" w:cs="Arial"/>
          <w:i w:val="0"/>
          <w:iCs w:val="0"/>
          <w:sz w:val="22"/>
          <w:szCs w:val="22"/>
        </w:rPr>
        <w:fldChar w:fldCharType="end"/>
      </w:r>
      <w:r>
        <w:rPr>
          <w:rStyle w:val="Emphasis"/>
          <w:rFonts w:ascii="Arial" w:eastAsiaTheme="majorEastAsia" w:hAnsi="Arial" w:cs="Arial"/>
          <w:i w:val="0"/>
          <w:iCs w:val="0"/>
          <w:sz w:val="22"/>
          <w:szCs w:val="22"/>
        </w:rPr>
        <w:t xml:space="preserve"> </w:t>
      </w:r>
      <w:r w:rsidR="005C5DB7" w:rsidRPr="003D13CD">
        <w:rPr>
          <w:rStyle w:val="Emphasis"/>
          <w:rFonts w:ascii="Arial" w:eastAsiaTheme="majorEastAsia" w:hAnsi="Arial" w:cs="Arial"/>
          <w:i w:val="0"/>
          <w:iCs w:val="0"/>
          <w:sz w:val="22"/>
          <w:szCs w:val="22"/>
        </w:rPr>
        <w:t xml:space="preserve">below present the summary of the </w:t>
      </w:r>
      <w:r w:rsidRPr="003D13CD">
        <w:rPr>
          <w:rStyle w:val="Emphasis"/>
          <w:rFonts w:ascii="Arial" w:eastAsiaTheme="majorEastAsia" w:hAnsi="Arial" w:cs="Arial"/>
          <w:i w:val="0"/>
          <w:iCs w:val="0"/>
          <w:sz w:val="22"/>
          <w:szCs w:val="22"/>
        </w:rPr>
        <w:t>high-risk geographic hotspots</w:t>
      </w:r>
      <w:r w:rsidR="00D30055">
        <w:rPr>
          <w:rStyle w:val="Emphasis"/>
          <w:rFonts w:ascii="Arial" w:eastAsiaTheme="majorEastAsia" w:hAnsi="Arial" w:cs="Arial"/>
          <w:i w:val="0"/>
          <w:iCs w:val="0"/>
          <w:sz w:val="22"/>
          <w:szCs w:val="22"/>
        </w:rPr>
        <w:t>.</w:t>
      </w:r>
    </w:p>
    <w:p w:rsidR="005C5DB7" w:rsidRPr="004444F0" w:rsidRDefault="005C5DB7" w:rsidP="005C5DB7">
      <w:pPr>
        <w:pStyle w:val="Caption"/>
        <w:rPr>
          <w:rStyle w:val="Emphasis"/>
          <w:rFonts w:ascii="Arial" w:eastAsia="Times New Roman" w:hAnsi="Arial" w:cs="Arial"/>
          <w:i/>
          <w:iCs/>
          <w:color w:val="002060"/>
          <w:kern w:val="0"/>
          <w:sz w:val="28"/>
          <w:szCs w:val="28"/>
          <w14:ligatures w14:val="none"/>
        </w:rPr>
      </w:pPr>
      <w:bookmarkStart w:id="22" w:name="_Ref214872842"/>
      <w:bookmarkStart w:id="23" w:name="_Toc214875145"/>
      <w:r w:rsidRPr="004444F0">
        <w:rPr>
          <w:rFonts w:ascii="Arial" w:hAnsi="Arial" w:cs="Arial"/>
          <w:color w:val="002060"/>
          <w:sz w:val="21"/>
          <w:szCs w:val="21"/>
        </w:rPr>
        <w:t>Table 3-</w:t>
      </w:r>
      <w:r w:rsidRPr="004444F0">
        <w:rPr>
          <w:rFonts w:ascii="Arial" w:hAnsi="Arial" w:cs="Arial"/>
          <w:color w:val="002060"/>
          <w:sz w:val="21"/>
          <w:szCs w:val="21"/>
        </w:rPr>
        <w:fldChar w:fldCharType="begin"/>
      </w:r>
      <w:r w:rsidRPr="004444F0">
        <w:rPr>
          <w:rFonts w:ascii="Arial" w:hAnsi="Arial" w:cs="Arial"/>
          <w:color w:val="002060"/>
          <w:sz w:val="21"/>
          <w:szCs w:val="21"/>
        </w:rPr>
        <w:instrText xml:space="preserve"> SEQ Table_3- \* ARABIC </w:instrText>
      </w:r>
      <w:r w:rsidRPr="004444F0">
        <w:rPr>
          <w:rFonts w:ascii="Arial" w:hAnsi="Arial" w:cs="Arial"/>
          <w:color w:val="002060"/>
          <w:sz w:val="21"/>
          <w:szCs w:val="21"/>
        </w:rPr>
        <w:fldChar w:fldCharType="separate"/>
      </w:r>
      <w:r w:rsidR="00D35426">
        <w:rPr>
          <w:rFonts w:ascii="Arial" w:hAnsi="Arial" w:cs="Arial"/>
          <w:noProof/>
          <w:color w:val="002060"/>
          <w:sz w:val="21"/>
          <w:szCs w:val="21"/>
        </w:rPr>
        <w:t>3</w:t>
      </w:r>
      <w:r w:rsidRPr="004444F0">
        <w:rPr>
          <w:rFonts w:ascii="Arial" w:hAnsi="Arial" w:cs="Arial"/>
          <w:color w:val="002060"/>
          <w:sz w:val="21"/>
          <w:szCs w:val="21"/>
        </w:rPr>
        <w:fldChar w:fldCharType="end"/>
      </w:r>
      <w:bookmarkEnd w:id="22"/>
      <w:r w:rsidR="00887B49" w:rsidRPr="004444F0">
        <w:rPr>
          <w:rFonts w:ascii="Arial" w:hAnsi="Arial" w:cs="Arial"/>
          <w:color w:val="002060"/>
          <w:sz w:val="21"/>
          <w:szCs w:val="21"/>
        </w:rPr>
        <w:t xml:space="preserve"> </w:t>
      </w:r>
      <w:r w:rsidR="00D30055">
        <w:rPr>
          <w:rFonts w:ascii="Arial" w:hAnsi="Arial" w:cs="Arial"/>
          <w:color w:val="002060"/>
          <w:sz w:val="21"/>
          <w:szCs w:val="21"/>
        </w:rPr>
        <w:t>S</w:t>
      </w:r>
      <w:r w:rsidR="00D30055" w:rsidRPr="004444F0">
        <w:rPr>
          <w:rFonts w:ascii="Arial" w:hAnsi="Arial" w:cs="Arial"/>
          <w:color w:val="002060"/>
          <w:sz w:val="21"/>
          <w:szCs w:val="21"/>
        </w:rPr>
        <w:t xml:space="preserve">ummary of the high-risk pollution hotspots in </w:t>
      </w:r>
      <w:r w:rsidR="00D30055">
        <w:rPr>
          <w:rFonts w:ascii="Arial" w:hAnsi="Arial" w:cs="Arial"/>
          <w:color w:val="002060"/>
          <w:sz w:val="21"/>
          <w:szCs w:val="21"/>
        </w:rPr>
        <w:t>C</w:t>
      </w:r>
      <w:r w:rsidR="00D30055" w:rsidRPr="004444F0">
        <w:rPr>
          <w:rFonts w:ascii="Arial" w:hAnsi="Arial" w:cs="Arial"/>
          <w:color w:val="002060"/>
          <w:sz w:val="21"/>
          <w:szCs w:val="21"/>
        </w:rPr>
        <w:t>ambodia</w:t>
      </w:r>
      <w:r w:rsidR="00BF61B4" w:rsidRPr="004444F0">
        <w:rPr>
          <w:rFonts w:ascii="Arial" w:hAnsi="Arial" w:cs="Arial"/>
          <w:color w:val="002060"/>
          <w:sz w:val="21"/>
          <w:szCs w:val="21"/>
        </w:rPr>
        <w:t xml:space="preserve"> (Based on RQ, WQI, and Pollutant Exceedances)</w:t>
      </w:r>
      <w:bookmarkEnd w:id="23"/>
    </w:p>
    <w:tbl>
      <w:tblPr>
        <w:tblStyle w:val="GridTable4-Accent5"/>
        <w:tblW w:w="0" w:type="auto"/>
        <w:tblLook w:val="04A0" w:firstRow="1" w:lastRow="0" w:firstColumn="1" w:lastColumn="0" w:noHBand="0" w:noVBand="1"/>
      </w:tblPr>
      <w:tblGrid>
        <w:gridCol w:w="2258"/>
        <w:gridCol w:w="3591"/>
        <w:gridCol w:w="3161"/>
      </w:tblGrid>
      <w:tr w:rsidR="00E55815" w:rsidRPr="00E55815" w:rsidTr="00E55815">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rsidR="00E55815" w:rsidRPr="00E55815" w:rsidRDefault="00E55815">
            <w:pPr>
              <w:jc w:val="center"/>
              <w:rPr>
                <w:rFonts w:ascii="Arial" w:hAnsi="Arial" w:cs="Arial"/>
                <w:sz w:val="20"/>
                <w:szCs w:val="20"/>
              </w:rPr>
            </w:pPr>
            <w:r w:rsidRPr="00E55815">
              <w:rPr>
                <w:rFonts w:ascii="Arial" w:hAnsi="Arial" w:cs="Arial"/>
                <w:sz w:val="20"/>
                <w:szCs w:val="20"/>
              </w:rPr>
              <w:t>Hotspot</w:t>
            </w:r>
          </w:p>
        </w:tc>
        <w:tc>
          <w:tcPr>
            <w:tcW w:w="0" w:type="auto"/>
            <w:hideMark/>
          </w:tcPr>
          <w:p w:rsidR="00E55815" w:rsidRPr="00E55815" w:rsidRDefault="00E55815">
            <w:pPr>
              <w:jc w:val="center"/>
              <w:cnfStyle w:val="100000000000" w:firstRow="1" w:lastRow="0" w:firstColumn="0" w:lastColumn="0" w:oddVBand="0" w:evenVBand="0" w:oddHBand="0" w:evenHBand="0" w:firstRowFirstColumn="0" w:firstRowLastColumn="0" w:lastRowFirstColumn="0" w:lastRowLastColumn="0"/>
              <w:rPr>
                <w:rFonts w:ascii="Arial" w:hAnsi="Arial" w:cs="Arial"/>
                <w:sz w:val="20"/>
                <w:szCs w:val="20"/>
              </w:rPr>
            </w:pPr>
            <w:r w:rsidRPr="00E55815">
              <w:rPr>
                <w:rFonts w:ascii="Arial" w:hAnsi="Arial" w:cs="Arial"/>
                <w:sz w:val="20"/>
                <w:szCs w:val="20"/>
              </w:rPr>
              <w:t>Description</w:t>
            </w:r>
          </w:p>
        </w:tc>
        <w:tc>
          <w:tcPr>
            <w:tcW w:w="0" w:type="auto"/>
            <w:hideMark/>
          </w:tcPr>
          <w:p w:rsidR="00E55815" w:rsidRPr="00E55815" w:rsidRDefault="00E55815">
            <w:pPr>
              <w:jc w:val="center"/>
              <w:cnfStyle w:val="100000000000" w:firstRow="1" w:lastRow="0" w:firstColumn="0" w:lastColumn="0" w:oddVBand="0" w:evenVBand="0" w:oddHBand="0" w:evenHBand="0" w:firstRowFirstColumn="0" w:firstRowLastColumn="0" w:lastRowFirstColumn="0" w:lastRowLastColumn="0"/>
              <w:rPr>
                <w:rFonts w:ascii="Arial" w:hAnsi="Arial" w:cs="Arial"/>
                <w:sz w:val="20"/>
                <w:szCs w:val="20"/>
              </w:rPr>
            </w:pPr>
            <w:r w:rsidRPr="00E55815">
              <w:rPr>
                <w:rFonts w:ascii="Arial" w:hAnsi="Arial" w:cs="Arial"/>
                <w:sz w:val="20"/>
                <w:szCs w:val="20"/>
              </w:rPr>
              <w:t>Key Indicators</w:t>
            </w:r>
          </w:p>
        </w:tc>
      </w:tr>
      <w:tr w:rsidR="00E55815" w:rsidRPr="00E55815" w:rsidTr="00E5581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rsidR="00E55815" w:rsidRPr="00E55815" w:rsidRDefault="00E55815">
            <w:pPr>
              <w:rPr>
                <w:rFonts w:ascii="Arial" w:hAnsi="Arial" w:cs="Arial"/>
                <w:sz w:val="20"/>
                <w:szCs w:val="20"/>
              </w:rPr>
            </w:pPr>
            <w:r w:rsidRPr="00E55815">
              <w:rPr>
                <w:rFonts w:ascii="Arial" w:hAnsi="Arial" w:cs="Arial"/>
                <w:sz w:val="20"/>
                <w:szCs w:val="20"/>
              </w:rPr>
              <w:t>Prek Toeuk Sap – Sihanoukville</w:t>
            </w:r>
          </w:p>
        </w:tc>
        <w:tc>
          <w:tcPr>
            <w:tcW w:w="0" w:type="auto"/>
            <w:hideMark/>
          </w:tcPr>
          <w:p w:rsidR="00E55815" w:rsidRPr="00E55815" w:rsidRDefault="00E55815">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E55815">
              <w:rPr>
                <w:rFonts w:ascii="Arial" w:hAnsi="Arial" w:cs="Arial"/>
                <w:sz w:val="20"/>
                <w:szCs w:val="20"/>
              </w:rPr>
              <w:t>Multi-pollutant hotspot with organics, hydrocarbons, microbes</w:t>
            </w:r>
          </w:p>
        </w:tc>
        <w:tc>
          <w:tcPr>
            <w:tcW w:w="0" w:type="auto"/>
            <w:hideMark/>
          </w:tcPr>
          <w:p w:rsidR="00E55815" w:rsidRPr="00E55815" w:rsidRDefault="00E55815">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E55815">
              <w:rPr>
                <w:rFonts w:ascii="Arial" w:hAnsi="Arial" w:cs="Arial"/>
                <w:sz w:val="20"/>
                <w:szCs w:val="20"/>
              </w:rPr>
              <w:t>BOD 25–60 mg/L; COD &gt;80 mg/L; TPH RQ=1.4; FC &gt;10⁵ CFU/100 mL</w:t>
            </w:r>
          </w:p>
        </w:tc>
      </w:tr>
      <w:tr w:rsidR="00E55815" w:rsidRPr="00E55815" w:rsidTr="00E55815">
        <w:tc>
          <w:tcPr>
            <w:cnfStyle w:val="001000000000" w:firstRow="0" w:lastRow="0" w:firstColumn="1" w:lastColumn="0" w:oddVBand="0" w:evenVBand="0" w:oddHBand="0" w:evenHBand="0" w:firstRowFirstColumn="0" w:firstRowLastColumn="0" w:lastRowFirstColumn="0" w:lastRowLastColumn="0"/>
            <w:tcW w:w="0" w:type="auto"/>
            <w:hideMark/>
          </w:tcPr>
          <w:p w:rsidR="00E55815" w:rsidRPr="00E55815" w:rsidRDefault="00E55815">
            <w:pPr>
              <w:rPr>
                <w:rFonts w:ascii="Arial" w:hAnsi="Arial" w:cs="Arial"/>
                <w:sz w:val="20"/>
                <w:szCs w:val="20"/>
              </w:rPr>
            </w:pPr>
            <w:r w:rsidRPr="00E55815">
              <w:rPr>
                <w:rFonts w:ascii="Arial" w:hAnsi="Arial" w:cs="Arial"/>
                <w:sz w:val="20"/>
                <w:szCs w:val="20"/>
              </w:rPr>
              <w:t>Kampot River Estuary &amp; Kampot Bay</w:t>
            </w:r>
          </w:p>
        </w:tc>
        <w:tc>
          <w:tcPr>
            <w:tcW w:w="0" w:type="auto"/>
            <w:hideMark/>
          </w:tcPr>
          <w:p w:rsidR="00E55815" w:rsidRPr="00E55815" w:rsidRDefault="00E55815">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E55815">
              <w:rPr>
                <w:rFonts w:ascii="Arial" w:hAnsi="Arial" w:cs="Arial"/>
                <w:sz w:val="20"/>
                <w:szCs w:val="20"/>
              </w:rPr>
              <w:t>High nutrients and sediment loads from agriculture/aquaculture</w:t>
            </w:r>
          </w:p>
        </w:tc>
        <w:tc>
          <w:tcPr>
            <w:tcW w:w="0" w:type="auto"/>
            <w:hideMark/>
          </w:tcPr>
          <w:p w:rsidR="00E55815" w:rsidRPr="00E55815" w:rsidRDefault="00E55815">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E55815">
              <w:rPr>
                <w:rFonts w:ascii="Arial" w:hAnsi="Arial" w:cs="Arial"/>
                <w:sz w:val="20"/>
                <w:szCs w:val="20"/>
              </w:rPr>
              <w:t>NO</w:t>
            </w:r>
            <w:r w:rsidRPr="00E55815">
              <w:rPr>
                <w:rFonts w:ascii="Cambria Math" w:hAnsi="Cambria Math" w:cs="Cambria Math"/>
                <w:sz w:val="20"/>
                <w:szCs w:val="20"/>
              </w:rPr>
              <w:t>₃⁻</w:t>
            </w:r>
            <w:r w:rsidRPr="00E55815">
              <w:rPr>
                <w:rFonts w:ascii="Arial" w:hAnsi="Arial" w:cs="Arial"/>
                <w:sz w:val="20"/>
                <w:szCs w:val="20"/>
              </w:rPr>
              <w:t xml:space="preserve"> ≈2.4 mg/L; PO</w:t>
            </w:r>
            <w:r w:rsidRPr="00E55815">
              <w:rPr>
                <w:rFonts w:ascii="Cambria Math" w:hAnsi="Cambria Math" w:cs="Cambria Math"/>
                <w:sz w:val="20"/>
                <w:szCs w:val="20"/>
              </w:rPr>
              <w:t>₄</w:t>
            </w:r>
            <w:r w:rsidRPr="00E55815">
              <w:rPr>
                <w:rFonts w:ascii="Arial" w:hAnsi="Arial" w:cs="Arial"/>
                <w:sz w:val="20"/>
                <w:szCs w:val="20"/>
              </w:rPr>
              <w:t>³</w:t>
            </w:r>
            <w:r w:rsidRPr="00E55815">
              <w:rPr>
                <w:rFonts w:ascii="Cambria Math" w:hAnsi="Cambria Math" w:cs="Cambria Math"/>
                <w:sz w:val="20"/>
                <w:szCs w:val="20"/>
              </w:rPr>
              <w:t>⁻</w:t>
            </w:r>
            <w:r w:rsidRPr="00E55815">
              <w:rPr>
                <w:rFonts w:ascii="Arial" w:hAnsi="Arial" w:cs="Arial"/>
                <w:sz w:val="20"/>
                <w:szCs w:val="20"/>
              </w:rPr>
              <w:t xml:space="preserve"> ≈0.8 mg/L; TSS ≈120 mg/L; DO &lt;4 mg/L</w:t>
            </w:r>
          </w:p>
        </w:tc>
      </w:tr>
      <w:tr w:rsidR="00E55815" w:rsidRPr="00E55815" w:rsidTr="00E5581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rsidR="00E55815" w:rsidRPr="00E55815" w:rsidRDefault="00E55815">
            <w:pPr>
              <w:rPr>
                <w:rFonts w:ascii="Arial" w:hAnsi="Arial" w:cs="Arial"/>
                <w:sz w:val="20"/>
                <w:szCs w:val="20"/>
              </w:rPr>
            </w:pPr>
            <w:r w:rsidRPr="00E55815">
              <w:rPr>
                <w:rFonts w:ascii="Arial" w:hAnsi="Arial" w:cs="Arial"/>
                <w:sz w:val="20"/>
                <w:szCs w:val="20"/>
              </w:rPr>
              <w:t>Kep Coast – Ha Tien</w:t>
            </w:r>
          </w:p>
        </w:tc>
        <w:tc>
          <w:tcPr>
            <w:tcW w:w="0" w:type="auto"/>
            <w:hideMark/>
          </w:tcPr>
          <w:p w:rsidR="00E55815" w:rsidRPr="00E55815" w:rsidRDefault="00E55815">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E55815">
              <w:rPr>
                <w:rFonts w:ascii="Arial" w:hAnsi="Arial" w:cs="Arial"/>
                <w:sz w:val="20"/>
                <w:szCs w:val="20"/>
              </w:rPr>
              <w:t>Eutrophication-prone transboundary zone</w:t>
            </w:r>
          </w:p>
        </w:tc>
        <w:tc>
          <w:tcPr>
            <w:tcW w:w="0" w:type="auto"/>
            <w:hideMark/>
          </w:tcPr>
          <w:p w:rsidR="00E55815" w:rsidRPr="00E55815" w:rsidRDefault="00E55815">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E55815">
              <w:rPr>
                <w:rFonts w:ascii="Arial" w:hAnsi="Arial" w:cs="Arial"/>
                <w:sz w:val="20"/>
                <w:szCs w:val="20"/>
              </w:rPr>
              <w:t>HABs (2016); nutrient exceedances; degraded WQI</w:t>
            </w:r>
          </w:p>
        </w:tc>
      </w:tr>
      <w:tr w:rsidR="00E55815" w:rsidRPr="00E55815" w:rsidTr="00E55815">
        <w:tc>
          <w:tcPr>
            <w:cnfStyle w:val="001000000000" w:firstRow="0" w:lastRow="0" w:firstColumn="1" w:lastColumn="0" w:oddVBand="0" w:evenVBand="0" w:oddHBand="0" w:evenHBand="0" w:firstRowFirstColumn="0" w:firstRowLastColumn="0" w:lastRowFirstColumn="0" w:lastRowLastColumn="0"/>
            <w:tcW w:w="0" w:type="auto"/>
            <w:hideMark/>
          </w:tcPr>
          <w:p w:rsidR="00E55815" w:rsidRPr="00E55815" w:rsidRDefault="00E55815">
            <w:pPr>
              <w:rPr>
                <w:rFonts w:ascii="Arial" w:hAnsi="Arial" w:cs="Arial"/>
                <w:sz w:val="20"/>
                <w:szCs w:val="20"/>
              </w:rPr>
            </w:pPr>
            <w:r w:rsidRPr="00E55815">
              <w:rPr>
                <w:rFonts w:ascii="Arial" w:hAnsi="Arial" w:cs="Arial"/>
                <w:sz w:val="20"/>
                <w:szCs w:val="20"/>
              </w:rPr>
              <w:t>Tatai – Koh Kong Estuary</w:t>
            </w:r>
          </w:p>
        </w:tc>
        <w:tc>
          <w:tcPr>
            <w:tcW w:w="0" w:type="auto"/>
            <w:hideMark/>
          </w:tcPr>
          <w:p w:rsidR="00E55815" w:rsidRPr="00E55815" w:rsidRDefault="00E55815">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E55815">
              <w:rPr>
                <w:rFonts w:ascii="Arial" w:hAnsi="Arial" w:cs="Arial"/>
                <w:sz w:val="20"/>
                <w:szCs w:val="20"/>
              </w:rPr>
              <w:t>Exposed to mining runoff, domestic wastewater, monsoon sediment</w:t>
            </w:r>
          </w:p>
        </w:tc>
        <w:tc>
          <w:tcPr>
            <w:tcW w:w="0" w:type="auto"/>
            <w:hideMark/>
          </w:tcPr>
          <w:p w:rsidR="00E55815" w:rsidRPr="00E55815" w:rsidRDefault="00E55815">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E55815">
              <w:rPr>
                <w:rFonts w:ascii="Arial" w:hAnsi="Arial" w:cs="Arial"/>
                <w:sz w:val="20"/>
                <w:szCs w:val="20"/>
              </w:rPr>
              <w:t>Elevated TSS, metals (local studies)</w:t>
            </w:r>
          </w:p>
        </w:tc>
      </w:tr>
      <w:tr w:rsidR="00E55815" w:rsidRPr="00E55815" w:rsidTr="00E5581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rsidR="00E55815" w:rsidRPr="00E55815" w:rsidRDefault="00E55815">
            <w:pPr>
              <w:rPr>
                <w:rFonts w:ascii="Arial" w:hAnsi="Arial" w:cs="Arial"/>
                <w:sz w:val="20"/>
                <w:szCs w:val="20"/>
              </w:rPr>
            </w:pPr>
            <w:r w:rsidRPr="00E55815">
              <w:rPr>
                <w:rFonts w:ascii="Arial" w:hAnsi="Arial" w:cs="Arial"/>
                <w:sz w:val="20"/>
                <w:szCs w:val="20"/>
              </w:rPr>
              <w:t>Phnom Penh Confluence Zone</w:t>
            </w:r>
          </w:p>
        </w:tc>
        <w:tc>
          <w:tcPr>
            <w:tcW w:w="0" w:type="auto"/>
            <w:hideMark/>
          </w:tcPr>
          <w:p w:rsidR="00E55815" w:rsidRPr="00E55815" w:rsidRDefault="00E55815">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E55815">
              <w:rPr>
                <w:rFonts w:ascii="Arial" w:hAnsi="Arial" w:cs="Arial"/>
                <w:sz w:val="20"/>
                <w:szCs w:val="20"/>
              </w:rPr>
              <w:t>Severe nutrient/microbial pollution feeding Mekong–Bassac</w:t>
            </w:r>
          </w:p>
        </w:tc>
        <w:tc>
          <w:tcPr>
            <w:tcW w:w="0" w:type="auto"/>
            <w:hideMark/>
          </w:tcPr>
          <w:p w:rsidR="00E55815" w:rsidRPr="00E55815" w:rsidRDefault="00E55815">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E55815">
              <w:rPr>
                <w:rFonts w:ascii="Arial" w:hAnsi="Arial" w:cs="Arial"/>
                <w:sz w:val="20"/>
                <w:szCs w:val="20"/>
              </w:rPr>
              <w:t>FC 100% exceedance; TN/TP above standards</w:t>
            </w:r>
          </w:p>
        </w:tc>
      </w:tr>
    </w:tbl>
    <w:p w:rsidR="006E2B55" w:rsidRPr="00D30055" w:rsidRDefault="00E34412" w:rsidP="00D30055">
      <w:pPr>
        <w:pStyle w:val="NormalWeb"/>
        <w:adjustRightInd w:val="0"/>
        <w:snapToGrid w:val="0"/>
        <w:spacing w:before="0" w:beforeAutospacing="0" w:after="0" w:afterAutospacing="0"/>
        <w:jc w:val="both"/>
        <w:rPr>
          <w:rFonts w:ascii="Arial" w:hAnsi="Arial" w:cs="Arial"/>
          <w:sz w:val="18"/>
          <w:szCs w:val="18"/>
        </w:rPr>
      </w:pPr>
      <w:r w:rsidRPr="003D13CD">
        <w:rPr>
          <w:rFonts w:ascii="Arial" w:hAnsi="Arial" w:cs="Arial"/>
          <w:b/>
          <w:bCs/>
          <w:sz w:val="18"/>
          <w:szCs w:val="18"/>
        </w:rPr>
        <w:t>Source:</w:t>
      </w:r>
      <w:r w:rsidRPr="003D13CD">
        <w:rPr>
          <w:rFonts w:ascii="Arial" w:hAnsi="Arial" w:cs="Arial"/>
          <w:sz w:val="18"/>
          <w:szCs w:val="18"/>
        </w:rPr>
        <w:t xml:space="preserve"> MoE (2023), MRC (2021–2022), JICA (2016), WEPA (2023), PEMSEA (2018)</w:t>
      </w:r>
    </w:p>
    <w:p w:rsidR="006E2B55" w:rsidRPr="003D13CD" w:rsidRDefault="00AE2C90" w:rsidP="005C5DB7">
      <w:pPr>
        <w:pStyle w:val="NormalWeb"/>
        <w:keepNext/>
        <w:adjustRightInd w:val="0"/>
        <w:snapToGrid w:val="0"/>
        <w:spacing w:before="240" w:beforeAutospacing="0" w:after="240" w:afterAutospacing="0"/>
        <w:jc w:val="both"/>
        <w:rPr>
          <w:rStyle w:val="Strong"/>
          <w:rFonts w:ascii="Arial" w:hAnsi="Arial" w:cs="Arial"/>
          <w:i/>
          <w:iCs/>
          <w:sz w:val="22"/>
          <w:szCs w:val="22"/>
        </w:rPr>
      </w:pPr>
      <w:r w:rsidRPr="003D13CD">
        <w:rPr>
          <w:rStyle w:val="Strong"/>
          <w:rFonts w:ascii="Arial" w:hAnsi="Arial" w:cs="Arial"/>
          <w:i/>
          <w:iCs/>
          <w:sz w:val="22"/>
          <w:szCs w:val="22"/>
        </w:rPr>
        <w:t xml:space="preserve">c) </w:t>
      </w:r>
      <w:r w:rsidR="006E2B55" w:rsidRPr="003D13CD">
        <w:rPr>
          <w:rStyle w:val="Strong"/>
          <w:rFonts w:ascii="Arial" w:hAnsi="Arial" w:cs="Arial"/>
          <w:i/>
          <w:iCs/>
          <w:sz w:val="22"/>
          <w:szCs w:val="22"/>
        </w:rPr>
        <w:t>Populations Most at Risk</w:t>
      </w:r>
    </w:p>
    <w:p w:rsidR="00E55815" w:rsidRPr="00E55815" w:rsidRDefault="00E55815" w:rsidP="00E55815">
      <w:pPr>
        <w:pStyle w:val="NormalWeb"/>
        <w:rPr>
          <w:rFonts w:ascii="Arial" w:hAnsi="Arial" w:cs="Arial"/>
          <w:sz w:val="22"/>
          <w:szCs w:val="22"/>
        </w:rPr>
      </w:pPr>
      <w:r w:rsidRPr="00E55815">
        <w:rPr>
          <w:rFonts w:ascii="Arial" w:hAnsi="Arial" w:cs="Arial"/>
          <w:sz w:val="22"/>
          <w:szCs w:val="22"/>
        </w:rPr>
        <w:t>Groups facing disproportionate exposure include:</w:t>
      </w:r>
    </w:p>
    <w:p w:rsidR="00E55815" w:rsidRPr="00E55815" w:rsidRDefault="00E55815" w:rsidP="00E55815">
      <w:pPr>
        <w:pStyle w:val="NormalWeb"/>
        <w:numPr>
          <w:ilvl w:val="0"/>
          <w:numId w:val="4"/>
        </w:numPr>
        <w:rPr>
          <w:rFonts w:ascii="Arial" w:hAnsi="Arial" w:cs="Arial"/>
          <w:sz w:val="22"/>
          <w:szCs w:val="22"/>
        </w:rPr>
      </w:pPr>
      <w:r w:rsidRPr="00E55815">
        <w:rPr>
          <w:rFonts w:ascii="Arial" w:hAnsi="Arial" w:cs="Arial"/>
          <w:sz w:val="22"/>
          <w:szCs w:val="22"/>
        </w:rPr>
        <w:t>Households located along estuaries and canals vulnerable to contaminated water and flooding.</w:t>
      </w:r>
    </w:p>
    <w:p w:rsidR="00E55815" w:rsidRPr="00E55815" w:rsidRDefault="00E55815" w:rsidP="00E55815">
      <w:pPr>
        <w:pStyle w:val="NormalWeb"/>
        <w:numPr>
          <w:ilvl w:val="0"/>
          <w:numId w:val="4"/>
        </w:numPr>
        <w:rPr>
          <w:rFonts w:ascii="Arial" w:hAnsi="Arial" w:cs="Arial"/>
          <w:sz w:val="22"/>
          <w:szCs w:val="22"/>
        </w:rPr>
      </w:pPr>
      <w:r w:rsidRPr="00E55815">
        <w:rPr>
          <w:rFonts w:ascii="Arial" w:hAnsi="Arial" w:cs="Arial"/>
          <w:sz w:val="22"/>
          <w:szCs w:val="22"/>
        </w:rPr>
        <w:t>Communities dependent on seafood, gleaning and nearshore fisheries affected by pathogens, microplastics and metals.</w:t>
      </w:r>
    </w:p>
    <w:p w:rsidR="00E55815" w:rsidRPr="00E55815" w:rsidRDefault="00E55815" w:rsidP="00E55815">
      <w:pPr>
        <w:pStyle w:val="NormalWeb"/>
        <w:numPr>
          <w:ilvl w:val="0"/>
          <w:numId w:val="4"/>
        </w:numPr>
        <w:rPr>
          <w:rFonts w:ascii="Arial" w:hAnsi="Arial" w:cs="Arial"/>
          <w:sz w:val="22"/>
          <w:szCs w:val="22"/>
        </w:rPr>
      </w:pPr>
      <w:r w:rsidRPr="00E55815">
        <w:rPr>
          <w:rFonts w:ascii="Arial" w:hAnsi="Arial" w:cs="Arial"/>
          <w:sz w:val="22"/>
          <w:szCs w:val="22"/>
        </w:rPr>
        <w:t>Tourism-reliant populations in Kep, Koh Rong, Otres and Prek Treng.</w:t>
      </w:r>
    </w:p>
    <w:p w:rsidR="00E55815" w:rsidRPr="00E55815" w:rsidRDefault="00E55815" w:rsidP="00E55815">
      <w:pPr>
        <w:pStyle w:val="NormalWeb"/>
        <w:numPr>
          <w:ilvl w:val="0"/>
          <w:numId w:val="4"/>
        </w:numPr>
        <w:rPr>
          <w:rFonts w:ascii="Arial" w:hAnsi="Arial" w:cs="Arial"/>
          <w:sz w:val="22"/>
          <w:szCs w:val="22"/>
        </w:rPr>
      </w:pPr>
      <w:r w:rsidRPr="00E55815">
        <w:rPr>
          <w:rFonts w:ascii="Arial" w:hAnsi="Arial" w:cs="Arial"/>
          <w:sz w:val="22"/>
          <w:szCs w:val="22"/>
        </w:rPr>
        <w:t>Small-scale aquaculture farmers exposed to disease outbreaks and AMR.</w:t>
      </w:r>
    </w:p>
    <w:p w:rsidR="00E54221" w:rsidRPr="00E55815" w:rsidRDefault="00E55815" w:rsidP="00E55815">
      <w:pPr>
        <w:pStyle w:val="NormalWeb"/>
        <w:numPr>
          <w:ilvl w:val="0"/>
          <w:numId w:val="4"/>
        </w:numPr>
        <w:rPr>
          <w:rFonts w:ascii="Arial" w:hAnsi="Arial" w:cs="Arial"/>
          <w:sz w:val="22"/>
          <w:szCs w:val="22"/>
        </w:rPr>
      </w:pPr>
      <w:r w:rsidRPr="00E55815">
        <w:rPr>
          <w:rFonts w:ascii="Arial" w:hAnsi="Arial" w:cs="Arial"/>
          <w:sz w:val="22"/>
          <w:szCs w:val="22"/>
        </w:rPr>
        <w:t>Children, elderly and immunocompromised people highly sensitive to microbial and chemical hazards.</w:t>
      </w:r>
    </w:p>
    <w:p w:rsidR="004F75B1" w:rsidRPr="006832DA" w:rsidRDefault="00AE5345" w:rsidP="001F57DB">
      <w:pPr>
        <w:pStyle w:val="Heading3"/>
        <w:adjustRightInd w:val="0"/>
        <w:snapToGrid w:val="0"/>
        <w:spacing w:before="240" w:after="240"/>
        <w:rPr>
          <w:rFonts w:ascii="Arial" w:hAnsi="Arial" w:cs="Arial"/>
          <w:b/>
          <w:bCs/>
        </w:rPr>
      </w:pPr>
      <w:bookmarkStart w:id="24" w:name="_Toc217231853"/>
      <w:r w:rsidRPr="003D13CD">
        <w:rPr>
          <w:rFonts w:ascii="Arial" w:hAnsi="Arial" w:cs="Arial"/>
          <w:b/>
          <w:bCs/>
        </w:rPr>
        <w:t>3.3.4. Interactions: Current Management and Institutions</w:t>
      </w:r>
      <w:bookmarkEnd w:id="24"/>
    </w:p>
    <w:p w:rsidR="00B356F2" w:rsidRPr="006832DA" w:rsidRDefault="00B356F2" w:rsidP="006832DA">
      <w:pPr>
        <w:pStyle w:val="Heading4"/>
        <w:spacing w:before="240" w:after="120"/>
        <w:rPr>
          <w:rFonts w:ascii="Arial" w:hAnsi="Arial" w:cs="Arial"/>
          <w:b/>
          <w:bCs/>
          <w:i w:val="0"/>
          <w:iCs w:val="0"/>
          <w:sz w:val="22"/>
          <w:szCs w:val="22"/>
        </w:rPr>
      </w:pPr>
      <w:r w:rsidRPr="006832DA">
        <w:rPr>
          <w:rFonts w:ascii="Arial" w:hAnsi="Arial" w:cs="Arial"/>
          <w:b/>
          <w:bCs/>
          <w:i w:val="0"/>
          <w:iCs w:val="0"/>
          <w:sz w:val="22"/>
          <w:szCs w:val="22"/>
        </w:rPr>
        <w:t>3.3.4.1 Law and Policy</w:t>
      </w:r>
    </w:p>
    <w:p w:rsidR="00B356F2" w:rsidRPr="003D13CD" w:rsidRDefault="00B356F2" w:rsidP="00AE2C90">
      <w:pPr>
        <w:pStyle w:val="NormalWeb"/>
        <w:jc w:val="both"/>
        <w:rPr>
          <w:rFonts w:ascii="Arial" w:hAnsi="Arial" w:cs="Arial"/>
          <w:sz w:val="22"/>
          <w:szCs w:val="22"/>
        </w:rPr>
      </w:pPr>
      <w:r w:rsidRPr="003D13CD">
        <w:rPr>
          <w:rFonts w:ascii="Arial" w:hAnsi="Arial" w:cs="Arial"/>
          <w:sz w:val="22"/>
          <w:szCs w:val="22"/>
        </w:rPr>
        <w:t xml:space="preserve">Cambodia’s pollution management framework is now anchored in the </w:t>
      </w:r>
      <w:r w:rsidRPr="003D13CD">
        <w:rPr>
          <w:rStyle w:val="Strong"/>
          <w:rFonts w:ascii="Arial" w:eastAsiaTheme="majorEastAsia" w:hAnsi="Arial" w:cs="Arial"/>
          <w:sz w:val="22"/>
          <w:szCs w:val="22"/>
        </w:rPr>
        <w:t>Code on Environment and Natural Resource (2023)</w:t>
      </w:r>
      <w:r w:rsidRPr="003D13CD">
        <w:rPr>
          <w:rFonts w:ascii="Arial" w:hAnsi="Arial" w:cs="Arial"/>
          <w:sz w:val="22"/>
          <w:szCs w:val="22"/>
        </w:rPr>
        <w:t xml:space="preserve">, which consolidates earlier provisions and mandates environmental impact assessment, permitting and pollution control. This is </w:t>
      </w:r>
      <w:r w:rsidR="00FC238F" w:rsidRPr="003D13CD">
        <w:rPr>
          <w:rFonts w:ascii="Arial" w:hAnsi="Arial" w:cs="Arial"/>
          <w:sz w:val="22"/>
          <w:szCs w:val="22"/>
        </w:rPr>
        <w:t>operationalized</w:t>
      </w:r>
      <w:r w:rsidRPr="003D13CD">
        <w:rPr>
          <w:rFonts w:ascii="Arial" w:hAnsi="Arial" w:cs="Arial"/>
          <w:sz w:val="22"/>
          <w:szCs w:val="22"/>
        </w:rPr>
        <w:t xml:space="preserve"> through key sub-decrees on </w:t>
      </w:r>
      <w:r w:rsidRPr="003D13CD">
        <w:rPr>
          <w:rStyle w:val="Strong"/>
          <w:rFonts w:ascii="Arial" w:eastAsiaTheme="majorEastAsia" w:hAnsi="Arial" w:cs="Arial"/>
          <w:sz w:val="22"/>
          <w:szCs w:val="22"/>
        </w:rPr>
        <w:t>Water Pollution Control (No. 27/1999)</w:t>
      </w:r>
      <w:r w:rsidRPr="003D13CD">
        <w:rPr>
          <w:rFonts w:ascii="Arial" w:hAnsi="Arial" w:cs="Arial"/>
          <w:sz w:val="22"/>
          <w:szCs w:val="22"/>
        </w:rPr>
        <w:t xml:space="preserve"> and </w:t>
      </w:r>
      <w:r w:rsidRPr="003D13CD">
        <w:rPr>
          <w:rStyle w:val="Strong"/>
          <w:rFonts w:ascii="Arial" w:eastAsiaTheme="majorEastAsia" w:hAnsi="Arial" w:cs="Arial"/>
          <w:sz w:val="22"/>
          <w:szCs w:val="22"/>
        </w:rPr>
        <w:t>Solid Waste Management (No. 113/2015)</w:t>
      </w:r>
      <w:r w:rsidRPr="003D13CD">
        <w:rPr>
          <w:rFonts w:ascii="Arial" w:hAnsi="Arial" w:cs="Arial"/>
          <w:sz w:val="22"/>
          <w:szCs w:val="22"/>
        </w:rPr>
        <w:t xml:space="preserve">, which define discharge standards, licensing requirements and basic obligations for waste generators. More recent policies—the </w:t>
      </w:r>
      <w:r w:rsidRPr="003D13CD">
        <w:rPr>
          <w:rStyle w:val="Strong"/>
          <w:rFonts w:ascii="Arial" w:eastAsiaTheme="majorEastAsia" w:hAnsi="Arial" w:cs="Arial"/>
          <w:sz w:val="22"/>
          <w:szCs w:val="22"/>
        </w:rPr>
        <w:t>National Policy on Waste Management (2018)</w:t>
      </w:r>
      <w:r w:rsidRPr="003D13CD">
        <w:rPr>
          <w:rFonts w:ascii="Arial" w:hAnsi="Arial" w:cs="Arial"/>
          <w:sz w:val="22"/>
          <w:szCs w:val="22"/>
        </w:rPr>
        <w:t xml:space="preserve">, the </w:t>
      </w:r>
      <w:r w:rsidRPr="003D13CD">
        <w:rPr>
          <w:rStyle w:val="Strong"/>
          <w:rFonts w:ascii="Arial" w:eastAsiaTheme="majorEastAsia" w:hAnsi="Arial" w:cs="Arial"/>
          <w:sz w:val="22"/>
          <w:szCs w:val="22"/>
        </w:rPr>
        <w:t>National Action Plan for Marine Plastic Waste Management 2023–2030</w:t>
      </w:r>
      <w:r w:rsidRPr="003D13CD">
        <w:rPr>
          <w:rFonts w:ascii="Arial" w:hAnsi="Arial" w:cs="Arial"/>
          <w:sz w:val="22"/>
          <w:szCs w:val="22"/>
        </w:rPr>
        <w:t xml:space="preserve">, and the </w:t>
      </w:r>
      <w:r w:rsidRPr="003D13CD">
        <w:rPr>
          <w:rStyle w:val="Strong"/>
          <w:rFonts w:ascii="Arial" w:eastAsiaTheme="majorEastAsia" w:hAnsi="Arial" w:cs="Arial"/>
          <w:sz w:val="22"/>
          <w:szCs w:val="22"/>
        </w:rPr>
        <w:t>Integrated Coastal Management (ICM) Strategy 2022–2030</w:t>
      </w:r>
      <w:r w:rsidRPr="003D13CD">
        <w:rPr>
          <w:rFonts w:ascii="Arial" w:hAnsi="Arial" w:cs="Arial"/>
          <w:sz w:val="22"/>
          <w:szCs w:val="22"/>
        </w:rPr>
        <w:t xml:space="preserve">—extend this framework to municipal waste, marine litter and integrated coastal planning, with coordination mandated to the </w:t>
      </w:r>
      <w:r w:rsidRPr="003D13CD">
        <w:rPr>
          <w:rStyle w:val="Strong"/>
          <w:rFonts w:ascii="Arial" w:eastAsiaTheme="majorEastAsia" w:hAnsi="Arial" w:cs="Arial"/>
          <w:sz w:val="22"/>
          <w:szCs w:val="22"/>
        </w:rPr>
        <w:t>National Committee for Coastal Management and Development (NCCMD)</w:t>
      </w:r>
      <w:r w:rsidRPr="003D13CD">
        <w:rPr>
          <w:rFonts w:ascii="Arial" w:hAnsi="Arial" w:cs="Arial"/>
          <w:sz w:val="22"/>
          <w:szCs w:val="22"/>
        </w:rPr>
        <w:t xml:space="preserve"> (NCCMD 2022).</w:t>
      </w:r>
    </w:p>
    <w:p w:rsidR="00B356F2" w:rsidRPr="006832DA" w:rsidRDefault="00B356F2" w:rsidP="006832DA">
      <w:pPr>
        <w:pStyle w:val="Heading4"/>
        <w:spacing w:before="240" w:after="120"/>
        <w:rPr>
          <w:rFonts w:ascii="Arial" w:hAnsi="Arial" w:cs="Arial"/>
          <w:b/>
          <w:bCs/>
          <w:i w:val="0"/>
          <w:iCs w:val="0"/>
          <w:sz w:val="22"/>
          <w:szCs w:val="22"/>
        </w:rPr>
      </w:pPr>
      <w:r w:rsidRPr="006832DA">
        <w:rPr>
          <w:rFonts w:ascii="Arial" w:hAnsi="Arial" w:cs="Arial"/>
          <w:b/>
          <w:bCs/>
          <w:i w:val="0"/>
          <w:iCs w:val="0"/>
          <w:sz w:val="22"/>
          <w:szCs w:val="22"/>
        </w:rPr>
        <w:t>3.3.4.2 Institutions</w:t>
      </w:r>
    </w:p>
    <w:p w:rsidR="00B356F2" w:rsidRPr="003D13CD" w:rsidRDefault="00B356F2" w:rsidP="00AE2C90">
      <w:pPr>
        <w:pStyle w:val="NormalWeb"/>
        <w:jc w:val="both"/>
        <w:rPr>
          <w:rFonts w:ascii="Arial" w:hAnsi="Arial" w:cs="Arial"/>
          <w:sz w:val="22"/>
          <w:szCs w:val="22"/>
        </w:rPr>
      </w:pPr>
      <w:r w:rsidRPr="003D13CD">
        <w:rPr>
          <w:rFonts w:ascii="Arial" w:hAnsi="Arial" w:cs="Arial"/>
          <w:sz w:val="22"/>
          <w:szCs w:val="22"/>
        </w:rPr>
        <w:t xml:space="preserve">Pollution monitoring and enforcement are led by the </w:t>
      </w:r>
      <w:r w:rsidRPr="003D13CD">
        <w:rPr>
          <w:rStyle w:val="Strong"/>
          <w:rFonts w:ascii="Arial" w:eastAsiaTheme="majorEastAsia" w:hAnsi="Arial" w:cs="Arial"/>
          <w:sz w:val="22"/>
          <w:szCs w:val="22"/>
        </w:rPr>
        <w:t>Ministry of Environment (MoE)</w:t>
      </w:r>
      <w:r w:rsidRPr="003D13CD">
        <w:rPr>
          <w:rFonts w:ascii="Arial" w:hAnsi="Arial" w:cs="Arial"/>
          <w:sz w:val="22"/>
          <w:szCs w:val="22"/>
        </w:rPr>
        <w:t xml:space="preserve"> through its Department of Pollution Control and the </w:t>
      </w:r>
      <w:r w:rsidRPr="003D13CD">
        <w:rPr>
          <w:rStyle w:val="Strong"/>
          <w:rFonts w:ascii="Arial" w:eastAsiaTheme="majorEastAsia" w:hAnsi="Arial" w:cs="Arial"/>
          <w:sz w:val="22"/>
          <w:szCs w:val="22"/>
        </w:rPr>
        <w:t>Coastal Water Quality Monitoring Network</w:t>
      </w:r>
      <w:r w:rsidRPr="003D13CD">
        <w:rPr>
          <w:rFonts w:ascii="Arial" w:hAnsi="Arial" w:cs="Arial"/>
          <w:sz w:val="22"/>
          <w:szCs w:val="22"/>
        </w:rPr>
        <w:t xml:space="preserve">, with technical support from the </w:t>
      </w:r>
      <w:r w:rsidRPr="003D13CD">
        <w:rPr>
          <w:rStyle w:val="Strong"/>
          <w:rFonts w:ascii="Arial" w:eastAsiaTheme="majorEastAsia" w:hAnsi="Arial" w:cs="Arial"/>
          <w:sz w:val="22"/>
          <w:szCs w:val="22"/>
        </w:rPr>
        <w:t>Fisheries Administration (FiA)</w:t>
      </w:r>
      <w:r w:rsidRPr="003D13CD">
        <w:rPr>
          <w:rFonts w:ascii="Arial" w:hAnsi="Arial" w:cs="Arial"/>
          <w:sz w:val="22"/>
          <w:szCs w:val="22"/>
        </w:rPr>
        <w:t xml:space="preserve">, provincial departments and local universities. </w:t>
      </w:r>
      <w:r w:rsidR="00AE2C90" w:rsidRPr="003D13CD">
        <w:rPr>
          <w:rFonts w:ascii="Arial" w:hAnsi="Arial" w:cs="Arial"/>
          <w:sz w:val="22"/>
          <w:szCs w:val="22"/>
        </w:rPr>
        <w:t xml:space="preserve"> MoE’s </w:t>
      </w:r>
      <w:r w:rsidR="00AE2C90" w:rsidRPr="00AB2ACF">
        <w:rPr>
          <w:rFonts w:ascii="Arial" w:hAnsi="Arial" w:cs="Arial"/>
          <w:b/>
          <w:bCs/>
          <w:sz w:val="22"/>
          <w:szCs w:val="22"/>
        </w:rPr>
        <w:t>Department of Pollution Control</w:t>
      </w:r>
      <w:r w:rsidR="00AE2C90" w:rsidRPr="003D13CD">
        <w:rPr>
          <w:rFonts w:ascii="Arial" w:hAnsi="Arial" w:cs="Arial"/>
          <w:sz w:val="22"/>
          <w:szCs w:val="22"/>
        </w:rPr>
        <w:t xml:space="preserve"> and its </w:t>
      </w:r>
      <w:r w:rsidR="00AE2C90" w:rsidRPr="00AB2ACF">
        <w:rPr>
          <w:rFonts w:ascii="Arial" w:hAnsi="Arial" w:cs="Arial"/>
          <w:b/>
          <w:bCs/>
          <w:sz w:val="22"/>
          <w:szCs w:val="22"/>
        </w:rPr>
        <w:t>Coastal Water Quality Monitoring Network</w:t>
      </w:r>
      <w:r w:rsidR="00AE2C90" w:rsidRPr="003D13CD">
        <w:rPr>
          <w:rFonts w:ascii="Arial" w:hAnsi="Arial" w:cs="Arial"/>
          <w:sz w:val="22"/>
          <w:szCs w:val="22"/>
        </w:rPr>
        <w:t xml:space="preserve"> lead national monitoring and compliance inspections. </w:t>
      </w:r>
      <w:r w:rsidRPr="003D13CD">
        <w:rPr>
          <w:rFonts w:ascii="Arial" w:hAnsi="Arial" w:cs="Arial"/>
          <w:sz w:val="22"/>
          <w:szCs w:val="22"/>
        </w:rPr>
        <w:t xml:space="preserve">Routine coastal monitoring has been in place since about </w:t>
      </w:r>
      <w:r w:rsidRPr="003D13CD">
        <w:rPr>
          <w:rStyle w:val="Strong"/>
          <w:rFonts w:ascii="Arial" w:eastAsiaTheme="majorEastAsia" w:hAnsi="Arial" w:cs="Arial"/>
          <w:sz w:val="22"/>
          <w:szCs w:val="22"/>
        </w:rPr>
        <w:t>2016</w:t>
      </w:r>
      <w:r w:rsidRPr="003D13CD">
        <w:rPr>
          <w:rFonts w:ascii="Arial" w:hAnsi="Arial" w:cs="Arial"/>
          <w:sz w:val="22"/>
          <w:szCs w:val="22"/>
        </w:rPr>
        <w:t xml:space="preserve"> at roughly </w:t>
      </w:r>
      <w:r w:rsidRPr="003D13CD">
        <w:rPr>
          <w:rStyle w:val="Strong"/>
          <w:rFonts w:ascii="Arial" w:eastAsiaTheme="majorEastAsia" w:hAnsi="Arial" w:cs="Arial"/>
          <w:sz w:val="22"/>
          <w:szCs w:val="22"/>
        </w:rPr>
        <w:t>12 stations</w:t>
      </w:r>
      <w:r w:rsidRPr="003D13CD">
        <w:rPr>
          <w:rFonts w:ascii="Arial" w:hAnsi="Arial" w:cs="Arial"/>
          <w:sz w:val="22"/>
          <w:szCs w:val="22"/>
        </w:rPr>
        <w:t xml:space="preserve"> across the four coastal provinces, complemented by river monitoring at stations such as CPP, CTK and Chroy Changva. Core parameters include pH, DO, BOD, COD, NH</w:t>
      </w:r>
      <w:r w:rsidRPr="003D13CD">
        <w:rPr>
          <w:rFonts w:ascii="Cambria Math" w:hAnsi="Cambria Math" w:cs="Cambria Math"/>
          <w:sz w:val="22"/>
          <w:szCs w:val="22"/>
        </w:rPr>
        <w:t>₃</w:t>
      </w:r>
      <w:r w:rsidRPr="003D13CD">
        <w:rPr>
          <w:rFonts w:ascii="Arial" w:hAnsi="Arial" w:cs="Arial"/>
          <w:sz w:val="22"/>
          <w:szCs w:val="22"/>
        </w:rPr>
        <w:t>-N, NO</w:t>
      </w:r>
      <w:r w:rsidRPr="003D13CD">
        <w:rPr>
          <w:rFonts w:ascii="Cambria Math" w:hAnsi="Cambria Math" w:cs="Cambria Math"/>
          <w:sz w:val="22"/>
          <w:szCs w:val="22"/>
        </w:rPr>
        <w:t>₃⁻</w:t>
      </w:r>
      <w:r w:rsidRPr="003D13CD">
        <w:rPr>
          <w:rFonts w:ascii="Arial" w:hAnsi="Arial" w:cs="Arial"/>
          <w:sz w:val="22"/>
          <w:szCs w:val="22"/>
        </w:rPr>
        <w:t>, PO</w:t>
      </w:r>
      <w:r w:rsidRPr="003D13CD">
        <w:rPr>
          <w:rFonts w:ascii="Cambria Math" w:hAnsi="Cambria Math" w:cs="Cambria Math"/>
          <w:sz w:val="22"/>
          <w:szCs w:val="22"/>
        </w:rPr>
        <w:t>₄</w:t>
      </w:r>
      <w:r w:rsidRPr="003D13CD">
        <w:rPr>
          <w:rFonts w:ascii="Arial" w:hAnsi="Arial" w:cs="Arial"/>
          <w:sz w:val="22"/>
          <w:szCs w:val="22"/>
        </w:rPr>
        <w:t>³</w:t>
      </w:r>
      <w:r w:rsidRPr="003D13CD">
        <w:rPr>
          <w:rFonts w:ascii="Cambria Math" w:hAnsi="Cambria Math" w:cs="Cambria Math"/>
          <w:sz w:val="22"/>
          <w:szCs w:val="22"/>
        </w:rPr>
        <w:t>⁻</w:t>
      </w:r>
      <w:r w:rsidRPr="003D13CD">
        <w:rPr>
          <w:rFonts w:ascii="Arial" w:hAnsi="Arial" w:cs="Arial"/>
          <w:sz w:val="22"/>
          <w:szCs w:val="22"/>
        </w:rPr>
        <w:t>, oil and grease, and coliform bacteria (MoE 2023).</w:t>
      </w:r>
    </w:p>
    <w:p w:rsidR="00B356F2" w:rsidRPr="003D13CD" w:rsidRDefault="00B356F2" w:rsidP="00AE2C90">
      <w:pPr>
        <w:pStyle w:val="NormalWeb"/>
        <w:jc w:val="both"/>
        <w:rPr>
          <w:rFonts w:ascii="Arial" w:hAnsi="Arial" w:cs="Arial"/>
          <w:sz w:val="22"/>
          <w:szCs w:val="22"/>
        </w:rPr>
      </w:pPr>
      <w:r w:rsidRPr="003D13CD">
        <w:rPr>
          <w:rFonts w:ascii="Arial" w:hAnsi="Arial" w:cs="Arial"/>
          <w:sz w:val="22"/>
          <w:szCs w:val="22"/>
        </w:rPr>
        <w:t xml:space="preserve">FiA plays a critical role in addressing aquaculture effluent and coastal habitat degradation, but regulatory reach remains constrained. Cage aquaculture continues to expand in Kampot, Kep, and Koh Kong without routine nutrient discharge monitoring, contributing to eutrophication risks in transboundary estuaries such as </w:t>
      </w:r>
      <w:r w:rsidRPr="001F57DB">
        <w:rPr>
          <w:rFonts w:ascii="Arial" w:hAnsi="Arial" w:cs="Arial"/>
          <w:b/>
          <w:bCs/>
          <w:sz w:val="22"/>
          <w:szCs w:val="22"/>
        </w:rPr>
        <w:t>Ha Tien–Kep</w:t>
      </w:r>
      <w:r w:rsidRPr="003D13CD">
        <w:rPr>
          <w:rFonts w:ascii="Arial" w:hAnsi="Arial" w:cs="Arial"/>
          <w:sz w:val="22"/>
          <w:szCs w:val="22"/>
        </w:rPr>
        <w:t xml:space="preserve"> and </w:t>
      </w:r>
      <w:r w:rsidRPr="001F57DB">
        <w:rPr>
          <w:rFonts w:ascii="Arial" w:hAnsi="Arial" w:cs="Arial"/>
          <w:b/>
          <w:bCs/>
          <w:sz w:val="22"/>
          <w:szCs w:val="22"/>
        </w:rPr>
        <w:t>Koh Kong–Trat</w:t>
      </w:r>
      <w:r w:rsidRPr="003D13CD">
        <w:rPr>
          <w:rFonts w:ascii="Arial" w:hAnsi="Arial" w:cs="Arial"/>
          <w:sz w:val="22"/>
          <w:szCs w:val="22"/>
        </w:rPr>
        <w:t>.</w:t>
      </w:r>
      <w:r w:rsidR="00F02A0D">
        <w:rPr>
          <w:rFonts w:ascii="Arial" w:hAnsi="Arial" w:cs="Arial"/>
          <w:sz w:val="22"/>
          <w:szCs w:val="22"/>
        </w:rPr>
        <w:t xml:space="preserve"> </w:t>
      </w:r>
      <w:r w:rsidRPr="003D13CD">
        <w:rPr>
          <w:rFonts w:ascii="Arial" w:hAnsi="Arial" w:cs="Arial"/>
          <w:sz w:val="22"/>
          <w:szCs w:val="22"/>
        </w:rPr>
        <w:t xml:space="preserve">MPWT oversees ports and navigational safety, including port-reception facilities (PRFs) at PAS and PPAP. </w:t>
      </w:r>
    </w:p>
    <w:p w:rsidR="00B356F2" w:rsidRPr="006832DA" w:rsidRDefault="00B356F2" w:rsidP="006832DA">
      <w:pPr>
        <w:pStyle w:val="Heading4"/>
        <w:spacing w:before="240" w:after="120"/>
        <w:rPr>
          <w:rFonts w:ascii="Arial" w:hAnsi="Arial" w:cs="Arial"/>
          <w:b/>
          <w:bCs/>
          <w:i w:val="0"/>
          <w:iCs w:val="0"/>
          <w:sz w:val="22"/>
          <w:szCs w:val="22"/>
        </w:rPr>
      </w:pPr>
      <w:r w:rsidRPr="006832DA">
        <w:rPr>
          <w:rFonts w:ascii="Arial" w:hAnsi="Arial" w:cs="Arial"/>
          <w:b/>
          <w:bCs/>
          <w:i w:val="0"/>
          <w:iCs w:val="0"/>
          <w:sz w:val="22"/>
          <w:szCs w:val="22"/>
        </w:rPr>
        <w:t>3.3.4.3 Regional and Global Cooperation</w:t>
      </w:r>
    </w:p>
    <w:p w:rsidR="00B356F2" w:rsidRPr="003D13CD" w:rsidRDefault="00B356F2" w:rsidP="00AE2C90">
      <w:pPr>
        <w:pStyle w:val="NormalWeb"/>
        <w:jc w:val="both"/>
        <w:rPr>
          <w:rFonts w:ascii="Arial" w:hAnsi="Arial" w:cs="Arial"/>
          <w:sz w:val="22"/>
          <w:szCs w:val="22"/>
        </w:rPr>
      </w:pPr>
      <w:r w:rsidRPr="003D13CD">
        <w:rPr>
          <w:rFonts w:ascii="Arial" w:hAnsi="Arial" w:cs="Arial"/>
          <w:sz w:val="22"/>
          <w:szCs w:val="22"/>
        </w:rPr>
        <w:t xml:space="preserve">Regionally and globally, Cambodia has begun to align its domestic efforts with broader initiatives. It is a participant in the </w:t>
      </w:r>
      <w:r w:rsidRPr="003D13CD">
        <w:rPr>
          <w:rStyle w:val="Strong"/>
          <w:rFonts w:ascii="Arial" w:eastAsiaTheme="majorEastAsia" w:hAnsi="Arial" w:cs="Arial"/>
          <w:sz w:val="22"/>
          <w:szCs w:val="22"/>
        </w:rPr>
        <w:t>COBSEA Regional Action Plan on Marine Litter (2021)</w:t>
      </w:r>
      <w:r w:rsidRPr="003D13CD">
        <w:rPr>
          <w:rFonts w:ascii="Arial" w:hAnsi="Arial" w:cs="Arial"/>
          <w:sz w:val="22"/>
          <w:szCs w:val="22"/>
        </w:rPr>
        <w:t xml:space="preserve"> and the </w:t>
      </w:r>
      <w:r w:rsidRPr="003D13CD">
        <w:rPr>
          <w:rStyle w:val="Strong"/>
          <w:rFonts w:ascii="Arial" w:eastAsiaTheme="majorEastAsia" w:hAnsi="Arial" w:cs="Arial"/>
          <w:sz w:val="22"/>
          <w:szCs w:val="22"/>
        </w:rPr>
        <w:t>ASEAN Framework of Action on Marine Debris</w:t>
      </w:r>
      <w:r w:rsidRPr="003D13CD">
        <w:rPr>
          <w:rFonts w:ascii="Arial" w:hAnsi="Arial" w:cs="Arial"/>
          <w:sz w:val="22"/>
          <w:szCs w:val="22"/>
        </w:rPr>
        <w:t xml:space="preserve">, both of which support implementation of </w:t>
      </w:r>
      <w:r w:rsidRPr="003D13CD">
        <w:rPr>
          <w:rStyle w:val="Strong"/>
          <w:rFonts w:ascii="Arial" w:eastAsiaTheme="majorEastAsia" w:hAnsi="Arial" w:cs="Arial"/>
          <w:sz w:val="22"/>
          <w:szCs w:val="22"/>
        </w:rPr>
        <w:t>UNEA resolution 5/14</w:t>
      </w:r>
      <w:r w:rsidRPr="003D13CD">
        <w:rPr>
          <w:rFonts w:ascii="Arial" w:hAnsi="Arial" w:cs="Arial"/>
          <w:sz w:val="22"/>
          <w:szCs w:val="22"/>
        </w:rPr>
        <w:t xml:space="preserve"> on a global plastics treaty (COBSEA 2021). These mechanisms provide guidance on monitoring marine litter, developing extended-producer-responsibility (EPR) schemes and strengthening port-reception systems.</w:t>
      </w:r>
    </w:p>
    <w:p w:rsidR="00B356F2" w:rsidRPr="003D13CD" w:rsidRDefault="00B356F2" w:rsidP="00AE2C90">
      <w:pPr>
        <w:pStyle w:val="NormalWeb"/>
        <w:jc w:val="both"/>
        <w:rPr>
          <w:rFonts w:ascii="Arial" w:hAnsi="Arial" w:cs="Arial"/>
          <w:sz w:val="22"/>
          <w:szCs w:val="22"/>
        </w:rPr>
      </w:pPr>
      <w:r w:rsidRPr="003D13CD">
        <w:rPr>
          <w:rFonts w:ascii="Arial" w:hAnsi="Arial" w:cs="Arial"/>
          <w:sz w:val="22"/>
          <w:szCs w:val="22"/>
        </w:rPr>
        <w:t xml:space="preserve">On the ground, pilot projects such as the </w:t>
      </w:r>
      <w:r w:rsidRPr="003D13CD">
        <w:rPr>
          <w:rStyle w:val="Strong"/>
          <w:rFonts w:ascii="Arial" w:eastAsiaTheme="majorEastAsia" w:hAnsi="Arial" w:cs="Arial"/>
          <w:sz w:val="22"/>
          <w:szCs w:val="22"/>
        </w:rPr>
        <w:t>Sihanoukville Marine Litter Pilot (2022–2024)</w:t>
      </w:r>
      <w:r w:rsidRPr="003D13CD">
        <w:rPr>
          <w:rFonts w:ascii="Arial" w:hAnsi="Arial" w:cs="Arial"/>
          <w:sz w:val="22"/>
          <w:szCs w:val="22"/>
        </w:rPr>
        <w:t xml:space="preserve">—implemented by MoE with UNEP support—have tested community-based segregation, port-side waste reception and beach-cleanup models. They demonstrate that multi-stakeholder approaches (local government, tourism operators, communities) can measurably reduce beach litter and improve awareness. </w:t>
      </w:r>
    </w:p>
    <w:p w:rsidR="00B356F2" w:rsidRPr="006832DA" w:rsidRDefault="00B356F2" w:rsidP="006832DA">
      <w:pPr>
        <w:pStyle w:val="Heading3"/>
        <w:spacing w:before="240" w:after="240"/>
        <w:rPr>
          <w:rFonts w:ascii="Arial" w:hAnsi="Arial" w:cs="Arial"/>
          <w:b/>
          <w:bCs/>
        </w:rPr>
      </w:pPr>
      <w:bookmarkStart w:id="25" w:name="_Toc217231854"/>
      <w:r w:rsidRPr="003D13CD">
        <w:rPr>
          <w:rFonts w:ascii="Arial" w:hAnsi="Arial" w:cs="Arial"/>
          <w:b/>
          <w:bCs/>
        </w:rPr>
        <w:t>3.3.5 Gaps and Priority Challenges</w:t>
      </w:r>
      <w:bookmarkEnd w:id="25"/>
    </w:p>
    <w:p w:rsidR="00033A5B" w:rsidRPr="00033A5B" w:rsidRDefault="00033A5B" w:rsidP="00033A5B">
      <w:pPr>
        <w:keepNext/>
        <w:adjustRightInd w:val="0"/>
        <w:snapToGrid w:val="0"/>
        <w:spacing w:before="240" w:after="120"/>
        <w:jc w:val="both"/>
        <w:rPr>
          <w:rStyle w:val="Strong"/>
          <w:rFonts w:ascii="Arial" w:hAnsi="Arial" w:cs="Arial"/>
          <w:b w:val="0"/>
          <w:bCs w:val="0"/>
          <w:color w:val="000000" w:themeColor="text1"/>
          <w:sz w:val="22"/>
          <w:szCs w:val="22"/>
        </w:rPr>
      </w:pPr>
      <w:r w:rsidRPr="00033A5B">
        <w:rPr>
          <w:rStyle w:val="Strong"/>
          <w:rFonts w:ascii="Arial" w:hAnsi="Arial" w:cs="Arial"/>
          <w:color w:val="000000" w:themeColor="text1"/>
          <w:sz w:val="22"/>
          <w:szCs w:val="22"/>
        </w:rPr>
        <w:t>Monitoring, data and risk tools</w:t>
      </w:r>
      <w:r>
        <w:rPr>
          <w:rStyle w:val="Strong"/>
          <w:rFonts w:ascii="Arial" w:hAnsi="Arial" w:cs="Arial"/>
          <w:color w:val="000000" w:themeColor="text1"/>
          <w:sz w:val="22"/>
          <w:szCs w:val="22"/>
        </w:rPr>
        <w:t>:</w:t>
      </w:r>
      <w:r w:rsidRPr="00033A5B">
        <w:rPr>
          <w:rStyle w:val="Strong"/>
          <w:rFonts w:ascii="Arial" w:hAnsi="Arial" w:cs="Arial"/>
          <w:b w:val="0"/>
          <w:bCs w:val="0"/>
          <w:color w:val="000000" w:themeColor="text1"/>
          <w:sz w:val="22"/>
          <w:szCs w:val="22"/>
        </w:rPr>
        <w:t xml:space="preserve"> Monitoring coverage remains too sparse and uneven to support reliable RQ/WQI assessments at basin or Gulf scale, and several priority pollutants are monitored irregularly—limiting trend analysis and hotspot detection (MoE, 2023; WEPA, 2023). Data remain fragmented across agencies, with no unified national database or routine, public “environmental report card” (MoE, 2023).</w:t>
      </w:r>
    </w:p>
    <w:p w:rsidR="00033A5B" w:rsidRPr="00033A5B" w:rsidRDefault="00033A5B" w:rsidP="00033A5B">
      <w:pPr>
        <w:keepNext/>
        <w:adjustRightInd w:val="0"/>
        <w:snapToGrid w:val="0"/>
        <w:spacing w:before="240" w:after="120"/>
        <w:jc w:val="both"/>
        <w:rPr>
          <w:rStyle w:val="Strong"/>
          <w:rFonts w:ascii="Arial" w:hAnsi="Arial" w:cs="Arial"/>
          <w:b w:val="0"/>
          <w:bCs w:val="0"/>
          <w:color w:val="000000" w:themeColor="text1"/>
          <w:sz w:val="22"/>
          <w:szCs w:val="22"/>
        </w:rPr>
      </w:pPr>
      <w:r w:rsidRPr="00033A5B">
        <w:rPr>
          <w:rStyle w:val="Strong"/>
          <w:rFonts w:ascii="Arial" w:hAnsi="Arial" w:cs="Arial"/>
          <w:color w:val="000000" w:themeColor="text1"/>
          <w:sz w:val="22"/>
          <w:szCs w:val="22"/>
        </w:rPr>
        <w:t>Enforcement and compliance</w:t>
      </w:r>
      <w:r>
        <w:rPr>
          <w:rStyle w:val="Strong"/>
          <w:rFonts w:ascii="Arial" w:hAnsi="Arial" w:cs="Arial"/>
          <w:color w:val="000000" w:themeColor="text1"/>
          <w:sz w:val="22"/>
          <w:szCs w:val="22"/>
        </w:rPr>
        <w:t>:</w:t>
      </w:r>
      <w:r w:rsidRPr="00033A5B">
        <w:rPr>
          <w:rStyle w:val="Strong"/>
          <w:rFonts w:ascii="Arial" w:hAnsi="Arial" w:cs="Arial"/>
          <w:b w:val="0"/>
          <w:bCs w:val="0"/>
          <w:color w:val="000000" w:themeColor="text1"/>
          <w:sz w:val="22"/>
          <w:szCs w:val="22"/>
        </w:rPr>
        <w:t xml:space="preserve"> Industrial non-compliance remains high (≈60% of facilities), with repeated exceedances for BOD, TPH, Pb and Zn (MoE, 2023; UNDP, 2021). Permits and expansions continue even where WWTP performance is weak or absent, while informal dumping/open burning persist due to limited inspection coverage and penalties (MoE, 2023; Business Scouts for Development, 2020).</w:t>
      </w:r>
    </w:p>
    <w:p w:rsidR="00033A5B" w:rsidRPr="00033A5B" w:rsidRDefault="00033A5B" w:rsidP="00033A5B">
      <w:pPr>
        <w:keepNext/>
        <w:adjustRightInd w:val="0"/>
        <w:snapToGrid w:val="0"/>
        <w:spacing w:before="240" w:after="120"/>
        <w:jc w:val="both"/>
        <w:rPr>
          <w:rStyle w:val="Strong"/>
          <w:rFonts w:ascii="Arial" w:hAnsi="Arial" w:cs="Arial"/>
          <w:b w:val="0"/>
          <w:bCs w:val="0"/>
          <w:color w:val="000000" w:themeColor="text1"/>
          <w:sz w:val="22"/>
          <w:szCs w:val="22"/>
        </w:rPr>
      </w:pPr>
      <w:r w:rsidRPr="00033A5B">
        <w:rPr>
          <w:rStyle w:val="Strong"/>
          <w:rFonts w:ascii="Arial" w:hAnsi="Arial" w:cs="Arial"/>
          <w:color w:val="000000" w:themeColor="text1"/>
          <w:sz w:val="22"/>
          <w:szCs w:val="22"/>
        </w:rPr>
        <w:t>Infrastructure and financing</w:t>
      </w:r>
      <w:r>
        <w:rPr>
          <w:rStyle w:val="Strong"/>
          <w:rFonts w:ascii="Arial" w:hAnsi="Arial" w:cs="Arial"/>
          <w:b w:val="0"/>
          <w:bCs w:val="0"/>
          <w:color w:val="000000" w:themeColor="text1"/>
          <w:sz w:val="22"/>
          <w:szCs w:val="22"/>
        </w:rPr>
        <w:t>:</w:t>
      </w:r>
      <w:r w:rsidRPr="00033A5B">
        <w:rPr>
          <w:rStyle w:val="Strong"/>
          <w:rFonts w:ascii="Arial" w:hAnsi="Arial" w:cs="Arial"/>
          <w:b w:val="0"/>
          <w:bCs w:val="0"/>
          <w:color w:val="000000" w:themeColor="text1"/>
          <w:sz w:val="22"/>
          <w:szCs w:val="22"/>
        </w:rPr>
        <w:t xml:space="preserve"> Centralized treatment covers only ~5% of urban wastewater, so most effluent is discharged untreated (JICA, 2016; GIZ, 2020). Landfills often function as open dumps, increasing leachate and plastic leakage risks, while hazardous-waste capacity remains limited and under-financed (UNCRD, 2023; MoE, 2023).</w:t>
      </w:r>
    </w:p>
    <w:p w:rsidR="00033A5B" w:rsidRPr="00033A5B" w:rsidRDefault="00033A5B" w:rsidP="00033A5B">
      <w:pPr>
        <w:keepNext/>
        <w:adjustRightInd w:val="0"/>
        <w:snapToGrid w:val="0"/>
        <w:spacing w:before="240" w:after="120"/>
        <w:jc w:val="both"/>
        <w:rPr>
          <w:rStyle w:val="Strong"/>
          <w:rFonts w:ascii="Arial" w:hAnsi="Arial" w:cs="Arial"/>
          <w:b w:val="0"/>
          <w:bCs w:val="0"/>
          <w:color w:val="000000" w:themeColor="text1"/>
          <w:sz w:val="22"/>
          <w:szCs w:val="22"/>
        </w:rPr>
      </w:pPr>
      <w:r w:rsidRPr="00033A5B">
        <w:rPr>
          <w:rStyle w:val="Strong"/>
          <w:rFonts w:ascii="Arial" w:hAnsi="Arial" w:cs="Arial"/>
          <w:color w:val="000000" w:themeColor="text1"/>
          <w:sz w:val="22"/>
          <w:szCs w:val="22"/>
        </w:rPr>
        <w:t>Sector integration and land/sea planning</w:t>
      </w:r>
      <w:r>
        <w:rPr>
          <w:rStyle w:val="Strong"/>
          <w:rFonts w:ascii="Arial" w:hAnsi="Arial" w:cs="Arial"/>
          <w:color w:val="000000" w:themeColor="text1"/>
          <w:sz w:val="22"/>
          <w:szCs w:val="22"/>
        </w:rPr>
        <w:t xml:space="preserve">: </w:t>
      </w:r>
      <w:r w:rsidRPr="00033A5B">
        <w:rPr>
          <w:rStyle w:val="Strong"/>
          <w:rFonts w:ascii="Arial" w:hAnsi="Arial" w:cs="Arial"/>
          <w:b w:val="0"/>
          <w:bCs w:val="0"/>
          <w:color w:val="000000" w:themeColor="text1"/>
          <w:sz w:val="22"/>
          <w:szCs w:val="22"/>
        </w:rPr>
        <w:t>Sector plans rarely include pollution-load or nutrient targets, and spatial planning does not consistently apply carrying-capacity or RQ thresholds when siting/expanding aquaculture, ports, or waste facilities—raising cumulative impacts in sensitive coastal zones (MoE, 2023; WEPA, 2023).</w:t>
      </w:r>
    </w:p>
    <w:p w:rsidR="00033A5B" w:rsidRPr="00033A5B" w:rsidRDefault="00033A5B" w:rsidP="00033A5B">
      <w:pPr>
        <w:keepNext/>
        <w:adjustRightInd w:val="0"/>
        <w:snapToGrid w:val="0"/>
        <w:spacing w:before="240" w:after="120"/>
        <w:jc w:val="both"/>
        <w:rPr>
          <w:rStyle w:val="Strong"/>
          <w:rFonts w:ascii="Arial" w:hAnsi="Arial" w:cs="Arial"/>
          <w:b w:val="0"/>
          <w:bCs w:val="0"/>
          <w:color w:val="000000" w:themeColor="text1"/>
          <w:sz w:val="22"/>
          <w:szCs w:val="22"/>
        </w:rPr>
      </w:pPr>
      <w:r w:rsidRPr="00033A5B">
        <w:rPr>
          <w:rStyle w:val="Strong"/>
          <w:rFonts w:ascii="Arial" w:hAnsi="Arial" w:cs="Arial"/>
          <w:color w:val="000000" w:themeColor="text1"/>
          <w:sz w:val="22"/>
          <w:szCs w:val="22"/>
        </w:rPr>
        <w:t>Social and equity dimensions</w:t>
      </w:r>
      <w:r w:rsidR="006D1C44">
        <w:rPr>
          <w:rStyle w:val="Strong"/>
          <w:rFonts w:ascii="Arial" w:hAnsi="Arial" w:cs="Arial"/>
          <w:color w:val="000000" w:themeColor="text1"/>
          <w:sz w:val="22"/>
          <w:szCs w:val="22"/>
        </w:rPr>
        <w:t>:</w:t>
      </w:r>
      <w:r w:rsidRPr="00033A5B">
        <w:rPr>
          <w:rStyle w:val="Strong"/>
          <w:rFonts w:ascii="Arial" w:hAnsi="Arial" w:cs="Arial"/>
          <w:b w:val="0"/>
          <w:bCs w:val="0"/>
          <w:color w:val="000000" w:themeColor="text1"/>
          <w:sz w:val="22"/>
          <w:szCs w:val="22"/>
        </w:rPr>
        <w:t xml:space="preserve"> Canal-side communities, fishers/gleaners, and tourism workers face disproportionate exposure and livelihood impacts; public access to monitoring results and community reporting/grievance channels remains weak (MoE, 2023).</w:t>
      </w:r>
    </w:p>
    <w:p w:rsidR="00033A5B" w:rsidRPr="007520E0" w:rsidRDefault="00033A5B" w:rsidP="00033A5B">
      <w:pPr>
        <w:keepNext/>
        <w:adjustRightInd w:val="0"/>
        <w:snapToGrid w:val="0"/>
        <w:spacing w:before="240" w:after="120"/>
        <w:jc w:val="both"/>
        <w:rPr>
          <w:rStyle w:val="Strong"/>
          <w:rFonts w:ascii="Arial" w:hAnsi="Arial" w:cs="Arial"/>
          <w:b w:val="0"/>
          <w:bCs w:val="0"/>
          <w:color w:val="000000" w:themeColor="text1"/>
          <w:sz w:val="22"/>
          <w:szCs w:val="22"/>
        </w:rPr>
      </w:pPr>
      <w:r w:rsidRPr="00033A5B">
        <w:rPr>
          <w:rStyle w:val="Strong"/>
          <w:rFonts w:ascii="Arial" w:hAnsi="Arial" w:cs="Arial"/>
          <w:color w:val="000000" w:themeColor="text1"/>
          <w:sz w:val="22"/>
          <w:szCs w:val="22"/>
        </w:rPr>
        <w:t>Transboundary and emerging issues</w:t>
      </w:r>
      <w:r w:rsidR="006D1C44">
        <w:rPr>
          <w:rStyle w:val="Strong"/>
          <w:rFonts w:ascii="Arial" w:hAnsi="Arial" w:cs="Arial"/>
          <w:color w:val="000000" w:themeColor="text1"/>
          <w:sz w:val="22"/>
          <w:szCs w:val="22"/>
        </w:rPr>
        <w:t>:</w:t>
      </w:r>
      <w:r w:rsidRPr="00033A5B">
        <w:rPr>
          <w:rStyle w:val="Strong"/>
          <w:rFonts w:ascii="Arial" w:hAnsi="Arial" w:cs="Arial"/>
          <w:b w:val="0"/>
          <w:bCs w:val="0"/>
          <w:color w:val="000000" w:themeColor="text1"/>
          <w:sz w:val="22"/>
          <w:szCs w:val="22"/>
        </w:rPr>
        <w:t xml:space="preserve"> Joint monitoring with Thailand and Viet Nam for marine litter, contamination and hypoxia remains limited (WEPA, 2023). Emerging pollutants (antibiotics/AMR markers, microplastics) are not yet fully embedded in standards or routine monitoring, leaving risk blind spots (MoE, 2023; ODC, 2023).</w:t>
      </w:r>
    </w:p>
    <w:p w:rsidR="00391BA7" w:rsidRPr="006832DA" w:rsidRDefault="00391BA7" w:rsidP="006832DA">
      <w:pPr>
        <w:pStyle w:val="Heading3"/>
        <w:spacing w:before="240" w:after="240"/>
        <w:rPr>
          <w:rFonts w:ascii="Arial" w:hAnsi="Arial" w:cs="Arial"/>
          <w:b/>
          <w:bCs/>
        </w:rPr>
      </w:pPr>
      <w:bookmarkStart w:id="26" w:name="_Toc217231855"/>
      <w:r w:rsidRPr="007B1033">
        <w:rPr>
          <w:rFonts w:ascii="Arial" w:hAnsi="Arial" w:cs="Arial"/>
          <w:b/>
          <w:bCs/>
        </w:rPr>
        <w:t>3.3.6 Recommended Priority Actions</w:t>
      </w:r>
      <w:bookmarkEnd w:id="26"/>
    </w:p>
    <w:p w:rsidR="00391BA7" w:rsidRPr="0023243F" w:rsidRDefault="00391BA7" w:rsidP="00B94585">
      <w:pPr>
        <w:keepNext/>
        <w:adjustRightInd w:val="0"/>
        <w:snapToGrid w:val="0"/>
        <w:spacing w:before="240" w:after="120"/>
        <w:rPr>
          <w:rStyle w:val="Strong"/>
          <w:rFonts w:ascii="Arial" w:hAnsi="Arial" w:cs="Arial"/>
          <w:i/>
          <w:iCs/>
          <w:color w:val="000000" w:themeColor="text1"/>
          <w:sz w:val="22"/>
          <w:szCs w:val="22"/>
        </w:rPr>
      </w:pPr>
      <w:r w:rsidRPr="0023243F">
        <w:rPr>
          <w:rStyle w:val="Strong"/>
          <w:rFonts w:ascii="Arial" w:hAnsi="Arial" w:cs="Arial"/>
          <w:i/>
          <w:iCs/>
          <w:color w:val="000000" w:themeColor="text1"/>
          <w:sz w:val="22"/>
          <w:szCs w:val="22"/>
        </w:rPr>
        <w:t>a) Strengthen monitoring, data systems &amp; risk tools</w:t>
      </w:r>
    </w:p>
    <w:p w:rsidR="00AC1240" w:rsidRPr="0023243F" w:rsidRDefault="00AC1240" w:rsidP="00AC1240">
      <w:pPr>
        <w:pStyle w:val="NormalWeb"/>
        <w:adjustRightInd w:val="0"/>
        <w:snapToGrid w:val="0"/>
        <w:spacing w:before="120" w:beforeAutospacing="0" w:after="120" w:afterAutospacing="0"/>
        <w:jc w:val="both"/>
        <w:rPr>
          <w:rFonts w:ascii="Arial" w:hAnsi="Arial" w:cs="Arial"/>
          <w:sz w:val="22"/>
          <w:szCs w:val="22"/>
        </w:rPr>
      </w:pPr>
      <w:r w:rsidRPr="0023243F">
        <w:rPr>
          <w:rFonts w:ascii="Arial" w:hAnsi="Arial" w:cs="Arial"/>
          <w:sz w:val="22"/>
          <w:szCs w:val="22"/>
        </w:rPr>
        <w:t>Cambodia should establish a unified national pollution database that integrates MoE, FiA, MRC and JICA-linked datasets, and institutionalize routine RQ/WQI scoring to track priority hotspots. Selected stations should add pesticides, microplastics and AMR markers, and Cambodia should launch joint monitoring with Thailand and Viet Nam for the Gulf of Thailand and shared estuaries.</w:t>
      </w:r>
    </w:p>
    <w:p w:rsidR="00391BA7" w:rsidRPr="0023243F" w:rsidRDefault="00391BA7" w:rsidP="003454E2">
      <w:pPr>
        <w:keepNext/>
        <w:adjustRightInd w:val="0"/>
        <w:snapToGrid w:val="0"/>
        <w:spacing w:before="240" w:after="120"/>
        <w:rPr>
          <w:rStyle w:val="Strong"/>
          <w:rFonts w:ascii="Arial" w:hAnsi="Arial" w:cs="Arial"/>
          <w:i/>
          <w:iCs/>
          <w:color w:val="000000" w:themeColor="text1"/>
          <w:sz w:val="22"/>
          <w:szCs w:val="22"/>
        </w:rPr>
      </w:pPr>
      <w:r w:rsidRPr="0023243F">
        <w:rPr>
          <w:rStyle w:val="Strong"/>
          <w:rFonts w:ascii="Arial" w:hAnsi="Arial" w:cs="Arial"/>
          <w:i/>
          <w:iCs/>
          <w:color w:val="000000" w:themeColor="text1"/>
          <w:sz w:val="22"/>
          <w:szCs w:val="22"/>
        </w:rPr>
        <w:t>b) Reduce nutrient &amp; microbial loads</w:t>
      </w:r>
    </w:p>
    <w:p w:rsidR="00AC1240" w:rsidRPr="0023243F" w:rsidRDefault="00AC1240" w:rsidP="00AC1240">
      <w:pPr>
        <w:pStyle w:val="NormalWeb"/>
        <w:adjustRightInd w:val="0"/>
        <w:snapToGrid w:val="0"/>
        <w:spacing w:before="120" w:beforeAutospacing="0" w:after="120" w:afterAutospacing="0"/>
        <w:jc w:val="both"/>
        <w:rPr>
          <w:rFonts w:ascii="Arial" w:hAnsi="Arial" w:cs="Arial"/>
          <w:sz w:val="22"/>
          <w:szCs w:val="22"/>
        </w:rPr>
      </w:pPr>
      <w:r w:rsidRPr="0023243F">
        <w:rPr>
          <w:rFonts w:ascii="Arial" w:hAnsi="Arial" w:cs="Arial"/>
          <w:sz w:val="22"/>
          <w:szCs w:val="22"/>
        </w:rPr>
        <w:t xml:space="preserve">Priority investments should accelerate sanitation and WWTP coverage in Phnom Penh and coastal towns, targeting the worst canals and outfalls first. Catchment-level nutrient management (buffer strips, fertilizer budgeting and extension support) should be implemented in key agricultural areas, while aquaculture growth should be guided by discharge standards and carrying-capacity assessments for shared </w:t>
      </w:r>
      <w:r w:rsidR="006D1C44" w:rsidRPr="0023243F">
        <w:rPr>
          <w:rFonts w:ascii="Arial" w:hAnsi="Arial" w:cs="Arial"/>
          <w:sz w:val="22"/>
          <w:szCs w:val="22"/>
        </w:rPr>
        <w:t>embayment</w:t>
      </w:r>
      <w:r w:rsidRPr="0023243F">
        <w:rPr>
          <w:rFonts w:ascii="Arial" w:hAnsi="Arial" w:cs="Arial"/>
          <w:sz w:val="22"/>
          <w:szCs w:val="22"/>
        </w:rPr>
        <w:t>.</w:t>
      </w:r>
    </w:p>
    <w:p w:rsidR="00391BA7" w:rsidRPr="0023243F" w:rsidRDefault="00391BA7" w:rsidP="003454E2">
      <w:pPr>
        <w:keepNext/>
        <w:adjustRightInd w:val="0"/>
        <w:snapToGrid w:val="0"/>
        <w:spacing w:before="240" w:after="120"/>
        <w:rPr>
          <w:rStyle w:val="Strong"/>
          <w:rFonts w:ascii="Arial" w:hAnsi="Arial" w:cs="Arial"/>
          <w:i/>
          <w:iCs/>
          <w:color w:val="000000" w:themeColor="text1"/>
          <w:sz w:val="22"/>
          <w:szCs w:val="22"/>
        </w:rPr>
      </w:pPr>
      <w:r w:rsidRPr="0023243F">
        <w:rPr>
          <w:rStyle w:val="Strong"/>
          <w:rFonts w:ascii="Arial" w:hAnsi="Arial" w:cs="Arial"/>
          <w:i/>
          <w:iCs/>
          <w:color w:val="000000" w:themeColor="text1"/>
          <w:sz w:val="22"/>
          <w:szCs w:val="22"/>
        </w:rPr>
        <w:t>c) Address solid-waste leakage &amp; marine plastics</w:t>
      </w:r>
    </w:p>
    <w:p w:rsidR="00391BA7" w:rsidRPr="0023243F" w:rsidRDefault="00AC1240" w:rsidP="00AC1240">
      <w:pPr>
        <w:pStyle w:val="NormalWeb"/>
        <w:adjustRightInd w:val="0"/>
        <w:snapToGrid w:val="0"/>
        <w:spacing w:before="120" w:beforeAutospacing="0" w:after="120" w:afterAutospacing="0"/>
        <w:jc w:val="both"/>
        <w:rPr>
          <w:rFonts w:ascii="Arial" w:hAnsi="Arial" w:cs="Arial"/>
          <w:sz w:val="22"/>
          <w:szCs w:val="22"/>
        </w:rPr>
      </w:pPr>
      <w:r w:rsidRPr="0023243F">
        <w:rPr>
          <w:rFonts w:ascii="Arial" w:hAnsi="Arial" w:cs="Arial"/>
          <w:sz w:val="22"/>
          <w:szCs w:val="22"/>
        </w:rPr>
        <w:t>Coastal waste services should expand collection coverage and upgrade open dumps toward controlled landfill operations to reduce leakage and leachate. Policy instruments should complement service improvements, including EPR for plastics, deposit-return systems and targeted measures in tourism areas</w:t>
      </w:r>
      <w:r w:rsidR="006D1C44">
        <w:rPr>
          <w:rFonts w:ascii="Arial" w:hAnsi="Arial" w:cs="Arial"/>
          <w:sz w:val="22"/>
          <w:szCs w:val="22"/>
        </w:rPr>
        <w:t xml:space="preserve">. </w:t>
      </w:r>
      <w:r w:rsidRPr="0023243F">
        <w:rPr>
          <w:rFonts w:ascii="Arial" w:hAnsi="Arial" w:cs="Arial"/>
          <w:sz w:val="22"/>
          <w:szCs w:val="22"/>
        </w:rPr>
        <w:t>Successful marine-litter pilots, including those from Sihanoukville, should be scaled nationally, alongside a Gulf of Thailand partnership harmonize monitoring and prevention actions.</w:t>
      </w:r>
    </w:p>
    <w:p w:rsidR="00391BA7" w:rsidRPr="0023243F" w:rsidRDefault="00391BA7" w:rsidP="003454E2">
      <w:pPr>
        <w:keepNext/>
        <w:adjustRightInd w:val="0"/>
        <w:snapToGrid w:val="0"/>
        <w:spacing w:before="240" w:after="120"/>
        <w:rPr>
          <w:rStyle w:val="Strong"/>
          <w:rFonts w:ascii="Arial" w:hAnsi="Arial" w:cs="Arial"/>
          <w:i/>
          <w:iCs/>
          <w:color w:val="000000" w:themeColor="text1"/>
          <w:sz w:val="22"/>
          <w:szCs w:val="22"/>
        </w:rPr>
      </w:pPr>
      <w:r w:rsidRPr="0023243F">
        <w:rPr>
          <w:rStyle w:val="Strong"/>
          <w:rFonts w:ascii="Arial" w:hAnsi="Arial" w:cs="Arial"/>
          <w:i/>
          <w:iCs/>
          <w:color w:val="000000" w:themeColor="text1"/>
          <w:sz w:val="22"/>
          <w:szCs w:val="22"/>
        </w:rPr>
        <w:t>d) Control industrial, port-related &amp; hazardous pollution</w:t>
      </w:r>
    </w:p>
    <w:p w:rsidR="00391BA7" w:rsidRPr="0023243F" w:rsidRDefault="00AC1240" w:rsidP="00AC1240">
      <w:pPr>
        <w:pStyle w:val="NormalWeb"/>
        <w:adjustRightInd w:val="0"/>
        <w:snapToGrid w:val="0"/>
        <w:spacing w:before="120" w:beforeAutospacing="0" w:after="120" w:afterAutospacing="0"/>
        <w:jc w:val="both"/>
        <w:rPr>
          <w:rFonts w:ascii="Arial" w:hAnsi="Arial" w:cs="Arial"/>
          <w:sz w:val="22"/>
          <w:szCs w:val="22"/>
        </w:rPr>
      </w:pPr>
      <w:r w:rsidRPr="0023243F">
        <w:rPr>
          <w:rFonts w:ascii="Arial" w:hAnsi="Arial" w:cs="Arial"/>
          <w:sz w:val="22"/>
          <w:szCs w:val="22"/>
        </w:rPr>
        <w:t>Compliance should be strengthened through risk-based inspections prioritizing locations where RQ&gt;1, and permit renewals should be tied to verified WWTP performance. PAS and PPAP should report annual oily-waste and hazardous-waste reception volumes to improve transparency. Hazardous-waste handling should be reinforced through available treatment capacity</w:t>
      </w:r>
      <w:r w:rsidR="006D1C44">
        <w:rPr>
          <w:rFonts w:ascii="Arial" w:hAnsi="Arial" w:cs="Arial"/>
          <w:sz w:val="22"/>
          <w:szCs w:val="22"/>
        </w:rPr>
        <w:t>.</w:t>
      </w:r>
    </w:p>
    <w:p w:rsidR="00391BA7" w:rsidRPr="0023243F" w:rsidRDefault="00391BA7" w:rsidP="003454E2">
      <w:pPr>
        <w:keepNext/>
        <w:adjustRightInd w:val="0"/>
        <w:snapToGrid w:val="0"/>
        <w:spacing w:before="240" w:after="120"/>
        <w:rPr>
          <w:rStyle w:val="Strong"/>
          <w:rFonts w:ascii="Arial" w:hAnsi="Arial" w:cs="Arial"/>
          <w:i/>
          <w:iCs/>
          <w:color w:val="000000" w:themeColor="text1"/>
          <w:sz w:val="22"/>
          <w:szCs w:val="22"/>
        </w:rPr>
      </w:pPr>
      <w:r w:rsidRPr="0023243F">
        <w:rPr>
          <w:rStyle w:val="Strong"/>
          <w:rFonts w:ascii="Arial" w:hAnsi="Arial" w:cs="Arial"/>
          <w:i/>
          <w:iCs/>
          <w:color w:val="000000" w:themeColor="text1"/>
          <w:sz w:val="22"/>
          <w:szCs w:val="22"/>
        </w:rPr>
        <w:t>e) Protect hotspots &amp; vulnerable communities</w:t>
      </w:r>
    </w:p>
    <w:p w:rsidR="00391BA7" w:rsidRPr="0023243F" w:rsidRDefault="0023243F" w:rsidP="006D1C44">
      <w:pPr>
        <w:pStyle w:val="NormalWeb"/>
        <w:adjustRightInd w:val="0"/>
        <w:snapToGrid w:val="0"/>
        <w:spacing w:before="120" w:beforeAutospacing="0" w:after="120" w:afterAutospacing="0"/>
        <w:jc w:val="both"/>
        <w:rPr>
          <w:rFonts w:ascii="Arial" w:hAnsi="Arial" w:cs="Arial"/>
          <w:sz w:val="22"/>
          <w:szCs w:val="22"/>
        </w:rPr>
      </w:pPr>
      <w:r w:rsidRPr="0023243F">
        <w:rPr>
          <w:rFonts w:ascii="Arial" w:hAnsi="Arial" w:cs="Arial"/>
          <w:sz w:val="22"/>
          <w:szCs w:val="22"/>
        </w:rPr>
        <w:t>Priority hotspots should be designated as pollution-control zones with stricter limits and targeted ecosystem restoration (mangroves, seagrass and wetlands). High-exposure communities should receive practical measures such as safer water options, shellfish/seafood advisories where relevant, and livelihood support. Cambodia should also explore a regional Gulf of Thailand “blue corridor” linking key MPAs to strengthen shared protection efforts</w:t>
      </w:r>
      <w:r w:rsidR="00391BA7" w:rsidRPr="0023243F">
        <w:rPr>
          <w:rFonts w:ascii="Arial" w:hAnsi="Arial" w:cs="Arial"/>
          <w:sz w:val="22"/>
          <w:szCs w:val="22"/>
        </w:rPr>
        <w:t>.</w:t>
      </w:r>
    </w:p>
    <w:p w:rsidR="00391BA7" w:rsidRPr="0023243F" w:rsidRDefault="00391BA7" w:rsidP="003454E2">
      <w:pPr>
        <w:keepNext/>
        <w:adjustRightInd w:val="0"/>
        <w:snapToGrid w:val="0"/>
        <w:spacing w:before="240" w:after="120"/>
        <w:rPr>
          <w:rStyle w:val="Strong"/>
          <w:rFonts w:ascii="Arial" w:hAnsi="Arial" w:cs="Arial"/>
          <w:i/>
          <w:iCs/>
          <w:color w:val="000000" w:themeColor="text1"/>
          <w:sz w:val="22"/>
          <w:szCs w:val="22"/>
        </w:rPr>
      </w:pPr>
      <w:r w:rsidRPr="0023243F">
        <w:rPr>
          <w:rStyle w:val="Strong"/>
          <w:rFonts w:ascii="Arial" w:hAnsi="Arial" w:cs="Arial"/>
          <w:i/>
          <w:iCs/>
          <w:color w:val="000000" w:themeColor="text1"/>
          <w:sz w:val="22"/>
          <w:szCs w:val="22"/>
        </w:rPr>
        <w:t>f) Governance &amp; financing</w:t>
      </w:r>
    </w:p>
    <w:p w:rsidR="00B356F2" w:rsidRDefault="0023243F" w:rsidP="0023243F">
      <w:pPr>
        <w:pStyle w:val="NormalWeb"/>
        <w:adjustRightInd w:val="0"/>
        <w:snapToGrid w:val="0"/>
        <w:spacing w:before="120" w:beforeAutospacing="0" w:after="120" w:afterAutospacing="0"/>
        <w:jc w:val="both"/>
        <w:rPr>
          <w:rFonts w:ascii="Arial" w:hAnsi="Arial" w:cs="Arial"/>
          <w:sz w:val="22"/>
          <w:szCs w:val="22"/>
        </w:rPr>
      </w:pPr>
      <w:r w:rsidRPr="0023243F">
        <w:rPr>
          <w:rFonts w:ascii="Arial" w:hAnsi="Arial" w:cs="Arial"/>
          <w:sz w:val="22"/>
          <w:szCs w:val="22"/>
        </w:rPr>
        <w:t xml:space="preserve">Mandates should be clarified and operationalized under the 2023 </w:t>
      </w:r>
      <w:r w:rsidR="006D1C44" w:rsidRPr="0023243F">
        <w:rPr>
          <w:rFonts w:ascii="Arial" w:hAnsi="Arial" w:cs="Arial"/>
          <w:sz w:val="22"/>
          <w:szCs w:val="22"/>
        </w:rPr>
        <w:t xml:space="preserve">Code </w:t>
      </w:r>
      <w:r w:rsidR="006D1C44">
        <w:rPr>
          <w:rFonts w:ascii="Arial" w:hAnsi="Arial" w:cs="Arial"/>
          <w:sz w:val="22"/>
          <w:szCs w:val="22"/>
        </w:rPr>
        <w:t xml:space="preserve">on </w:t>
      </w:r>
      <w:r w:rsidRPr="0023243F">
        <w:rPr>
          <w:rFonts w:ascii="Arial" w:hAnsi="Arial" w:cs="Arial"/>
          <w:sz w:val="22"/>
          <w:szCs w:val="22"/>
        </w:rPr>
        <w:t>Environmental</w:t>
      </w:r>
      <w:r w:rsidR="006D1C44">
        <w:rPr>
          <w:rFonts w:ascii="Arial" w:hAnsi="Arial" w:cs="Arial"/>
          <w:sz w:val="22"/>
          <w:szCs w:val="22"/>
        </w:rPr>
        <w:t xml:space="preserve"> and Natural Projection</w:t>
      </w:r>
      <w:r w:rsidRPr="0023243F">
        <w:rPr>
          <w:rFonts w:ascii="Arial" w:hAnsi="Arial" w:cs="Arial"/>
          <w:sz w:val="22"/>
          <w:szCs w:val="22"/>
        </w:rPr>
        <w:t>, supported by stronger coordination and enforcement. A dedicated coastal/marine pollution fund—combining national budgets, environmental fees and blue-economy/climate finance—would sustain monitoring, infrastructure and restoration. Regional cooperation objectives (COBSEA/ASEAN/MRC) should be embedded in national plans and NDC updates.</w:t>
      </w:r>
    </w:p>
    <w:p w:rsidR="00D81553" w:rsidRPr="003454E2" w:rsidRDefault="00D81553" w:rsidP="003454E2">
      <w:pPr>
        <w:pStyle w:val="Heading2"/>
        <w:keepNext/>
        <w:jc w:val="both"/>
        <w:rPr>
          <w:rFonts w:ascii="Arial" w:hAnsi="Arial" w:cs="Arial"/>
          <w:sz w:val="28"/>
          <w:szCs w:val="28"/>
        </w:rPr>
      </w:pPr>
      <w:bookmarkStart w:id="27" w:name="_Toc217231856"/>
      <w:r w:rsidRPr="003454E2">
        <w:rPr>
          <w:rFonts w:ascii="Arial" w:hAnsi="Arial" w:cs="Arial"/>
          <w:sz w:val="28"/>
          <w:szCs w:val="28"/>
        </w:rPr>
        <w:t>3.4 Methodology and Analysis</w:t>
      </w:r>
      <w:bookmarkEnd w:id="27"/>
    </w:p>
    <w:p w:rsidR="00D81553" w:rsidRPr="00F73D02" w:rsidRDefault="00D81553" w:rsidP="00F73D02">
      <w:pPr>
        <w:pStyle w:val="Heading3"/>
        <w:adjustRightInd w:val="0"/>
        <w:snapToGrid w:val="0"/>
        <w:spacing w:before="240" w:after="240"/>
        <w:rPr>
          <w:rFonts w:ascii="Arial" w:hAnsi="Arial" w:cs="Arial"/>
          <w:b/>
          <w:bCs/>
          <w:i/>
          <w:iCs/>
          <w:color w:val="000000" w:themeColor="text1"/>
          <w:sz w:val="22"/>
          <w:szCs w:val="22"/>
        </w:rPr>
      </w:pPr>
      <w:bookmarkStart w:id="28" w:name="_Toc217231857"/>
      <w:r w:rsidRPr="00F73D02">
        <w:rPr>
          <w:rFonts w:ascii="Arial" w:hAnsi="Arial" w:cs="Arial"/>
          <w:b/>
          <w:bCs/>
          <w:color w:val="000000" w:themeColor="text1"/>
        </w:rPr>
        <w:t>3.4.1 Overall Approach</w:t>
      </w:r>
      <w:bookmarkEnd w:id="28"/>
    </w:p>
    <w:p w:rsidR="00D81553" w:rsidRPr="00185157" w:rsidRDefault="00D81553" w:rsidP="003454E2">
      <w:pPr>
        <w:pStyle w:val="NormalWeb"/>
        <w:adjustRightInd w:val="0"/>
        <w:snapToGrid w:val="0"/>
        <w:spacing w:before="120" w:beforeAutospacing="0" w:after="120" w:afterAutospacing="0"/>
        <w:jc w:val="both"/>
        <w:rPr>
          <w:rFonts w:ascii="Arial" w:hAnsi="Arial" w:cs="Arial"/>
          <w:sz w:val="22"/>
          <w:szCs w:val="22"/>
        </w:rPr>
      </w:pPr>
      <w:r w:rsidRPr="00185157">
        <w:rPr>
          <w:rFonts w:ascii="Arial" w:hAnsi="Arial" w:cs="Arial"/>
          <w:sz w:val="22"/>
          <w:szCs w:val="22"/>
        </w:rPr>
        <w:t xml:space="preserve">The assessment of pollution in Cambodia’s coastal and riverine systems followed a structured methodology consistent with the Transboundary Diagnostic Analysis (TDA) framework. The analysis combined </w:t>
      </w:r>
      <w:r w:rsidRPr="00185157">
        <w:rPr>
          <w:rStyle w:val="Strong"/>
          <w:rFonts w:ascii="Arial" w:hAnsi="Arial" w:cs="Arial"/>
          <w:sz w:val="22"/>
          <w:szCs w:val="22"/>
        </w:rPr>
        <w:t>(i) secondary data review</w:t>
      </w:r>
      <w:r w:rsidRPr="00185157">
        <w:rPr>
          <w:rFonts w:ascii="Arial" w:hAnsi="Arial" w:cs="Arial"/>
          <w:sz w:val="22"/>
          <w:szCs w:val="22"/>
        </w:rPr>
        <w:t xml:space="preserve">, </w:t>
      </w:r>
      <w:r w:rsidRPr="00185157">
        <w:rPr>
          <w:rStyle w:val="Strong"/>
          <w:rFonts w:ascii="Arial" w:hAnsi="Arial" w:cs="Arial"/>
          <w:sz w:val="22"/>
          <w:szCs w:val="22"/>
        </w:rPr>
        <w:t>(ii) indicator-based assessment</w:t>
      </w:r>
      <w:r w:rsidRPr="00185157">
        <w:rPr>
          <w:rFonts w:ascii="Arial" w:hAnsi="Arial" w:cs="Arial"/>
          <w:sz w:val="22"/>
          <w:szCs w:val="22"/>
        </w:rPr>
        <w:t xml:space="preserve">, </w:t>
      </w:r>
      <w:r w:rsidRPr="00185157">
        <w:rPr>
          <w:rStyle w:val="Strong"/>
          <w:rFonts w:ascii="Arial" w:hAnsi="Arial" w:cs="Arial"/>
          <w:sz w:val="22"/>
          <w:szCs w:val="22"/>
        </w:rPr>
        <w:t>(iii) risk screening</w:t>
      </w:r>
      <w:r w:rsidRPr="00185157">
        <w:rPr>
          <w:rFonts w:ascii="Arial" w:hAnsi="Arial" w:cs="Arial"/>
          <w:sz w:val="22"/>
          <w:szCs w:val="22"/>
        </w:rPr>
        <w:t xml:space="preserve">, and </w:t>
      </w:r>
      <w:r w:rsidRPr="00185157">
        <w:rPr>
          <w:rStyle w:val="Strong"/>
          <w:rFonts w:ascii="Arial" w:hAnsi="Arial" w:cs="Arial"/>
          <w:sz w:val="22"/>
          <w:szCs w:val="22"/>
        </w:rPr>
        <w:t>(iv) spatial interpretation</w:t>
      </w:r>
      <w:r w:rsidRPr="00185157">
        <w:rPr>
          <w:rFonts w:ascii="Arial" w:hAnsi="Arial" w:cs="Arial"/>
          <w:sz w:val="22"/>
          <w:szCs w:val="22"/>
        </w:rPr>
        <w:t xml:space="preserve"> of pollutant pathways from land to coast and across borders.</w:t>
      </w:r>
    </w:p>
    <w:p w:rsidR="00D81553" w:rsidRPr="00F73D02" w:rsidRDefault="00F73D02" w:rsidP="00F73D02">
      <w:pPr>
        <w:pStyle w:val="Heading3"/>
        <w:adjustRightInd w:val="0"/>
        <w:snapToGrid w:val="0"/>
        <w:spacing w:before="240" w:after="240"/>
        <w:rPr>
          <w:rFonts w:ascii="Arial" w:hAnsi="Arial" w:cs="Arial"/>
          <w:b/>
          <w:bCs/>
          <w:color w:val="000000" w:themeColor="text1"/>
        </w:rPr>
      </w:pPr>
      <w:bookmarkStart w:id="29" w:name="_Toc217231858"/>
      <w:r w:rsidRPr="00F73D02">
        <w:rPr>
          <w:rFonts w:ascii="Arial" w:hAnsi="Arial" w:cs="Arial"/>
          <w:b/>
          <w:bCs/>
          <w:color w:val="000000" w:themeColor="text1"/>
        </w:rPr>
        <w:t>3.4.</w:t>
      </w:r>
      <w:r>
        <w:rPr>
          <w:rFonts w:ascii="Arial" w:hAnsi="Arial" w:cs="Arial"/>
          <w:b/>
          <w:bCs/>
          <w:color w:val="000000" w:themeColor="text1"/>
        </w:rPr>
        <w:t>2</w:t>
      </w:r>
      <w:r w:rsidRPr="00F73D02">
        <w:rPr>
          <w:rFonts w:ascii="Arial" w:hAnsi="Arial" w:cs="Arial"/>
          <w:b/>
          <w:bCs/>
          <w:color w:val="000000" w:themeColor="text1"/>
        </w:rPr>
        <w:t xml:space="preserve"> </w:t>
      </w:r>
      <w:r w:rsidR="00D81553" w:rsidRPr="00F73D02">
        <w:rPr>
          <w:rFonts w:ascii="Arial" w:hAnsi="Arial" w:cs="Arial"/>
          <w:b/>
          <w:bCs/>
          <w:color w:val="000000" w:themeColor="text1"/>
        </w:rPr>
        <w:t>Data Compilation and Validation</w:t>
      </w:r>
      <w:bookmarkEnd w:id="29"/>
    </w:p>
    <w:p w:rsidR="00D81553" w:rsidRPr="00185157" w:rsidRDefault="00D81553" w:rsidP="00F73D02">
      <w:pPr>
        <w:pStyle w:val="NormalWeb"/>
        <w:adjustRightInd w:val="0"/>
        <w:snapToGrid w:val="0"/>
        <w:spacing w:before="120" w:beforeAutospacing="0" w:after="120" w:afterAutospacing="0"/>
        <w:jc w:val="both"/>
        <w:rPr>
          <w:rFonts w:ascii="Arial" w:hAnsi="Arial" w:cs="Arial"/>
          <w:sz w:val="22"/>
          <w:szCs w:val="22"/>
        </w:rPr>
      </w:pPr>
      <w:r w:rsidRPr="00185157">
        <w:rPr>
          <w:rFonts w:ascii="Arial" w:hAnsi="Arial" w:cs="Arial"/>
          <w:sz w:val="22"/>
          <w:szCs w:val="22"/>
        </w:rPr>
        <w:t>Data were compiled from the MoE, MRC, FiA, JICA-supported surveys, WEPA country data, ADB project reports, and peer-reviewed studies.</w:t>
      </w:r>
      <w:r w:rsidR="001A2593">
        <w:rPr>
          <w:rFonts w:ascii="Arial" w:hAnsi="Arial" w:cs="Arial"/>
          <w:sz w:val="22"/>
          <w:szCs w:val="22"/>
        </w:rPr>
        <w:t xml:space="preserve"> </w:t>
      </w:r>
      <w:r w:rsidRPr="00185157">
        <w:rPr>
          <w:rFonts w:ascii="Arial" w:hAnsi="Arial" w:cs="Arial"/>
          <w:sz w:val="22"/>
          <w:szCs w:val="22"/>
        </w:rPr>
        <w:t>Key data types included:</w:t>
      </w:r>
      <w:r w:rsidR="00F73D02">
        <w:rPr>
          <w:rFonts w:ascii="Arial" w:hAnsi="Arial" w:cs="Arial"/>
          <w:sz w:val="22"/>
          <w:szCs w:val="22"/>
        </w:rPr>
        <w:t xml:space="preserve"> </w:t>
      </w:r>
      <w:r w:rsidR="00F73D02">
        <w:rPr>
          <w:rStyle w:val="Strong"/>
          <w:rFonts w:ascii="Arial" w:hAnsi="Arial" w:cs="Arial"/>
          <w:sz w:val="22"/>
          <w:szCs w:val="22"/>
        </w:rPr>
        <w:t>w</w:t>
      </w:r>
      <w:r w:rsidRPr="00185157">
        <w:rPr>
          <w:rStyle w:val="Strong"/>
          <w:rFonts w:ascii="Arial" w:hAnsi="Arial" w:cs="Arial"/>
          <w:sz w:val="22"/>
          <w:szCs w:val="22"/>
        </w:rPr>
        <w:t>ater-quality parameters</w:t>
      </w:r>
      <w:r w:rsidRPr="00185157">
        <w:rPr>
          <w:rFonts w:ascii="Arial" w:hAnsi="Arial" w:cs="Arial"/>
          <w:sz w:val="22"/>
          <w:szCs w:val="22"/>
        </w:rPr>
        <w:t xml:space="preserve"> (BOD, COD, DO, nutrients, metals, coliforms)</w:t>
      </w:r>
      <w:r w:rsidR="00F73D02">
        <w:rPr>
          <w:rFonts w:ascii="Arial" w:hAnsi="Arial" w:cs="Arial"/>
          <w:sz w:val="22"/>
          <w:szCs w:val="22"/>
        </w:rPr>
        <w:t xml:space="preserve">; </w:t>
      </w:r>
      <w:r w:rsidR="00F73D02">
        <w:rPr>
          <w:rStyle w:val="Strong"/>
          <w:rFonts w:ascii="Arial" w:hAnsi="Arial" w:cs="Arial"/>
          <w:sz w:val="22"/>
          <w:szCs w:val="22"/>
        </w:rPr>
        <w:t>h</w:t>
      </w:r>
      <w:r w:rsidRPr="00185157">
        <w:rPr>
          <w:rStyle w:val="Strong"/>
          <w:rFonts w:ascii="Arial" w:hAnsi="Arial" w:cs="Arial"/>
          <w:sz w:val="22"/>
          <w:szCs w:val="22"/>
        </w:rPr>
        <w:t>ydrological datasets</w:t>
      </w:r>
      <w:r w:rsidRPr="00185157">
        <w:rPr>
          <w:rFonts w:ascii="Arial" w:hAnsi="Arial" w:cs="Arial"/>
          <w:sz w:val="22"/>
          <w:szCs w:val="22"/>
        </w:rPr>
        <w:t xml:space="preserve"> (river discharge, seasonal flows, catchment areas)</w:t>
      </w:r>
      <w:r w:rsidR="00F73D02">
        <w:rPr>
          <w:rFonts w:ascii="Arial" w:hAnsi="Arial" w:cs="Arial"/>
          <w:sz w:val="22"/>
          <w:szCs w:val="22"/>
        </w:rPr>
        <w:t xml:space="preserve">; </w:t>
      </w:r>
      <w:r w:rsidR="00F73D02">
        <w:rPr>
          <w:rStyle w:val="Strong"/>
          <w:rFonts w:ascii="Arial" w:hAnsi="Arial" w:cs="Arial"/>
          <w:sz w:val="22"/>
          <w:szCs w:val="22"/>
        </w:rPr>
        <w:t>w</w:t>
      </w:r>
      <w:r w:rsidRPr="00185157">
        <w:rPr>
          <w:rStyle w:val="Strong"/>
          <w:rFonts w:ascii="Arial" w:hAnsi="Arial" w:cs="Arial"/>
          <w:sz w:val="22"/>
          <w:szCs w:val="22"/>
        </w:rPr>
        <w:t>aste and effluent statistics</w:t>
      </w:r>
      <w:r w:rsidRPr="00185157">
        <w:rPr>
          <w:rFonts w:ascii="Arial" w:hAnsi="Arial" w:cs="Arial"/>
          <w:sz w:val="22"/>
          <w:szCs w:val="22"/>
        </w:rPr>
        <w:t xml:space="preserve"> (domestic, industrial, hazardous, medical)</w:t>
      </w:r>
      <w:r w:rsidR="00F73D02">
        <w:rPr>
          <w:rFonts w:ascii="Arial" w:hAnsi="Arial" w:cs="Arial"/>
          <w:sz w:val="22"/>
          <w:szCs w:val="22"/>
        </w:rPr>
        <w:t xml:space="preserve">; </w:t>
      </w:r>
      <w:r w:rsidR="00F73D02">
        <w:rPr>
          <w:rStyle w:val="Strong"/>
          <w:rFonts w:ascii="Arial" w:hAnsi="Arial" w:cs="Arial"/>
          <w:b w:val="0"/>
          <w:bCs w:val="0"/>
          <w:sz w:val="22"/>
          <w:szCs w:val="22"/>
        </w:rPr>
        <w:t>m</w:t>
      </w:r>
      <w:r w:rsidRPr="00F73D02">
        <w:rPr>
          <w:rStyle w:val="Strong"/>
          <w:rFonts w:ascii="Arial" w:hAnsi="Arial" w:cs="Arial"/>
          <w:b w:val="0"/>
          <w:bCs w:val="0"/>
          <w:sz w:val="22"/>
          <w:szCs w:val="22"/>
        </w:rPr>
        <w:t>arine litter and microplastic surveys</w:t>
      </w:r>
      <w:r w:rsidR="00F73D02">
        <w:rPr>
          <w:rFonts w:ascii="Arial" w:hAnsi="Arial" w:cs="Arial"/>
          <w:sz w:val="22"/>
          <w:szCs w:val="22"/>
        </w:rPr>
        <w:t xml:space="preserve">; and </w:t>
      </w:r>
      <w:r w:rsidR="00F73D02" w:rsidRPr="00F73D02">
        <w:rPr>
          <w:rStyle w:val="Strong"/>
          <w:rFonts w:ascii="Arial" w:hAnsi="Arial" w:cs="Arial"/>
          <w:b w:val="0"/>
          <w:bCs w:val="0"/>
          <w:sz w:val="22"/>
          <w:szCs w:val="22"/>
        </w:rPr>
        <w:t>c</w:t>
      </w:r>
      <w:r w:rsidRPr="00F73D02">
        <w:rPr>
          <w:rStyle w:val="Strong"/>
          <w:rFonts w:ascii="Arial" w:hAnsi="Arial" w:cs="Arial"/>
          <w:b w:val="0"/>
          <w:bCs w:val="0"/>
          <w:sz w:val="22"/>
          <w:szCs w:val="22"/>
        </w:rPr>
        <w:t>oastal ecosystem condition data</w:t>
      </w:r>
      <w:r w:rsidRPr="00185157">
        <w:rPr>
          <w:rFonts w:ascii="Arial" w:hAnsi="Arial" w:cs="Arial"/>
          <w:sz w:val="22"/>
          <w:szCs w:val="22"/>
        </w:rPr>
        <w:t xml:space="preserve"> (coral cover, seagrass density, mangrove status)</w:t>
      </w:r>
      <w:r w:rsidR="00F73D02">
        <w:rPr>
          <w:rFonts w:ascii="Arial" w:hAnsi="Arial" w:cs="Arial"/>
          <w:sz w:val="22"/>
          <w:szCs w:val="22"/>
        </w:rPr>
        <w:t xml:space="preserve">. </w:t>
      </w:r>
      <w:r w:rsidRPr="00185157">
        <w:rPr>
          <w:rFonts w:ascii="Arial" w:hAnsi="Arial" w:cs="Arial"/>
          <w:sz w:val="22"/>
          <w:szCs w:val="22"/>
        </w:rPr>
        <w:t>Data were cross-checked across sources to address inconsistencies (e.g., differences in sampling frequency, analytical methods, or units).</w:t>
      </w:r>
    </w:p>
    <w:p w:rsidR="00D81553" w:rsidRPr="00F73D02" w:rsidRDefault="00F73D02" w:rsidP="00F73D02">
      <w:pPr>
        <w:pStyle w:val="Heading3"/>
        <w:adjustRightInd w:val="0"/>
        <w:snapToGrid w:val="0"/>
        <w:spacing w:before="240" w:after="240"/>
        <w:rPr>
          <w:rFonts w:ascii="Arial" w:hAnsi="Arial" w:cs="Arial"/>
          <w:b/>
          <w:bCs/>
          <w:color w:val="000000" w:themeColor="text1"/>
        </w:rPr>
      </w:pPr>
      <w:bookmarkStart w:id="30" w:name="_Toc217231859"/>
      <w:r w:rsidRPr="00F73D02">
        <w:rPr>
          <w:rFonts w:ascii="Arial" w:hAnsi="Arial" w:cs="Arial"/>
          <w:b/>
          <w:bCs/>
          <w:color w:val="000000" w:themeColor="text1"/>
        </w:rPr>
        <w:t>3.4.</w:t>
      </w:r>
      <w:r>
        <w:rPr>
          <w:rFonts w:ascii="Arial" w:hAnsi="Arial" w:cs="Arial"/>
          <w:b/>
          <w:bCs/>
          <w:color w:val="000000" w:themeColor="text1"/>
        </w:rPr>
        <w:t>3</w:t>
      </w:r>
      <w:r w:rsidRPr="00F73D02">
        <w:rPr>
          <w:rFonts w:ascii="Arial" w:hAnsi="Arial" w:cs="Arial"/>
          <w:b/>
          <w:bCs/>
          <w:color w:val="000000" w:themeColor="text1"/>
        </w:rPr>
        <w:t xml:space="preserve"> </w:t>
      </w:r>
      <w:r w:rsidR="00D81553" w:rsidRPr="00F73D02">
        <w:rPr>
          <w:rFonts w:ascii="Arial" w:hAnsi="Arial" w:cs="Arial"/>
          <w:b/>
          <w:bCs/>
          <w:color w:val="000000" w:themeColor="text1"/>
        </w:rPr>
        <w:t>Indicator Selection and Scoring</w:t>
      </w:r>
      <w:bookmarkEnd w:id="30"/>
    </w:p>
    <w:p w:rsidR="00D81553" w:rsidRPr="00185157" w:rsidRDefault="00D81553" w:rsidP="00F73D02">
      <w:pPr>
        <w:pStyle w:val="NormalWeb"/>
        <w:adjustRightInd w:val="0"/>
        <w:snapToGrid w:val="0"/>
        <w:spacing w:before="120" w:beforeAutospacing="0" w:after="120" w:afterAutospacing="0"/>
        <w:jc w:val="both"/>
        <w:rPr>
          <w:rFonts w:ascii="Arial" w:hAnsi="Arial" w:cs="Arial"/>
          <w:sz w:val="22"/>
          <w:szCs w:val="22"/>
        </w:rPr>
      </w:pPr>
      <w:r w:rsidRPr="00185157">
        <w:rPr>
          <w:rFonts w:ascii="Arial" w:hAnsi="Arial" w:cs="Arial"/>
          <w:sz w:val="22"/>
          <w:szCs w:val="22"/>
        </w:rPr>
        <w:t>Indicators were selected based on relevance to pollution pathways, availability of time-series data, and alignment with:</w:t>
      </w:r>
      <w:r w:rsidR="00F73D02">
        <w:rPr>
          <w:rFonts w:ascii="Arial" w:hAnsi="Arial" w:cs="Arial"/>
          <w:sz w:val="22"/>
          <w:szCs w:val="22"/>
        </w:rPr>
        <w:t xml:space="preserve"> </w:t>
      </w:r>
      <w:r w:rsidRPr="00AF63BB">
        <w:rPr>
          <w:rStyle w:val="Strong"/>
          <w:rFonts w:ascii="Arial" w:hAnsi="Arial" w:cs="Arial"/>
          <w:b w:val="0"/>
          <w:bCs w:val="0"/>
          <w:sz w:val="22"/>
          <w:szCs w:val="22"/>
        </w:rPr>
        <w:t>ASEAN Marine Water Quality Guidelines</w:t>
      </w:r>
      <w:r w:rsidR="00F73D02">
        <w:rPr>
          <w:rFonts w:ascii="Arial" w:hAnsi="Arial" w:cs="Arial"/>
          <w:sz w:val="22"/>
          <w:szCs w:val="22"/>
        </w:rPr>
        <w:t xml:space="preserve">; </w:t>
      </w:r>
      <w:r w:rsidRPr="00AF63BB">
        <w:rPr>
          <w:rStyle w:val="Strong"/>
          <w:rFonts w:ascii="Arial" w:hAnsi="Arial" w:cs="Arial"/>
          <w:b w:val="0"/>
          <w:bCs w:val="0"/>
          <w:sz w:val="22"/>
          <w:szCs w:val="22"/>
        </w:rPr>
        <w:t>Cambodian Water Pollution Control Standards (1999)</w:t>
      </w:r>
      <w:r w:rsidR="00F73D02">
        <w:rPr>
          <w:rFonts w:ascii="Arial" w:hAnsi="Arial" w:cs="Arial"/>
          <w:sz w:val="22"/>
          <w:szCs w:val="22"/>
        </w:rPr>
        <w:t xml:space="preserve">; </w:t>
      </w:r>
      <w:r w:rsidRPr="00AF63BB">
        <w:rPr>
          <w:rStyle w:val="Strong"/>
          <w:rFonts w:ascii="Arial" w:hAnsi="Arial" w:cs="Arial"/>
          <w:b w:val="0"/>
          <w:bCs w:val="0"/>
          <w:sz w:val="22"/>
          <w:szCs w:val="22"/>
        </w:rPr>
        <w:t>MRC Water Quality Target Values</w:t>
      </w:r>
      <w:r w:rsidR="00F73D02">
        <w:rPr>
          <w:rFonts w:ascii="Arial" w:hAnsi="Arial" w:cs="Arial"/>
          <w:sz w:val="22"/>
          <w:szCs w:val="22"/>
        </w:rPr>
        <w:t xml:space="preserve">; and </w:t>
      </w:r>
      <w:r w:rsidRPr="00AF63BB">
        <w:rPr>
          <w:rStyle w:val="Strong"/>
          <w:rFonts w:ascii="Arial" w:hAnsi="Arial" w:cs="Arial"/>
          <w:b w:val="0"/>
          <w:bCs w:val="0"/>
          <w:sz w:val="22"/>
          <w:szCs w:val="22"/>
        </w:rPr>
        <w:t>UNEP/COBSEA Regional Marine Litter Indicators</w:t>
      </w:r>
      <w:r w:rsidR="00F73D02">
        <w:rPr>
          <w:rStyle w:val="Strong"/>
          <w:rFonts w:ascii="Arial" w:hAnsi="Arial" w:cs="Arial"/>
          <w:b w:val="0"/>
          <w:bCs w:val="0"/>
          <w:sz w:val="22"/>
          <w:szCs w:val="22"/>
        </w:rPr>
        <w:t xml:space="preserve">. </w:t>
      </w:r>
      <w:r w:rsidRPr="00185157">
        <w:rPr>
          <w:rFonts w:ascii="Arial" w:hAnsi="Arial" w:cs="Arial"/>
          <w:sz w:val="22"/>
          <w:szCs w:val="22"/>
        </w:rPr>
        <w:t>Each indicator was assessed using:</w:t>
      </w:r>
    </w:p>
    <w:p w:rsidR="00D81553" w:rsidRPr="00185157" w:rsidRDefault="00D81553" w:rsidP="003454E2">
      <w:pPr>
        <w:pStyle w:val="NormalWeb"/>
        <w:numPr>
          <w:ilvl w:val="0"/>
          <w:numId w:val="21"/>
        </w:numPr>
        <w:adjustRightInd w:val="0"/>
        <w:snapToGrid w:val="0"/>
        <w:spacing w:before="120" w:beforeAutospacing="0" w:after="120" w:afterAutospacing="0"/>
        <w:rPr>
          <w:rFonts w:ascii="Arial" w:hAnsi="Arial" w:cs="Arial"/>
          <w:sz w:val="22"/>
          <w:szCs w:val="22"/>
        </w:rPr>
      </w:pPr>
      <w:r w:rsidRPr="00185157">
        <w:rPr>
          <w:rStyle w:val="Strong"/>
          <w:rFonts w:ascii="Arial" w:hAnsi="Arial" w:cs="Arial"/>
          <w:sz w:val="22"/>
          <w:szCs w:val="22"/>
        </w:rPr>
        <w:t>Absolute values</w:t>
      </w:r>
      <w:r w:rsidRPr="00185157">
        <w:rPr>
          <w:rFonts w:ascii="Arial" w:hAnsi="Arial" w:cs="Arial"/>
          <w:sz w:val="22"/>
          <w:szCs w:val="22"/>
        </w:rPr>
        <w:t xml:space="preserve"> relative to national/regional standards</w:t>
      </w:r>
    </w:p>
    <w:p w:rsidR="00D81553" w:rsidRPr="00185157" w:rsidRDefault="00D81553" w:rsidP="003454E2">
      <w:pPr>
        <w:pStyle w:val="NormalWeb"/>
        <w:numPr>
          <w:ilvl w:val="0"/>
          <w:numId w:val="21"/>
        </w:numPr>
        <w:adjustRightInd w:val="0"/>
        <w:snapToGrid w:val="0"/>
        <w:spacing w:before="120" w:beforeAutospacing="0" w:after="120" w:afterAutospacing="0"/>
        <w:rPr>
          <w:rFonts w:ascii="Arial" w:hAnsi="Arial" w:cs="Arial"/>
          <w:sz w:val="22"/>
          <w:szCs w:val="22"/>
        </w:rPr>
      </w:pPr>
      <w:r w:rsidRPr="00185157">
        <w:rPr>
          <w:rStyle w:val="Strong"/>
          <w:rFonts w:ascii="Arial" w:hAnsi="Arial" w:cs="Arial"/>
          <w:sz w:val="22"/>
          <w:szCs w:val="22"/>
        </w:rPr>
        <w:t>Temporal trends</w:t>
      </w:r>
      <w:r w:rsidRPr="00185157">
        <w:rPr>
          <w:rFonts w:ascii="Arial" w:hAnsi="Arial" w:cs="Arial"/>
          <w:sz w:val="22"/>
          <w:szCs w:val="22"/>
        </w:rPr>
        <w:t xml:space="preserve"> (where multi-year data existed)</w:t>
      </w:r>
    </w:p>
    <w:p w:rsidR="00D81553" w:rsidRPr="00185157" w:rsidRDefault="00D81553" w:rsidP="003454E2">
      <w:pPr>
        <w:pStyle w:val="NormalWeb"/>
        <w:numPr>
          <w:ilvl w:val="0"/>
          <w:numId w:val="21"/>
        </w:numPr>
        <w:adjustRightInd w:val="0"/>
        <w:snapToGrid w:val="0"/>
        <w:spacing w:before="120" w:beforeAutospacing="0" w:after="120" w:afterAutospacing="0"/>
        <w:rPr>
          <w:rFonts w:ascii="Arial" w:hAnsi="Arial" w:cs="Arial"/>
          <w:sz w:val="22"/>
          <w:szCs w:val="22"/>
        </w:rPr>
      </w:pPr>
      <w:r w:rsidRPr="00185157">
        <w:rPr>
          <w:rStyle w:val="Strong"/>
          <w:rFonts w:ascii="Arial" w:hAnsi="Arial" w:cs="Arial"/>
          <w:sz w:val="22"/>
          <w:szCs w:val="22"/>
        </w:rPr>
        <w:t>Spatial exceedances</w:t>
      </w:r>
      <w:r w:rsidRPr="00185157">
        <w:rPr>
          <w:rFonts w:ascii="Arial" w:hAnsi="Arial" w:cs="Arial"/>
          <w:sz w:val="22"/>
          <w:szCs w:val="22"/>
        </w:rPr>
        <w:t xml:space="preserve"> at hotspot locations</w:t>
      </w:r>
    </w:p>
    <w:p w:rsidR="00D81553" w:rsidRPr="00185157" w:rsidRDefault="00D81553" w:rsidP="003454E2">
      <w:pPr>
        <w:pStyle w:val="NormalWeb"/>
        <w:numPr>
          <w:ilvl w:val="0"/>
          <w:numId w:val="21"/>
        </w:numPr>
        <w:adjustRightInd w:val="0"/>
        <w:snapToGrid w:val="0"/>
        <w:spacing w:before="120" w:beforeAutospacing="0" w:after="120" w:afterAutospacing="0"/>
        <w:rPr>
          <w:rFonts w:ascii="Arial" w:hAnsi="Arial" w:cs="Arial"/>
          <w:sz w:val="22"/>
          <w:szCs w:val="22"/>
        </w:rPr>
      </w:pPr>
      <w:r w:rsidRPr="00185157">
        <w:rPr>
          <w:rStyle w:val="Strong"/>
          <w:rFonts w:ascii="Arial" w:hAnsi="Arial" w:cs="Arial"/>
          <w:sz w:val="22"/>
          <w:szCs w:val="22"/>
        </w:rPr>
        <w:t>Risk Quotients (RQ = observed / standard)</w:t>
      </w:r>
    </w:p>
    <w:p w:rsidR="00D81553" w:rsidRPr="00185157" w:rsidRDefault="00D81553" w:rsidP="003454E2">
      <w:pPr>
        <w:pStyle w:val="NormalWeb"/>
        <w:numPr>
          <w:ilvl w:val="0"/>
          <w:numId w:val="21"/>
        </w:numPr>
        <w:adjustRightInd w:val="0"/>
        <w:snapToGrid w:val="0"/>
        <w:spacing w:before="120" w:beforeAutospacing="0" w:after="120" w:afterAutospacing="0"/>
        <w:rPr>
          <w:rFonts w:ascii="Arial" w:hAnsi="Arial" w:cs="Arial"/>
          <w:sz w:val="22"/>
          <w:szCs w:val="22"/>
        </w:rPr>
      </w:pPr>
      <w:r w:rsidRPr="00185157">
        <w:rPr>
          <w:rStyle w:val="Strong"/>
          <w:rFonts w:ascii="Arial" w:hAnsi="Arial" w:cs="Arial"/>
          <w:sz w:val="22"/>
          <w:szCs w:val="22"/>
        </w:rPr>
        <w:t>Water Quality Index (WQI) categories</w:t>
      </w:r>
    </w:p>
    <w:p w:rsidR="00D81553" w:rsidRPr="00F73D02" w:rsidRDefault="00D81553" w:rsidP="00F73D02">
      <w:pPr>
        <w:pStyle w:val="Heading3"/>
        <w:adjustRightInd w:val="0"/>
        <w:snapToGrid w:val="0"/>
        <w:spacing w:before="240" w:after="240"/>
        <w:rPr>
          <w:rFonts w:ascii="Arial" w:hAnsi="Arial" w:cs="Arial"/>
          <w:b/>
          <w:bCs/>
          <w:color w:val="000000" w:themeColor="text1"/>
        </w:rPr>
      </w:pPr>
      <w:bookmarkStart w:id="31" w:name="_Toc217231860"/>
      <w:r w:rsidRPr="00F73D02">
        <w:rPr>
          <w:rFonts w:ascii="Arial" w:hAnsi="Arial" w:cs="Arial"/>
          <w:b/>
          <w:bCs/>
          <w:color w:val="000000" w:themeColor="text1"/>
        </w:rPr>
        <w:t>3.4.4 Risk Quotient (RQ) Analysis</w:t>
      </w:r>
      <w:bookmarkEnd w:id="31"/>
    </w:p>
    <w:p w:rsidR="00D81553" w:rsidRPr="00185157" w:rsidRDefault="00D81553" w:rsidP="003454E2">
      <w:pPr>
        <w:pStyle w:val="NormalWeb"/>
        <w:adjustRightInd w:val="0"/>
        <w:snapToGrid w:val="0"/>
        <w:spacing w:before="120" w:beforeAutospacing="0" w:after="120" w:afterAutospacing="0"/>
        <w:rPr>
          <w:rFonts w:ascii="Arial" w:hAnsi="Arial" w:cs="Arial"/>
          <w:sz w:val="22"/>
          <w:szCs w:val="22"/>
        </w:rPr>
      </w:pPr>
      <w:r w:rsidRPr="00185157">
        <w:rPr>
          <w:rFonts w:ascii="Arial" w:hAnsi="Arial" w:cs="Arial"/>
          <w:sz w:val="22"/>
          <w:szCs w:val="22"/>
        </w:rPr>
        <w:t>The RQ method was used to screen pollutant exceedances:</w:t>
      </w:r>
    </w:p>
    <w:p w:rsidR="00D81553" w:rsidRPr="00185157" w:rsidRDefault="00D81553" w:rsidP="003454E2">
      <w:pPr>
        <w:pStyle w:val="NormalWeb"/>
        <w:adjustRightInd w:val="0"/>
        <w:snapToGrid w:val="0"/>
        <w:spacing w:before="120" w:beforeAutospacing="0" w:after="120" w:afterAutospacing="0"/>
        <w:rPr>
          <w:rFonts w:ascii="Arial" w:hAnsi="Arial" w:cs="Arial"/>
          <w:sz w:val="22"/>
          <w:szCs w:val="22"/>
        </w:rPr>
      </w:pPr>
      <w:r w:rsidRPr="00185157">
        <w:rPr>
          <w:rStyle w:val="Strong"/>
          <w:rFonts w:ascii="Arial" w:hAnsi="Arial" w:cs="Arial"/>
          <w:sz w:val="22"/>
          <w:szCs w:val="22"/>
        </w:rPr>
        <w:t>RQ = Measured value ÷ Guideline/Standard value</w:t>
      </w:r>
    </w:p>
    <w:p w:rsidR="00D81553" w:rsidRPr="00185157" w:rsidRDefault="00D81553" w:rsidP="003454E2">
      <w:pPr>
        <w:pStyle w:val="NormalWeb"/>
        <w:adjustRightInd w:val="0"/>
        <w:snapToGrid w:val="0"/>
        <w:spacing w:before="120" w:beforeAutospacing="0" w:after="120" w:afterAutospacing="0"/>
        <w:rPr>
          <w:rFonts w:ascii="Arial" w:hAnsi="Arial" w:cs="Arial"/>
          <w:sz w:val="22"/>
          <w:szCs w:val="22"/>
        </w:rPr>
      </w:pPr>
      <w:r w:rsidRPr="00185157">
        <w:rPr>
          <w:rFonts w:ascii="Arial" w:hAnsi="Arial" w:cs="Arial"/>
          <w:sz w:val="22"/>
          <w:szCs w:val="22"/>
        </w:rPr>
        <w:t>Where:</w:t>
      </w:r>
    </w:p>
    <w:p w:rsidR="00D81553" w:rsidRPr="00185157" w:rsidRDefault="00D81553" w:rsidP="003454E2">
      <w:pPr>
        <w:pStyle w:val="NormalWeb"/>
        <w:numPr>
          <w:ilvl w:val="0"/>
          <w:numId w:val="22"/>
        </w:numPr>
        <w:adjustRightInd w:val="0"/>
        <w:snapToGrid w:val="0"/>
        <w:spacing w:before="120" w:beforeAutospacing="0" w:after="120" w:afterAutospacing="0"/>
        <w:rPr>
          <w:rFonts w:ascii="Arial" w:hAnsi="Arial" w:cs="Arial"/>
          <w:sz w:val="22"/>
          <w:szCs w:val="22"/>
        </w:rPr>
      </w:pPr>
      <w:r w:rsidRPr="00185157">
        <w:rPr>
          <w:rStyle w:val="Strong"/>
          <w:rFonts w:ascii="Arial" w:hAnsi="Arial" w:cs="Arial"/>
          <w:sz w:val="22"/>
          <w:szCs w:val="22"/>
        </w:rPr>
        <w:t>RQ &lt; 1</w:t>
      </w:r>
      <w:r w:rsidRPr="00185157">
        <w:rPr>
          <w:rFonts w:ascii="Arial" w:hAnsi="Arial" w:cs="Arial"/>
          <w:sz w:val="22"/>
          <w:szCs w:val="22"/>
        </w:rPr>
        <w:t xml:space="preserve"> = compliant / low risk</w:t>
      </w:r>
    </w:p>
    <w:p w:rsidR="00D81553" w:rsidRPr="00185157" w:rsidRDefault="00D81553" w:rsidP="003454E2">
      <w:pPr>
        <w:pStyle w:val="NormalWeb"/>
        <w:numPr>
          <w:ilvl w:val="0"/>
          <w:numId w:val="22"/>
        </w:numPr>
        <w:adjustRightInd w:val="0"/>
        <w:snapToGrid w:val="0"/>
        <w:spacing w:before="120" w:beforeAutospacing="0" w:after="120" w:afterAutospacing="0"/>
        <w:rPr>
          <w:rFonts w:ascii="Arial" w:hAnsi="Arial" w:cs="Arial"/>
          <w:sz w:val="22"/>
          <w:szCs w:val="22"/>
        </w:rPr>
      </w:pPr>
      <w:r w:rsidRPr="00185157">
        <w:rPr>
          <w:rStyle w:val="Strong"/>
          <w:rFonts w:ascii="Arial" w:hAnsi="Arial" w:cs="Arial"/>
          <w:sz w:val="22"/>
          <w:szCs w:val="22"/>
        </w:rPr>
        <w:t>RQ 1–2</w:t>
      </w:r>
      <w:r w:rsidRPr="00185157">
        <w:rPr>
          <w:rFonts w:ascii="Arial" w:hAnsi="Arial" w:cs="Arial"/>
          <w:sz w:val="22"/>
          <w:szCs w:val="22"/>
        </w:rPr>
        <w:t xml:space="preserve"> = moderate risk / localized exceedances</w:t>
      </w:r>
    </w:p>
    <w:p w:rsidR="00D81553" w:rsidRPr="00185157" w:rsidRDefault="00D81553" w:rsidP="003454E2">
      <w:pPr>
        <w:pStyle w:val="NormalWeb"/>
        <w:numPr>
          <w:ilvl w:val="0"/>
          <w:numId w:val="22"/>
        </w:numPr>
        <w:adjustRightInd w:val="0"/>
        <w:snapToGrid w:val="0"/>
        <w:spacing w:before="120" w:beforeAutospacing="0" w:after="120" w:afterAutospacing="0"/>
        <w:rPr>
          <w:rFonts w:ascii="Arial" w:hAnsi="Arial" w:cs="Arial"/>
          <w:sz w:val="22"/>
          <w:szCs w:val="22"/>
        </w:rPr>
      </w:pPr>
      <w:r w:rsidRPr="00185157">
        <w:rPr>
          <w:rStyle w:val="Strong"/>
          <w:rFonts w:ascii="Arial" w:hAnsi="Arial" w:cs="Arial"/>
          <w:sz w:val="22"/>
          <w:szCs w:val="22"/>
        </w:rPr>
        <w:t>RQ &gt; 2</w:t>
      </w:r>
      <w:r w:rsidRPr="00185157">
        <w:rPr>
          <w:rFonts w:ascii="Arial" w:hAnsi="Arial" w:cs="Arial"/>
          <w:sz w:val="22"/>
          <w:szCs w:val="22"/>
        </w:rPr>
        <w:t xml:space="preserve"> = high risk</w:t>
      </w:r>
    </w:p>
    <w:p w:rsidR="00D81553" w:rsidRPr="00185157" w:rsidRDefault="00D81553" w:rsidP="003454E2">
      <w:pPr>
        <w:pStyle w:val="NormalWeb"/>
        <w:numPr>
          <w:ilvl w:val="0"/>
          <w:numId w:val="22"/>
        </w:numPr>
        <w:adjustRightInd w:val="0"/>
        <w:snapToGrid w:val="0"/>
        <w:spacing w:before="120" w:beforeAutospacing="0" w:after="120" w:afterAutospacing="0"/>
        <w:rPr>
          <w:rFonts w:ascii="Arial" w:hAnsi="Arial" w:cs="Arial"/>
          <w:sz w:val="22"/>
          <w:szCs w:val="22"/>
        </w:rPr>
      </w:pPr>
      <w:r w:rsidRPr="00185157">
        <w:rPr>
          <w:rStyle w:val="Strong"/>
          <w:rFonts w:ascii="Arial" w:hAnsi="Arial" w:cs="Arial"/>
          <w:sz w:val="22"/>
          <w:szCs w:val="22"/>
        </w:rPr>
        <w:t>RQ &gt; 3–5</w:t>
      </w:r>
      <w:r w:rsidRPr="00185157">
        <w:rPr>
          <w:rFonts w:ascii="Arial" w:hAnsi="Arial" w:cs="Arial"/>
          <w:sz w:val="22"/>
          <w:szCs w:val="22"/>
        </w:rPr>
        <w:t xml:space="preserve"> = severe risk / likely ecological impact</w:t>
      </w:r>
    </w:p>
    <w:p w:rsidR="00D81553" w:rsidRPr="00185157" w:rsidRDefault="00D81553" w:rsidP="003454E2">
      <w:pPr>
        <w:pStyle w:val="NormalWeb"/>
        <w:adjustRightInd w:val="0"/>
        <w:snapToGrid w:val="0"/>
        <w:spacing w:before="120" w:beforeAutospacing="0" w:after="120" w:afterAutospacing="0"/>
        <w:rPr>
          <w:rFonts w:ascii="Arial" w:hAnsi="Arial" w:cs="Arial"/>
          <w:sz w:val="22"/>
          <w:szCs w:val="22"/>
        </w:rPr>
      </w:pPr>
      <w:r w:rsidRPr="00185157">
        <w:rPr>
          <w:rFonts w:ascii="Arial" w:hAnsi="Arial" w:cs="Arial"/>
          <w:sz w:val="22"/>
          <w:szCs w:val="22"/>
        </w:rPr>
        <w:t>RQ analysis was applied to nutrients (NO</w:t>
      </w:r>
      <w:r w:rsidRPr="00185157">
        <w:rPr>
          <w:rFonts w:ascii="Cambria Math" w:hAnsi="Cambria Math" w:cs="Cambria Math"/>
          <w:sz w:val="22"/>
          <w:szCs w:val="22"/>
        </w:rPr>
        <w:t>₃⁻</w:t>
      </w:r>
      <w:r w:rsidRPr="00185157">
        <w:rPr>
          <w:rFonts w:ascii="Arial" w:hAnsi="Arial" w:cs="Arial"/>
          <w:sz w:val="22"/>
          <w:szCs w:val="22"/>
        </w:rPr>
        <w:t>, NH</w:t>
      </w:r>
      <w:r w:rsidRPr="00185157">
        <w:rPr>
          <w:rFonts w:ascii="Cambria Math" w:hAnsi="Cambria Math" w:cs="Cambria Math"/>
          <w:sz w:val="22"/>
          <w:szCs w:val="22"/>
        </w:rPr>
        <w:t>₃</w:t>
      </w:r>
      <w:r w:rsidRPr="00185157">
        <w:rPr>
          <w:rFonts w:ascii="Arial" w:hAnsi="Arial" w:cs="Arial"/>
          <w:sz w:val="22"/>
          <w:szCs w:val="22"/>
        </w:rPr>
        <w:t>-N, PO</w:t>
      </w:r>
      <w:r w:rsidRPr="00185157">
        <w:rPr>
          <w:rFonts w:ascii="Cambria Math" w:hAnsi="Cambria Math" w:cs="Cambria Math"/>
          <w:sz w:val="22"/>
          <w:szCs w:val="22"/>
        </w:rPr>
        <w:t>₄</w:t>
      </w:r>
      <w:r w:rsidRPr="00185157">
        <w:rPr>
          <w:rFonts w:ascii="Arial" w:hAnsi="Arial" w:cs="Arial"/>
          <w:sz w:val="22"/>
          <w:szCs w:val="22"/>
        </w:rPr>
        <w:t>³</w:t>
      </w:r>
      <w:r w:rsidRPr="00185157">
        <w:rPr>
          <w:rFonts w:ascii="Cambria Math" w:hAnsi="Cambria Math" w:cs="Cambria Math"/>
          <w:sz w:val="22"/>
          <w:szCs w:val="22"/>
        </w:rPr>
        <w:t>⁻</w:t>
      </w:r>
      <w:r w:rsidRPr="00185157">
        <w:rPr>
          <w:rFonts w:ascii="Arial" w:hAnsi="Arial" w:cs="Arial"/>
          <w:sz w:val="22"/>
          <w:szCs w:val="22"/>
        </w:rPr>
        <w:t>), microbial indicators (MPN/CFU), hydrocarbons (TPH), heavy metals (Pb, Zn, Cu), and solids (TSS).</w:t>
      </w:r>
    </w:p>
    <w:p w:rsidR="00D81553" w:rsidRPr="00F73D02" w:rsidRDefault="00D81553" w:rsidP="00F73D02">
      <w:pPr>
        <w:pStyle w:val="Heading3"/>
        <w:adjustRightInd w:val="0"/>
        <w:snapToGrid w:val="0"/>
        <w:spacing w:before="240" w:after="240"/>
        <w:rPr>
          <w:rFonts w:ascii="Arial" w:hAnsi="Arial" w:cs="Arial"/>
          <w:b/>
          <w:bCs/>
          <w:color w:val="000000" w:themeColor="text1"/>
        </w:rPr>
      </w:pPr>
      <w:bookmarkStart w:id="32" w:name="_Toc217231861"/>
      <w:r w:rsidRPr="00F73D02">
        <w:rPr>
          <w:rFonts w:ascii="Arial" w:hAnsi="Arial" w:cs="Arial"/>
          <w:b/>
          <w:bCs/>
          <w:color w:val="000000" w:themeColor="text1"/>
        </w:rPr>
        <w:t>3.4.5 Water Quality Index (WQI) Screening</w:t>
      </w:r>
      <w:bookmarkEnd w:id="32"/>
    </w:p>
    <w:p w:rsidR="00D81553" w:rsidRPr="00185157" w:rsidRDefault="00D81553" w:rsidP="003454E2">
      <w:pPr>
        <w:pStyle w:val="NormalWeb"/>
        <w:adjustRightInd w:val="0"/>
        <w:snapToGrid w:val="0"/>
        <w:spacing w:before="120" w:beforeAutospacing="0" w:after="120" w:afterAutospacing="0"/>
        <w:jc w:val="both"/>
        <w:rPr>
          <w:rFonts w:ascii="Arial" w:hAnsi="Arial" w:cs="Arial"/>
          <w:sz w:val="22"/>
          <w:szCs w:val="22"/>
        </w:rPr>
      </w:pPr>
      <w:r w:rsidRPr="00185157">
        <w:rPr>
          <w:rFonts w:ascii="Arial" w:hAnsi="Arial" w:cs="Arial"/>
          <w:sz w:val="22"/>
          <w:szCs w:val="22"/>
        </w:rPr>
        <w:t>WQI categories were calculated using DO, BOD, coliforms, TSS and nutrients where data allowed.</w:t>
      </w:r>
      <w:r w:rsidR="001A2593">
        <w:rPr>
          <w:rFonts w:ascii="Arial" w:hAnsi="Arial" w:cs="Arial"/>
          <w:sz w:val="22"/>
          <w:szCs w:val="22"/>
        </w:rPr>
        <w:t xml:space="preserve"> I</w:t>
      </w:r>
      <w:r w:rsidRPr="00185157">
        <w:rPr>
          <w:rFonts w:ascii="Arial" w:hAnsi="Arial" w:cs="Arial"/>
          <w:sz w:val="22"/>
          <w:szCs w:val="22"/>
        </w:rPr>
        <w:t>nterpretation followed:</w:t>
      </w:r>
    </w:p>
    <w:p w:rsidR="00D81553" w:rsidRPr="00185157" w:rsidRDefault="00D81553" w:rsidP="003454E2">
      <w:pPr>
        <w:pStyle w:val="NormalWeb"/>
        <w:numPr>
          <w:ilvl w:val="0"/>
          <w:numId w:val="23"/>
        </w:numPr>
        <w:adjustRightInd w:val="0"/>
        <w:snapToGrid w:val="0"/>
        <w:spacing w:before="120" w:beforeAutospacing="0" w:after="120" w:afterAutospacing="0"/>
        <w:rPr>
          <w:rFonts w:ascii="Arial" w:hAnsi="Arial" w:cs="Arial"/>
          <w:sz w:val="22"/>
          <w:szCs w:val="22"/>
        </w:rPr>
      </w:pPr>
      <w:r w:rsidRPr="00185157">
        <w:rPr>
          <w:rStyle w:val="Strong"/>
          <w:rFonts w:ascii="Arial" w:hAnsi="Arial" w:cs="Arial"/>
          <w:sz w:val="22"/>
          <w:szCs w:val="22"/>
        </w:rPr>
        <w:t>80–100 = Good</w:t>
      </w:r>
    </w:p>
    <w:p w:rsidR="00D81553" w:rsidRPr="00185157" w:rsidRDefault="00D81553" w:rsidP="003454E2">
      <w:pPr>
        <w:pStyle w:val="NormalWeb"/>
        <w:numPr>
          <w:ilvl w:val="0"/>
          <w:numId w:val="23"/>
        </w:numPr>
        <w:adjustRightInd w:val="0"/>
        <w:snapToGrid w:val="0"/>
        <w:spacing w:before="120" w:beforeAutospacing="0" w:after="120" w:afterAutospacing="0"/>
        <w:rPr>
          <w:rFonts w:ascii="Arial" w:hAnsi="Arial" w:cs="Arial"/>
          <w:sz w:val="22"/>
          <w:szCs w:val="22"/>
        </w:rPr>
      </w:pPr>
      <w:r w:rsidRPr="00185157">
        <w:rPr>
          <w:rStyle w:val="Strong"/>
          <w:rFonts w:ascii="Arial" w:hAnsi="Arial" w:cs="Arial"/>
          <w:sz w:val="22"/>
          <w:szCs w:val="22"/>
        </w:rPr>
        <w:t>50–79 = Moderate</w:t>
      </w:r>
    </w:p>
    <w:p w:rsidR="00D81553" w:rsidRPr="00185157" w:rsidRDefault="00D81553" w:rsidP="003454E2">
      <w:pPr>
        <w:pStyle w:val="NormalWeb"/>
        <w:numPr>
          <w:ilvl w:val="0"/>
          <w:numId w:val="23"/>
        </w:numPr>
        <w:adjustRightInd w:val="0"/>
        <w:snapToGrid w:val="0"/>
        <w:spacing w:before="120" w:beforeAutospacing="0" w:after="120" w:afterAutospacing="0"/>
        <w:rPr>
          <w:rFonts w:ascii="Arial" w:hAnsi="Arial" w:cs="Arial"/>
          <w:sz w:val="22"/>
          <w:szCs w:val="22"/>
        </w:rPr>
      </w:pPr>
      <w:r w:rsidRPr="00185157">
        <w:rPr>
          <w:rStyle w:val="Strong"/>
          <w:rFonts w:ascii="Arial" w:hAnsi="Arial" w:cs="Arial"/>
          <w:sz w:val="22"/>
          <w:szCs w:val="22"/>
        </w:rPr>
        <w:t>25–49 = Poor</w:t>
      </w:r>
    </w:p>
    <w:p w:rsidR="00D81553" w:rsidRPr="00185157" w:rsidRDefault="00D81553" w:rsidP="003454E2">
      <w:pPr>
        <w:pStyle w:val="NormalWeb"/>
        <w:numPr>
          <w:ilvl w:val="0"/>
          <w:numId w:val="23"/>
        </w:numPr>
        <w:adjustRightInd w:val="0"/>
        <w:snapToGrid w:val="0"/>
        <w:spacing w:before="120" w:beforeAutospacing="0" w:after="120" w:afterAutospacing="0"/>
        <w:rPr>
          <w:rFonts w:ascii="Arial" w:hAnsi="Arial" w:cs="Arial"/>
          <w:sz w:val="22"/>
          <w:szCs w:val="22"/>
        </w:rPr>
      </w:pPr>
      <w:r w:rsidRPr="00185157">
        <w:rPr>
          <w:rStyle w:val="Strong"/>
          <w:rFonts w:ascii="Arial" w:hAnsi="Arial" w:cs="Arial"/>
          <w:sz w:val="22"/>
          <w:szCs w:val="22"/>
        </w:rPr>
        <w:t>&lt;25 = Very Poor / unsuitable for direct use</w:t>
      </w:r>
    </w:p>
    <w:p w:rsidR="00D81553" w:rsidRPr="00185157" w:rsidRDefault="00D81553" w:rsidP="003454E2">
      <w:pPr>
        <w:pStyle w:val="NormalWeb"/>
        <w:adjustRightInd w:val="0"/>
        <w:snapToGrid w:val="0"/>
        <w:spacing w:before="120" w:beforeAutospacing="0" w:after="120" w:afterAutospacing="0"/>
        <w:rPr>
          <w:rFonts w:ascii="Arial" w:hAnsi="Arial" w:cs="Arial"/>
          <w:sz w:val="22"/>
          <w:szCs w:val="22"/>
        </w:rPr>
      </w:pPr>
      <w:r w:rsidRPr="00185157">
        <w:rPr>
          <w:rFonts w:ascii="Arial" w:hAnsi="Arial" w:cs="Arial"/>
          <w:sz w:val="22"/>
          <w:szCs w:val="22"/>
        </w:rPr>
        <w:t>WQI supported identification of hotspots such as Prek Toeuk Sap, Kampot estuary, and Phnom Penh confluence.</w:t>
      </w:r>
    </w:p>
    <w:p w:rsidR="00D81553" w:rsidRPr="00F73D02" w:rsidRDefault="00F73D02" w:rsidP="00F73D02">
      <w:pPr>
        <w:pStyle w:val="Heading3"/>
        <w:adjustRightInd w:val="0"/>
        <w:snapToGrid w:val="0"/>
        <w:spacing w:before="240" w:after="240"/>
        <w:rPr>
          <w:rFonts w:ascii="Arial" w:hAnsi="Arial" w:cs="Arial"/>
          <w:b/>
          <w:bCs/>
          <w:color w:val="000000" w:themeColor="text1"/>
        </w:rPr>
      </w:pPr>
      <w:bookmarkStart w:id="33" w:name="_Toc217231862"/>
      <w:r w:rsidRPr="00F73D02">
        <w:rPr>
          <w:rFonts w:ascii="Arial" w:hAnsi="Arial" w:cs="Arial"/>
          <w:b/>
          <w:bCs/>
          <w:color w:val="000000" w:themeColor="text1"/>
        </w:rPr>
        <w:t>3.4.</w:t>
      </w:r>
      <w:r>
        <w:rPr>
          <w:rFonts w:ascii="Arial" w:hAnsi="Arial" w:cs="Arial"/>
          <w:b/>
          <w:bCs/>
          <w:color w:val="000000" w:themeColor="text1"/>
        </w:rPr>
        <w:t>6</w:t>
      </w:r>
      <w:r w:rsidRPr="00F73D02">
        <w:rPr>
          <w:rFonts w:ascii="Arial" w:hAnsi="Arial" w:cs="Arial"/>
          <w:b/>
          <w:bCs/>
          <w:color w:val="000000" w:themeColor="text1"/>
        </w:rPr>
        <w:t xml:space="preserve"> </w:t>
      </w:r>
      <w:r w:rsidR="00D81553" w:rsidRPr="00F73D02">
        <w:rPr>
          <w:rFonts w:ascii="Arial" w:hAnsi="Arial" w:cs="Arial"/>
          <w:b/>
          <w:bCs/>
          <w:color w:val="000000" w:themeColor="text1"/>
        </w:rPr>
        <w:t>Spatial and Transboundary Analysis</w:t>
      </w:r>
      <w:bookmarkEnd w:id="33"/>
    </w:p>
    <w:p w:rsidR="00D81553" w:rsidRPr="00185157" w:rsidRDefault="00D81553" w:rsidP="00F73D02">
      <w:pPr>
        <w:pStyle w:val="NormalWeb"/>
        <w:adjustRightInd w:val="0"/>
        <w:snapToGrid w:val="0"/>
        <w:spacing w:before="120" w:beforeAutospacing="0" w:after="120" w:afterAutospacing="0"/>
        <w:jc w:val="both"/>
        <w:rPr>
          <w:rFonts w:ascii="Arial" w:hAnsi="Arial" w:cs="Arial"/>
          <w:sz w:val="22"/>
          <w:szCs w:val="22"/>
        </w:rPr>
      </w:pPr>
      <w:r w:rsidRPr="00185157">
        <w:rPr>
          <w:rFonts w:ascii="Arial" w:hAnsi="Arial" w:cs="Arial"/>
          <w:sz w:val="22"/>
          <w:szCs w:val="22"/>
        </w:rPr>
        <w:t>GIS analysis and documented hydrodynamic pathways were used to map:</w:t>
      </w:r>
      <w:r w:rsidR="00F73D02">
        <w:rPr>
          <w:rFonts w:ascii="Arial" w:hAnsi="Arial" w:cs="Arial"/>
          <w:sz w:val="22"/>
          <w:szCs w:val="22"/>
        </w:rPr>
        <w:t xml:space="preserve"> p</w:t>
      </w:r>
      <w:r w:rsidRPr="00185157">
        <w:rPr>
          <w:rFonts w:ascii="Arial" w:hAnsi="Arial" w:cs="Arial"/>
          <w:sz w:val="22"/>
          <w:szCs w:val="22"/>
        </w:rPr>
        <w:t>ollution hotspots</w:t>
      </w:r>
      <w:r w:rsidR="00F73D02">
        <w:rPr>
          <w:rFonts w:ascii="Arial" w:hAnsi="Arial" w:cs="Arial"/>
          <w:sz w:val="22"/>
          <w:szCs w:val="22"/>
        </w:rPr>
        <w:t>; e</w:t>
      </w:r>
      <w:r w:rsidRPr="00185157">
        <w:rPr>
          <w:rFonts w:ascii="Arial" w:hAnsi="Arial" w:cs="Arial"/>
          <w:sz w:val="22"/>
          <w:szCs w:val="22"/>
        </w:rPr>
        <w:t>stuarine mixing zones</w:t>
      </w:r>
      <w:r w:rsidR="00F73D02">
        <w:rPr>
          <w:rFonts w:ascii="Arial" w:hAnsi="Arial" w:cs="Arial"/>
          <w:sz w:val="22"/>
          <w:szCs w:val="22"/>
        </w:rPr>
        <w:t>; r</w:t>
      </w:r>
      <w:r w:rsidRPr="00F73D02">
        <w:rPr>
          <w:rFonts w:ascii="Arial" w:hAnsi="Arial" w:cs="Arial"/>
          <w:sz w:val="22"/>
          <w:szCs w:val="22"/>
        </w:rPr>
        <w:t>iver-to-sea discharge routes</w:t>
      </w:r>
      <w:r w:rsidR="00F73D02">
        <w:rPr>
          <w:rFonts w:ascii="Arial" w:hAnsi="Arial" w:cs="Arial"/>
          <w:sz w:val="22"/>
          <w:szCs w:val="22"/>
        </w:rPr>
        <w:t xml:space="preserve">; and </w:t>
      </w:r>
      <w:r w:rsidRPr="00185157">
        <w:rPr>
          <w:rFonts w:ascii="Arial" w:hAnsi="Arial" w:cs="Arial"/>
          <w:sz w:val="22"/>
          <w:szCs w:val="22"/>
        </w:rPr>
        <w:t>Gulf of Thailand circulation patterns (e.g., plastic drift, nutrient transport)</w:t>
      </w:r>
      <w:r w:rsidR="00F73D02">
        <w:rPr>
          <w:rFonts w:ascii="Arial" w:hAnsi="Arial" w:cs="Arial"/>
          <w:sz w:val="22"/>
          <w:szCs w:val="22"/>
        </w:rPr>
        <w:t xml:space="preserve">. </w:t>
      </w:r>
      <w:r w:rsidRPr="00185157">
        <w:rPr>
          <w:rFonts w:ascii="Arial" w:hAnsi="Arial" w:cs="Arial"/>
          <w:sz w:val="22"/>
          <w:szCs w:val="22"/>
        </w:rPr>
        <w:t>Transboundary analysis incorporated regional oceanographic models, especially for microplastics and nutrient dispersal toward Viet Nam and Thailand.</w:t>
      </w:r>
    </w:p>
    <w:p w:rsidR="00D81553" w:rsidRPr="00F73D02" w:rsidRDefault="00D81553" w:rsidP="00F73D02">
      <w:pPr>
        <w:pStyle w:val="Heading3"/>
        <w:numPr>
          <w:ilvl w:val="2"/>
          <w:numId w:val="45"/>
        </w:numPr>
        <w:adjustRightInd w:val="0"/>
        <w:snapToGrid w:val="0"/>
        <w:spacing w:before="240" w:after="240"/>
        <w:rPr>
          <w:rFonts w:ascii="Arial" w:hAnsi="Arial" w:cs="Arial"/>
          <w:b/>
          <w:bCs/>
          <w:color w:val="000000" w:themeColor="text1"/>
        </w:rPr>
      </w:pPr>
      <w:bookmarkStart w:id="34" w:name="_Toc217231863"/>
      <w:r w:rsidRPr="00F73D02">
        <w:rPr>
          <w:rFonts w:ascii="Arial" w:hAnsi="Arial" w:cs="Arial"/>
          <w:b/>
          <w:bCs/>
          <w:color w:val="000000" w:themeColor="text1"/>
        </w:rPr>
        <w:t>Limitations</w:t>
      </w:r>
      <w:bookmarkEnd w:id="34"/>
    </w:p>
    <w:p w:rsidR="00D81553" w:rsidRPr="00391BA7" w:rsidRDefault="00D81553" w:rsidP="00035E8B">
      <w:pPr>
        <w:pStyle w:val="NormalWeb"/>
        <w:adjustRightInd w:val="0"/>
        <w:snapToGrid w:val="0"/>
        <w:spacing w:before="120" w:beforeAutospacing="0" w:after="120" w:afterAutospacing="0"/>
        <w:jc w:val="both"/>
        <w:rPr>
          <w:rFonts w:ascii="Arial" w:hAnsi="Arial" w:cs="Arial"/>
          <w:sz w:val="22"/>
          <w:szCs w:val="22"/>
        </w:rPr>
      </w:pPr>
      <w:r w:rsidRPr="00185157">
        <w:rPr>
          <w:rFonts w:ascii="Arial" w:hAnsi="Arial" w:cs="Arial"/>
          <w:sz w:val="22"/>
          <w:szCs w:val="22"/>
        </w:rPr>
        <w:t xml:space="preserve">Key </w:t>
      </w:r>
      <w:r w:rsidR="00F73D02">
        <w:rPr>
          <w:rFonts w:ascii="Arial" w:hAnsi="Arial" w:cs="Arial"/>
          <w:sz w:val="22"/>
          <w:szCs w:val="22"/>
        </w:rPr>
        <w:t xml:space="preserve">gaps and </w:t>
      </w:r>
      <w:r w:rsidRPr="00185157">
        <w:rPr>
          <w:rFonts w:ascii="Arial" w:hAnsi="Arial" w:cs="Arial"/>
          <w:sz w:val="22"/>
          <w:szCs w:val="22"/>
        </w:rPr>
        <w:t>limitations included:</w:t>
      </w:r>
      <w:r w:rsidR="00F73D02">
        <w:rPr>
          <w:rFonts w:ascii="Arial" w:hAnsi="Arial" w:cs="Arial"/>
          <w:sz w:val="22"/>
          <w:szCs w:val="22"/>
        </w:rPr>
        <w:t xml:space="preserve"> i</w:t>
      </w:r>
      <w:r w:rsidRPr="00185157">
        <w:rPr>
          <w:rFonts w:ascii="Arial" w:hAnsi="Arial" w:cs="Arial"/>
          <w:sz w:val="22"/>
          <w:szCs w:val="22"/>
        </w:rPr>
        <w:t>nconsistent monitoring frequencies between agencies</w:t>
      </w:r>
      <w:r w:rsidR="00F73D02">
        <w:rPr>
          <w:rFonts w:ascii="Arial" w:hAnsi="Arial" w:cs="Arial"/>
          <w:sz w:val="22"/>
          <w:szCs w:val="22"/>
        </w:rPr>
        <w:t xml:space="preserve">; </w:t>
      </w:r>
      <w:r w:rsidRPr="00185157">
        <w:rPr>
          <w:rFonts w:ascii="Arial" w:hAnsi="Arial" w:cs="Arial"/>
          <w:sz w:val="22"/>
          <w:szCs w:val="22"/>
        </w:rPr>
        <w:t>Gaps in microplastics, pesticides, antibiotics, and emerging contaminants</w:t>
      </w:r>
      <w:r w:rsidR="00F73D02">
        <w:rPr>
          <w:rFonts w:ascii="Arial" w:hAnsi="Arial" w:cs="Arial"/>
          <w:sz w:val="22"/>
          <w:szCs w:val="22"/>
        </w:rPr>
        <w:t>; l</w:t>
      </w:r>
      <w:r w:rsidRPr="00185157">
        <w:rPr>
          <w:rFonts w:ascii="Arial" w:hAnsi="Arial" w:cs="Arial"/>
          <w:sz w:val="22"/>
          <w:szCs w:val="22"/>
        </w:rPr>
        <w:t>imited long-term time series for estuarine and coastal stations</w:t>
      </w:r>
      <w:r w:rsidR="00F73D02">
        <w:rPr>
          <w:rFonts w:ascii="Arial" w:hAnsi="Arial" w:cs="Arial"/>
          <w:sz w:val="22"/>
          <w:szCs w:val="22"/>
        </w:rPr>
        <w:t>; a</w:t>
      </w:r>
      <w:r w:rsidRPr="00185157">
        <w:rPr>
          <w:rFonts w:ascii="Arial" w:hAnsi="Arial" w:cs="Arial"/>
          <w:sz w:val="22"/>
          <w:szCs w:val="22"/>
        </w:rPr>
        <w:t>bsence of publicly available WWTP discharge data from SEZs and ports</w:t>
      </w:r>
      <w:r w:rsidR="00F73D02">
        <w:rPr>
          <w:rFonts w:ascii="Arial" w:hAnsi="Arial" w:cs="Arial"/>
          <w:sz w:val="22"/>
          <w:szCs w:val="22"/>
        </w:rPr>
        <w:t>; d</w:t>
      </w:r>
      <w:r w:rsidRPr="00185157">
        <w:rPr>
          <w:rFonts w:ascii="Arial" w:hAnsi="Arial" w:cs="Arial"/>
          <w:sz w:val="22"/>
          <w:szCs w:val="22"/>
        </w:rPr>
        <w:t>ifferences in laboratory methods across datasets (MoE vs. MRC vs. JICA)</w:t>
      </w:r>
      <w:r w:rsidR="00F73D02">
        <w:rPr>
          <w:rFonts w:ascii="Arial" w:hAnsi="Arial" w:cs="Arial"/>
          <w:sz w:val="22"/>
          <w:szCs w:val="22"/>
        </w:rPr>
        <w:t xml:space="preserve">. </w:t>
      </w:r>
      <w:r w:rsidRPr="00185157">
        <w:rPr>
          <w:rFonts w:ascii="Arial" w:hAnsi="Arial" w:cs="Arial"/>
          <w:sz w:val="22"/>
          <w:szCs w:val="22"/>
        </w:rPr>
        <w:t>These constraints were addressed through triangulation, median-value extraction, and RQ/WQI screening to support a defensible TDA-level diagnostic.</w:t>
      </w:r>
    </w:p>
    <w:bookmarkEnd w:id="3"/>
    <w:bookmarkEnd w:id="4"/>
    <w:p w:rsidR="00CD2D9E" w:rsidRDefault="000D63B8" w:rsidP="0021379C">
      <w:pPr>
        <w:pStyle w:val="Heading1"/>
        <w:rPr>
          <w:sz w:val="22"/>
          <w:szCs w:val="22"/>
        </w:rPr>
      </w:pPr>
      <w:r w:rsidRPr="003D13CD">
        <w:rPr>
          <w:sz w:val="22"/>
          <w:szCs w:val="22"/>
        </w:rPr>
        <w:br w:type="column"/>
      </w:r>
      <w:bookmarkStart w:id="35" w:name="_Toc217231864"/>
      <w:r w:rsidR="00CD2D9E" w:rsidRPr="00CD2D9E">
        <w:rPr>
          <w:rStyle w:val="Strong"/>
          <w:b/>
          <w:bCs/>
        </w:rPr>
        <w:t>Glossary</w:t>
      </w:r>
      <w:bookmarkEnd w:id="35"/>
      <w:r w:rsidR="00CD2D9E">
        <w:rPr>
          <w:sz w:val="22"/>
          <w:szCs w:val="22"/>
        </w:rPr>
        <w:t xml:space="preserve"> </w:t>
      </w:r>
    </w:p>
    <w:p w:rsidR="00CD2D9E" w:rsidRPr="00CD2D9E" w:rsidRDefault="00CD2D9E" w:rsidP="00CD2D9E"/>
    <w:tbl>
      <w:tblPr>
        <w:tblStyle w:val="GridTable4-Accent5"/>
        <w:tblW w:w="0" w:type="auto"/>
        <w:tblLook w:val="04A0" w:firstRow="1" w:lastRow="0" w:firstColumn="1" w:lastColumn="0" w:noHBand="0" w:noVBand="1"/>
      </w:tblPr>
      <w:tblGrid>
        <w:gridCol w:w="1650"/>
        <w:gridCol w:w="7229"/>
      </w:tblGrid>
      <w:tr w:rsidR="001413D2" w:rsidRPr="001413D2" w:rsidTr="001413D2">
        <w:trPr>
          <w:cnfStyle w:val="100000000000" w:firstRow="1" w:lastRow="0" w:firstColumn="0" w:lastColumn="0" w:oddVBand="0" w:evenVBand="0" w:oddHBand="0" w:evenHBand="0" w:firstRowFirstColumn="0" w:firstRowLastColumn="0" w:lastRowFirstColumn="0" w:lastRowLastColumn="0"/>
          <w:trHeight w:val="464"/>
        </w:trPr>
        <w:tc>
          <w:tcPr>
            <w:cnfStyle w:val="001000000000" w:firstRow="0" w:lastRow="0" w:firstColumn="1" w:lastColumn="0" w:oddVBand="0" w:evenVBand="0" w:oddHBand="0" w:evenHBand="0" w:firstRowFirstColumn="0" w:firstRowLastColumn="0" w:lastRowFirstColumn="0" w:lastRowLastColumn="0"/>
            <w:tcW w:w="1555" w:type="dxa"/>
            <w:hideMark/>
          </w:tcPr>
          <w:p w:rsidR="001413D2" w:rsidRPr="00A925C8" w:rsidRDefault="001413D2" w:rsidP="001413D2">
            <w:pPr>
              <w:adjustRightInd w:val="0"/>
              <w:snapToGrid w:val="0"/>
              <w:spacing w:before="120" w:after="120"/>
              <w:jc w:val="center"/>
              <w:rPr>
                <w:rFonts w:ascii="Arial" w:hAnsi="Arial" w:cs="Arial"/>
                <w:sz w:val="20"/>
                <w:szCs w:val="20"/>
              </w:rPr>
            </w:pPr>
            <w:r w:rsidRPr="00A925C8">
              <w:rPr>
                <w:rFonts w:ascii="Arial" w:hAnsi="Arial" w:cs="Arial"/>
                <w:sz w:val="20"/>
                <w:szCs w:val="20"/>
              </w:rPr>
              <w:t>Term</w:t>
            </w:r>
          </w:p>
        </w:tc>
        <w:tc>
          <w:tcPr>
            <w:tcW w:w="7229" w:type="dxa"/>
            <w:hideMark/>
          </w:tcPr>
          <w:p w:rsidR="001413D2" w:rsidRPr="001413D2" w:rsidRDefault="001413D2" w:rsidP="001413D2">
            <w:pPr>
              <w:adjustRightInd w:val="0"/>
              <w:snapToGrid w:val="0"/>
              <w:spacing w:before="120" w:after="120"/>
              <w:jc w:val="both"/>
              <w:cnfStyle w:val="100000000000" w:firstRow="1" w:lastRow="0" w:firstColumn="0" w:lastColumn="0" w:oddVBand="0" w:evenVBand="0" w:oddHBand="0" w:evenHBand="0" w:firstRowFirstColumn="0" w:firstRowLastColumn="0" w:lastRowFirstColumn="0" w:lastRowLastColumn="0"/>
              <w:rPr>
                <w:rFonts w:ascii="Arial" w:hAnsi="Arial" w:cs="Arial"/>
                <w:sz w:val="20"/>
                <w:szCs w:val="20"/>
              </w:rPr>
            </w:pPr>
            <w:r w:rsidRPr="001413D2">
              <w:rPr>
                <w:rFonts w:ascii="Arial" w:hAnsi="Arial" w:cs="Arial"/>
                <w:sz w:val="20"/>
                <w:szCs w:val="20"/>
              </w:rPr>
              <w:t>Definition</w:t>
            </w:r>
          </w:p>
        </w:tc>
      </w:tr>
      <w:tr w:rsidR="001413D2" w:rsidRPr="001413D2" w:rsidTr="001413D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55" w:type="dxa"/>
            <w:hideMark/>
          </w:tcPr>
          <w:p w:rsidR="001413D2" w:rsidRPr="00A925C8" w:rsidRDefault="001413D2" w:rsidP="001413D2">
            <w:pPr>
              <w:adjustRightInd w:val="0"/>
              <w:snapToGrid w:val="0"/>
              <w:spacing w:before="120" w:after="120"/>
              <w:rPr>
                <w:rFonts w:ascii="Arial" w:hAnsi="Arial" w:cs="Arial"/>
                <w:b w:val="0"/>
                <w:bCs w:val="0"/>
                <w:sz w:val="20"/>
                <w:szCs w:val="20"/>
              </w:rPr>
            </w:pPr>
            <w:r w:rsidRPr="00A925C8">
              <w:rPr>
                <w:rStyle w:val="Strong"/>
                <w:rFonts w:ascii="Arial" w:hAnsi="Arial" w:cs="Arial"/>
                <w:b/>
                <w:bCs/>
                <w:sz w:val="20"/>
                <w:szCs w:val="20"/>
              </w:rPr>
              <w:t>AMR (Antimicrobial resistance)</w:t>
            </w:r>
          </w:p>
        </w:tc>
        <w:tc>
          <w:tcPr>
            <w:tcW w:w="7229" w:type="dxa"/>
            <w:hideMark/>
          </w:tcPr>
          <w:p w:rsidR="001413D2" w:rsidRPr="001413D2" w:rsidRDefault="001413D2" w:rsidP="001413D2">
            <w:pPr>
              <w:adjustRightInd w:val="0"/>
              <w:snapToGrid w:val="0"/>
              <w:spacing w:before="120" w:after="120"/>
              <w:jc w:val="both"/>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1413D2">
              <w:rPr>
                <w:rFonts w:ascii="Arial" w:hAnsi="Arial" w:cs="Arial"/>
                <w:sz w:val="20"/>
                <w:szCs w:val="20"/>
              </w:rPr>
              <w:t>When microorganisms (e.g., bacteria, viruses, fungi, parasites) change over time and no longer respond to antimicrobial medicines, making infections harder to treat.</w:t>
            </w:r>
          </w:p>
        </w:tc>
      </w:tr>
      <w:tr w:rsidR="001413D2" w:rsidRPr="001413D2" w:rsidTr="001413D2">
        <w:tc>
          <w:tcPr>
            <w:cnfStyle w:val="001000000000" w:firstRow="0" w:lastRow="0" w:firstColumn="1" w:lastColumn="0" w:oddVBand="0" w:evenVBand="0" w:oddHBand="0" w:evenHBand="0" w:firstRowFirstColumn="0" w:firstRowLastColumn="0" w:lastRowFirstColumn="0" w:lastRowLastColumn="0"/>
            <w:tcW w:w="1555" w:type="dxa"/>
            <w:hideMark/>
          </w:tcPr>
          <w:p w:rsidR="001413D2" w:rsidRPr="00A925C8" w:rsidRDefault="001413D2" w:rsidP="001413D2">
            <w:pPr>
              <w:adjustRightInd w:val="0"/>
              <w:snapToGrid w:val="0"/>
              <w:spacing w:before="120" w:after="120"/>
              <w:rPr>
                <w:rFonts w:ascii="Arial" w:hAnsi="Arial" w:cs="Arial"/>
                <w:b w:val="0"/>
                <w:bCs w:val="0"/>
                <w:sz w:val="20"/>
                <w:szCs w:val="20"/>
              </w:rPr>
            </w:pPr>
            <w:r w:rsidRPr="00A925C8">
              <w:rPr>
                <w:rStyle w:val="Strong"/>
                <w:rFonts w:ascii="Arial" w:hAnsi="Arial" w:cs="Arial"/>
                <w:b/>
                <w:bCs/>
                <w:sz w:val="20"/>
                <w:szCs w:val="20"/>
              </w:rPr>
              <w:t>BOD (Biochemical Oxygen Demand)</w:t>
            </w:r>
          </w:p>
        </w:tc>
        <w:tc>
          <w:tcPr>
            <w:tcW w:w="7229" w:type="dxa"/>
            <w:hideMark/>
          </w:tcPr>
          <w:p w:rsidR="001413D2" w:rsidRPr="001413D2" w:rsidRDefault="001413D2" w:rsidP="001413D2">
            <w:pPr>
              <w:adjustRightInd w:val="0"/>
              <w:snapToGrid w:val="0"/>
              <w:spacing w:before="120" w:after="120"/>
              <w:jc w:val="both"/>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1413D2">
              <w:rPr>
                <w:rFonts w:ascii="Arial" w:hAnsi="Arial" w:cs="Arial"/>
                <w:sz w:val="20"/>
                <w:szCs w:val="20"/>
              </w:rPr>
              <w:t>The amount of oxygen consumed by microorganisms as they decompose organic matter under aerobic conditions (used as an indicator of organic pollution).</w:t>
            </w:r>
          </w:p>
        </w:tc>
      </w:tr>
      <w:tr w:rsidR="001413D2" w:rsidRPr="001413D2" w:rsidTr="001413D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55" w:type="dxa"/>
            <w:hideMark/>
          </w:tcPr>
          <w:p w:rsidR="001413D2" w:rsidRPr="00A925C8" w:rsidRDefault="001413D2" w:rsidP="001413D2">
            <w:pPr>
              <w:adjustRightInd w:val="0"/>
              <w:snapToGrid w:val="0"/>
              <w:spacing w:before="120" w:after="120"/>
              <w:rPr>
                <w:rFonts w:ascii="Arial" w:hAnsi="Arial" w:cs="Arial"/>
                <w:b w:val="0"/>
                <w:bCs w:val="0"/>
                <w:sz w:val="20"/>
                <w:szCs w:val="20"/>
              </w:rPr>
            </w:pPr>
            <w:r w:rsidRPr="00A925C8">
              <w:rPr>
                <w:rStyle w:val="Strong"/>
                <w:rFonts w:ascii="Arial" w:hAnsi="Arial" w:cs="Arial"/>
                <w:b/>
                <w:bCs/>
                <w:sz w:val="20"/>
                <w:szCs w:val="20"/>
              </w:rPr>
              <w:t>Carrying capacity (aquaculture/ embayment)</w:t>
            </w:r>
          </w:p>
        </w:tc>
        <w:tc>
          <w:tcPr>
            <w:tcW w:w="7229" w:type="dxa"/>
            <w:hideMark/>
          </w:tcPr>
          <w:p w:rsidR="001413D2" w:rsidRPr="001413D2" w:rsidRDefault="001413D2" w:rsidP="001413D2">
            <w:pPr>
              <w:adjustRightInd w:val="0"/>
              <w:snapToGrid w:val="0"/>
              <w:spacing w:before="120" w:after="120"/>
              <w:jc w:val="both"/>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1413D2">
              <w:rPr>
                <w:rFonts w:ascii="Arial" w:hAnsi="Arial" w:cs="Arial"/>
                <w:sz w:val="20"/>
                <w:szCs w:val="20"/>
              </w:rPr>
              <w:t>The upper level of aquaculture production or resource use that can be sustained over the long term without unacceptable ecological or social impacts (“unacceptable change”).</w:t>
            </w:r>
          </w:p>
        </w:tc>
      </w:tr>
      <w:tr w:rsidR="001413D2" w:rsidRPr="001413D2" w:rsidTr="001413D2">
        <w:tc>
          <w:tcPr>
            <w:cnfStyle w:val="001000000000" w:firstRow="0" w:lastRow="0" w:firstColumn="1" w:lastColumn="0" w:oddVBand="0" w:evenVBand="0" w:oddHBand="0" w:evenHBand="0" w:firstRowFirstColumn="0" w:firstRowLastColumn="0" w:lastRowFirstColumn="0" w:lastRowLastColumn="0"/>
            <w:tcW w:w="1555" w:type="dxa"/>
          </w:tcPr>
          <w:p w:rsidR="001413D2" w:rsidRPr="00A925C8" w:rsidRDefault="001413D2" w:rsidP="001413D2">
            <w:pPr>
              <w:adjustRightInd w:val="0"/>
              <w:snapToGrid w:val="0"/>
              <w:spacing w:before="120" w:after="120"/>
              <w:rPr>
                <w:rStyle w:val="Strong"/>
                <w:rFonts w:ascii="Arial" w:hAnsi="Arial" w:cs="Arial"/>
                <w:b/>
                <w:bCs/>
                <w:sz w:val="20"/>
                <w:szCs w:val="20"/>
              </w:rPr>
            </w:pPr>
            <w:r w:rsidRPr="00A925C8">
              <w:rPr>
                <w:rStyle w:val="Strong"/>
                <w:rFonts w:ascii="Arial" w:hAnsi="Arial" w:cs="Arial"/>
                <w:b/>
                <w:bCs/>
                <w:sz w:val="20"/>
                <w:szCs w:val="20"/>
              </w:rPr>
              <w:t>Centralized wastewater treatment plant</w:t>
            </w:r>
          </w:p>
        </w:tc>
        <w:tc>
          <w:tcPr>
            <w:tcW w:w="7229" w:type="dxa"/>
          </w:tcPr>
          <w:p w:rsidR="001413D2" w:rsidRPr="001413D2" w:rsidRDefault="001413D2" w:rsidP="001413D2">
            <w:pPr>
              <w:adjustRightInd w:val="0"/>
              <w:snapToGrid w:val="0"/>
              <w:spacing w:before="120" w:after="120"/>
              <w:jc w:val="both"/>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1413D2">
              <w:rPr>
                <w:rFonts w:ascii="Arial" w:hAnsi="Arial" w:cs="Arial"/>
                <w:sz w:val="20"/>
                <w:szCs w:val="20"/>
              </w:rPr>
              <w:t>The wastewater treatment facility in town, capital, provinces, cities, districts, or khans</w:t>
            </w:r>
          </w:p>
        </w:tc>
      </w:tr>
      <w:tr w:rsidR="001413D2" w:rsidRPr="001413D2" w:rsidTr="001413D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55" w:type="dxa"/>
            <w:hideMark/>
          </w:tcPr>
          <w:p w:rsidR="001413D2" w:rsidRPr="00A925C8" w:rsidRDefault="001413D2" w:rsidP="001413D2">
            <w:pPr>
              <w:adjustRightInd w:val="0"/>
              <w:snapToGrid w:val="0"/>
              <w:spacing w:before="120" w:after="120"/>
              <w:rPr>
                <w:rFonts w:ascii="Arial" w:hAnsi="Arial" w:cs="Arial"/>
                <w:b w:val="0"/>
                <w:bCs w:val="0"/>
                <w:sz w:val="20"/>
                <w:szCs w:val="20"/>
              </w:rPr>
            </w:pPr>
            <w:r w:rsidRPr="00A925C8">
              <w:rPr>
                <w:rStyle w:val="Strong"/>
                <w:rFonts w:ascii="Arial" w:hAnsi="Arial" w:cs="Arial"/>
                <w:b/>
                <w:bCs/>
                <w:sz w:val="20"/>
                <w:szCs w:val="20"/>
              </w:rPr>
              <w:t>COD (Chemical Oxygen Demand)</w:t>
            </w:r>
          </w:p>
        </w:tc>
        <w:tc>
          <w:tcPr>
            <w:tcW w:w="7229" w:type="dxa"/>
            <w:hideMark/>
          </w:tcPr>
          <w:p w:rsidR="001413D2" w:rsidRPr="001413D2" w:rsidRDefault="001413D2" w:rsidP="001413D2">
            <w:pPr>
              <w:adjustRightInd w:val="0"/>
              <w:snapToGrid w:val="0"/>
              <w:spacing w:before="120" w:after="120"/>
              <w:jc w:val="both"/>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1413D2">
              <w:rPr>
                <w:rFonts w:ascii="Arial" w:hAnsi="Arial" w:cs="Arial"/>
                <w:sz w:val="20"/>
                <w:szCs w:val="20"/>
              </w:rPr>
              <w:t>A measure of chemically oxidizable material in water, approximating the amount of organic/reducing material present.</w:t>
            </w:r>
          </w:p>
        </w:tc>
      </w:tr>
      <w:tr w:rsidR="001413D2" w:rsidRPr="001413D2" w:rsidTr="001413D2">
        <w:tc>
          <w:tcPr>
            <w:cnfStyle w:val="001000000000" w:firstRow="0" w:lastRow="0" w:firstColumn="1" w:lastColumn="0" w:oddVBand="0" w:evenVBand="0" w:oddHBand="0" w:evenHBand="0" w:firstRowFirstColumn="0" w:firstRowLastColumn="0" w:lastRowFirstColumn="0" w:lastRowLastColumn="0"/>
            <w:tcW w:w="1555" w:type="dxa"/>
            <w:hideMark/>
          </w:tcPr>
          <w:p w:rsidR="001413D2" w:rsidRPr="00A925C8" w:rsidRDefault="001413D2" w:rsidP="001413D2">
            <w:pPr>
              <w:adjustRightInd w:val="0"/>
              <w:snapToGrid w:val="0"/>
              <w:spacing w:before="120" w:after="120"/>
              <w:rPr>
                <w:rFonts w:ascii="Arial" w:hAnsi="Arial" w:cs="Arial"/>
                <w:b w:val="0"/>
                <w:bCs w:val="0"/>
                <w:sz w:val="20"/>
                <w:szCs w:val="20"/>
              </w:rPr>
            </w:pPr>
            <w:r w:rsidRPr="00A925C8">
              <w:rPr>
                <w:rStyle w:val="Strong"/>
                <w:rFonts w:ascii="Arial" w:hAnsi="Arial" w:cs="Arial"/>
                <w:b/>
                <w:bCs/>
                <w:sz w:val="20"/>
                <w:szCs w:val="20"/>
              </w:rPr>
              <w:t>Deposit-refund / Deposit-return system (DRS)</w:t>
            </w:r>
          </w:p>
        </w:tc>
        <w:tc>
          <w:tcPr>
            <w:tcW w:w="7229" w:type="dxa"/>
            <w:hideMark/>
          </w:tcPr>
          <w:p w:rsidR="001413D2" w:rsidRPr="001413D2" w:rsidRDefault="001413D2" w:rsidP="001413D2">
            <w:pPr>
              <w:adjustRightInd w:val="0"/>
              <w:snapToGrid w:val="0"/>
              <w:spacing w:before="120" w:after="120"/>
              <w:jc w:val="both"/>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1413D2">
              <w:rPr>
                <w:rFonts w:ascii="Arial" w:hAnsi="Arial" w:cs="Arial"/>
                <w:sz w:val="20"/>
                <w:szCs w:val="20"/>
              </w:rPr>
              <w:t>A surcharge (deposit) added to the price of potentially polluting products that is refunded when the product/packaging is returned, helping prevent pollution.</w:t>
            </w:r>
          </w:p>
        </w:tc>
      </w:tr>
      <w:tr w:rsidR="001413D2" w:rsidRPr="001413D2" w:rsidTr="001413D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55" w:type="dxa"/>
            <w:hideMark/>
          </w:tcPr>
          <w:p w:rsidR="001413D2" w:rsidRPr="00A925C8" w:rsidRDefault="001413D2" w:rsidP="001413D2">
            <w:pPr>
              <w:adjustRightInd w:val="0"/>
              <w:snapToGrid w:val="0"/>
              <w:spacing w:before="120" w:after="120"/>
              <w:rPr>
                <w:rFonts w:ascii="Arial" w:hAnsi="Arial" w:cs="Arial"/>
                <w:b w:val="0"/>
                <w:bCs w:val="0"/>
                <w:sz w:val="20"/>
                <w:szCs w:val="20"/>
              </w:rPr>
            </w:pPr>
            <w:r w:rsidRPr="00A925C8">
              <w:rPr>
                <w:rStyle w:val="Strong"/>
                <w:rFonts w:ascii="Arial" w:hAnsi="Arial" w:cs="Arial"/>
                <w:b/>
                <w:bCs/>
                <w:sz w:val="20"/>
                <w:szCs w:val="20"/>
              </w:rPr>
              <w:t>E. coli (faecal indicator organism)</w:t>
            </w:r>
          </w:p>
        </w:tc>
        <w:tc>
          <w:tcPr>
            <w:tcW w:w="7229" w:type="dxa"/>
            <w:hideMark/>
          </w:tcPr>
          <w:p w:rsidR="001413D2" w:rsidRPr="001413D2" w:rsidRDefault="001413D2" w:rsidP="001413D2">
            <w:pPr>
              <w:adjustRightInd w:val="0"/>
              <w:snapToGrid w:val="0"/>
              <w:spacing w:before="120" w:after="120"/>
              <w:jc w:val="both"/>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1413D2">
              <w:rPr>
                <w:rFonts w:ascii="Arial" w:hAnsi="Arial" w:cs="Arial"/>
                <w:sz w:val="20"/>
                <w:szCs w:val="20"/>
              </w:rPr>
              <w:t>Considered the most suitable indicator of faecal contamination in drinking-water; should not be detectable in 100 ml in water intended for drinking.</w:t>
            </w:r>
          </w:p>
        </w:tc>
      </w:tr>
      <w:tr w:rsidR="001413D2" w:rsidRPr="001413D2" w:rsidTr="001413D2">
        <w:tc>
          <w:tcPr>
            <w:cnfStyle w:val="001000000000" w:firstRow="0" w:lastRow="0" w:firstColumn="1" w:lastColumn="0" w:oddVBand="0" w:evenVBand="0" w:oddHBand="0" w:evenHBand="0" w:firstRowFirstColumn="0" w:firstRowLastColumn="0" w:lastRowFirstColumn="0" w:lastRowLastColumn="0"/>
            <w:tcW w:w="1555" w:type="dxa"/>
            <w:hideMark/>
          </w:tcPr>
          <w:p w:rsidR="001413D2" w:rsidRPr="00A925C8" w:rsidRDefault="001413D2" w:rsidP="001413D2">
            <w:pPr>
              <w:adjustRightInd w:val="0"/>
              <w:snapToGrid w:val="0"/>
              <w:spacing w:before="120" w:after="120"/>
              <w:rPr>
                <w:rFonts w:ascii="Arial" w:hAnsi="Arial" w:cs="Arial"/>
                <w:b w:val="0"/>
                <w:bCs w:val="0"/>
                <w:sz w:val="20"/>
                <w:szCs w:val="20"/>
              </w:rPr>
            </w:pPr>
            <w:r w:rsidRPr="00A925C8">
              <w:rPr>
                <w:rStyle w:val="Strong"/>
                <w:rFonts w:ascii="Arial" w:hAnsi="Arial" w:cs="Arial"/>
                <w:b/>
                <w:bCs/>
                <w:sz w:val="20"/>
                <w:szCs w:val="20"/>
              </w:rPr>
              <w:t>EPR (Extended Producer Responsibility)</w:t>
            </w:r>
          </w:p>
        </w:tc>
        <w:tc>
          <w:tcPr>
            <w:tcW w:w="7229" w:type="dxa"/>
            <w:hideMark/>
          </w:tcPr>
          <w:p w:rsidR="001413D2" w:rsidRPr="001413D2" w:rsidRDefault="001413D2" w:rsidP="001413D2">
            <w:pPr>
              <w:adjustRightInd w:val="0"/>
              <w:snapToGrid w:val="0"/>
              <w:spacing w:before="120" w:after="120"/>
              <w:jc w:val="both"/>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1413D2">
              <w:rPr>
                <w:rFonts w:ascii="Arial" w:hAnsi="Arial" w:cs="Arial"/>
                <w:sz w:val="20"/>
                <w:szCs w:val="20"/>
              </w:rPr>
              <w:t>A policy approach that makes producers responsible for their products across the lifecycle, including the post-consumer stage (shifting responsibility upstream).</w:t>
            </w:r>
          </w:p>
        </w:tc>
      </w:tr>
      <w:tr w:rsidR="001413D2" w:rsidRPr="001413D2" w:rsidTr="001413D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55" w:type="dxa"/>
            <w:hideMark/>
          </w:tcPr>
          <w:p w:rsidR="001413D2" w:rsidRPr="00A925C8" w:rsidRDefault="001413D2" w:rsidP="001413D2">
            <w:pPr>
              <w:adjustRightInd w:val="0"/>
              <w:snapToGrid w:val="0"/>
              <w:spacing w:before="120" w:after="120"/>
              <w:rPr>
                <w:rFonts w:ascii="Arial" w:hAnsi="Arial" w:cs="Arial"/>
                <w:b w:val="0"/>
                <w:bCs w:val="0"/>
                <w:sz w:val="20"/>
                <w:szCs w:val="20"/>
              </w:rPr>
            </w:pPr>
            <w:r w:rsidRPr="00A925C8">
              <w:rPr>
                <w:rStyle w:val="Strong"/>
                <w:rFonts w:ascii="Arial" w:hAnsi="Arial" w:cs="Arial"/>
                <w:b/>
                <w:bCs/>
                <w:sz w:val="20"/>
                <w:szCs w:val="20"/>
              </w:rPr>
              <w:t>Eutrophication</w:t>
            </w:r>
          </w:p>
        </w:tc>
        <w:tc>
          <w:tcPr>
            <w:tcW w:w="7229" w:type="dxa"/>
            <w:hideMark/>
          </w:tcPr>
          <w:p w:rsidR="001413D2" w:rsidRPr="001413D2" w:rsidRDefault="001413D2" w:rsidP="001413D2">
            <w:pPr>
              <w:adjustRightInd w:val="0"/>
              <w:snapToGrid w:val="0"/>
              <w:spacing w:before="120" w:after="120"/>
              <w:jc w:val="both"/>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1413D2">
              <w:rPr>
                <w:rFonts w:ascii="Arial" w:hAnsi="Arial" w:cs="Arial"/>
                <w:sz w:val="20"/>
                <w:szCs w:val="20"/>
              </w:rPr>
              <w:t>Enrichment of water by nutrients (especially nitrogen and/or phosphorus) that accelerates algal/plant growth and disturbs ecosystem balance and water quality.</w:t>
            </w:r>
          </w:p>
        </w:tc>
      </w:tr>
      <w:tr w:rsidR="001413D2" w:rsidRPr="001413D2" w:rsidTr="001413D2">
        <w:tc>
          <w:tcPr>
            <w:cnfStyle w:val="001000000000" w:firstRow="0" w:lastRow="0" w:firstColumn="1" w:lastColumn="0" w:oddVBand="0" w:evenVBand="0" w:oddHBand="0" w:evenHBand="0" w:firstRowFirstColumn="0" w:firstRowLastColumn="0" w:lastRowFirstColumn="0" w:lastRowLastColumn="0"/>
            <w:tcW w:w="1555" w:type="dxa"/>
            <w:hideMark/>
          </w:tcPr>
          <w:p w:rsidR="001413D2" w:rsidRPr="00A925C8" w:rsidRDefault="001413D2" w:rsidP="001413D2">
            <w:pPr>
              <w:adjustRightInd w:val="0"/>
              <w:snapToGrid w:val="0"/>
              <w:spacing w:before="120" w:after="120"/>
              <w:rPr>
                <w:rFonts w:ascii="Arial" w:hAnsi="Arial" w:cs="Arial"/>
                <w:b w:val="0"/>
                <w:bCs w:val="0"/>
                <w:sz w:val="20"/>
                <w:szCs w:val="20"/>
              </w:rPr>
            </w:pPr>
            <w:r w:rsidRPr="00A925C8">
              <w:rPr>
                <w:rStyle w:val="Strong"/>
                <w:rFonts w:ascii="Arial" w:hAnsi="Arial" w:cs="Arial"/>
                <w:b/>
                <w:bCs/>
                <w:sz w:val="20"/>
                <w:szCs w:val="20"/>
              </w:rPr>
              <w:t>Hazardous waste</w:t>
            </w:r>
          </w:p>
        </w:tc>
        <w:tc>
          <w:tcPr>
            <w:tcW w:w="7229" w:type="dxa"/>
            <w:hideMark/>
          </w:tcPr>
          <w:p w:rsidR="001413D2" w:rsidRPr="001413D2" w:rsidRDefault="001413D2" w:rsidP="001413D2">
            <w:pPr>
              <w:adjustRightInd w:val="0"/>
              <w:snapToGrid w:val="0"/>
              <w:spacing w:before="120" w:after="120"/>
              <w:jc w:val="both"/>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1413D2">
              <w:rPr>
                <w:rFonts w:ascii="Arial" w:hAnsi="Arial" w:cs="Arial"/>
                <w:sz w:val="20"/>
                <w:szCs w:val="20"/>
              </w:rPr>
              <w:t>Solids, liquids, gases, radioactive substances, explosives, inflammable substances, infectious substances, or substances causing inflammation, rust, oxidation, pollution, cancer or other pollutants causing danger to humans,</w:t>
            </w:r>
            <w:r>
              <w:rPr>
                <w:rFonts w:ascii="Arial" w:hAnsi="Arial" w:cs="Arial"/>
                <w:sz w:val="20"/>
                <w:szCs w:val="20"/>
              </w:rPr>
              <w:t xml:space="preserve"> </w:t>
            </w:r>
            <w:r w:rsidRPr="001413D2">
              <w:rPr>
                <w:rFonts w:ascii="Arial" w:hAnsi="Arial" w:cs="Arial"/>
                <w:sz w:val="20"/>
                <w:szCs w:val="20"/>
              </w:rPr>
              <w:t>animals or destruction to plants, public property and the environment. Sources of</w:t>
            </w:r>
            <w:r>
              <w:rPr>
                <w:rFonts w:ascii="Arial" w:hAnsi="Arial" w:cs="Arial"/>
                <w:sz w:val="20"/>
                <w:szCs w:val="20"/>
              </w:rPr>
              <w:t xml:space="preserve"> </w:t>
            </w:r>
            <w:r w:rsidRPr="001413D2">
              <w:rPr>
                <w:rFonts w:ascii="Arial" w:hAnsi="Arial" w:cs="Arial"/>
                <w:sz w:val="20"/>
                <w:szCs w:val="20"/>
              </w:rPr>
              <w:t>hazardous waste may be those from housing, markets, supermarkets, recreational sites, public buildings, educational institutions, business activities, services, handicrafts, factories, agricultural activities and mining activities.</w:t>
            </w:r>
          </w:p>
        </w:tc>
      </w:tr>
      <w:tr w:rsidR="001413D2" w:rsidRPr="001413D2" w:rsidTr="001413D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55" w:type="dxa"/>
            <w:hideMark/>
          </w:tcPr>
          <w:p w:rsidR="001413D2" w:rsidRPr="00A925C8" w:rsidRDefault="001413D2" w:rsidP="001413D2">
            <w:pPr>
              <w:adjustRightInd w:val="0"/>
              <w:snapToGrid w:val="0"/>
              <w:spacing w:before="120" w:after="120"/>
              <w:rPr>
                <w:rFonts w:ascii="Arial" w:hAnsi="Arial" w:cs="Arial"/>
                <w:b w:val="0"/>
                <w:bCs w:val="0"/>
                <w:sz w:val="20"/>
                <w:szCs w:val="20"/>
              </w:rPr>
            </w:pPr>
            <w:r w:rsidRPr="00A925C8">
              <w:rPr>
                <w:rStyle w:val="Strong"/>
                <w:rFonts w:ascii="Arial" w:hAnsi="Arial" w:cs="Arial"/>
                <w:b/>
                <w:bCs/>
                <w:sz w:val="20"/>
                <w:szCs w:val="20"/>
              </w:rPr>
              <w:t>Landfill</w:t>
            </w:r>
          </w:p>
        </w:tc>
        <w:tc>
          <w:tcPr>
            <w:tcW w:w="7229" w:type="dxa"/>
            <w:hideMark/>
          </w:tcPr>
          <w:p w:rsidR="001413D2" w:rsidRPr="001413D2" w:rsidRDefault="001413D2" w:rsidP="001413D2">
            <w:pPr>
              <w:adjustRightInd w:val="0"/>
              <w:snapToGrid w:val="0"/>
              <w:spacing w:before="120" w:after="120"/>
              <w:jc w:val="both"/>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1413D2">
              <w:rPr>
                <w:rFonts w:ascii="Arial" w:hAnsi="Arial" w:cs="Arial"/>
                <w:sz w:val="20"/>
                <w:szCs w:val="20"/>
              </w:rPr>
              <w:t>Any place/site determined by authority or prepared, in compliance with environmental safety measures, for disposal of garbage and solid waste of</w:t>
            </w:r>
            <w:r>
              <w:rPr>
                <w:rFonts w:ascii="Arial" w:hAnsi="Arial" w:cs="Arial"/>
                <w:sz w:val="20"/>
                <w:szCs w:val="20"/>
              </w:rPr>
              <w:t xml:space="preserve"> </w:t>
            </w:r>
            <w:r w:rsidRPr="001413D2">
              <w:rPr>
                <w:rFonts w:ascii="Arial" w:hAnsi="Arial" w:cs="Arial"/>
                <w:sz w:val="20"/>
                <w:szCs w:val="20"/>
              </w:rPr>
              <w:t>downtowns.</w:t>
            </w:r>
          </w:p>
        </w:tc>
      </w:tr>
      <w:tr w:rsidR="001413D2" w:rsidRPr="001413D2" w:rsidTr="001413D2">
        <w:tc>
          <w:tcPr>
            <w:cnfStyle w:val="001000000000" w:firstRow="0" w:lastRow="0" w:firstColumn="1" w:lastColumn="0" w:oddVBand="0" w:evenVBand="0" w:oddHBand="0" w:evenHBand="0" w:firstRowFirstColumn="0" w:firstRowLastColumn="0" w:lastRowFirstColumn="0" w:lastRowLastColumn="0"/>
            <w:tcW w:w="1555" w:type="dxa"/>
            <w:hideMark/>
          </w:tcPr>
          <w:p w:rsidR="001413D2" w:rsidRPr="00A925C8" w:rsidRDefault="001413D2" w:rsidP="001413D2">
            <w:pPr>
              <w:adjustRightInd w:val="0"/>
              <w:snapToGrid w:val="0"/>
              <w:spacing w:before="120" w:after="120"/>
              <w:rPr>
                <w:rFonts w:ascii="Arial" w:hAnsi="Arial" w:cs="Arial"/>
                <w:b w:val="0"/>
                <w:bCs w:val="0"/>
                <w:sz w:val="20"/>
                <w:szCs w:val="20"/>
              </w:rPr>
            </w:pPr>
            <w:r w:rsidRPr="00A925C8">
              <w:rPr>
                <w:rStyle w:val="Strong"/>
                <w:rFonts w:ascii="Arial" w:hAnsi="Arial" w:cs="Arial"/>
                <w:b/>
                <w:bCs/>
                <w:sz w:val="20"/>
                <w:szCs w:val="20"/>
              </w:rPr>
              <w:t xml:space="preserve">Liquid-waste </w:t>
            </w:r>
          </w:p>
        </w:tc>
        <w:tc>
          <w:tcPr>
            <w:tcW w:w="7229" w:type="dxa"/>
            <w:hideMark/>
          </w:tcPr>
          <w:p w:rsidR="001413D2" w:rsidRPr="001413D2" w:rsidRDefault="001413D2" w:rsidP="001413D2">
            <w:pPr>
              <w:adjustRightInd w:val="0"/>
              <w:snapToGrid w:val="0"/>
              <w:spacing w:before="120" w:after="120"/>
              <w:jc w:val="both"/>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1413D2">
              <w:rPr>
                <w:rFonts w:ascii="Arial" w:hAnsi="Arial" w:cs="Arial"/>
                <w:sz w:val="20"/>
                <w:szCs w:val="20"/>
              </w:rPr>
              <w:t>The water which contain environmental pollutant substances which released from direct activities or production of businesses, commercials, or services</w:t>
            </w:r>
          </w:p>
        </w:tc>
      </w:tr>
      <w:tr w:rsidR="001413D2" w:rsidRPr="001413D2" w:rsidTr="001413D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55" w:type="dxa"/>
            <w:hideMark/>
          </w:tcPr>
          <w:p w:rsidR="001413D2" w:rsidRPr="00A925C8" w:rsidRDefault="001413D2" w:rsidP="001413D2">
            <w:pPr>
              <w:adjustRightInd w:val="0"/>
              <w:snapToGrid w:val="0"/>
              <w:spacing w:before="120" w:after="120"/>
              <w:rPr>
                <w:rFonts w:ascii="Arial" w:hAnsi="Arial" w:cs="Arial"/>
                <w:b w:val="0"/>
                <w:bCs w:val="0"/>
                <w:sz w:val="20"/>
                <w:szCs w:val="20"/>
              </w:rPr>
            </w:pPr>
            <w:r w:rsidRPr="00A925C8">
              <w:rPr>
                <w:rStyle w:val="Strong"/>
                <w:rFonts w:ascii="Arial" w:hAnsi="Arial" w:cs="Arial"/>
                <w:b/>
                <w:bCs/>
                <w:sz w:val="20"/>
                <w:szCs w:val="20"/>
              </w:rPr>
              <w:t>Marine litter</w:t>
            </w:r>
          </w:p>
        </w:tc>
        <w:tc>
          <w:tcPr>
            <w:tcW w:w="7229" w:type="dxa"/>
            <w:hideMark/>
          </w:tcPr>
          <w:p w:rsidR="001413D2" w:rsidRPr="001413D2" w:rsidRDefault="001413D2" w:rsidP="001413D2">
            <w:pPr>
              <w:adjustRightInd w:val="0"/>
              <w:snapToGrid w:val="0"/>
              <w:spacing w:before="120" w:after="120"/>
              <w:jc w:val="both"/>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1413D2">
              <w:rPr>
                <w:rFonts w:ascii="Arial" w:hAnsi="Arial" w:cs="Arial"/>
                <w:sz w:val="20"/>
                <w:szCs w:val="20"/>
              </w:rPr>
              <w:t>Any persistent, manufactured or processed solid material discarded into the sea, rivers or on beaches; brought indirectly by rivers, sewage, stormwater or winds; or lost at sea.</w:t>
            </w:r>
          </w:p>
        </w:tc>
      </w:tr>
      <w:tr w:rsidR="001413D2" w:rsidRPr="001413D2" w:rsidTr="001413D2">
        <w:tc>
          <w:tcPr>
            <w:cnfStyle w:val="001000000000" w:firstRow="0" w:lastRow="0" w:firstColumn="1" w:lastColumn="0" w:oddVBand="0" w:evenVBand="0" w:oddHBand="0" w:evenHBand="0" w:firstRowFirstColumn="0" w:firstRowLastColumn="0" w:lastRowFirstColumn="0" w:lastRowLastColumn="0"/>
            <w:tcW w:w="1555" w:type="dxa"/>
            <w:hideMark/>
          </w:tcPr>
          <w:p w:rsidR="001413D2" w:rsidRPr="00A925C8" w:rsidRDefault="001413D2" w:rsidP="001413D2">
            <w:pPr>
              <w:adjustRightInd w:val="0"/>
              <w:snapToGrid w:val="0"/>
              <w:spacing w:before="120" w:after="120"/>
              <w:rPr>
                <w:rFonts w:ascii="Arial" w:hAnsi="Arial" w:cs="Arial"/>
                <w:b w:val="0"/>
                <w:bCs w:val="0"/>
                <w:sz w:val="20"/>
                <w:szCs w:val="20"/>
              </w:rPr>
            </w:pPr>
            <w:r w:rsidRPr="00A925C8">
              <w:rPr>
                <w:rStyle w:val="Strong"/>
                <w:rFonts w:ascii="Arial" w:hAnsi="Arial" w:cs="Arial"/>
                <w:b/>
                <w:bCs/>
                <w:sz w:val="20"/>
                <w:szCs w:val="20"/>
              </w:rPr>
              <w:t>Microplastics</w:t>
            </w:r>
          </w:p>
        </w:tc>
        <w:tc>
          <w:tcPr>
            <w:tcW w:w="7229" w:type="dxa"/>
            <w:hideMark/>
          </w:tcPr>
          <w:p w:rsidR="001413D2" w:rsidRPr="001413D2" w:rsidRDefault="001413D2" w:rsidP="001413D2">
            <w:pPr>
              <w:adjustRightInd w:val="0"/>
              <w:snapToGrid w:val="0"/>
              <w:spacing w:before="120" w:after="120"/>
              <w:jc w:val="both"/>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1413D2">
              <w:rPr>
                <w:rFonts w:ascii="Arial" w:hAnsi="Arial" w:cs="Arial"/>
                <w:sz w:val="20"/>
                <w:szCs w:val="20"/>
              </w:rPr>
              <w:t>Small plastic pieces less than 5 mm in length.</w:t>
            </w:r>
          </w:p>
        </w:tc>
      </w:tr>
      <w:tr w:rsidR="001413D2" w:rsidRPr="001413D2" w:rsidTr="001413D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55" w:type="dxa"/>
            <w:hideMark/>
          </w:tcPr>
          <w:p w:rsidR="001413D2" w:rsidRPr="00A925C8" w:rsidRDefault="001413D2" w:rsidP="001413D2">
            <w:pPr>
              <w:adjustRightInd w:val="0"/>
              <w:snapToGrid w:val="0"/>
              <w:spacing w:before="120" w:after="120"/>
              <w:rPr>
                <w:rFonts w:ascii="Arial" w:hAnsi="Arial" w:cs="Arial"/>
                <w:b w:val="0"/>
                <w:bCs w:val="0"/>
                <w:sz w:val="20"/>
                <w:szCs w:val="20"/>
              </w:rPr>
            </w:pPr>
            <w:r w:rsidRPr="00A925C8">
              <w:rPr>
                <w:rStyle w:val="Strong"/>
                <w:rFonts w:ascii="Arial" w:hAnsi="Arial" w:cs="Arial"/>
                <w:b/>
                <w:bCs/>
                <w:sz w:val="20"/>
                <w:szCs w:val="20"/>
              </w:rPr>
              <w:t>Oil and grease (HEM)</w:t>
            </w:r>
          </w:p>
        </w:tc>
        <w:tc>
          <w:tcPr>
            <w:tcW w:w="7229" w:type="dxa"/>
            <w:hideMark/>
          </w:tcPr>
          <w:p w:rsidR="001413D2" w:rsidRPr="001413D2" w:rsidRDefault="001413D2" w:rsidP="001413D2">
            <w:pPr>
              <w:adjustRightInd w:val="0"/>
              <w:snapToGrid w:val="0"/>
              <w:spacing w:before="120" w:after="120"/>
              <w:jc w:val="both"/>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1413D2">
              <w:rPr>
                <w:rFonts w:ascii="Arial" w:hAnsi="Arial" w:cs="Arial"/>
                <w:sz w:val="20"/>
                <w:szCs w:val="20"/>
              </w:rPr>
              <w:t>“n-hexane extractable material” measured by extraction/gravimetry; includes relatively non-volatile hydrocarbons, fats, waxes, soaps and related materials (used as “oil and grease”).</w:t>
            </w:r>
          </w:p>
        </w:tc>
      </w:tr>
      <w:tr w:rsidR="001413D2" w:rsidRPr="001413D2" w:rsidTr="001413D2">
        <w:tc>
          <w:tcPr>
            <w:cnfStyle w:val="001000000000" w:firstRow="0" w:lastRow="0" w:firstColumn="1" w:lastColumn="0" w:oddVBand="0" w:evenVBand="0" w:oddHBand="0" w:evenHBand="0" w:firstRowFirstColumn="0" w:firstRowLastColumn="0" w:lastRowFirstColumn="0" w:lastRowLastColumn="0"/>
            <w:tcW w:w="1555" w:type="dxa"/>
            <w:hideMark/>
          </w:tcPr>
          <w:p w:rsidR="001413D2" w:rsidRPr="00A925C8" w:rsidRDefault="001413D2" w:rsidP="001413D2">
            <w:pPr>
              <w:adjustRightInd w:val="0"/>
              <w:snapToGrid w:val="0"/>
              <w:spacing w:before="120" w:after="120"/>
              <w:rPr>
                <w:rFonts w:ascii="Arial" w:hAnsi="Arial" w:cs="Arial"/>
                <w:b w:val="0"/>
                <w:bCs w:val="0"/>
                <w:sz w:val="20"/>
                <w:szCs w:val="20"/>
              </w:rPr>
            </w:pPr>
            <w:r w:rsidRPr="00A925C8">
              <w:rPr>
                <w:rStyle w:val="Strong"/>
                <w:rFonts w:ascii="Arial" w:hAnsi="Arial" w:cs="Arial"/>
                <w:b/>
                <w:bCs/>
                <w:sz w:val="20"/>
                <w:szCs w:val="20"/>
              </w:rPr>
              <w:t>Pollution / contaminant “hotspot”</w:t>
            </w:r>
          </w:p>
        </w:tc>
        <w:tc>
          <w:tcPr>
            <w:tcW w:w="7229" w:type="dxa"/>
            <w:hideMark/>
          </w:tcPr>
          <w:p w:rsidR="001413D2" w:rsidRPr="001413D2" w:rsidRDefault="001413D2" w:rsidP="001413D2">
            <w:pPr>
              <w:adjustRightInd w:val="0"/>
              <w:snapToGrid w:val="0"/>
              <w:spacing w:before="120" w:after="120"/>
              <w:jc w:val="both"/>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1413D2">
              <w:rPr>
                <w:rFonts w:ascii="Arial" w:hAnsi="Arial" w:cs="Arial"/>
                <w:sz w:val="20"/>
                <w:szCs w:val="20"/>
              </w:rPr>
              <w:t>A location where pollutant levels or risk indicators show persistent exceedances or elevated risk requiring prioritized management response.</w:t>
            </w:r>
          </w:p>
        </w:tc>
      </w:tr>
      <w:tr w:rsidR="001413D2" w:rsidRPr="001413D2" w:rsidTr="001413D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55" w:type="dxa"/>
            <w:hideMark/>
          </w:tcPr>
          <w:p w:rsidR="001413D2" w:rsidRPr="00A925C8" w:rsidRDefault="001413D2" w:rsidP="001413D2">
            <w:pPr>
              <w:adjustRightInd w:val="0"/>
              <w:snapToGrid w:val="0"/>
              <w:spacing w:before="120" w:after="120"/>
              <w:rPr>
                <w:rFonts w:ascii="Arial" w:hAnsi="Arial" w:cs="Arial"/>
                <w:b w:val="0"/>
                <w:bCs w:val="0"/>
                <w:sz w:val="20"/>
                <w:szCs w:val="20"/>
              </w:rPr>
            </w:pPr>
            <w:r w:rsidRPr="00A925C8">
              <w:rPr>
                <w:rStyle w:val="Strong"/>
                <w:rFonts w:ascii="Arial" w:hAnsi="Arial" w:cs="Arial"/>
                <w:b/>
                <w:bCs/>
                <w:sz w:val="20"/>
                <w:szCs w:val="20"/>
              </w:rPr>
              <w:t>Recycling</w:t>
            </w:r>
          </w:p>
        </w:tc>
        <w:tc>
          <w:tcPr>
            <w:tcW w:w="7229" w:type="dxa"/>
            <w:hideMark/>
          </w:tcPr>
          <w:p w:rsidR="001413D2" w:rsidRPr="001413D2" w:rsidRDefault="001413D2" w:rsidP="001413D2">
            <w:pPr>
              <w:adjustRightInd w:val="0"/>
              <w:snapToGrid w:val="0"/>
              <w:spacing w:before="120" w:after="120"/>
              <w:jc w:val="both"/>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1413D2">
              <w:rPr>
                <w:rFonts w:ascii="Arial" w:hAnsi="Arial" w:cs="Arial"/>
                <w:sz w:val="20"/>
                <w:szCs w:val="20"/>
              </w:rPr>
              <w:t>Processing waste materials into products, materials or substances for original or other purposes (diverting from disposal).</w:t>
            </w:r>
          </w:p>
        </w:tc>
      </w:tr>
      <w:tr w:rsidR="001413D2" w:rsidRPr="001413D2" w:rsidTr="001413D2">
        <w:tc>
          <w:tcPr>
            <w:cnfStyle w:val="001000000000" w:firstRow="0" w:lastRow="0" w:firstColumn="1" w:lastColumn="0" w:oddVBand="0" w:evenVBand="0" w:oddHBand="0" w:evenHBand="0" w:firstRowFirstColumn="0" w:firstRowLastColumn="0" w:lastRowFirstColumn="0" w:lastRowLastColumn="0"/>
            <w:tcW w:w="1555" w:type="dxa"/>
            <w:hideMark/>
          </w:tcPr>
          <w:p w:rsidR="001413D2" w:rsidRPr="00A925C8" w:rsidRDefault="001413D2" w:rsidP="001413D2">
            <w:pPr>
              <w:adjustRightInd w:val="0"/>
              <w:snapToGrid w:val="0"/>
              <w:spacing w:before="120" w:after="120"/>
              <w:rPr>
                <w:rFonts w:ascii="Arial" w:hAnsi="Arial" w:cs="Arial"/>
                <w:b w:val="0"/>
                <w:bCs w:val="0"/>
                <w:sz w:val="20"/>
                <w:szCs w:val="20"/>
              </w:rPr>
            </w:pPr>
            <w:r w:rsidRPr="00A925C8">
              <w:rPr>
                <w:rStyle w:val="Strong"/>
                <w:rFonts w:ascii="Arial" w:hAnsi="Arial" w:cs="Arial"/>
                <w:b/>
                <w:bCs/>
                <w:sz w:val="20"/>
                <w:szCs w:val="20"/>
              </w:rPr>
              <w:t>Reuse</w:t>
            </w:r>
          </w:p>
        </w:tc>
        <w:tc>
          <w:tcPr>
            <w:tcW w:w="7229" w:type="dxa"/>
            <w:hideMark/>
          </w:tcPr>
          <w:p w:rsidR="001413D2" w:rsidRPr="001413D2" w:rsidRDefault="001413D2" w:rsidP="001413D2">
            <w:pPr>
              <w:adjustRightInd w:val="0"/>
              <w:snapToGrid w:val="0"/>
              <w:spacing w:before="120" w:after="120"/>
              <w:jc w:val="both"/>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1413D2">
              <w:rPr>
                <w:rFonts w:ascii="Arial" w:hAnsi="Arial" w:cs="Arial"/>
                <w:sz w:val="20"/>
                <w:szCs w:val="20"/>
              </w:rPr>
              <w:t>Using products/materials again for the same purpose (or a similar purpose) without major reprocessing.</w:t>
            </w:r>
          </w:p>
        </w:tc>
      </w:tr>
      <w:tr w:rsidR="001413D2" w:rsidRPr="001413D2" w:rsidTr="001413D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55" w:type="dxa"/>
            <w:hideMark/>
          </w:tcPr>
          <w:p w:rsidR="001413D2" w:rsidRPr="00A925C8" w:rsidRDefault="001413D2" w:rsidP="001413D2">
            <w:pPr>
              <w:adjustRightInd w:val="0"/>
              <w:snapToGrid w:val="0"/>
              <w:spacing w:before="120" w:after="120"/>
              <w:rPr>
                <w:rFonts w:ascii="Arial" w:hAnsi="Arial" w:cs="Arial"/>
                <w:b w:val="0"/>
                <w:bCs w:val="0"/>
                <w:sz w:val="20"/>
                <w:szCs w:val="20"/>
              </w:rPr>
            </w:pPr>
            <w:r w:rsidRPr="00A925C8">
              <w:rPr>
                <w:rStyle w:val="Strong"/>
                <w:rFonts w:ascii="Arial" w:hAnsi="Arial" w:cs="Arial"/>
                <w:b/>
                <w:bCs/>
                <w:sz w:val="20"/>
                <w:szCs w:val="20"/>
              </w:rPr>
              <w:t>RQ (Risk Quotient)</w:t>
            </w:r>
          </w:p>
        </w:tc>
        <w:tc>
          <w:tcPr>
            <w:tcW w:w="7229" w:type="dxa"/>
            <w:hideMark/>
          </w:tcPr>
          <w:p w:rsidR="001413D2" w:rsidRPr="001413D2" w:rsidRDefault="001413D2" w:rsidP="001413D2">
            <w:pPr>
              <w:adjustRightInd w:val="0"/>
              <w:snapToGrid w:val="0"/>
              <w:spacing w:before="120" w:after="120"/>
              <w:jc w:val="both"/>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1413D2">
              <w:rPr>
                <w:rFonts w:ascii="Arial" w:hAnsi="Arial" w:cs="Arial"/>
                <w:sz w:val="20"/>
                <w:szCs w:val="20"/>
              </w:rPr>
              <w:t>A screening ratio comparing exposure to effects/toxicity (RQ = exposure ÷ toxicity) used to flag higher- or lower-risk situations.</w:t>
            </w:r>
          </w:p>
        </w:tc>
      </w:tr>
      <w:tr w:rsidR="001413D2" w:rsidRPr="001413D2" w:rsidTr="001413D2">
        <w:tc>
          <w:tcPr>
            <w:cnfStyle w:val="001000000000" w:firstRow="0" w:lastRow="0" w:firstColumn="1" w:lastColumn="0" w:oddVBand="0" w:evenVBand="0" w:oddHBand="0" w:evenHBand="0" w:firstRowFirstColumn="0" w:firstRowLastColumn="0" w:lastRowFirstColumn="0" w:lastRowLastColumn="0"/>
            <w:tcW w:w="1555" w:type="dxa"/>
            <w:hideMark/>
          </w:tcPr>
          <w:p w:rsidR="001413D2" w:rsidRPr="00A925C8" w:rsidRDefault="001413D2" w:rsidP="001413D2">
            <w:pPr>
              <w:adjustRightInd w:val="0"/>
              <w:snapToGrid w:val="0"/>
              <w:spacing w:before="120" w:after="120"/>
              <w:rPr>
                <w:rFonts w:ascii="Arial" w:hAnsi="Arial" w:cs="Arial"/>
                <w:b w:val="0"/>
                <w:bCs w:val="0"/>
                <w:sz w:val="20"/>
                <w:szCs w:val="20"/>
              </w:rPr>
            </w:pPr>
            <w:r w:rsidRPr="00A925C8">
              <w:rPr>
                <w:rStyle w:val="Strong"/>
                <w:rFonts w:ascii="Arial" w:hAnsi="Arial" w:cs="Arial"/>
                <w:b/>
                <w:bCs/>
                <w:sz w:val="20"/>
                <w:szCs w:val="20"/>
              </w:rPr>
              <w:t>Septic tank</w:t>
            </w:r>
          </w:p>
        </w:tc>
        <w:tc>
          <w:tcPr>
            <w:tcW w:w="7229" w:type="dxa"/>
            <w:hideMark/>
          </w:tcPr>
          <w:p w:rsidR="001413D2" w:rsidRPr="001413D2" w:rsidRDefault="001413D2" w:rsidP="001413D2">
            <w:pPr>
              <w:adjustRightInd w:val="0"/>
              <w:snapToGrid w:val="0"/>
              <w:spacing w:before="120" w:after="120"/>
              <w:jc w:val="both"/>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1413D2">
              <w:rPr>
                <w:rFonts w:ascii="Arial" w:hAnsi="Arial" w:cs="Arial"/>
                <w:sz w:val="20"/>
                <w:szCs w:val="20"/>
              </w:rPr>
              <w:t>On-site tanks which receive wastewater from toilets and restrooms and stock to breakdown organic waste within the wastewater before discharging into public drainage system.</w:t>
            </w:r>
          </w:p>
        </w:tc>
      </w:tr>
      <w:tr w:rsidR="001413D2" w:rsidRPr="001413D2" w:rsidTr="001413D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55" w:type="dxa"/>
            <w:hideMark/>
          </w:tcPr>
          <w:p w:rsidR="001413D2" w:rsidRPr="00A925C8" w:rsidRDefault="001413D2" w:rsidP="001413D2">
            <w:pPr>
              <w:adjustRightInd w:val="0"/>
              <w:snapToGrid w:val="0"/>
              <w:spacing w:before="120" w:after="120"/>
              <w:rPr>
                <w:rFonts w:ascii="Arial" w:hAnsi="Arial" w:cs="Arial"/>
                <w:b w:val="0"/>
                <w:bCs w:val="0"/>
                <w:sz w:val="20"/>
                <w:szCs w:val="20"/>
              </w:rPr>
            </w:pPr>
            <w:r w:rsidRPr="00A925C8">
              <w:rPr>
                <w:rStyle w:val="Strong"/>
                <w:rFonts w:ascii="Arial" w:hAnsi="Arial" w:cs="Arial"/>
                <w:b/>
                <w:bCs/>
                <w:sz w:val="20"/>
                <w:szCs w:val="20"/>
              </w:rPr>
              <w:t>Sludge</w:t>
            </w:r>
          </w:p>
        </w:tc>
        <w:tc>
          <w:tcPr>
            <w:tcW w:w="7229" w:type="dxa"/>
            <w:hideMark/>
          </w:tcPr>
          <w:p w:rsidR="001413D2" w:rsidRPr="001413D2" w:rsidRDefault="001413D2" w:rsidP="001413D2">
            <w:pPr>
              <w:adjustRightInd w:val="0"/>
              <w:snapToGrid w:val="0"/>
              <w:spacing w:before="120" w:after="120"/>
              <w:jc w:val="both"/>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1413D2">
              <w:rPr>
                <w:rFonts w:ascii="Arial" w:hAnsi="Arial" w:cs="Arial"/>
                <w:sz w:val="20"/>
                <w:szCs w:val="20"/>
              </w:rPr>
              <w:t>The waste from septic tanks or wastewater treatment system.</w:t>
            </w:r>
          </w:p>
        </w:tc>
      </w:tr>
      <w:tr w:rsidR="001413D2" w:rsidRPr="001413D2" w:rsidTr="001413D2">
        <w:tc>
          <w:tcPr>
            <w:cnfStyle w:val="001000000000" w:firstRow="0" w:lastRow="0" w:firstColumn="1" w:lastColumn="0" w:oddVBand="0" w:evenVBand="0" w:oddHBand="0" w:evenHBand="0" w:firstRowFirstColumn="0" w:firstRowLastColumn="0" w:lastRowFirstColumn="0" w:lastRowLastColumn="0"/>
            <w:tcW w:w="1555" w:type="dxa"/>
            <w:hideMark/>
          </w:tcPr>
          <w:p w:rsidR="001413D2" w:rsidRPr="00A925C8" w:rsidRDefault="001413D2" w:rsidP="001413D2">
            <w:pPr>
              <w:adjustRightInd w:val="0"/>
              <w:snapToGrid w:val="0"/>
              <w:spacing w:before="120" w:after="120"/>
              <w:rPr>
                <w:rFonts w:ascii="Arial" w:hAnsi="Arial" w:cs="Arial"/>
                <w:b w:val="0"/>
                <w:bCs w:val="0"/>
                <w:sz w:val="20"/>
                <w:szCs w:val="20"/>
              </w:rPr>
            </w:pPr>
            <w:r w:rsidRPr="00A925C8">
              <w:rPr>
                <w:rStyle w:val="Strong"/>
                <w:rFonts w:ascii="Arial" w:hAnsi="Arial" w:cs="Arial"/>
                <w:b/>
                <w:bCs/>
                <w:sz w:val="20"/>
                <w:szCs w:val="20"/>
              </w:rPr>
              <w:t>Solid waste</w:t>
            </w:r>
          </w:p>
        </w:tc>
        <w:tc>
          <w:tcPr>
            <w:tcW w:w="7229" w:type="dxa"/>
            <w:hideMark/>
          </w:tcPr>
          <w:p w:rsidR="001413D2" w:rsidRPr="001413D2" w:rsidRDefault="001413D2" w:rsidP="001413D2">
            <w:pPr>
              <w:adjustRightInd w:val="0"/>
              <w:snapToGrid w:val="0"/>
              <w:spacing w:before="120" w:after="120"/>
              <w:jc w:val="both"/>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1413D2">
              <w:rPr>
                <w:rFonts w:ascii="Arial" w:hAnsi="Arial" w:cs="Arial"/>
                <w:sz w:val="20"/>
                <w:szCs w:val="20"/>
              </w:rPr>
              <w:t>Solid waste remained or generated from business activities or services which do not consist of toxic substances or hazardous.</w:t>
            </w:r>
          </w:p>
        </w:tc>
      </w:tr>
      <w:tr w:rsidR="001413D2" w:rsidRPr="001413D2" w:rsidTr="001413D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55" w:type="dxa"/>
            <w:hideMark/>
          </w:tcPr>
          <w:p w:rsidR="001413D2" w:rsidRPr="00A925C8" w:rsidRDefault="001413D2" w:rsidP="001413D2">
            <w:pPr>
              <w:adjustRightInd w:val="0"/>
              <w:snapToGrid w:val="0"/>
              <w:spacing w:before="120" w:after="120"/>
              <w:rPr>
                <w:rFonts w:ascii="Arial" w:hAnsi="Arial" w:cs="Arial"/>
                <w:b w:val="0"/>
                <w:bCs w:val="0"/>
                <w:sz w:val="20"/>
                <w:szCs w:val="20"/>
              </w:rPr>
            </w:pPr>
            <w:r w:rsidRPr="00A925C8">
              <w:rPr>
                <w:rStyle w:val="Strong"/>
                <w:rFonts w:ascii="Arial" w:hAnsi="Arial" w:cs="Arial"/>
                <w:b/>
                <w:bCs/>
                <w:sz w:val="20"/>
                <w:szCs w:val="20"/>
              </w:rPr>
              <w:t>TSS (Total suspended solids)</w:t>
            </w:r>
          </w:p>
        </w:tc>
        <w:tc>
          <w:tcPr>
            <w:tcW w:w="7229" w:type="dxa"/>
            <w:hideMark/>
          </w:tcPr>
          <w:p w:rsidR="001413D2" w:rsidRPr="001413D2" w:rsidRDefault="001413D2" w:rsidP="001413D2">
            <w:pPr>
              <w:adjustRightInd w:val="0"/>
              <w:snapToGrid w:val="0"/>
              <w:spacing w:before="120" w:after="120"/>
              <w:jc w:val="both"/>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1413D2">
              <w:rPr>
                <w:rFonts w:ascii="Arial" w:hAnsi="Arial" w:cs="Arial"/>
                <w:sz w:val="20"/>
                <w:szCs w:val="20"/>
              </w:rPr>
              <w:t>The concentration of inorganic and organic material retained on a filter (reported as mg/L of dry material per litre of water).</w:t>
            </w:r>
          </w:p>
        </w:tc>
      </w:tr>
      <w:tr w:rsidR="001413D2" w:rsidRPr="001413D2" w:rsidTr="001413D2">
        <w:tc>
          <w:tcPr>
            <w:cnfStyle w:val="001000000000" w:firstRow="0" w:lastRow="0" w:firstColumn="1" w:lastColumn="0" w:oddVBand="0" w:evenVBand="0" w:oddHBand="0" w:evenHBand="0" w:firstRowFirstColumn="0" w:firstRowLastColumn="0" w:lastRowFirstColumn="0" w:lastRowLastColumn="0"/>
            <w:tcW w:w="1555" w:type="dxa"/>
            <w:hideMark/>
          </w:tcPr>
          <w:p w:rsidR="001413D2" w:rsidRPr="00A925C8" w:rsidRDefault="001413D2" w:rsidP="001413D2">
            <w:pPr>
              <w:adjustRightInd w:val="0"/>
              <w:snapToGrid w:val="0"/>
              <w:spacing w:before="120" w:after="120"/>
              <w:rPr>
                <w:rFonts w:ascii="Arial" w:hAnsi="Arial" w:cs="Arial"/>
                <w:b w:val="0"/>
                <w:bCs w:val="0"/>
                <w:sz w:val="20"/>
                <w:szCs w:val="20"/>
              </w:rPr>
            </w:pPr>
            <w:r w:rsidRPr="00A925C8">
              <w:rPr>
                <w:rStyle w:val="Strong"/>
                <w:rFonts w:ascii="Arial" w:hAnsi="Arial" w:cs="Arial"/>
                <w:b/>
                <w:bCs/>
                <w:sz w:val="20"/>
                <w:szCs w:val="20"/>
              </w:rPr>
              <w:t>TPH (Total petroleum hydrocarbons)</w:t>
            </w:r>
          </w:p>
        </w:tc>
        <w:tc>
          <w:tcPr>
            <w:tcW w:w="7229" w:type="dxa"/>
            <w:hideMark/>
          </w:tcPr>
          <w:p w:rsidR="001413D2" w:rsidRPr="001413D2" w:rsidRDefault="001413D2" w:rsidP="001413D2">
            <w:pPr>
              <w:adjustRightInd w:val="0"/>
              <w:snapToGrid w:val="0"/>
              <w:spacing w:before="120" w:after="120"/>
              <w:jc w:val="both"/>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1413D2">
              <w:rPr>
                <w:rFonts w:ascii="Arial" w:hAnsi="Arial" w:cs="Arial"/>
                <w:sz w:val="20"/>
                <w:szCs w:val="20"/>
              </w:rPr>
              <w:t>A broad group/mixture of petroleum-derived hydrocarbons; commonly treated as a measurable quantity of petroleum-based hydrocarbons in an environmental medium.</w:t>
            </w:r>
          </w:p>
        </w:tc>
      </w:tr>
      <w:tr w:rsidR="001413D2" w:rsidRPr="001413D2" w:rsidTr="001413D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55" w:type="dxa"/>
          </w:tcPr>
          <w:p w:rsidR="001413D2" w:rsidRPr="00A925C8" w:rsidRDefault="001413D2" w:rsidP="001413D2">
            <w:pPr>
              <w:adjustRightInd w:val="0"/>
              <w:snapToGrid w:val="0"/>
              <w:spacing w:before="120" w:after="120"/>
              <w:rPr>
                <w:rStyle w:val="Strong"/>
                <w:rFonts w:ascii="Arial" w:hAnsi="Arial" w:cs="Arial"/>
                <w:b/>
                <w:bCs/>
                <w:sz w:val="20"/>
                <w:szCs w:val="20"/>
              </w:rPr>
            </w:pPr>
            <w:r w:rsidRPr="00A925C8">
              <w:rPr>
                <w:rStyle w:val="Strong"/>
                <w:rFonts w:ascii="Arial" w:hAnsi="Arial" w:cs="Arial"/>
                <w:b/>
                <w:bCs/>
                <w:sz w:val="20"/>
                <w:szCs w:val="20"/>
              </w:rPr>
              <w:t>Wastewater</w:t>
            </w:r>
          </w:p>
        </w:tc>
        <w:tc>
          <w:tcPr>
            <w:tcW w:w="7229" w:type="dxa"/>
          </w:tcPr>
          <w:p w:rsidR="001413D2" w:rsidRPr="001413D2" w:rsidRDefault="001413D2" w:rsidP="001413D2">
            <w:pPr>
              <w:adjustRightInd w:val="0"/>
              <w:snapToGrid w:val="0"/>
              <w:spacing w:before="120" w:after="120"/>
              <w:jc w:val="both"/>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1413D2">
              <w:rPr>
                <w:rFonts w:ascii="Arial" w:hAnsi="Arial" w:cs="Arial"/>
                <w:sz w:val="20"/>
                <w:szCs w:val="20"/>
              </w:rPr>
              <w:t>The water which has been changed its basic elements after using such as household waste, restroom, washing, and wastewater from toilet including urine and stools which released from home, residential buildings, satellite city, business buildings, commercial buildings, services and resorts or recreation center.</w:t>
            </w:r>
          </w:p>
        </w:tc>
      </w:tr>
      <w:tr w:rsidR="001413D2" w:rsidRPr="001413D2" w:rsidTr="001413D2">
        <w:tc>
          <w:tcPr>
            <w:cnfStyle w:val="001000000000" w:firstRow="0" w:lastRow="0" w:firstColumn="1" w:lastColumn="0" w:oddVBand="0" w:evenVBand="0" w:oddHBand="0" w:evenHBand="0" w:firstRowFirstColumn="0" w:firstRowLastColumn="0" w:lastRowFirstColumn="0" w:lastRowLastColumn="0"/>
            <w:tcW w:w="1555" w:type="dxa"/>
            <w:hideMark/>
          </w:tcPr>
          <w:p w:rsidR="001413D2" w:rsidRPr="00A925C8" w:rsidRDefault="001413D2" w:rsidP="001413D2">
            <w:pPr>
              <w:adjustRightInd w:val="0"/>
              <w:snapToGrid w:val="0"/>
              <w:spacing w:before="120" w:after="120"/>
              <w:rPr>
                <w:rFonts w:ascii="Arial" w:hAnsi="Arial" w:cs="Arial"/>
                <w:b w:val="0"/>
                <w:bCs w:val="0"/>
                <w:sz w:val="20"/>
                <w:szCs w:val="20"/>
              </w:rPr>
            </w:pPr>
            <w:r w:rsidRPr="00A925C8">
              <w:rPr>
                <w:rStyle w:val="Strong"/>
                <w:rFonts w:ascii="Arial" w:hAnsi="Arial" w:cs="Arial"/>
                <w:b/>
                <w:bCs/>
                <w:sz w:val="20"/>
                <w:szCs w:val="20"/>
              </w:rPr>
              <w:t>WQI (Water Quality Index)</w:t>
            </w:r>
          </w:p>
        </w:tc>
        <w:tc>
          <w:tcPr>
            <w:tcW w:w="7229" w:type="dxa"/>
            <w:hideMark/>
          </w:tcPr>
          <w:p w:rsidR="001413D2" w:rsidRPr="001413D2" w:rsidRDefault="001413D2" w:rsidP="001413D2">
            <w:pPr>
              <w:adjustRightInd w:val="0"/>
              <w:snapToGrid w:val="0"/>
              <w:spacing w:before="120" w:after="120"/>
              <w:jc w:val="both"/>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1413D2">
              <w:rPr>
                <w:rFonts w:ascii="Arial" w:hAnsi="Arial" w:cs="Arial"/>
                <w:sz w:val="20"/>
                <w:szCs w:val="20"/>
              </w:rPr>
              <w:t>An index combining multiple parameters vs. guideline objectives into a single score (0–100) using scope, frequency and amplitude of exceedances.</w:t>
            </w:r>
          </w:p>
        </w:tc>
      </w:tr>
      <w:tr w:rsidR="001413D2" w:rsidRPr="001413D2" w:rsidTr="001413D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55" w:type="dxa"/>
            <w:hideMark/>
          </w:tcPr>
          <w:p w:rsidR="001413D2" w:rsidRPr="00A925C8" w:rsidRDefault="001413D2" w:rsidP="001413D2">
            <w:pPr>
              <w:adjustRightInd w:val="0"/>
              <w:snapToGrid w:val="0"/>
              <w:spacing w:before="120" w:after="120"/>
              <w:rPr>
                <w:rFonts w:ascii="Arial" w:hAnsi="Arial" w:cs="Arial"/>
                <w:b w:val="0"/>
                <w:bCs w:val="0"/>
                <w:sz w:val="20"/>
                <w:szCs w:val="20"/>
              </w:rPr>
            </w:pPr>
            <w:r w:rsidRPr="00A925C8">
              <w:rPr>
                <w:rStyle w:val="Strong"/>
                <w:rFonts w:ascii="Arial" w:hAnsi="Arial" w:cs="Arial"/>
                <w:b/>
                <w:bCs/>
                <w:sz w:val="20"/>
                <w:szCs w:val="20"/>
              </w:rPr>
              <w:t>WWTP (Wastewater treatment plant/system)</w:t>
            </w:r>
          </w:p>
        </w:tc>
        <w:tc>
          <w:tcPr>
            <w:tcW w:w="7229" w:type="dxa"/>
            <w:hideMark/>
          </w:tcPr>
          <w:p w:rsidR="001413D2" w:rsidRPr="001413D2" w:rsidRDefault="001413D2" w:rsidP="001413D2">
            <w:pPr>
              <w:adjustRightInd w:val="0"/>
              <w:snapToGrid w:val="0"/>
              <w:spacing w:before="120" w:after="120"/>
              <w:jc w:val="both"/>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1413D2">
              <w:rPr>
                <w:rFonts w:ascii="Arial" w:hAnsi="Arial" w:cs="Arial"/>
                <w:sz w:val="20"/>
                <w:szCs w:val="20"/>
              </w:rPr>
              <w:t>The open canal, reservoirs, pumping station of wastewater or storm water, main pipe system, sub pipe system, technical or natural wastewater treatment plant</w:t>
            </w:r>
          </w:p>
        </w:tc>
      </w:tr>
    </w:tbl>
    <w:p w:rsidR="0021379C" w:rsidRPr="0021379C" w:rsidRDefault="00CD2D9E" w:rsidP="0021379C">
      <w:pPr>
        <w:pStyle w:val="Heading1"/>
        <w:rPr>
          <w:sz w:val="28"/>
          <w:szCs w:val="28"/>
        </w:rPr>
      </w:pPr>
      <w:r>
        <w:rPr>
          <w:sz w:val="22"/>
          <w:szCs w:val="22"/>
        </w:rPr>
        <w:br w:type="column"/>
      </w:r>
      <w:bookmarkStart w:id="36" w:name="_Toc217231531"/>
      <w:bookmarkStart w:id="37" w:name="_Toc217231865"/>
      <w:r w:rsidR="0021379C" w:rsidRPr="0021379C">
        <w:rPr>
          <w:rStyle w:val="Strong"/>
          <w:b/>
          <w:bCs/>
        </w:rPr>
        <w:t>Funding Sources</w:t>
      </w:r>
      <w:bookmarkEnd w:id="36"/>
      <w:bookmarkEnd w:id="37"/>
    </w:p>
    <w:p w:rsidR="0021379C" w:rsidRDefault="0021379C" w:rsidP="0021379C">
      <w:pPr>
        <w:spacing w:before="240" w:after="240"/>
        <w:jc w:val="both"/>
        <w:rPr>
          <w:rFonts w:ascii="Arial" w:hAnsi="Arial" w:cs="Arial"/>
          <w:sz w:val="22"/>
          <w:szCs w:val="22"/>
        </w:rPr>
      </w:pPr>
      <w:r w:rsidRPr="00A31A71">
        <w:rPr>
          <w:rFonts w:ascii="Arial" w:hAnsi="Arial" w:cs="Arial"/>
          <w:sz w:val="22"/>
          <w:szCs w:val="22"/>
        </w:rPr>
        <w:t xml:space="preserve">This work was </w:t>
      </w:r>
      <w:r>
        <w:rPr>
          <w:rFonts w:ascii="Arial" w:hAnsi="Arial" w:cs="Arial"/>
          <w:sz w:val="22"/>
          <w:szCs w:val="22"/>
        </w:rPr>
        <w:t xml:space="preserve">financially </w:t>
      </w:r>
      <w:r w:rsidRPr="00A31A71">
        <w:rPr>
          <w:rFonts w:ascii="Arial" w:hAnsi="Arial" w:cs="Arial"/>
          <w:sz w:val="22"/>
          <w:szCs w:val="22"/>
        </w:rPr>
        <w:t xml:space="preserve">supported by the </w:t>
      </w:r>
      <w:r w:rsidRPr="00A31A71">
        <w:rPr>
          <w:rStyle w:val="Strong"/>
          <w:rFonts w:ascii="Arial" w:hAnsi="Arial" w:cs="Arial"/>
          <w:sz w:val="22"/>
          <w:szCs w:val="22"/>
        </w:rPr>
        <w:t>Global Environment Facility (GEF)</w:t>
      </w:r>
      <w:r w:rsidRPr="00A31A71">
        <w:rPr>
          <w:rFonts w:ascii="Arial" w:hAnsi="Arial" w:cs="Arial"/>
          <w:sz w:val="22"/>
          <w:szCs w:val="22"/>
        </w:rPr>
        <w:t xml:space="preserve"> through the </w:t>
      </w:r>
      <w:r w:rsidRPr="00A31A71">
        <w:rPr>
          <w:rStyle w:val="Strong"/>
          <w:rFonts w:ascii="Arial" w:hAnsi="Arial" w:cs="Arial"/>
          <w:sz w:val="22"/>
          <w:szCs w:val="22"/>
        </w:rPr>
        <w:t>UN Environment Programme (UNEP)</w:t>
      </w:r>
      <w:r w:rsidRPr="00A31A71">
        <w:rPr>
          <w:rFonts w:ascii="Arial" w:hAnsi="Arial" w:cs="Arial"/>
          <w:sz w:val="22"/>
          <w:szCs w:val="22"/>
        </w:rPr>
        <w:t xml:space="preserve"> under the </w:t>
      </w:r>
      <w:r w:rsidRPr="00A31A71">
        <w:rPr>
          <w:rFonts w:ascii="Arial" w:hAnsi="Arial" w:cs="Arial"/>
          <w:i/>
          <w:iCs/>
          <w:sz w:val="22"/>
          <w:szCs w:val="22"/>
        </w:rPr>
        <w:t>Strategic Action Programme for the South China Sea and Gulf of Thailand (SCS SAP Project)</w:t>
      </w:r>
      <w:r w:rsidRPr="00A31A71">
        <w:rPr>
          <w:rFonts w:ascii="Arial" w:hAnsi="Arial" w:cs="Arial"/>
          <w:sz w:val="22"/>
          <w:szCs w:val="22"/>
        </w:rPr>
        <w:t xml:space="preserve">, with implementation support from the </w:t>
      </w:r>
      <w:r w:rsidRPr="00A31A71">
        <w:rPr>
          <w:rStyle w:val="Strong"/>
          <w:rFonts w:ascii="Arial" w:hAnsi="Arial" w:cs="Arial"/>
          <w:sz w:val="22"/>
          <w:szCs w:val="22"/>
        </w:rPr>
        <w:t>United Nations Office for Project Services (UNOPS)</w:t>
      </w:r>
      <w:r>
        <w:rPr>
          <w:rFonts w:ascii="Arial" w:hAnsi="Arial" w:cs="Arial"/>
          <w:sz w:val="22"/>
          <w:szCs w:val="22"/>
        </w:rPr>
        <w:t xml:space="preserve"> and the </w:t>
      </w:r>
      <w:r w:rsidRPr="00A31A71">
        <w:rPr>
          <w:rStyle w:val="Strong"/>
          <w:rFonts w:ascii="Arial" w:hAnsi="Arial" w:cs="Arial"/>
          <w:sz w:val="22"/>
          <w:szCs w:val="22"/>
        </w:rPr>
        <w:t>Ministry of Environment (MoE), Cambodia</w:t>
      </w:r>
      <w:r w:rsidRPr="00A31A71">
        <w:rPr>
          <w:rFonts w:ascii="Arial" w:hAnsi="Arial" w:cs="Arial"/>
          <w:sz w:val="22"/>
          <w:szCs w:val="22"/>
        </w:rPr>
        <w:t>,</w:t>
      </w:r>
    </w:p>
    <w:p w:rsidR="0021379C" w:rsidRPr="00A31A71" w:rsidRDefault="0021379C" w:rsidP="0021379C">
      <w:pPr>
        <w:spacing w:before="240" w:after="240"/>
        <w:jc w:val="both"/>
        <w:rPr>
          <w:rFonts w:ascii="Arial" w:hAnsi="Arial" w:cs="Arial"/>
          <w:i/>
          <w:iCs/>
          <w:sz w:val="22"/>
          <w:szCs w:val="22"/>
        </w:rPr>
      </w:pPr>
      <w:r w:rsidRPr="00A31A71">
        <w:rPr>
          <w:rFonts w:ascii="Arial" w:hAnsi="Arial" w:cs="Arial"/>
          <w:sz w:val="22"/>
          <w:szCs w:val="22"/>
        </w:rPr>
        <w:t>The sponsors had no role in the study design; collection, analysis, or interpretation of data; writing of the report; or the decision to submit the article for publication.</w:t>
      </w:r>
    </w:p>
    <w:p w:rsidR="00830E01" w:rsidRDefault="0021379C" w:rsidP="0021379C">
      <w:pPr>
        <w:pStyle w:val="Heading1"/>
        <w:rPr>
          <w:rStyle w:val="Strong"/>
          <w:b/>
          <w:bCs/>
        </w:rPr>
      </w:pPr>
      <w:r>
        <w:rPr>
          <w:rStyle w:val="Strong"/>
          <w:b/>
          <w:bCs/>
        </w:rPr>
        <w:br w:type="column"/>
      </w:r>
      <w:bookmarkStart w:id="38" w:name="_Toc217231866"/>
      <w:r w:rsidR="00830E01" w:rsidRPr="00AB2ACF">
        <w:rPr>
          <w:rStyle w:val="Strong"/>
          <w:b/>
          <w:bCs/>
        </w:rPr>
        <w:t>Reference</w:t>
      </w:r>
      <w:bookmarkEnd w:id="38"/>
    </w:p>
    <w:p w:rsidR="00922862" w:rsidRDefault="00922862" w:rsidP="00922862"/>
    <w:p w:rsidR="00932A6D" w:rsidRPr="003454E2" w:rsidRDefault="00932A6D" w:rsidP="00922862">
      <w:pPr>
        <w:pStyle w:val="NormalWeb"/>
        <w:spacing w:before="60" w:beforeAutospacing="0" w:after="60" w:afterAutospacing="0"/>
        <w:ind w:left="709" w:hanging="709"/>
        <w:rPr>
          <w:rFonts w:ascii="Arial" w:hAnsi="Arial" w:cs="Arial"/>
          <w:sz w:val="20"/>
          <w:szCs w:val="20"/>
        </w:rPr>
      </w:pPr>
      <w:r w:rsidRPr="003454E2">
        <w:rPr>
          <w:rFonts w:ascii="Arial" w:hAnsi="Arial" w:cs="Arial"/>
          <w:sz w:val="20"/>
          <w:szCs w:val="20"/>
        </w:rPr>
        <w:t xml:space="preserve">ASEAN Secretariat, 2019. </w:t>
      </w:r>
      <w:r w:rsidRPr="003454E2">
        <w:rPr>
          <w:rStyle w:val="Emphasis"/>
          <w:rFonts w:ascii="Arial" w:hAnsi="Arial" w:cs="Arial"/>
          <w:sz w:val="20"/>
          <w:szCs w:val="20"/>
        </w:rPr>
        <w:t>ASEAN framework of action on marine debris.</w:t>
      </w:r>
      <w:r w:rsidRPr="003454E2">
        <w:rPr>
          <w:rFonts w:ascii="Arial" w:hAnsi="Arial" w:cs="Arial"/>
          <w:sz w:val="20"/>
          <w:szCs w:val="20"/>
        </w:rPr>
        <w:t xml:space="preserve"> ASEAN. </w:t>
      </w:r>
      <w:hyperlink r:id="rId13" w:history="1">
        <w:r w:rsidRPr="003454E2">
          <w:rPr>
            <w:rStyle w:val="Hyperlink"/>
            <w:rFonts w:ascii="Arial" w:hAnsi="Arial" w:cs="Arial"/>
            <w:sz w:val="20"/>
            <w:szCs w:val="20"/>
          </w:rPr>
          <w:t>https://asean.org/wp-content/uploads/2021/01/3.-ASEAN-Framework-of-Action-on-Marine-Debris-FINAL.pdf</w:t>
        </w:r>
      </w:hyperlink>
      <w:r w:rsidRPr="003454E2">
        <w:rPr>
          <w:rFonts w:ascii="Arial" w:hAnsi="Arial" w:cs="Arial"/>
          <w:sz w:val="20"/>
          <w:szCs w:val="20"/>
        </w:rPr>
        <w:t xml:space="preserve"> </w:t>
      </w:r>
    </w:p>
    <w:p w:rsidR="00932A6D" w:rsidRPr="003454E2" w:rsidRDefault="00932A6D" w:rsidP="00922862">
      <w:pPr>
        <w:pStyle w:val="NormalWeb"/>
        <w:spacing w:before="60" w:beforeAutospacing="0" w:after="60" w:afterAutospacing="0"/>
        <w:ind w:left="709" w:hanging="709"/>
        <w:rPr>
          <w:rFonts w:ascii="Arial" w:hAnsi="Arial" w:cs="Arial"/>
          <w:sz w:val="20"/>
          <w:szCs w:val="20"/>
        </w:rPr>
      </w:pPr>
      <w:r w:rsidRPr="003454E2">
        <w:rPr>
          <w:rFonts w:ascii="Arial" w:hAnsi="Arial" w:cs="Arial"/>
          <w:sz w:val="20"/>
          <w:szCs w:val="20"/>
        </w:rPr>
        <w:t xml:space="preserve">Asian Development Bank, 2014. </w:t>
      </w:r>
      <w:r w:rsidRPr="003454E2">
        <w:rPr>
          <w:rStyle w:val="Emphasis"/>
          <w:rFonts w:ascii="Arial" w:hAnsi="Arial" w:cs="Arial"/>
          <w:sz w:val="20"/>
          <w:szCs w:val="20"/>
        </w:rPr>
        <w:t>Cambodia: Integrated Urban Environmental Management in the Tonle Sap Basin Project—Kampong Chhnang Urban Area Environmental Improvements: Initial environmental examination (IEE).</w:t>
      </w:r>
      <w:r w:rsidRPr="003454E2">
        <w:rPr>
          <w:rFonts w:ascii="Arial" w:hAnsi="Arial" w:cs="Arial"/>
          <w:sz w:val="20"/>
          <w:szCs w:val="20"/>
        </w:rPr>
        <w:t xml:space="preserve"> Asian Development Bank. </w:t>
      </w:r>
      <w:hyperlink r:id="rId14" w:history="1">
        <w:r w:rsidRPr="003454E2">
          <w:rPr>
            <w:rStyle w:val="Hyperlink"/>
            <w:rFonts w:ascii="Arial" w:hAnsi="Arial" w:cs="Arial"/>
            <w:sz w:val="20"/>
            <w:szCs w:val="20"/>
          </w:rPr>
          <w:t>https://www.adb.org/projects/42285-012/main</w:t>
        </w:r>
      </w:hyperlink>
      <w:r w:rsidRPr="003454E2">
        <w:rPr>
          <w:rFonts w:ascii="Arial" w:hAnsi="Arial" w:cs="Arial"/>
          <w:sz w:val="20"/>
          <w:szCs w:val="20"/>
        </w:rPr>
        <w:t xml:space="preserve"> </w:t>
      </w:r>
    </w:p>
    <w:p w:rsidR="00932A6D" w:rsidRPr="003454E2" w:rsidRDefault="00932A6D" w:rsidP="00922862">
      <w:pPr>
        <w:pStyle w:val="NormalWeb"/>
        <w:spacing w:before="60" w:beforeAutospacing="0" w:after="60" w:afterAutospacing="0"/>
        <w:ind w:left="709" w:hanging="709"/>
        <w:rPr>
          <w:rFonts w:ascii="Arial" w:hAnsi="Arial" w:cs="Arial"/>
          <w:sz w:val="20"/>
          <w:szCs w:val="20"/>
        </w:rPr>
      </w:pPr>
      <w:r w:rsidRPr="003454E2">
        <w:rPr>
          <w:rFonts w:ascii="Arial" w:hAnsi="Arial" w:cs="Arial"/>
          <w:sz w:val="20"/>
          <w:szCs w:val="20"/>
        </w:rPr>
        <w:t xml:space="preserve">Business Scouts for Development, 2020. </w:t>
      </w:r>
      <w:r w:rsidRPr="003454E2">
        <w:rPr>
          <w:rStyle w:val="Emphasis"/>
          <w:rFonts w:ascii="Arial" w:hAnsi="Arial" w:cs="Arial"/>
          <w:sz w:val="20"/>
          <w:szCs w:val="20"/>
        </w:rPr>
        <w:t>Sector brief Cambodia: Waste management.</w:t>
      </w:r>
      <w:r w:rsidRPr="003454E2">
        <w:rPr>
          <w:rFonts w:ascii="Arial" w:hAnsi="Arial" w:cs="Arial"/>
          <w:sz w:val="20"/>
          <w:szCs w:val="20"/>
        </w:rPr>
        <w:t xml:space="preserve"> Deutsche Gesellschaft für Internationale Zusammenarbeit (GIZ) GmbH. </w:t>
      </w:r>
      <w:hyperlink r:id="rId15" w:history="1">
        <w:r w:rsidRPr="003454E2">
          <w:rPr>
            <w:rStyle w:val="Hyperlink"/>
            <w:rFonts w:ascii="Arial" w:hAnsi="Arial" w:cs="Arial"/>
            <w:sz w:val="20"/>
            <w:szCs w:val="20"/>
          </w:rPr>
          <w:t>https://gb-cambodia.com/wp-content/uploads/2021/04/BSfD_SectorBrief_Cambodia_WasteManagement_WEB-1.pdf</w:t>
        </w:r>
      </w:hyperlink>
      <w:r w:rsidRPr="003454E2">
        <w:rPr>
          <w:rFonts w:ascii="Arial" w:hAnsi="Arial" w:cs="Arial"/>
          <w:sz w:val="20"/>
          <w:szCs w:val="20"/>
        </w:rPr>
        <w:t xml:space="preserve"> </w:t>
      </w:r>
    </w:p>
    <w:p w:rsidR="00932A6D" w:rsidRPr="003454E2" w:rsidRDefault="00932A6D" w:rsidP="00922862">
      <w:pPr>
        <w:pStyle w:val="NormalWeb"/>
        <w:spacing w:before="60" w:beforeAutospacing="0" w:after="60" w:afterAutospacing="0"/>
        <w:ind w:left="709" w:hanging="709"/>
        <w:rPr>
          <w:rFonts w:ascii="Arial" w:hAnsi="Arial" w:cs="Arial"/>
          <w:sz w:val="20"/>
          <w:szCs w:val="20"/>
        </w:rPr>
      </w:pPr>
      <w:r w:rsidRPr="003454E2">
        <w:rPr>
          <w:rFonts w:ascii="Arial" w:hAnsi="Arial" w:cs="Arial"/>
          <w:sz w:val="20"/>
          <w:szCs w:val="20"/>
        </w:rPr>
        <w:t xml:space="preserve">Coordinating Body on the Seas of East Asia, 2021. </w:t>
      </w:r>
      <w:r w:rsidRPr="003454E2">
        <w:rPr>
          <w:rStyle w:val="Emphasis"/>
          <w:rFonts w:ascii="Arial" w:hAnsi="Arial" w:cs="Arial"/>
          <w:sz w:val="20"/>
          <w:szCs w:val="20"/>
        </w:rPr>
        <w:t>Regional action plan on marine litter (RAP MALI).</w:t>
      </w:r>
      <w:r w:rsidRPr="003454E2">
        <w:rPr>
          <w:rFonts w:ascii="Arial" w:hAnsi="Arial" w:cs="Arial"/>
          <w:sz w:val="20"/>
          <w:szCs w:val="20"/>
        </w:rPr>
        <w:t xml:space="preserve"> COBSEA/UNEP.</w:t>
      </w:r>
    </w:p>
    <w:p w:rsidR="00932A6D" w:rsidRPr="003454E2" w:rsidRDefault="00932A6D" w:rsidP="00922862">
      <w:pPr>
        <w:pStyle w:val="NormalWeb"/>
        <w:spacing w:before="60" w:beforeAutospacing="0" w:after="60" w:afterAutospacing="0"/>
        <w:ind w:left="709" w:hanging="709"/>
        <w:rPr>
          <w:rFonts w:ascii="Arial" w:hAnsi="Arial" w:cs="Arial"/>
          <w:sz w:val="20"/>
          <w:szCs w:val="20"/>
        </w:rPr>
      </w:pPr>
      <w:r w:rsidRPr="003454E2">
        <w:rPr>
          <w:rFonts w:ascii="Arial" w:hAnsi="Arial" w:cs="Arial"/>
          <w:sz w:val="20"/>
          <w:szCs w:val="20"/>
        </w:rPr>
        <w:t xml:space="preserve">Food and Agriculture Organization of the United Nations, 202. </w:t>
      </w:r>
      <w:r w:rsidRPr="003454E2">
        <w:rPr>
          <w:rStyle w:val="Emphasis"/>
          <w:rFonts w:ascii="Arial" w:hAnsi="Arial" w:cs="Arial"/>
          <w:sz w:val="20"/>
          <w:szCs w:val="20"/>
        </w:rPr>
        <w:t>World aquaculture performance indicators (WAPI): National aquaculture sector overview—Cambodia.</w:t>
      </w:r>
      <w:r w:rsidRPr="003454E2">
        <w:rPr>
          <w:rFonts w:ascii="Arial" w:hAnsi="Arial" w:cs="Arial"/>
          <w:sz w:val="20"/>
          <w:szCs w:val="20"/>
        </w:rPr>
        <w:t xml:space="preserve"> FAO.</w:t>
      </w:r>
    </w:p>
    <w:p w:rsidR="00932A6D" w:rsidRPr="003454E2" w:rsidRDefault="00932A6D" w:rsidP="00922862">
      <w:pPr>
        <w:pStyle w:val="NormalWeb"/>
        <w:spacing w:before="60" w:beforeAutospacing="0" w:after="60" w:afterAutospacing="0"/>
        <w:ind w:left="709" w:hanging="709"/>
        <w:rPr>
          <w:rFonts w:ascii="Arial" w:hAnsi="Arial" w:cs="Arial"/>
          <w:sz w:val="20"/>
          <w:szCs w:val="20"/>
        </w:rPr>
      </w:pPr>
      <w:r w:rsidRPr="003454E2">
        <w:rPr>
          <w:rFonts w:ascii="Arial" w:hAnsi="Arial" w:cs="Arial"/>
          <w:sz w:val="20"/>
          <w:szCs w:val="20"/>
        </w:rPr>
        <w:t xml:space="preserve">Food and Agriculture Organization of the United Nations, 2023. </w:t>
      </w:r>
      <w:r w:rsidRPr="003454E2">
        <w:rPr>
          <w:rStyle w:val="Emphasis"/>
          <w:rFonts w:ascii="Arial" w:hAnsi="Arial" w:cs="Arial"/>
          <w:sz w:val="20"/>
          <w:szCs w:val="20"/>
        </w:rPr>
        <w:t>FAOSTAT: Pesticides use database – Cambodia.</w:t>
      </w:r>
      <w:r w:rsidRPr="003454E2">
        <w:rPr>
          <w:rFonts w:ascii="Arial" w:hAnsi="Arial" w:cs="Arial"/>
          <w:sz w:val="20"/>
          <w:szCs w:val="20"/>
        </w:rPr>
        <w:t xml:space="preserve"> FAO. </w:t>
      </w:r>
      <w:hyperlink r:id="rId16" w:anchor="data/RP" w:tgtFrame="_new" w:history="1">
        <w:r w:rsidRPr="003454E2">
          <w:rPr>
            <w:rStyle w:val="Hyperlink"/>
            <w:rFonts w:ascii="Arial" w:eastAsiaTheme="majorEastAsia" w:hAnsi="Arial" w:cs="Arial"/>
            <w:sz w:val="20"/>
            <w:szCs w:val="20"/>
          </w:rPr>
          <w:t>https://www.fao.org/faostat/en/#data/RP</w:t>
        </w:r>
      </w:hyperlink>
    </w:p>
    <w:p w:rsidR="00932A6D" w:rsidRPr="003454E2" w:rsidRDefault="00932A6D" w:rsidP="00922862">
      <w:pPr>
        <w:pStyle w:val="NormalWeb"/>
        <w:spacing w:before="60" w:beforeAutospacing="0" w:after="60" w:afterAutospacing="0"/>
        <w:ind w:left="709" w:hanging="709"/>
        <w:rPr>
          <w:rFonts w:ascii="Arial" w:hAnsi="Arial" w:cs="Arial"/>
          <w:sz w:val="20"/>
          <w:szCs w:val="20"/>
        </w:rPr>
      </w:pPr>
      <w:r w:rsidRPr="003454E2">
        <w:rPr>
          <w:rFonts w:ascii="Arial" w:hAnsi="Arial" w:cs="Arial"/>
          <w:sz w:val="20"/>
          <w:szCs w:val="20"/>
        </w:rPr>
        <w:t xml:space="preserve">Japan International Cooperation Agency, 2015. </w:t>
      </w:r>
      <w:r w:rsidRPr="003454E2">
        <w:rPr>
          <w:rStyle w:val="Emphasis"/>
          <w:rFonts w:ascii="Arial" w:hAnsi="Arial" w:cs="Arial"/>
          <w:sz w:val="20"/>
          <w:szCs w:val="20"/>
        </w:rPr>
        <w:t>Data collection survey on water environment improvement in Phnom Penh.</w:t>
      </w:r>
      <w:r w:rsidRPr="003454E2">
        <w:rPr>
          <w:rFonts w:ascii="Arial" w:hAnsi="Arial" w:cs="Arial"/>
          <w:sz w:val="20"/>
          <w:szCs w:val="20"/>
        </w:rPr>
        <w:t xml:space="preserve"> JICA.</w:t>
      </w:r>
    </w:p>
    <w:p w:rsidR="00932A6D" w:rsidRPr="003454E2" w:rsidRDefault="00932A6D" w:rsidP="00922862">
      <w:pPr>
        <w:pStyle w:val="NormalWeb"/>
        <w:spacing w:before="60" w:beforeAutospacing="0" w:after="60" w:afterAutospacing="0"/>
        <w:ind w:left="709" w:hanging="709"/>
        <w:rPr>
          <w:rFonts w:ascii="Arial" w:hAnsi="Arial" w:cs="Arial"/>
          <w:sz w:val="20"/>
          <w:szCs w:val="20"/>
        </w:rPr>
      </w:pPr>
      <w:r w:rsidRPr="003454E2">
        <w:rPr>
          <w:rFonts w:ascii="Arial" w:hAnsi="Arial" w:cs="Arial"/>
          <w:sz w:val="20"/>
          <w:szCs w:val="20"/>
        </w:rPr>
        <w:t xml:space="preserve">Japan International Cooperation Agency, 2016c. </w:t>
      </w:r>
      <w:r w:rsidRPr="003454E2">
        <w:rPr>
          <w:rStyle w:val="Emphasis"/>
          <w:rFonts w:ascii="Arial" w:hAnsi="Arial" w:cs="Arial"/>
          <w:sz w:val="20"/>
          <w:szCs w:val="20"/>
        </w:rPr>
        <w:t>The project for sewerage system development in Phnom Penh (Tumpun and Trabek areas): Final report.</w:t>
      </w:r>
      <w:r w:rsidRPr="003454E2">
        <w:rPr>
          <w:rFonts w:ascii="Arial" w:hAnsi="Arial" w:cs="Arial"/>
          <w:sz w:val="20"/>
          <w:szCs w:val="20"/>
        </w:rPr>
        <w:t xml:space="preserve"> JICA.</w:t>
      </w:r>
    </w:p>
    <w:p w:rsidR="00932A6D" w:rsidRPr="003454E2" w:rsidRDefault="00932A6D" w:rsidP="00922862">
      <w:pPr>
        <w:pStyle w:val="NormalWeb"/>
        <w:spacing w:before="60" w:beforeAutospacing="0" w:after="60" w:afterAutospacing="0"/>
        <w:ind w:left="709" w:hanging="709"/>
        <w:rPr>
          <w:rFonts w:ascii="Arial" w:hAnsi="Arial" w:cs="Arial"/>
          <w:sz w:val="20"/>
          <w:szCs w:val="20"/>
        </w:rPr>
      </w:pPr>
      <w:r w:rsidRPr="003454E2">
        <w:rPr>
          <w:rFonts w:ascii="Arial" w:hAnsi="Arial" w:cs="Arial"/>
          <w:sz w:val="20"/>
          <w:szCs w:val="20"/>
        </w:rPr>
        <w:t xml:space="preserve">Japan International Cooperation Agency, 2016b. </w:t>
      </w:r>
      <w:r w:rsidRPr="003454E2">
        <w:rPr>
          <w:rStyle w:val="Emphasis"/>
          <w:rFonts w:ascii="Arial" w:hAnsi="Arial" w:cs="Arial"/>
          <w:sz w:val="20"/>
          <w:szCs w:val="20"/>
        </w:rPr>
        <w:t>The study on drainage and sewerage improvement project in Phnom Penh metropolitan area.</w:t>
      </w:r>
      <w:r w:rsidRPr="003454E2">
        <w:rPr>
          <w:rFonts w:ascii="Arial" w:hAnsi="Arial" w:cs="Arial"/>
          <w:sz w:val="20"/>
          <w:szCs w:val="20"/>
        </w:rPr>
        <w:t xml:space="preserve"> JICA. </w:t>
      </w:r>
      <w:hyperlink r:id="rId17" w:history="1">
        <w:r w:rsidRPr="003454E2">
          <w:rPr>
            <w:rStyle w:val="Hyperlink"/>
            <w:rFonts w:ascii="Arial" w:hAnsi="Arial" w:cs="Arial"/>
            <w:sz w:val="20"/>
            <w:szCs w:val="20"/>
          </w:rPr>
          <w:t>https://openjicareport.jica.go.jp/pdf/12270294_01.pdf</w:t>
        </w:r>
      </w:hyperlink>
      <w:r w:rsidRPr="003454E2">
        <w:rPr>
          <w:rFonts w:ascii="Arial" w:hAnsi="Arial" w:cs="Arial"/>
          <w:sz w:val="20"/>
          <w:szCs w:val="20"/>
        </w:rPr>
        <w:t xml:space="preserve"> </w:t>
      </w:r>
    </w:p>
    <w:p w:rsidR="00932A6D" w:rsidRPr="003454E2" w:rsidRDefault="00932A6D" w:rsidP="00740143">
      <w:pPr>
        <w:pStyle w:val="NormalWeb"/>
        <w:spacing w:before="60" w:beforeAutospacing="0" w:after="60" w:afterAutospacing="0"/>
        <w:ind w:left="709" w:hanging="709"/>
        <w:rPr>
          <w:rFonts w:ascii="Arial" w:hAnsi="Arial" w:cs="Arial"/>
          <w:sz w:val="20"/>
          <w:szCs w:val="20"/>
        </w:rPr>
      </w:pPr>
      <w:r w:rsidRPr="003454E2">
        <w:rPr>
          <w:rFonts w:ascii="Arial" w:hAnsi="Arial" w:cs="Arial"/>
          <w:sz w:val="20"/>
          <w:szCs w:val="20"/>
        </w:rPr>
        <w:t xml:space="preserve">Khmer Times, 2025, February 10. </w:t>
      </w:r>
      <w:r w:rsidRPr="003454E2">
        <w:rPr>
          <w:rStyle w:val="Emphasis"/>
          <w:rFonts w:ascii="Arial" w:hAnsi="Arial" w:cs="Arial"/>
          <w:sz w:val="20"/>
          <w:szCs w:val="20"/>
        </w:rPr>
        <w:t>Swimming suspended at a Sihanoukville beach after oil spill.</w:t>
      </w:r>
      <w:r w:rsidRPr="003454E2">
        <w:rPr>
          <w:rFonts w:ascii="Arial" w:hAnsi="Arial" w:cs="Arial"/>
          <w:sz w:val="20"/>
          <w:szCs w:val="20"/>
        </w:rPr>
        <w:t xml:space="preserve"> https://www.khmertimeskh.com/501633412/swimming-suspended-at-prek-treng-beach-after-oil-spill/</w:t>
      </w:r>
    </w:p>
    <w:p w:rsidR="00932A6D" w:rsidRPr="003454E2" w:rsidRDefault="00932A6D" w:rsidP="00922862">
      <w:pPr>
        <w:pStyle w:val="NormalWeb"/>
        <w:spacing w:before="60" w:beforeAutospacing="0" w:after="60" w:afterAutospacing="0"/>
        <w:ind w:left="709" w:hanging="709"/>
        <w:rPr>
          <w:rFonts w:ascii="Arial" w:hAnsi="Arial" w:cs="Arial"/>
          <w:sz w:val="20"/>
          <w:szCs w:val="20"/>
        </w:rPr>
      </w:pPr>
      <w:r w:rsidRPr="003454E2">
        <w:rPr>
          <w:rFonts w:ascii="Arial" w:hAnsi="Arial" w:cs="Arial"/>
          <w:sz w:val="20"/>
          <w:szCs w:val="20"/>
        </w:rPr>
        <w:t xml:space="preserve">Khmer Times. (2016, March 30). </w:t>
      </w:r>
      <w:r w:rsidRPr="003454E2">
        <w:rPr>
          <w:rStyle w:val="Emphasis"/>
          <w:rFonts w:ascii="Arial" w:hAnsi="Arial" w:cs="Arial"/>
          <w:sz w:val="20"/>
          <w:szCs w:val="20"/>
        </w:rPr>
        <w:t>Algal bloom threatens Kep’s tourism and fisheries.</w:t>
      </w:r>
      <w:r w:rsidRPr="003454E2">
        <w:rPr>
          <w:rFonts w:ascii="Arial" w:hAnsi="Arial" w:cs="Arial"/>
          <w:sz w:val="20"/>
          <w:szCs w:val="20"/>
        </w:rPr>
        <w:t xml:space="preserve"> </w:t>
      </w:r>
      <w:hyperlink r:id="rId18" w:history="1">
        <w:r w:rsidRPr="003454E2">
          <w:rPr>
            <w:rStyle w:val="Hyperlink"/>
            <w:rFonts w:ascii="Arial" w:hAnsi="Arial" w:cs="Arial"/>
            <w:sz w:val="20"/>
            <w:szCs w:val="20"/>
          </w:rPr>
          <w:t>https://www.khmertimeskh.com/24078/algae-bloom-was-natural-says-ministry/</w:t>
        </w:r>
      </w:hyperlink>
      <w:r w:rsidRPr="003454E2">
        <w:rPr>
          <w:rFonts w:ascii="Arial" w:hAnsi="Arial" w:cs="Arial"/>
          <w:sz w:val="20"/>
          <w:szCs w:val="20"/>
        </w:rPr>
        <w:t xml:space="preserve"> </w:t>
      </w:r>
    </w:p>
    <w:p w:rsidR="00932A6D" w:rsidRPr="003454E2" w:rsidRDefault="00932A6D" w:rsidP="00740143">
      <w:pPr>
        <w:pStyle w:val="NormalWeb"/>
        <w:spacing w:before="60" w:beforeAutospacing="0" w:after="60" w:afterAutospacing="0"/>
        <w:rPr>
          <w:rFonts w:ascii="Arial" w:hAnsi="Arial" w:cs="Arial"/>
          <w:sz w:val="20"/>
          <w:szCs w:val="20"/>
        </w:rPr>
      </w:pPr>
      <w:r w:rsidRPr="003454E2">
        <w:rPr>
          <w:rFonts w:ascii="Arial" w:hAnsi="Arial" w:cs="Arial"/>
          <w:sz w:val="20"/>
          <w:szCs w:val="20"/>
        </w:rPr>
        <w:t xml:space="preserve">Kiripost, 2025, February 11. </w:t>
      </w:r>
      <w:r w:rsidRPr="003454E2">
        <w:rPr>
          <w:rStyle w:val="Emphasis"/>
          <w:rFonts w:ascii="Arial" w:hAnsi="Arial" w:cs="Arial"/>
          <w:sz w:val="20"/>
          <w:szCs w:val="20"/>
        </w:rPr>
        <w:t xml:space="preserve">Prek Treng Beach Covered in 2,000 Litres of Leaked Oil. </w:t>
      </w:r>
      <w:hyperlink r:id="rId19" w:history="1">
        <w:r w:rsidRPr="003454E2">
          <w:rPr>
            <w:rStyle w:val="Hyperlink"/>
            <w:rFonts w:ascii="Arial" w:hAnsi="Arial" w:cs="Arial"/>
            <w:sz w:val="20"/>
            <w:szCs w:val="20"/>
          </w:rPr>
          <w:t>https://kiripost.com/stories/prek-treng-beach-covered-in-2000-litres-of-leaked-oil</w:t>
        </w:r>
      </w:hyperlink>
      <w:r w:rsidRPr="003454E2">
        <w:rPr>
          <w:rFonts w:ascii="Arial" w:hAnsi="Arial" w:cs="Arial"/>
          <w:sz w:val="20"/>
          <w:szCs w:val="20"/>
        </w:rPr>
        <w:t xml:space="preserve"> </w:t>
      </w:r>
    </w:p>
    <w:p w:rsidR="00932A6D" w:rsidRPr="003454E2" w:rsidRDefault="00932A6D" w:rsidP="00922862">
      <w:pPr>
        <w:pStyle w:val="NormalWeb"/>
        <w:spacing w:before="60" w:beforeAutospacing="0" w:after="60" w:afterAutospacing="0"/>
        <w:ind w:left="709" w:hanging="709"/>
        <w:rPr>
          <w:rFonts w:ascii="Arial" w:hAnsi="Arial" w:cs="Arial"/>
          <w:sz w:val="20"/>
          <w:szCs w:val="20"/>
        </w:rPr>
      </w:pPr>
      <w:r w:rsidRPr="003454E2">
        <w:rPr>
          <w:rFonts w:ascii="Arial" w:hAnsi="Arial" w:cs="Arial"/>
          <w:sz w:val="20"/>
          <w:szCs w:val="20"/>
        </w:rPr>
        <w:t xml:space="preserve">Korea Development Institute, 2021. </w:t>
      </w:r>
      <w:r w:rsidRPr="003454E2">
        <w:rPr>
          <w:rStyle w:val="Emphasis"/>
          <w:rFonts w:ascii="Arial" w:hAnsi="Arial" w:cs="Arial"/>
          <w:sz w:val="20"/>
          <w:szCs w:val="20"/>
        </w:rPr>
        <w:t>Industrial waste management policy consultation for Cambodia.</w:t>
      </w:r>
      <w:r w:rsidRPr="003454E2">
        <w:rPr>
          <w:rFonts w:ascii="Arial" w:hAnsi="Arial" w:cs="Arial"/>
          <w:sz w:val="20"/>
          <w:szCs w:val="20"/>
        </w:rPr>
        <w:t xml:space="preserve"> Knowledge Sharing Program (KSP), Republic of Korea.</w:t>
      </w:r>
    </w:p>
    <w:p w:rsidR="00932A6D" w:rsidRPr="003454E2" w:rsidRDefault="00932A6D" w:rsidP="00932A6D">
      <w:pPr>
        <w:pStyle w:val="NormalWeb"/>
        <w:spacing w:before="60" w:beforeAutospacing="0" w:after="60" w:afterAutospacing="0"/>
        <w:ind w:left="709" w:hanging="709"/>
        <w:rPr>
          <w:rFonts w:ascii="Arial" w:hAnsi="Arial" w:cs="Arial"/>
          <w:sz w:val="20"/>
          <w:szCs w:val="20"/>
        </w:rPr>
      </w:pPr>
      <w:r w:rsidRPr="003454E2">
        <w:rPr>
          <w:rFonts w:ascii="Arial" w:hAnsi="Arial" w:cs="Arial"/>
          <w:sz w:val="20"/>
          <w:szCs w:val="20"/>
        </w:rPr>
        <w:t xml:space="preserve">Mekong River Commission, 2021. </w:t>
      </w:r>
      <w:r w:rsidRPr="003454E2">
        <w:rPr>
          <w:rStyle w:val="Emphasis"/>
          <w:rFonts w:ascii="Arial" w:hAnsi="Arial" w:cs="Arial"/>
          <w:sz w:val="20"/>
          <w:szCs w:val="20"/>
        </w:rPr>
        <w:t>2018 lower Mekong water quality monitoring report.</w:t>
      </w:r>
      <w:r w:rsidRPr="003454E2">
        <w:rPr>
          <w:rFonts w:ascii="Arial" w:hAnsi="Arial" w:cs="Arial"/>
          <w:sz w:val="20"/>
          <w:szCs w:val="20"/>
        </w:rPr>
        <w:t xml:space="preserve"> MRC Secretariat. </w:t>
      </w:r>
      <w:hyperlink r:id="rId20" w:history="1">
        <w:r w:rsidRPr="003454E2">
          <w:rPr>
            <w:rStyle w:val="Hyperlink"/>
            <w:rFonts w:ascii="Arial" w:hAnsi="Arial" w:cs="Arial"/>
            <w:sz w:val="20"/>
            <w:szCs w:val="20"/>
          </w:rPr>
          <w:t>https://www.mrcmekong.org/?download_document=1&amp;document_id=01KW62YKQ67C25OEWE7FBKPYAIB4UQ6H5F&amp;name=2018-Lower-Mekong-Water-Quality-Monitoring-Report.pdf</w:t>
        </w:r>
      </w:hyperlink>
      <w:r w:rsidRPr="003454E2">
        <w:rPr>
          <w:rFonts w:ascii="Arial" w:hAnsi="Arial" w:cs="Arial"/>
          <w:sz w:val="20"/>
          <w:szCs w:val="20"/>
        </w:rPr>
        <w:t xml:space="preserve"> </w:t>
      </w:r>
    </w:p>
    <w:p w:rsidR="00932A6D" w:rsidRPr="003454E2" w:rsidRDefault="00932A6D" w:rsidP="00932A6D">
      <w:pPr>
        <w:pStyle w:val="NormalWeb"/>
        <w:spacing w:before="60" w:beforeAutospacing="0" w:after="60" w:afterAutospacing="0"/>
        <w:ind w:left="709" w:hanging="709"/>
        <w:rPr>
          <w:rFonts w:ascii="Arial" w:hAnsi="Arial" w:cs="Arial"/>
          <w:sz w:val="20"/>
          <w:szCs w:val="20"/>
        </w:rPr>
      </w:pPr>
      <w:r w:rsidRPr="003454E2">
        <w:rPr>
          <w:rFonts w:ascii="Arial" w:hAnsi="Arial" w:cs="Arial"/>
          <w:sz w:val="20"/>
          <w:szCs w:val="20"/>
        </w:rPr>
        <w:t xml:space="preserve">Mekong River Commission, 2022. </w:t>
      </w:r>
      <w:r w:rsidRPr="003454E2">
        <w:rPr>
          <w:rStyle w:val="Emphasis"/>
          <w:rFonts w:ascii="Arial" w:hAnsi="Arial" w:cs="Arial"/>
          <w:sz w:val="20"/>
          <w:szCs w:val="20"/>
        </w:rPr>
        <w:t>2019 Lower Mekong Water Quality Monitoring Report.</w:t>
      </w:r>
      <w:r w:rsidRPr="003454E2">
        <w:rPr>
          <w:rFonts w:ascii="Arial" w:hAnsi="Arial" w:cs="Arial"/>
          <w:sz w:val="20"/>
          <w:szCs w:val="20"/>
        </w:rPr>
        <w:t xml:space="preserve"> MRC Secretariat. </w:t>
      </w:r>
      <w:hyperlink r:id="rId21" w:history="1">
        <w:r w:rsidRPr="003454E2">
          <w:rPr>
            <w:rStyle w:val="Hyperlink"/>
            <w:rFonts w:ascii="Arial" w:hAnsi="Arial" w:cs="Arial"/>
            <w:sz w:val="20"/>
            <w:szCs w:val="20"/>
          </w:rPr>
          <w:t>https://www.mrcmekong.org/wp-content/uploads/2024/09/2019-Lower-Mekong-Water-Quality-Monitoring-Report.pdf</w:t>
        </w:r>
      </w:hyperlink>
      <w:r w:rsidRPr="003454E2">
        <w:rPr>
          <w:rFonts w:ascii="Arial" w:hAnsi="Arial" w:cs="Arial"/>
          <w:sz w:val="20"/>
          <w:szCs w:val="20"/>
        </w:rPr>
        <w:t xml:space="preserve"> </w:t>
      </w:r>
    </w:p>
    <w:p w:rsidR="00932A6D" w:rsidRPr="003454E2" w:rsidRDefault="00932A6D" w:rsidP="00922862">
      <w:pPr>
        <w:pStyle w:val="NormalWeb"/>
        <w:spacing w:before="60" w:beforeAutospacing="0" w:after="60" w:afterAutospacing="0"/>
        <w:ind w:left="709" w:hanging="709"/>
        <w:rPr>
          <w:rFonts w:ascii="Arial" w:hAnsi="Arial" w:cs="Arial"/>
          <w:sz w:val="20"/>
          <w:szCs w:val="20"/>
        </w:rPr>
      </w:pPr>
      <w:r w:rsidRPr="003454E2">
        <w:rPr>
          <w:rFonts w:ascii="Arial" w:hAnsi="Arial" w:cs="Arial"/>
          <w:sz w:val="20"/>
          <w:szCs w:val="20"/>
        </w:rPr>
        <w:t xml:space="preserve">Mekong River Commission, 2023. </w:t>
      </w:r>
      <w:r w:rsidRPr="003454E2">
        <w:rPr>
          <w:rStyle w:val="Emphasis"/>
          <w:rFonts w:ascii="Arial" w:hAnsi="Arial" w:cs="Arial"/>
          <w:sz w:val="20"/>
          <w:szCs w:val="20"/>
        </w:rPr>
        <w:t>2021 lower Mekong water quality monitoring report.</w:t>
      </w:r>
      <w:r w:rsidRPr="003454E2">
        <w:rPr>
          <w:rFonts w:ascii="Arial" w:hAnsi="Arial" w:cs="Arial"/>
          <w:sz w:val="20"/>
          <w:szCs w:val="20"/>
        </w:rPr>
        <w:t xml:space="preserve"> MRC Secretariat. </w:t>
      </w:r>
      <w:hyperlink r:id="rId22" w:history="1">
        <w:r w:rsidRPr="003454E2">
          <w:rPr>
            <w:rStyle w:val="Hyperlink"/>
            <w:rFonts w:ascii="Arial" w:hAnsi="Arial" w:cs="Arial"/>
            <w:sz w:val="20"/>
            <w:szCs w:val="20"/>
          </w:rPr>
          <w:t>https://www.mrcmekong.org/wp-content/uploads/2024/11/2021-Water-Quality-Report.pdf</w:t>
        </w:r>
      </w:hyperlink>
      <w:r w:rsidRPr="003454E2">
        <w:rPr>
          <w:rFonts w:ascii="Arial" w:hAnsi="Arial" w:cs="Arial"/>
          <w:sz w:val="20"/>
          <w:szCs w:val="20"/>
        </w:rPr>
        <w:t xml:space="preserve"> </w:t>
      </w:r>
    </w:p>
    <w:p w:rsidR="00932A6D" w:rsidRPr="003454E2" w:rsidRDefault="00932A6D" w:rsidP="00922862">
      <w:pPr>
        <w:pStyle w:val="NormalWeb"/>
        <w:spacing w:before="60" w:beforeAutospacing="0" w:after="60" w:afterAutospacing="0"/>
        <w:ind w:left="709" w:hanging="709"/>
        <w:rPr>
          <w:rFonts w:ascii="Arial" w:hAnsi="Arial" w:cs="Arial"/>
          <w:sz w:val="20"/>
          <w:szCs w:val="20"/>
        </w:rPr>
      </w:pPr>
      <w:r w:rsidRPr="003454E2">
        <w:rPr>
          <w:rFonts w:ascii="Arial" w:hAnsi="Arial" w:cs="Arial"/>
          <w:sz w:val="20"/>
          <w:szCs w:val="20"/>
        </w:rPr>
        <w:t xml:space="preserve">Ministry of Environment, &amp; Royal Government of Cambodia, 2018. </w:t>
      </w:r>
      <w:r w:rsidRPr="003454E2">
        <w:rPr>
          <w:rStyle w:val="Emphasis"/>
          <w:rFonts w:ascii="Arial" w:hAnsi="Arial" w:cs="Arial"/>
          <w:sz w:val="20"/>
          <w:szCs w:val="20"/>
        </w:rPr>
        <w:t>National policy on waste management 2018–2030.</w:t>
      </w:r>
      <w:r w:rsidRPr="003454E2">
        <w:rPr>
          <w:rFonts w:ascii="Arial" w:hAnsi="Arial" w:cs="Arial"/>
          <w:sz w:val="20"/>
          <w:szCs w:val="20"/>
        </w:rPr>
        <w:t xml:space="preserve"> Ministry of Environment.</w:t>
      </w:r>
    </w:p>
    <w:p w:rsidR="00932A6D" w:rsidRPr="003454E2" w:rsidRDefault="00932A6D" w:rsidP="00922862">
      <w:pPr>
        <w:pStyle w:val="NormalWeb"/>
        <w:spacing w:before="60" w:beforeAutospacing="0" w:after="60" w:afterAutospacing="0"/>
        <w:ind w:left="709" w:hanging="709"/>
        <w:rPr>
          <w:rFonts w:ascii="Arial" w:hAnsi="Arial" w:cs="Arial"/>
          <w:sz w:val="20"/>
          <w:szCs w:val="20"/>
        </w:rPr>
      </w:pPr>
      <w:r w:rsidRPr="003454E2">
        <w:rPr>
          <w:rFonts w:ascii="Arial" w:hAnsi="Arial" w:cs="Arial"/>
          <w:sz w:val="20"/>
          <w:szCs w:val="20"/>
        </w:rPr>
        <w:t xml:space="preserve">Ministry of Environment, &amp; Royal Government of Cambodia, 2023. </w:t>
      </w:r>
      <w:r w:rsidRPr="003454E2">
        <w:rPr>
          <w:rStyle w:val="Emphasis"/>
          <w:rFonts w:ascii="Arial" w:hAnsi="Arial" w:cs="Arial"/>
          <w:sz w:val="20"/>
          <w:szCs w:val="20"/>
        </w:rPr>
        <w:t>National action plan on marine plastic waste management 2023–2030.</w:t>
      </w:r>
      <w:r w:rsidRPr="003454E2">
        <w:rPr>
          <w:rFonts w:ascii="Arial" w:hAnsi="Arial" w:cs="Arial"/>
          <w:sz w:val="20"/>
          <w:szCs w:val="20"/>
        </w:rPr>
        <w:t xml:space="preserve"> Ministry of Environment.</w:t>
      </w:r>
    </w:p>
    <w:p w:rsidR="00932A6D" w:rsidRPr="003454E2" w:rsidRDefault="00932A6D" w:rsidP="00922862">
      <w:pPr>
        <w:pStyle w:val="NormalWeb"/>
        <w:spacing w:before="60" w:beforeAutospacing="0" w:after="60" w:afterAutospacing="0"/>
        <w:ind w:left="709" w:hanging="709"/>
        <w:rPr>
          <w:rFonts w:ascii="Arial" w:hAnsi="Arial" w:cs="Arial"/>
          <w:sz w:val="20"/>
          <w:szCs w:val="20"/>
        </w:rPr>
      </w:pPr>
      <w:r w:rsidRPr="003454E2">
        <w:rPr>
          <w:rFonts w:ascii="Arial" w:hAnsi="Arial" w:cs="Arial"/>
          <w:sz w:val="20"/>
          <w:szCs w:val="20"/>
        </w:rPr>
        <w:t xml:space="preserve">Ministry of Environment, 2009. </w:t>
      </w:r>
      <w:r w:rsidRPr="003454E2">
        <w:rPr>
          <w:rStyle w:val="Emphasis"/>
          <w:rFonts w:ascii="Arial" w:hAnsi="Arial" w:cs="Arial"/>
          <w:sz w:val="20"/>
          <w:szCs w:val="20"/>
        </w:rPr>
        <w:t>Prakas on water quality standards in public water areas and public sewer (Prakas No. 27).</w:t>
      </w:r>
      <w:r w:rsidRPr="003454E2">
        <w:rPr>
          <w:rFonts w:ascii="Arial" w:hAnsi="Arial" w:cs="Arial"/>
          <w:sz w:val="20"/>
          <w:szCs w:val="20"/>
        </w:rPr>
        <w:t xml:space="preserve"> Royal Government of Cambodia.</w:t>
      </w:r>
    </w:p>
    <w:p w:rsidR="00932A6D" w:rsidRPr="003454E2" w:rsidRDefault="00932A6D" w:rsidP="00922862">
      <w:pPr>
        <w:pStyle w:val="NormalWeb"/>
        <w:spacing w:before="60" w:beforeAutospacing="0" w:after="60" w:afterAutospacing="0"/>
        <w:ind w:left="709" w:hanging="709"/>
        <w:rPr>
          <w:rFonts w:ascii="Arial" w:hAnsi="Arial" w:cs="Arial"/>
          <w:sz w:val="20"/>
          <w:szCs w:val="20"/>
        </w:rPr>
      </w:pPr>
      <w:r w:rsidRPr="003454E2">
        <w:rPr>
          <w:rFonts w:ascii="Arial" w:hAnsi="Arial" w:cs="Arial"/>
          <w:sz w:val="20"/>
          <w:szCs w:val="20"/>
        </w:rPr>
        <w:t xml:space="preserve">Ministry of Environment, 2022. </w:t>
      </w:r>
      <w:r w:rsidRPr="003454E2">
        <w:rPr>
          <w:rStyle w:val="Emphasis"/>
          <w:rFonts w:ascii="Arial" w:hAnsi="Arial" w:cs="Arial"/>
          <w:sz w:val="20"/>
          <w:szCs w:val="20"/>
        </w:rPr>
        <w:t>State of water environment: Cambodia.</w:t>
      </w:r>
      <w:r w:rsidRPr="003454E2">
        <w:rPr>
          <w:rFonts w:ascii="Arial" w:hAnsi="Arial" w:cs="Arial"/>
          <w:sz w:val="20"/>
          <w:szCs w:val="20"/>
        </w:rPr>
        <w:t xml:space="preserve"> In Water Environment Partnership in Asia (Ed.), </w:t>
      </w:r>
      <w:r w:rsidRPr="003454E2">
        <w:rPr>
          <w:rStyle w:val="Emphasis"/>
          <w:rFonts w:ascii="Arial" w:hAnsi="Arial" w:cs="Arial"/>
          <w:sz w:val="20"/>
          <w:szCs w:val="20"/>
        </w:rPr>
        <w:t>State of water environmental management in Asia 2022.</w:t>
      </w:r>
      <w:r w:rsidRPr="003454E2">
        <w:rPr>
          <w:rFonts w:ascii="Arial" w:hAnsi="Arial" w:cs="Arial"/>
          <w:sz w:val="20"/>
          <w:szCs w:val="20"/>
        </w:rPr>
        <w:t xml:space="preserve"> WEPA. </w:t>
      </w:r>
      <w:hyperlink r:id="rId23" w:history="1">
        <w:r w:rsidRPr="003454E2">
          <w:rPr>
            <w:rStyle w:val="Hyperlink"/>
            <w:rFonts w:ascii="Arial" w:hAnsi="Arial" w:cs="Arial"/>
            <w:sz w:val="20"/>
            <w:szCs w:val="20"/>
          </w:rPr>
          <w:t>https://wepa-db.net/wp-content/uploads/2023/02/1_State-of-water-environment_Cambodia.pdf</w:t>
        </w:r>
      </w:hyperlink>
      <w:r w:rsidRPr="003454E2">
        <w:rPr>
          <w:rFonts w:ascii="Arial" w:hAnsi="Arial" w:cs="Arial"/>
          <w:sz w:val="20"/>
          <w:szCs w:val="20"/>
        </w:rPr>
        <w:t xml:space="preserve">? </w:t>
      </w:r>
    </w:p>
    <w:p w:rsidR="00932A6D" w:rsidRPr="003454E2" w:rsidRDefault="00932A6D" w:rsidP="00922862">
      <w:pPr>
        <w:pStyle w:val="NormalWeb"/>
        <w:spacing w:before="60" w:beforeAutospacing="0" w:after="60" w:afterAutospacing="0"/>
        <w:ind w:left="709" w:hanging="709"/>
        <w:rPr>
          <w:rFonts w:ascii="Arial" w:hAnsi="Arial" w:cs="Arial"/>
          <w:sz w:val="20"/>
          <w:szCs w:val="20"/>
        </w:rPr>
      </w:pPr>
      <w:r w:rsidRPr="003454E2">
        <w:rPr>
          <w:rFonts w:ascii="Arial" w:hAnsi="Arial" w:cs="Arial"/>
          <w:sz w:val="20"/>
          <w:szCs w:val="20"/>
        </w:rPr>
        <w:t xml:space="preserve">Ministry of Environment, 2023. </w:t>
      </w:r>
      <w:r w:rsidRPr="003454E2">
        <w:rPr>
          <w:rStyle w:val="Emphasis"/>
          <w:rFonts w:ascii="Arial" w:hAnsi="Arial" w:cs="Arial"/>
          <w:sz w:val="20"/>
          <w:szCs w:val="20"/>
        </w:rPr>
        <w:t>National environmental monitoring and industrial effluent inspection report 2023.</w:t>
      </w:r>
      <w:r w:rsidRPr="003454E2">
        <w:rPr>
          <w:rFonts w:ascii="Arial" w:hAnsi="Arial" w:cs="Arial"/>
          <w:sz w:val="20"/>
          <w:szCs w:val="20"/>
        </w:rPr>
        <w:t xml:space="preserve"> Royal Government of Cambodia.</w:t>
      </w:r>
    </w:p>
    <w:p w:rsidR="00932A6D" w:rsidRPr="003454E2" w:rsidRDefault="00932A6D" w:rsidP="00922862">
      <w:pPr>
        <w:pStyle w:val="NormalWeb"/>
        <w:spacing w:before="60" w:beforeAutospacing="0" w:after="60" w:afterAutospacing="0"/>
        <w:ind w:left="709" w:hanging="709"/>
        <w:rPr>
          <w:rFonts w:ascii="Arial" w:hAnsi="Arial" w:cs="Arial"/>
          <w:sz w:val="20"/>
          <w:szCs w:val="20"/>
        </w:rPr>
      </w:pPr>
      <w:r w:rsidRPr="003454E2">
        <w:rPr>
          <w:rFonts w:ascii="Arial" w:hAnsi="Arial" w:cs="Arial"/>
          <w:sz w:val="20"/>
          <w:szCs w:val="20"/>
        </w:rPr>
        <w:t xml:space="preserve">National Committee for Coastal Management and Development, 2022. </w:t>
      </w:r>
      <w:r w:rsidRPr="003454E2">
        <w:rPr>
          <w:rStyle w:val="Emphasis"/>
          <w:rFonts w:ascii="Arial" w:hAnsi="Arial" w:cs="Arial"/>
          <w:sz w:val="20"/>
          <w:szCs w:val="20"/>
        </w:rPr>
        <w:t>Integrated coastal management (ICM) strategy and action plan 2022–2030.</w:t>
      </w:r>
      <w:r w:rsidRPr="003454E2">
        <w:rPr>
          <w:rFonts w:ascii="Arial" w:hAnsi="Arial" w:cs="Arial"/>
          <w:sz w:val="20"/>
          <w:szCs w:val="20"/>
        </w:rPr>
        <w:t xml:space="preserve"> Royal Government of Cambodia.</w:t>
      </w:r>
    </w:p>
    <w:p w:rsidR="00932A6D" w:rsidRPr="003454E2" w:rsidRDefault="00932A6D" w:rsidP="00922862">
      <w:pPr>
        <w:pStyle w:val="NormalWeb"/>
        <w:spacing w:before="60" w:beforeAutospacing="0" w:after="60" w:afterAutospacing="0"/>
        <w:ind w:left="709" w:hanging="709"/>
        <w:rPr>
          <w:rFonts w:ascii="Arial" w:hAnsi="Arial" w:cs="Arial"/>
          <w:sz w:val="20"/>
          <w:szCs w:val="20"/>
        </w:rPr>
      </w:pPr>
      <w:r w:rsidRPr="003454E2">
        <w:rPr>
          <w:rFonts w:ascii="Arial" w:hAnsi="Arial" w:cs="Arial"/>
          <w:sz w:val="20"/>
          <w:szCs w:val="20"/>
        </w:rPr>
        <w:t xml:space="preserve">National Institute of Statistics, 2023. </w:t>
      </w:r>
      <w:r w:rsidRPr="003454E2">
        <w:rPr>
          <w:rStyle w:val="Emphasis"/>
          <w:rFonts w:ascii="Arial" w:hAnsi="Arial" w:cs="Arial"/>
          <w:sz w:val="20"/>
          <w:szCs w:val="20"/>
        </w:rPr>
        <w:t>Cambodia agricultural survey 2022: Methodological reference document.</w:t>
      </w:r>
      <w:r w:rsidRPr="003454E2">
        <w:rPr>
          <w:rFonts w:ascii="Arial" w:hAnsi="Arial" w:cs="Arial"/>
          <w:sz w:val="20"/>
          <w:szCs w:val="20"/>
        </w:rPr>
        <w:t xml:space="preserve"> Ministry of Planning. </w:t>
      </w:r>
      <w:hyperlink r:id="rId24" w:history="1">
        <w:r w:rsidRPr="003454E2">
          <w:rPr>
            <w:rStyle w:val="Hyperlink"/>
            <w:rFonts w:ascii="Arial" w:hAnsi="Arial" w:cs="Arial"/>
            <w:sz w:val="20"/>
            <w:szCs w:val="20"/>
          </w:rPr>
          <w:t>https://www.nis.gov.kh/nis/CAS/2022/CAS2022_Report_1_Methodological_Reference_Document_ENG.pdf</w:t>
        </w:r>
      </w:hyperlink>
      <w:r w:rsidRPr="003454E2">
        <w:rPr>
          <w:rFonts w:ascii="Arial" w:hAnsi="Arial" w:cs="Arial"/>
          <w:sz w:val="20"/>
          <w:szCs w:val="20"/>
        </w:rPr>
        <w:t xml:space="preserve"> </w:t>
      </w:r>
    </w:p>
    <w:p w:rsidR="00932A6D" w:rsidRPr="003454E2" w:rsidRDefault="00932A6D" w:rsidP="00740143">
      <w:pPr>
        <w:pStyle w:val="NormalWeb"/>
        <w:spacing w:before="60" w:beforeAutospacing="0" w:after="60" w:afterAutospacing="0"/>
        <w:ind w:left="709" w:hanging="709"/>
        <w:rPr>
          <w:rFonts w:ascii="Arial" w:hAnsi="Arial" w:cs="Arial"/>
          <w:sz w:val="20"/>
          <w:szCs w:val="20"/>
        </w:rPr>
      </w:pPr>
      <w:r w:rsidRPr="003454E2">
        <w:rPr>
          <w:rFonts w:ascii="Arial" w:hAnsi="Arial" w:cs="Arial"/>
          <w:sz w:val="20"/>
          <w:szCs w:val="20"/>
        </w:rPr>
        <w:t xml:space="preserve">PEMSEA &amp; Ministry of Environment, 2019. </w:t>
      </w:r>
      <w:r w:rsidRPr="003454E2">
        <w:rPr>
          <w:rStyle w:val="Emphasis"/>
          <w:rFonts w:ascii="Arial" w:hAnsi="Arial" w:cs="Arial"/>
          <w:sz w:val="20"/>
          <w:szCs w:val="20"/>
        </w:rPr>
        <w:t>National state of the oceans and coasts: Cambodia.</w:t>
      </w:r>
      <w:r w:rsidRPr="003454E2">
        <w:rPr>
          <w:rFonts w:ascii="Arial" w:hAnsi="Arial" w:cs="Arial"/>
          <w:sz w:val="20"/>
          <w:szCs w:val="20"/>
        </w:rPr>
        <w:t xml:space="preserve"> In Partnerships in Environmental Management for the Seas of East Asia (PEMSEA) (Ed.), </w:t>
      </w:r>
      <w:r w:rsidRPr="003454E2">
        <w:rPr>
          <w:rStyle w:val="Emphasis"/>
          <w:rFonts w:ascii="Arial" w:hAnsi="Arial" w:cs="Arial"/>
          <w:sz w:val="20"/>
          <w:szCs w:val="20"/>
        </w:rPr>
        <w:t>National state of the oceans and coasts (Country report).</w:t>
      </w:r>
      <w:r w:rsidRPr="003454E2">
        <w:rPr>
          <w:rFonts w:ascii="Arial" w:hAnsi="Arial" w:cs="Arial"/>
          <w:sz w:val="20"/>
          <w:szCs w:val="20"/>
        </w:rPr>
        <w:t xml:space="preserve"> PEMSEA. </w:t>
      </w:r>
      <w:hyperlink r:id="rId25" w:history="1">
        <w:r w:rsidRPr="003454E2">
          <w:rPr>
            <w:rStyle w:val="Hyperlink"/>
            <w:rFonts w:ascii="Arial" w:hAnsi="Arial" w:cs="Arial"/>
            <w:sz w:val="20"/>
            <w:szCs w:val="20"/>
          </w:rPr>
          <w:t>https://www.pemsea.org/sites/default/files/2023-12/NSOC%20Cambodia%202018%20%28FINAL%29%2009092020.pdf</w:t>
        </w:r>
      </w:hyperlink>
      <w:r w:rsidRPr="003454E2">
        <w:rPr>
          <w:rFonts w:ascii="Arial" w:hAnsi="Arial" w:cs="Arial"/>
          <w:sz w:val="20"/>
          <w:szCs w:val="20"/>
        </w:rPr>
        <w:t xml:space="preserve"> </w:t>
      </w:r>
    </w:p>
    <w:p w:rsidR="00932A6D" w:rsidRPr="003454E2" w:rsidRDefault="00932A6D" w:rsidP="00922862">
      <w:pPr>
        <w:pStyle w:val="NormalWeb"/>
        <w:spacing w:before="60" w:beforeAutospacing="0" w:after="60" w:afterAutospacing="0"/>
        <w:ind w:left="709" w:hanging="709"/>
        <w:rPr>
          <w:rFonts w:ascii="Arial" w:hAnsi="Arial" w:cs="Arial"/>
          <w:sz w:val="20"/>
          <w:szCs w:val="20"/>
        </w:rPr>
      </w:pPr>
      <w:r w:rsidRPr="003454E2">
        <w:rPr>
          <w:rFonts w:ascii="Arial" w:hAnsi="Arial" w:cs="Arial"/>
          <w:sz w:val="20"/>
          <w:szCs w:val="20"/>
        </w:rPr>
        <w:t xml:space="preserve">Pheakdey, C., Tan, S., &amp; Phann, D, 2022. Municipal solid waste management in Cambodia: Challenges and priorities. </w:t>
      </w:r>
      <w:r w:rsidRPr="003454E2">
        <w:rPr>
          <w:rStyle w:val="Emphasis"/>
          <w:rFonts w:ascii="Arial" w:hAnsi="Arial" w:cs="Arial"/>
          <w:sz w:val="20"/>
          <w:szCs w:val="20"/>
        </w:rPr>
        <w:t>International Journal of Environmental Research and Public Health, 19</w:t>
      </w:r>
      <w:r w:rsidRPr="003454E2">
        <w:rPr>
          <w:rFonts w:ascii="Arial" w:hAnsi="Arial" w:cs="Arial"/>
          <w:sz w:val="20"/>
          <w:szCs w:val="20"/>
        </w:rPr>
        <w:t xml:space="preserve">(23), 15919. </w:t>
      </w:r>
      <w:hyperlink r:id="rId26" w:tgtFrame="_new" w:history="1">
        <w:r w:rsidRPr="003454E2">
          <w:rPr>
            <w:rStyle w:val="Hyperlink"/>
            <w:rFonts w:ascii="Arial" w:eastAsiaTheme="majorEastAsia" w:hAnsi="Arial" w:cs="Arial"/>
            <w:sz w:val="20"/>
            <w:szCs w:val="20"/>
          </w:rPr>
          <w:t>https://doi.org/10.3390/ijerph192315919</w:t>
        </w:r>
      </w:hyperlink>
    </w:p>
    <w:p w:rsidR="00932A6D" w:rsidRPr="003454E2" w:rsidRDefault="00932A6D" w:rsidP="00922862">
      <w:pPr>
        <w:pStyle w:val="NormalWeb"/>
        <w:spacing w:before="60" w:beforeAutospacing="0" w:after="60" w:afterAutospacing="0"/>
        <w:ind w:left="709" w:hanging="709"/>
        <w:rPr>
          <w:rFonts w:ascii="Arial" w:hAnsi="Arial" w:cs="Arial"/>
          <w:sz w:val="20"/>
          <w:szCs w:val="20"/>
        </w:rPr>
      </w:pPr>
      <w:r w:rsidRPr="003454E2">
        <w:rPr>
          <w:rFonts w:ascii="Arial" w:hAnsi="Arial" w:cs="Arial"/>
          <w:sz w:val="20"/>
          <w:szCs w:val="20"/>
        </w:rPr>
        <w:t xml:space="preserve">Sethy, S., Sotharith, C., &amp; Yokota, I., 2017. Country report: Cambodia. In United Nations Centre for Regional Development (Ed.), </w:t>
      </w:r>
      <w:r w:rsidRPr="003454E2">
        <w:rPr>
          <w:rStyle w:val="Emphasis"/>
          <w:rFonts w:ascii="Arial" w:hAnsi="Arial" w:cs="Arial"/>
          <w:sz w:val="20"/>
          <w:szCs w:val="20"/>
        </w:rPr>
        <w:t>State of the 3Rs in Asia and the Pacific.</w:t>
      </w:r>
      <w:r w:rsidRPr="003454E2">
        <w:rPr>
          <w:rFonts w:ascii="Arial" w:hAnsi="Arial" w:cs="Arial"/>
          <w:sz w:val="20"/>
          <w:szCs w:val="20"/>
        </w:rPr>
        <w:t xml:space="preserve"> UNCRD.</w:t>
      </w:r>
    </w:p>
    <w:p w:rsidR="00932A6D" w:rsidRPr="003454E2" w:rsidRDefault="00932A6D" w:rsidP="00922862">
      <w:pPr>
        <w:pStyle w:val="NormalWeb"/>
        <w:spacing w:before="60" w:beforeAutospacing="0" w:after="60" w:afterAutospacing="0"/>
        <w:ind w:left="709" w:hanging="709"/>
        <w:rPr>
          <w:rFonts w:ascii="Arial" w:hAnsi="Arial" w:cs="Arial"/>
          <w:sz w:val="20"/>
          <w:szCs w:val="20"/>
        </w:rPr>
      </w:pPr>
      <w:r w:rsidRPr="003454E2">
        <w:rPr>
          <w:rFonts w:ascii="Arial" w:hAnsi="Arial" w:cs="Arial"/>
          <w:sz w:val="20"/>
          <w:szCs w:val="20"/>
        </w:rPr>
        <w:t xml:space="preserve">Sovann, S., 2022, March 10. </w:t>
      </w:r>
      <w:r w:rsidRPr="003454E2">
        <w:rPr>
          <w:rStyle w:val="Emphasis"/>
          <w:rFonts w:ascii="Arial" w:hAnsi="Arial" w:cs="Arial"/>
          <w:sz w:val="20"/>
          <w:szCs w:val="20"/>
        </w:rPr>
        <w:t>Polluted Kampot city creek threatens the environment.</w:t>
      </w:r>
      <w:r w:rsidRPr="003454E2">
        <w:rPr>
          <w:rFonts w:ascii="Arial" w:hAnsi="Arial" w:cs="Arial"/>
          <w:sz w:val="20"/>
          <w:szCs w:val="20"/>
        </w:rPr>
        <w:t xml:space="preserve"> CamboJA News. </w:t>
      </w:r>
      <w:hyperlink r:id="rId27" w:tgtFrame="_new" w:history="1">
        <w:r w:rsidRPr="003454E2">
          <w:rPr>
            <w:rStyle w:val="Hyperlink"/>
            <w:rFonts w:ascii="Arial" w:eastAsiaTheme="majorEastAsia" w:hAnsi="Arial" w:cs="Arial"/>
            <w:sz w:val="20"/>
            <w:szCs w:val="20"/>
          </w:rPr>
          <w:t>https://cambojanews.com/polluted-kampot-city-creek-threatens-the-environment/</w:t>
        </w:r>
      </w:hyperlink>
    </w:p>
    <w:p w:rsidR="001635A6" w:rsidRPr="003454E2" w:rsidRDefault="001635A6" w:rsidP="00922862">
      <w:pPr>
        <w:pStyle w:val="NormalWeb"/>
        <w:spacing w:before="60" w:beforeAutospacing="0" w:after="60" w:afterAutospacing="0"/>
        <w:ind w:left="709" w:hanging="709"/>
        <w:rPr>
          <w:rFonts w:ascii="Arial" w:hAnsi="Arial" w:cs="Arial"/>
          <w:sz w:val="20"/>
          <w:szCs w:val="20"/>
        </w:rPr>
      </w:pPr>
      <w:r w:rsidRPr="003454E2">
        <w:rPr>
          <w:rFonts w:ascii="Arial" w:hAnsi="Arial" w:cs="Arial"/>
          <w:sz w:val="20"/>
          <w:szCs w:val="20"/>
        </w:rPr>
        <w:t>UN-Habitat. (2025). Urban environmental management and waste diagnostics for Cambodian secondary cities. United Nations Human Settlements Programme.</w:t>
      </w:r>
    </w:p>
    <w:p w:rsidR="00932A6D" w:rsidRPr="003454E2" w:rsidRDefault="00932A6D" w:rsidP="00922862">
      <w:pPr>
        <w:pStyle w:val="NormalWeb"/>
        <w:spacing w:before="60" w:beforeAutospacing="0" w:after="60" w:afterAutospacing="0"/>
        <w:ind w:left="709" w:hanging="709"/>
        <w:rPr>
          <w:rFonts w:ascii="Arial" w:hAnsi="Arial" w:cs="Arial"/>
          <w:sz w:val="20"/>
          <w:szCs w:val="20"/>
        </w:rPr>
      </w:pPr>
      <w:r w:rsidRPr="003454E2">
        <w:rPr>
          <w:rFonts w:ascii="Arial" w:hAnsi="Arial" w:cs="Arial"/>
          <w:sz w:val="20"/>
          <w:szCs w:val="20"/>
        </w:rPr>
        <w:t xml:space="preserve">United Nations Centre for Regional Development, 2023. </w:t>
      </w:r>
      <w:r w:rsidRPr="003454E2">
        <w:rPr>
          <w:rStyle w:val="Emphasis"/>
          <w:rFonts w:ascii="Arial" w:hAnsi="Arial" w:cs="Arial"/>
          <w:sz w:val="20"/>
          <w:szCs w:val="20"/>
        </w:rPr>
        <w:t>Country summary on hazardous waste management and co-processing in cement kilns: Cambodia.</w:t>
      </w:r>
      <w:r w:rsidRPr="003454E2">
        <w:rPr>
          <w:rFonts w:ascii="Arial" w:hAnsi="Arial" w:cs="Arial"/>
          <w:sz w:val="20"/>
          <w:szCs w:val="20"/>
        </w:rPr>
        <w:t xml:space="preserve"> UNCRD.</w:t>
      </w:r>
    </w:p>
    <w:p w:rsidR="00932A6D" w:rsidRPr="003454E2" w:rsidRDefault="00932A6D" w:rsidP="00922862">
      <w:pPr>
        <w:pStyle w:val="NormalWeb"/>
        <w:spacing w:before="60" w:beforeAutospacing="0" w:after="60" w:afterAutospacing="0"/>
        <w:ind w:left="709" w:hanging="709"/>
        <w:rPr>
          <w:rFonts w:ascii="Arial" w:hAnsi="Arial" w:cs="Arial"/>
          <w:sz w:val="20"/>
          <w:szCs w:val="20"/>
        </w:rPr>
      </w:pPr>
      <w:r w:rsidRPr="003454E2">
        <w:rPr>
          <w:rFonts w:ascii="Arial" w:hAnsi="Arial" w:cs="Arial"/>
          <w:sz w:val="20"/>
          <w:szCs w:val="20"/>
        </w:rPr>
        <w:t xml:space="preserve">United Nations Development Programme, 2021. </w:t>
      </w:r>
      <w:r w:rsidRPr="003454E2">
        <w:rPr>
          <w:rStyle w:val="Emphasis"/>
          <w:rFonts w:ascii="Arial" w:hAnsi="Arial" w:cs="Arial"/>
          <w:sz w:val="20"/>
          <w:szCs w:val="20"/>
        </w:rPr>
        <w:t>COVID-19 and medical waste management in Cambodia.</w:t>
      </w:r>
      <w:r w:rsidRPr="003454E2">
        <w:rPr>
          <w:rFonts w:ascii="Arial" w:hAnsi="Arial" w:cs="Arial"/>
          <w:sz w:val="20"/>
          <w:szCs w:val="20"/>
        </w:rPr>
        <w:t xml:space="preserve"> UNDP.</w:t>
      </w:r>
    </w:p>
    <w:p w:rsidR="00932A6D" w:rsidRPr="003454E2" w:rsidRDefault="00932A6D" w:rsidP="00922862">
      <w:pPr>
        <w:pStyle w:val="NormalWeb"/>
        <w:spacing w:before="60" w:beforeAutospacing="0" w:after="60" w:afterAutospacing="0"/>
        <w:ind w:left="709" w:hanging="709"/>
        <w:rPr>
          <w:rFonts w:ascii="Arial" w:hAnsi="Arial" w:cs="Arial"/>
          <w:sz w:val="20"/>
          <w:szCs w:val="20"/>
        </w:rPr>
      </w:pPr>
      <w:r w:rsidRPr="003454E2">
        <w:rPr>
          <w:rFonts w:ascii="Arial" w:hAnsi="Arial" w:cs="Arial"/>
          <w:sz w:val="20"/>
          <w:szCs w:val="20"/>
        </w:rPr>
        <w:t xml:space="preserve">United Nations Development Programme, 2022. </w:t>
      </w:r>
      <w:r w:rsidRPr="003454E2">
        <w:rPr>
          <w:rStyle w:val="Emphasis"/>
          <w:rFonts w:ascii="Arial" w:hAnsi="Arial" w:cs="Arial"/>
          <w:sz w:val="20"/>
          <w:szCs w:val="20"/>
        </w:rPr>
        <w:t>Plastic waste management in Phnom Penh: Baseline assessment.</w:t>
      </w:r>
      <w:r w:rsidRPr="003454E2">
        <w:rPr>
          <w:rFonts w:ascii="Arial" w:hAnsi="Arial" w:cs="Arial"/>
          <w:sz w:val="20"/>
          <w:szCs w:val="20"/>
        </w:rPr>
        <w:t xml:space="preserve"> UNDP.</w:t>
      </w:r>
    </w:p>
    <w:p w:rsidR="00932A6D" w:rsidRPr="003454E2" w:rsidRDefault="00932A6D" w:rsidP="00922862">
      <w:pPr>
        <w:pStyle w:val="NormalWeb"/>
        <w:spacing w:before="60" w:beforeAutospacing="0" w:after="60" w:afterAutospacing="0"/>
        <w:ind w:left="709" w:hanging="709"/>
        <w:rPr>
          <w:rFonts w:ascii="Arial" w:hAnsi="Arial" w:cs="Arial"/>
          <w:sz w:val="20"/>
          <w:szCs w:val="20"/>
        </w:rPr>
      </w:pPr>
      <w:r w:rsidRPr="003454E2">
        <w:rPr>
          <w:rFonts w:ascii="Arial" w:hAnsi="Arial" w:cs="Arial"/>
          <w:sz w:val="20"/>
          <w:szCs w:val="20"/>
        </w:rPr>
        <w:t xml:space="preserve">United Nations Environment Programme, 2021. </w:t>
      </w:r>
      <w:r w:rsidRPr="003454E2">
        <w:rPr>
          <w:rStyle w:val="Emphasis"/>
          <w:rFonts w:ascii="Arial" w:hAnsi="Arial" w:cs="Arial"/>
          <w:sz w:val="20"/>
          <w:szCs w:val="20"/>
        </w:rPr>
        <w:t>Policy and regulatory framework for marine plastic waste management in Cambodia.</w:t>
      </w:r>
      <w:r w:rsidRPr="003454E2">
        <w:rPr>
          <w:rFonts w:ascii="Arial" w:hAnsi="Arial" w:cs="Arial"/>
          <w:sz w:val="20"/>
          <w:szCs w:val="20"/>
        </w:rPr>
        <w:t xml:space="preserve"> UNEP &amp; Royal Government of Cambodia.</w:t>
      </w:r>
    </w:p>
    <w:p w:rsidR="00932A6D" w:rsidRPr="003454E2" w:rsidRDefault="00932A6D" w:rsidP="00922862">
      <w:pPr>
        <w:pStyle w:val="NormalWeb"/>
        <w:spacing w:before="60" w:beforeAutospacing="0" w:after="60" w:afterAutospacing="0"/>
        <w:ind w:left="709" w:hanging="709"/>
        <w:rPr>
          <w:rFonts w:ascii="Arial" w:hAnsi="Arial" w:cs="Arial"/>
          <w:sz w:val="20"/>
          <w:szCs w:val="20"/>
        </w:rPr>
      </w:pPr>
      <w:r w:rsidRPr="003454E2">
        <w:rPr>
          <w:rFonts w:ascii="Arial" w:hAnsi="Arial" w:cs="Arial"/>
          <w:sz w:val="20"/>
          <w:szCs w:val="20"/>
        </w:rPr>
        <w:t xml:space="preserve">United Nations Environment Programme, 2022. </w:t>
      </w:r>
      <w:r w:rsidRPr="003454E2">
        <w:rPr>
          <w:rStyle w:val="Emphasis"/>
          <w:rFonts w:ascii="Arial" w:hAnsi="Arial" w:cs="Arial"/>
          <w:sz w:val="20"/>
          <w:szCs w:val="20"/>
        </w:rPr>
        <w:t>Guidelines for environmentally sound mariculture and nutrient management in the Gulf of Thailand.</w:t>
      </w:r>
      <w:r w:rsidRPr="003454E2">
        <w:rPr>
          <w:rFonts w:ascii="Arial" w:hAnsi="Arial" w:cs="Arial"/>
          <w:sz w:val="20"/>
          <w:szCs w:val="20"/>
        </w:rPr>
        <w:t xml:space="preserve"> UNEP.</w:t>
      </w:r>
    </w:p>
    <w:p w:rsidR="00932A6D" w:rsidRPr="003454E2" w:rsidRDefault="00932A6D" w:rsidP="00922862">
      <w:pPr>
        <w:pStyle w:val="NormalWeb"/>
        <w:spacing w:before="60" w:beforeAutospacing="0" w:after="60" w:afterAutospacing="0"/>
        <w:ind w:left="709" w:hanging="709"/>
        <w:rPr>
          <w:rFonts w:ascii="Arial" w:hAnsi="Arial" w:cs="Arial"/>
          <w:sz w:val="20"/>
          <w:szCs w:val="20"/>
        </w:rPr>
      </w:pPr>
      <w:r w:rsidRPr="003454E2">
        <w:rPr>
          <w:rFonts w:ascii="Arial" w:hAnsi="Arial" w:cs="Arial"/>
          <w:sz w:val="20"/>
          <w:szCs w:val="20"/>
        </w:rPr>
        <w:t xml:space="preserve">United Nations Framework Convention on Climate Change, 2022. </w:t>
      </w:r>
      <w:r w:rsidRPr="003454E2">
        <w:rPr>
          <w:rStyle w:val="Emphasis"/>
          <w:rFonts w:ascii="Arial" w:hAnsi="Arial" w:cs="Arial"/>
          <w:sz w:val="20"/>
          <w:szCs w:val="20"/>
        </w:rPr>
        <w:t>Kingdom of Cambodia: Third national communication under the United Nations Framework Convention on Climate Change.</w:t>
      </w:r>
      <w:r w:rsidRPr="003454E2">
        <w:rPr>
          <w:rFonts w:ascii="Arial" w:hAnsi="Arial" w:cs="Arial"/>
          <w:sz w:val="20"/>
          <w:szCs w:val="20"/>
        </w:rPr>
        <w:t xml:space="preserve"> </w:t>
      </w:r>
      <w:hyperlink r:id="rId28" w:tgtFrame="_new" w:history="1">
        <w:r w:rsidRPr="003454E2">
          <w:rPr>
            <w:rStyle w:val="Hyperlink"/>
            <w:rFonts w:ascii="Arial" w:eastAsiaTheme="majorEastAsia" w:hAnsi="Arial" w:cs="Arial"/>
            <w:sz w:val="20"/>
            <w:szCs w:val="20"/>
          </w:rPr>
          <w:t>https://unfccc.int/sites/default/files/resource/20220921_Third%20National%20Communication_Cambodia.pdf</w:t>
        </w:r>
      </w:hyperlink>
    </w:p>
    <w:p w:rsidR="00932A6D" w:rsidRPr="003454E2" w:rsidRDefault="00932A6D" w:rsidP="00922862">
      <w:pPr>
        <w:pStyle w:val="NormalWeb"/>
        <w:spacing w:before="60" w:beforeAutospacing="0" w:after="60" w:afterAutospacing="0"/>
        <w:ind w:left="709" w:hanging="709"/>
        <w:rPr>
          <w:rFonts w:ascii="Arial" w:hAnsi="Arial" w:cs="Arial"/>
          <w:sz w:val="20"/>
          <w:szCs w:val="20"/>
        </w:rPr>
      </w:pPr>
      <w:r w:rsidRPr="003454E2">
        <w:rPr>
          <w:rFonts w:ascii="Arial" w:hAnsi="Arial" w:cs="Arial"/>
          <w:sz w:val="20"/>
          <w:szCs w:val="20"/>
        </w:rPr>
        <w:t xml:space="preserve">Water Environment Partnership in Asia, 2023. </w:t>
      </w:r>
      <w:r w:rsidRPr="003454E2">
        <w:rPr>
          <w:rStyle w:val="Emphasis"/>
          <w:rFonts w:ascii="Arial" w:hAnsi="Arial" w:cs="Arial"/>
          <w:sz w:val="20"/>
          <w:szCs w:val="20"/>
        </w:rPr>
        <w:t>Cambodia: State of wastewater treatment and management.</w:t>
      </w:r>
      <w:r w:rsidRPr="003454E2">
        <w:rPr>
          <w:rFonts w:ascii="Arial" w:hAnsi="Arial" w:cs="Arial"/>
          <w:sz w:val="20"/>
          <w:szCs w:val="20"/>
        </w:rPr>
        <w:t xml:space="preserve"> WEPA. </w:t>
      </w:r>
      <w:hyperlink r:id="rId29" w:history="1">
        <w:r w:rsidRPr="003454E2">
          <w:rPr>
            <w:rStyle w:val="Hyperlink"/>
            <w:rFonts w:ascii="Arial" w:hAnsi="Arial" w:cs="Arial"/>
            <w:sz w:val="20"/>
            <w:szCs w:val="20"/>
          </w:rPr>
          <w:t>https://wepa-db.net/policies/state/kh/cambodia/state-of-wastewater-treatment-management/</w:t>
        </w:r>
      </w:hyperlink>
      <w:r w:rsidRPr="003454E2">
        <w:rPr>
          <w:rFonts w:ascii="Arial" w:hAnsi="Arial" w:cs="Arial"/>
          <w:sz w:val="20"/>
          <w:szCs w:val="20"/>
        </w:rPr>
        <w:t xml:space="preserve"> </w:t>
      </w:r>
    </w:p>
    <w:p w:rsidR="00932A6D" w:rsidRPr="003454E2" w:rsidRDefault="00932A6D" w:rsidP="00922862">
      <w:pPr>
        <w:pStyle w:val="NormalWeb"/>
        <w:spacing w:before="60" w:beforeAutospacing="0" w:after="60" w:afterAutospacing="0"/>
        <w:ind w:left="709" w:hanging="709"/>
        <w:rPr>
          <w:rFonts w:ascii="Arial" w:hAnsi="Arial" w:cs="Arial"/>
          <w:sz w:val="20"/>
          <w:szCs w:val="20"/>
        </w:rPr>
      </w:pPr>
      <w:r w:rsidRPr="003454E2">
        <w:rPr>
          <w:rFonts w:ascii="Arial" w:hAnsi="Arial" w:cs="Arial"/>
          <w:sz w:val="20"/>
          <w:szCs w:val="20"/>
        </w:rPr>
        <w:t xml:space="preserve">World Bank, 2024. </w:t>
      </w:r>
      <w:r w:rsidRPr="003454E2">
        <w:rPr>
          <w:rStyle w:val="Emphasis"/>
          <w:rFonts w:ascii="Arial" w:hAnsi="Arial" w:cs="Arial"/>
          <w:sz w:val="20"/>
          <w:szCs w:val="20"/>
        </w:rPr>
        <w:t>World development indicators: Fertilizer consumption (kilograms per hectare of arable land) [AG.CON.FERT.ZS] – Cambodia.</w:t>
      </w:r>
      <w:r w:rsidRPr="003454E2">
        <w:rPr>
          <w:rFonts w:ascii="Arial" w:hAnsi="Arial" w:cs="Arial"/>
          <w:sz w:val="20"/>
          <w:szCs w:val="20"/>
        </w:rPr>
        <w:t xml:space="preserve"> World Bank. </w:t>
      </w:r>
      <w:hyperlink r:id="rId30" w:tgtFrame="_new" w:history="1">
        <w:r w:rsidRPr="003454E2">
          <w:rPr>
            <w:rStyle w:val="Hyperlink"/>
            <w:rFonts w:ascii="Arial" w:eastAsiaTheme="majorEastAsia" w:hAnsi="Arial" w:cs="Arial"/>
            <w:sz w:val="20"/>
            <w:szCs w:val="20"/>
          </w:rPr>
          <w:t>https://data.worldbank.org/indicator/AG.CON.FERT.ZS?locations=KH</w:t>
        </w:r>
      </w:hyperlink>
    </w:p>
    <w:p w:rsidR="00932A6D" w:rsidRPr="003454E2" w:rsidRDefault="00932A6D" w:rsidP="00922862">
      <w:pPr>
        <w:pStyle w:val="NormalWeb"/>
        <w:spacing w:before="60" w:beforeAutospacing="0" w:after="60" w:afterAutospacing="0"/>
        <w:ind w:left="709" w:hanging="709"/>
        <w:rPr>
          <w:rFonts w:ascii="Arial" w:hAnsi="Arial" w:cs="Arial"/>
          <w:sz w:val="20"/>
          <w:szCs w:val="20"/>
        </w:rPr>
      </w:pPr>
      <w:r w:rsidRPr="003454E2">
        <w:rPr>
          <w:rFonts w:ascii="Arial" w:hAnsi="Arial" w:cs="Arial"/>
          <w:sz w:val="20"/>
          <w:szCs w:val="20"/>
        </w:rPr>
        <w:t xml:space="preserve">World Meteorological Organization, &amp; Acid Deposition Monitoring Network in East Asia, 2022. </w:t>
      </w:r>
      <w:r w:rsidRPr="003454E2">
        <w:rPr>
          <w:rStyle w:val="Emphasis"/>
          <w:rFonts w:ascii="Arial" w:hAnsi="Arial" w:cs="Arial"/>
          <w:sz w:val="20"/>
          <w:szCs w:val="20"/>
        </w:rPr>
        <w:t>Fourth periodic report on the state of acid deposition in East Asia (PRSAD4).</w:t>
      </w:r>
      <w:r w:rsidRPr="003454E2">
        <w:rPr>
          <w:rFonts w:ascii="Arial" w:hAnsi="Arial" w:cs="Arial"/>
          <w:sz w:val="20"/>
          <w:szCs w:val="20"/>
        </w:rPr>
        <w:t xml:space="preserve"> EANET.</w:t>
      </w:r>
    </w:p>
    <w:p w:rsidR="000F5008" w:rsidRPr="003454E2" w:rsidRDefault="00932A6D" w:rsidP="000F5008">
      <w:pPr>
        <w:pStyle w:val="NormalWeb"/>
        <w:spacing w:before="60" w:beforeAutospacing="0" w:after="60" w:afterAutospacing="0"/>
        <w:ind w:left="709" w:hanging="709"/>
        <w:rPr>
          <w:rFonts w:ascii="Arial" w:hAnsi="Arial" w:cs="Arial"/>
          <w:sz w:val="20"/>
          <w:szCs w:val="20"/>
        </w:rPr>
      </w:pPr>
      <w:r w:rsidRPr="003454E2">
        <w:rPr>
          <w:rFonts w:ascii="Arial" w:hAnsi="Arial" w:cs="Arial"/>
          <w:sz w:val="20"/>
          <w:szCs w:val="20"/>
        </w:rPr>
        <w:t xml:space="preserve">WorldFish, 2022. </w:t>
      </w:r>
      <w:r w:rsidRPr="003454E2">
        <w:rPr>
          <w:rStyle w:val="Emphasis"/>
          <w:rFonts w:ascii="Arial" w:hAnsi="Arial" w:cs="Arial"/>
          <w:sz w:val="20"/>
          <w:szCs w:val="20"/>
        </w:rPr>
        <w:t>Aquaculture in Cambodia: Country review 2022.</w:t>
      </w:r>
      <w:r w:rsidRPr="003454E2">
        <w:rPr>
          <w:rFonts w:ascii="Arial" w:hAnsi="Arial" w:cs="Arial"/>
          <w:sz w:val="20"/>
          <w:szCs w:val="20"/>
        </w:rPr>
        <w:t xml:space="preserve"> WorldFish.</w:t>
      </w:r>
    </w:p>
    <w:p w:rsidR="009019E9" w:rsidRPr="000F5008" w:rsidRDefault="00932A6D" w:rsidP="000F5008">
      <w:pPr>
        <w:pStyle w:val="NormalWeb"/>
        <w:spacing w:before="60" w:beforeAutospacing="0" w:after="60" w:afterAutospacing="0"/>
        <w:ind w:left="709" w:hanging="709"/>
        <w:rPr>
          <w:rFonts w:ascii="Arial" w:hAnsi="Arial" w:cs="Arial"/>
          <w:sz w:val="21"/>
          <w:szCs w:val="21"/>
        </w:rPr>
      </w:pPr>
      <w:r w:rsidRPr="003454E2">
        <w:rPr>
          <w:rFonts w:ascii="Arial" w:hAnsi="Arial" w:cs="Arial"/>
          <w:sz w:val="20"/>
          <w:szCs w:val="20"/>
        </w:rPr>
        <w:t xml:space="preserve">Yen, N. T. H., et al., 2007. Tonlé Sap ecosystem water quality index development and application. In </w:t>
      </w:r>
      <w:r w:rsidRPr="003454E2">
        <w:rPr>
          <w:rStyle w:val="Emphasis"/>
          <w:rFonts w:ascii="Arial" w:hAnsi="Arial" w:cs="Arial"/>
          <w:sz w:val="20"/>
          <w:szCs w:val="20"/>
        </w:rPr>
        <w:t>Sustainable Development and Planning III</w:t>
      </w:r>
      <w:r w:rsidRPr="003454E2">
        <w:rPr>
          <w:rFonts w:ascii="Arial" w:hAnsi="Arial" w:cs="Arial"/>
          <w:sz w:val="20"/>
          <w:szCs w:val="20"/>
        </w:rPr>
        <w:t xml:space="preserve"> (pp. 887–897). WIT Press. </w:t>
      </w:r>
      <w:hyperlink r:id="rId31" w:history="1">
        <w:r w:rsidRPr="003454E2">
          <w:rPr>
            <w:rStyle w:val="Hyperlink"/>
            <w:rFonts w:ascii="Arial" w:hAnsi="Arial" w:cs="Arial"/>
            <w:sz w:val="20"/>
            <w:szCs w:val="20"/>
          </w:rPr>
          <w:t>https://www.witpress.com/Secure/elibrary/papers/SDP07/SDP07086FU2.pdf</w:t>
        </w:r>
      </w:hyperlink>
      <w:r>
        <w:rPr>
          <w:rFonts w:ascii="Arial" w:hAnsi="Arial" w:cs="Arial"/>
          <w:sz w:val="21"/>
          <w:szCs w:val="21"/>
        </w:rPr>
        <w:t xml:space="preserve"> </w:t>
      </w:r>
    </w:p>
    <w:p w:rsidR="00932A6D" w:rsidRPr="009019E9" w:rsidRDefault="003454E2" w:rsidP="0021379C">
      <w:pPr>
        <w:pStyle w:val="Heading1"/>
        <w:rPr>
          <w:rStyle w:val="Strong"/>
        </w:rPr>
      </w:pPr>
      <w:r>
        <w:rPr>
          <w:rStyle w:val="Strong"/>
          <w:b/>
          <w:bCs/>
        </w:rPr>
        <w:br w:type="column"/>
      </w:r>
      <w:bookmarkStart w:id="39" w:name="_Toc217231867"/>
      <w:r w:rsidR="00932A6D" w:rsidRPr="009019E9">
        <w:rPr>
          <w:rStyle w:val="Strong"/>
          <w:b/>
          <w:bCs/>
        </w:rPr>
        <w:t>Annex</w:t>
      </w:r>
      <w:r w:rsidR="007D4877">
        <w:rPr>
          <w:rStyle w:val="Strong"/>
          <w:b/>
          <w:bCs/>
        </w:rPr>
        <w:t xml:space="preserve"> 3</w:t>
      </w:r>
      <w:bookmarkEnd w:id="39"/>
    </w:p>
    <w:p w:rsidR="00623399" w:rsidRDefault="00623399" w:rsidP="00185157">
      <w:pPr>
        <w:rPr>
          <w:rStyle w:val="Strong"/>
          <w:rFonts w:ascii="Arial" w:hAnsi="Arial" w:cs="Arial"/>
          <w:i/>
          <w:iCs/>
          <w:sz w:val="22"/>
          <w:szCs w:val="22"/>
        </w:rPr>
      </w:pPr>
    </w:p>
    <w:sdt>
      <w:sdtPr>
        <w:rPr>
          <w:rFonts w:ascii="Times New Roman" w:eastAsia="Times New Roman" w:hAnsi="Times New Roman" w:cs="Times New Roman"/>
          <w:b/>
          <w:bCs/>
          <w:i w:val="0"/>
          <w:iCs w:val="0"/>
          <w:color w:val="auto"/>
          <w:kern w:val="0"/>
          <w:sz w:val="24"/>
          <w:szCs w:val="24"/>
          <w14:ligatures w14:val="none"/>
        </w:rPr>
        <w:id w:val="-1653677976"/>
        <w:docPartObj>
          <w:docPartGallery w:val="Table of Contents"/>
          <w:docPartUnique/>
        </w:docPartObj>
      </w:sdtPr>
      <w:sdtEndPr>
        <w:rPr>
          <w:rFonts w:ascii="Arial" w:hAnsi="Arial" w:cs="Arial"/>
          <w:noProof/>
        </w:rPr>
      </w:sdtEndPr>
      <w:sdtContent>
        <w:p w:rsidR="000F5008" w:rsidRPr="00F67343" w:rsidRDefault="000F5008" w:rsidP="000F5008">
          <w:pPr>
            <w:pStyle w:val="Caption"/>
            <w:rPr>
              <w:rStyle w:val="Strong"/>
              <w:rFonts w:ascii="Arial" w:eastAsia="Times New Roman" w:hAnsi="Arial" w:cs="Arial"/>
              <w:color w:val="002060"/>
              <w:kern w:val="0"/>
              <w:sz w:val="22"/>
              <w:szCs w:val="22"/>
              <w14:ligatures w14:val="none"/>
            </w:rPr>
          </w:pPr>
          <w:r w:rsidRPr="00F67343">
            <w:rPr>
              <w:rStyle w:val="Strong"/>
              <w:rFonts w:ascii="Arial" w:eastAsia="Times New Roman" w:hAnsi="Arial" w:cs="Arial"/>
              <w:color w:val="002060"/>
              <w:kern w:val="0"/>
              <w:sz w:val="22"/>
              <w:szCs w:val="22"/>
              <w14:ligatures w14:val="none"/>
            </w:rPr>
            <w:t>Table of Contents</w:t>
          </w:r>
        </w:p>
        <w:p w:rsidR="0021379C" w:rsidRDefault="000F5008">
          <w:pPr>
            <w:pStyle w:val="TOC1"/>
            <w:rPr>
              <w:rFonts w:eastAsiaTheme="minorEastAsia" w:cstheme="minorBidi"/>
              <w:b w:val="0"/>
              <w:bCs w:val="0"/>
              <w:i w:val="0"/>
              <w:iCs w:val="0"/>
              <w:noProof/>
              <w:kern w:val="2"/>
              <w14:ligatures w14:val="standardContextual"/>
            </w:rPr>
          </w:pPr>
          <w:r w:rsidRPr="000F5008">
            <w:rPr>
              <w:rFonts w:ascii="Arial" w:hAnsi="Arial" w:cs="Arial"/>
            </w:rPr>
            <w:fldChar w:fldCharType="begin"/>
          </w:r>
          <w:r w:rsidRPr="000F5008">
            <w:rPr>
              <w:rFonts w:ascii="Arial" w:hAnsi="Arial" w:cs="Arial"/>
            </w:rPr>
            <w:instrText xml:space="preserve"> TOC \o "1-3" \h \z \u </w:instrText>
          </w:r>
          <w:r w:rsidRPr="000F5008">
            <w:rPr>
              <w:rFonts w:ascii="Arial" w:hAnsi="Arial" w:cs="Arial"/>
            </w:rPr>
            <w:fldChar w:fldCharType="separate"/>
          </w:r>
          <w:hyperlink w:anchor="_Toc217231844" w:history="1">
            <w:r w:rsidR="0021379C" w:rsidRPr="00830238">
              <w:rPr>
                <w:rStyle w:val="Hyperlink"/>
                <w:noProof/>
              </w:rPr>
              <w:t>3. Pollution</w:t>
            </w:r>
            <w:r w:rsidR="0021379C">
              <w:rPr>
                <w:noProof/>
                <w:webHidden/>
              </w:rPr>
              <w:tab/>
            </w:r>
            <w:r w:rsidR="0021379C">
              <w:rPr>
                <w:noProof/>
                <w:webHidden/>
              </w:rPr>
              <w:fldChar w:fldCharType="begin"/>
            </w:r>
            <w:r w:rsidR="0021379C">
              <w:rPr>
                <w:noProof/>
                <w:webHidden/>
              </w:rPr>
              <w:instrText xml:space="preserve"> PAGEREF _Toc217231844 \h </w:instrText>
            </w:r>
            <w:r w:rsidR="0021379C">
              <w:rPr>
                <w:noProof/>
                <w:webHidden/>
              </w:rPr>
            </w:r>
            <w:r w:rsidR="0021379C">
              <w:rPr>
                <w:noProof/>
                <w:webHidden/>
              </w:rPr>
              <w:fldChar w:fldCharType="separate"/>
            </w:r>
            <w:r w:rsidR="00D35426">
              <w:rPr>
                <w:noProof/>
                <w:webHidden/>
              </w:rPr>
              <w:t>1</w:t>
            </w:r>
            <w:r w:rsidR="0021379C">
              <w:rPr>
                <w:noProof/>
                <w:webHidden/>
              </w:rPr>
              <w:fldChar w:fldCharType="end"/>
            </w:r>
          </w:hyperlink>
        </w:p>
        <w:p w:rsidR="0021379C" w:rsidRDefault="0021379C">
          <w:pPr>
            <w:pStyle w:val="TOC2"/>
            <w:tabs>
              <w:tab w:val="right" w:leader="dot" w:pos="9010"/>
            </w:tabs>
            <w:rPr>
              <w:rFonts w:eastAsiaTheme="minorEastAsia" w:cstheme="minorBidi"/>
              <w:b w:val="0"/>
              <w:bCs w:val="0"/>
              <w:noProof/>
              <w:kern w:val="2"/>
              <w:sz w:val="24"/>
              <w:szCs w:val="24"/>
              <w14:ligatures w14:val="standardContextual"/>
            </w:rPr>
          </w:pPr>
          <w:hyperlink w:anchor="_Toc217231845" w:history="1">
            <w:r w:rsidRPr="00830238">
              <w:rPr>
                <w:rStyle w:val="Hyperlink"/>
                <w:rFonts w:ascii="Arial" w:eastAsiaTheme="majorEastAsia" w:hAnsi="Arial" w:cs="Arial"/>
                <w:noProof/>
              </w:rPr>
              <w:t>3.1. Key Findings, Key Pollution Concerns, and Significance in National and Regional Contexts</w:t>
            </w:r>
            <w:r>
              <w:rPr>
                <w:noProof/>
                <w:webHidden/>
              </w:rPr>
              <w:tab/>
            </w:r>
            <w:r>
              <w:rPr>
                <w:noProof/>
                <w:webHidden/>
              </w:rPr>
              <w:fldChar w:fldCharType="begin"/>
            </w:r>
            <w:r>
              <w:rPr>
                <w:noProof/>
                <w:webHidden/>
              </w:rPr>
              <w:instrText xml:space="preserve"> PAGEREF _Toc217231845 \h </w:instrText>
            </w:r>
            <w:r>
              <w:rPr>
                <w:noProof/>
                <w:webHidden/>
              </w:rPr>
            </w:r>
            <w:r>
              <w:rPr>
                <w:noProof/>
                <w:webHidden/>
              </w:rPr>
              <w:fldChar w:fldCharType="separate"/>
            </w:r>
            <w:r w:rsidR="00D35426">
              <w:rPr>
                <w:noProof/>
                <w:webHidden/>
              </w:rPr>
              <w:t>1</w:t>
            </w:r>
            <w:r>
              <w:rPr>
                <w:noProof/>
                <w:webHidden/>
              </w:rPr>
              <w:fldChar w:fldCharType="end"/>
            </w:r>
          </w:hyperlink>
        </w:p>
        <w:p w:rsidR="0021379C" w:rsidRDefault="0021379C">
          <w:pPr>
            <w:pStyle w:val="TOC2"/>
            <w:tabs>
              <w:tab w:val="right" w:leader="dot" w:pos="9010"/>
            </w:tabs>
            <w:rPr>
              <w:rFonts w:eastAsiaTheme="minorEastAsia" w:cstheme="minorBidi"/>
              <w:b w:val="0"/>
              <w:bCs w:val="0"/>
              <w:noProof/>
              <w:kern w:val="2"/>
              <w:sz w:val="24"/>
              <w:szCs w:val="24"/>
              <w14:ligatures w14:val="standardContextual"/>
            </w:rPr>
          </w:pPr>
          <w:hyperlink w:anchor="_Toc217231846" w:history="1">
            <w:r w:rsidRPr="00830238">
              <w:rPr>
                <w:rStyle w:val="Hyperlink"/>
                <w:rFonts w:ascii="Arial" w:eastAsiaTheme="majorEastAsia" w:hAnsi="Arial" w:cs="Arial"/>
                <w:noProof/>
              </w:rPr>
              <w:t>3.2 Current Status</w:t>
            </w:r>
            <w:r>
              <w:rPr>
                <w:noProof/>
                <w:webHidden/>
              </w:rPr>
              <w:tab/>
            </w:r>
            <w:r>
              <w:rPr>
                <w:noProof/>
                <w:webHidden/>
              </w:rPr>
              <w:fldChar w:fldCharType="begin"/>
            </w:r>
            <w:r>
              <w:rPr>
                <w:noProof/>
                <w:webHidden/>
              </w:rPr>
              <w:instrText xml:space="preserve"> PAGEREF _Toc217231846 \h </w:instrText>
            </w:r>
            <w:r>
              <w:rPr>
                <w:noProof/>
                <w:webHidden/>
              </w:rPr>
            </w:r>
            <w:r>
              <w:rPr>
                <w:noProof/>
                <w:webHidden/>
              </w:rPr>
              <w:fldChar w:fldCharType="separate"/>
            </w:r>
            <w:r w:rsidR="00D35426">
              <w:rPr>
                <w:noProof/>
                <w:webHidden/>
              </w:rPr>
              <w:t>2</w:t>
            </w:r>
            <w:r>
              <w:rPr>
                <w:noProof/>
                <w:webHidden/>
              </w:rPr>
              <w:fldChar w:fldCharType="end"/>
            </w:r>
          </w:hyperlink>
        </w:p>
        <w:p w:rsidR="0021379C" w:rsidRDefault="0021379C">
          <w:pPr>
            <w:pStyle w:val="TOC3"/>
            <w:tabs>
              <w:tab w:val="right" w:leader="dot" w:pos="9010"/>
            </w:tabs>
            <w:rPr>
              <w:rFonts w:eastAsiaTheme="minorEastAsia" w:cstheme="minorBidi"/>
              <w:noProof/>
              <w:kern w:val="2"/>
              <w:sz w:val="24"/>
              <w:szCs w:val="24"/>
              <w14:ligatures w14:val="standardContextual"/>
            </w:rPr>
          </w:pPr>
          <w:hyperlink w:anchor="_Toc217231847" w:history="1">
            <w:r w:rsidRPr="00830238">
              <w:rPr>
                <w:rStyle w:val="Hyperlink"/>
                <w:rFonts w:ascii="Arial" w:hAnsi="Arial" w:cs="Arial"/>
                <w:b/>
                <w:bCs/>
                <w:noProof/>
              </w:rPr>
              <w:t>3.2.1 Pollution sources and magnitude</w:t>
            </w:r>
            <w:r>
              <w:rPr>
                <w:noProof/>
                <w:webHidden/>
              </w:rPr>
              <w:tab/>
            </w:r>
            <w:r>
              <w:rPr>
                <w:noProof/>
                <w:webHidden/>
              </w:rPr>
              <w:fldChar w:fldCharType="begin"/>
            </w:r>
            <w:r>
              <w:rPr>
                <w:noProof/>
                <w:webHidden/>
              </w:rPr>
              <w:instrText xml:space="preserve"> PAGEREF _Toc217231847 \h </w:instrText>
            </w:r>
            <w:r>
              <w:rPr>
                <w:noProof/>
                <w:webHidden/>
              </w:rPr>
            </w:r>
            <w:r>
              <w:rPr>
                <w:noProof/>
                <w:webHidden/>
              </w:rPr>
              <w:fldChar w:fldCharType="separate"/>
            </w:r>
            <w:r w:rsidR="00D35426">
              <w:rPr>
                <w:noProof/>
                <w:webHidden/>
              </w:rPr>
              <w:t>2</w:t>
            </w:r>
            <w:r>
              <w:rPr>
                <w:noProof/>
                <w:webHidden/>
              </w:rPr>
              <w:fldChar w:fldCharType="end"/>
            </w:r>
          </w:hyperlink>
        </w:p>
        <w:p w:rsidR="0021379C" w:rsidRDefault="0021379C">
          <w:pPr>
            <w:pStyle w:val="TOC3"/>
            <w:tabs>
              <w:tab w:val="right" w:leader="dot" w:pos="9010"/>
            </w:tabs>
            <w:rPr>
              <w:rFonts w:eastAsiaTheme="minorEastAsia" w:cstheme="minorBidi"/>
              <w:noProof/>
              <w:kern w:val="2"/>
              <w:sz w:val="24"/>
              <w:szCs w:val="24"/>
              <w14:ligatures w14:val="standardContextual"/>
            </w:rPr>
          </w:pPr>
          <w:hyperlink w:anchor="_Toc217231848" w:history="1">
            <w:r w:rsidRPr="00830238">
              <w:rPr>
                <w:rStyle w:val="Hyperlink"/>
                <w:rFonts w:ascii="Arial" w:hAnsi="Arial" w:cs="Arial"/>
                <w:b/>
                <w:bCs/>
                <w:noProof/>
              </w:rPr>
              <w:t>3.2.2 Pollution hotspots and sensitive areas</w:t>
            </w:r>
            <w:r>
              <w:rPr>
                <w:noProof/>
                <w:webHidden/>
              </w:rPr>
              <w:tab/>
            </w:r>
            <w:r>
              <w:rPr>
                <w:noProof/>
                <w:webHidden/>
              </w:rPr>
              <w:fldChar w:fldCharType="begin"/>
            </w:r>
            <w:r>
              <w:rPr>
                <w:noProof/>
                <w:webHidden/>
              </w:rPr>
              <w:instrText xml:space="preserve"> PAGEREF _Toc217231848 \h </w:instrText>
            </w:r>
            <w:r>
              <w:rPr>
                <w:noProof/>
                <w:webHidden/>
              </w:rPr>
            </w:r>
            <w:r>
              <w:rPr>
                <w:noProof/>
                <w:webHidden/>
              </w:rPr>
              <w:fldChar w:fldCharType="separate"/>
            </w:r>
            <w:r w:rsidR="00D35426">
              <w:rPr>
                <w:noProof/>
                <w:webHidden/>
              </w:rPr>
              <w:t>6</w:t>
            </w:r>
            <w:r>
              <w:rPr>
                <w:noProof/>
                <w:webHidden/>
              </w:rPr>
              <w:fldChar w:fldCharType="end"/>
            </w:r>
          </w:hyperlink>
        </w:p>
        <w:p w:rsidR="0021379C" w:rsidRDefault="0021379C">
          <w:pPr>
            <w:pStyle w:val="TOC2"/>
            <w:tabs>
              <w:tab w:val="right" w:leader="dot" w:pos="9010"/>
            </w:tabs>
            <w:rPr>
              <w:rFonts w:eastAsiaTheme="minorEastAsia" w:cstheme="minorBidi"/>
              <w:b w:val="0"/>
              <w:bCs w:val="0"/>
              <w:noProof/>
              <w:kern w:val="2"/>
              <w:sz w:val="24"/>
              <w:szCs w:val="24"/>
              <w14:ligatures w14:val="standardContextual"/>
            </w:rPr>
          </w:pPr>
          <w:hyperlink w:anchor="_Toc217231849" w:history="1">
            <w:r w:rsidRPr="00830238">
              <w:rPr>
                <w:rStyle w:val="Hyperlink"/>
                <w:rFonts w:ascii="Arial" w:hAnsi="Arial" w:cs="Arial"/>
                <w:noProof/>
              </w:rPr>
              <w:t>3.3. Discussion and Conclusions</w:t>
            </w:r>
            <w:r>
              <w:rPr>
                <w:noProof/>
                <w:webHidden/>
              </w:rPr>
              <w:tab/>
            </w:r>
            <w:r>
              <w:rPr>
                <w:noProof/>
                <w:webHidden/>
              </w:rPr>
              <w:fldChar w:fldCharType="begin"/>
            </w:r>
            <w:r>
              <w:rPr>
                <w:noProof/>
                <w:webHidden/>
              </w:rPr>
              <w:instrText xml:space="preserve"> PAGEREF _Toc217231849 \h </w:instrText>
            </w:r>
            <w:r>
              <w:rPr>
                <w:noProof/>
                <w:webHidden/>
              </w:rPr>
            </w:r>
            <w:r>
              <w:rPr>
                <w:noProof/>
                <w:webHidden/>
              </w:rPr>
              <w:fldChar w:fldCharType="separate"/>
            </w:r>
            <w:r w:rsidR="00D35426">
              <w:rPr>
                <w:noProof/>
                <w:webHidden/>
              </w:rPr>
              <w:t>6</w:t>
            </w:r>
            <w:r>
              <w:rPr>
                <w:noProof/>
                <w:webHidden/>
              </w:rPr>
              <w:fldChar w:fldCharType="end"/>
            </w:r>
          </w:hyperlink>
        </w:p>
        <w:p w:rsidR="0021379C" w:rsidRDefault="0021379C">
          <w:pPr>
            <w:pStyle w:val="TOC3"/>
            <w:tabs>
              <w:tab w:val="right" w:leader="dot" w:pos="9010"/>
            </w:tabs>
            <w:rPr>
              <w:rFonts w:eastAsiaTheme="minorEastAsia" w:cstheme="minorBidi"/>
              <w:noProof/>
              <w:kern w:val="2"/>
              <w:sz w:val="24"/>
              <w:szCs w:val="24"/>
              <w14:ligatures w14:val="standardContextual"/>
            </w:rPr>
          </w:pPr>
          <w:hyperlink w:anchor="_Toc217231850" w:history="1">
            <w:r w:rsidRPr="00830238">
              <w:rPr>
                <w:rStyle w:val="Hyperlink"/>
                <w:rFonts w:ascii="Arial" w:hAnsi="Arial" w:cs="Arial"/>
                <w:b/>
                <w:bCs/>
                <w:noProof/>
              </w:rPr>
              <w:t>3.3.1 Priority Transboundary Pollution Issues</w:t>
            </w:r>
            <w:r>
              <w:rPr>
                <w:noProof/>
                <w:webHidden/>
              </w:rPr>
              <w:tab/>
            </w:r>
            <w:r>
              <w:rPr>
                <w:noProof/>
                <w:webHidden/>
              </w:rPr>
              <w:fldChar w:fldCharType="begin"/>
            </w:r>
            <w:r>
              <w:rPr>
                <w:noProof/>
                <w:webHidden/>
              </w:rPr>
              <w:instrText xml:space="preserve"> PAGEREF _Toc217231850 \h </w:instrText>
            </w:r>
            <w:r>
              <w:rPr>
                <w:noProof/>
                <w:webHidden/>
              </w:rPr>
            </w:r>
            <w:r>
              <w:rPr>
                <w:noProof/>
                <w:webHidden/>
              </w:rPr>
              <w:fldChar w:fldCharType="separate"/>
            </w:r>
            <w:r w:rsidR="00D35426">
              <w:rPr>
                <w:noProof/>
                <w:webHidden/>
              </w:rPr>
              <w:t>6</w:t>
            </w:r>
            <w:r>
              <w:rPr>
                <w:noProof/>
                <w:webHidden/>
              </w:rPr>
              <w:fldChar w:fldCharType="end"/>
            </w:r>
          </w:hyperlink>
        </w:p>
        <w:p w:rsidR="0021379C" w:rsidRDefault="0021379C">
          <w:pPr>
            <w:pStyle w:val="TOC3"/>
            <w:tabs>
              <w:tab w:val="right" w:leader="dot" w:pos="9010"/>
            </w:tabs>
            <w:rPr>
              <w:rFonts w:eastAsiaTheme="minorEastAsia" w:cstheme="minorBidi"/>
              <w:noProof/>
              <w:kern w:val="2"/>
              <w:sz w:val="24"/>
              <w:szCs w:val="24"/>
              <w14:ligatures w14:val="standardContextual"/>
            </w:rPr>
          </w:pPr>
          <w:hyperlink w:anchor="_Toc217231851" w:history="1">
            <w:r w:rsidRPr="00830238">
              <w:rPr>
                <w:rStyle w:val="Hyperlink"/>
                <w:rFonts w:ascii="Arial" w:hAnsi="Arial" w:cs="Arial"/>
                <w:b/>
                <w:bCs/>
                <w:noProof/>
              </w:rPr>
              <w:t>3.3.2 Interactions: Impacts on Environment and Society</w:t>
            </w:r>
            <w:r>
              <w:rPr>
                <w:noProof/>
                <w:webHidden/>
              </w:rPr>
              <w:tab/>
            </w:r>
            <w:r>
              <w:rPr>
                <w:noProof/>
                <w:webHidden/>
              </w:rPr>
              <w:fldChar w:fldCharType="begin"/>
            </w:r>
            <w:r>
              <w:rPr>
                <w:noProof/>
                <w:webHidden/>
              </w:rPr>
              <w:instrText xml:space="preserve"> PAGEREF _Toc217231851 \h </w:instrText>
            </w:r>
            <w:r>
              <w:rPr>
                <w:noProof/>
                <w:webHidden/>
              </w:rPr>
            </w:r>
            <w:r>
              <w:rPr>
                <w:noProof/>
                <w:webHidden/>
              </w:rPr>
              <w:fldChar w:fldCharType="separate"/>
            </w:r>
            <w:r w:rsidR="00D35426">
              <w:rPr>
                <w:noProof/>
                <w:webHidden/>
              </w:rPr>
              <w:t>7</w:t>
            </w:r>
            <w:r>
              <w:rPr>
                <w:noProof/>
                <w:webHidden/>
              </w:rPr>
              <w:fldChar w:fldCharType="end"/>
            </w:r>
          </w:hyperlink>
        </w:p>
        <w:p w:rsidR="0021379C" w:rsidRDefault="0021379C">
          <w:pPr>
            <w:pStyle w:val="TOC3"/>
            <w:tabs>
              <w:tab w:val="right" w:leader="dot" w:pos="9010"/>
            </w:tabs>
            <w:rPr>
              <w:rFonts w:eastAsiaTheme="minorEastAsia" w:cstheme="minorBidi"/>
              <w:noProof/>
              <w:kern w:val="2"/>
              <w:sz w:val="24"/>
              <w:szCs w:val="24"/>
              <w14:ligatures w14:val="standardContextual"/>
            </w:rPr>
          </w:pPr>
          <w:hyperlink w:anchor="_Toc217231852" w:history="1">
            <w:r w:rsidRPr="00830238">
              <w:rPr>
                <w:rStyle w:val="Hyperlink"/>
                <w:rFonts w:ascii="Arial" w:hAnsi="Arial" w:cs="Arial"/>
                <w:b/>
                <w:bCs/>
                <w:noProof/>
              </w:rPr>
              <w:t>3.3.3 Risk Assessment</w:t>
            </w:r>
            <w:r>
              <w:rPr>
                <w:noProof/>
                <w:webHidden/>
              </w:rPr>
              <w:tab/>
            </w:r>
            <w:r>
              <w:rPr>
                <w:noProof/>
                <w:webHidden/>
              </w:rPr>
              <w:fldChar w:fldCharType="begin"/>
            </w:r>
            <w:r>
              <w:rPr>
                <w:noProof/>
                <w:webHidden/>
              </w:rPr>
              <w:instrText xml:space="preserve"> PAGEREF _Toc217231852 \h </w:instrText>
            </w:r>
            <w:r>
              <w:rPr>
                <w:noProof/>
                <w:webHidden/>
              </w:rPr>
            </w:r>
            <w:r>
              <w:rPr>
                <w:noProof/>
                <w:webHidden/>
              </w:rPr>
              <w:fldChar w:fldCharType="separate"/>
            </w:r>
            <w:r w:rsidR="00D35426">
              <w:rPr>
                <w:noProof/>
                <w:webHidden/>
              </w:rPr>
              <w:t>8</w:t>
            </w:r>
            <w:r>
              <w:rPr>
                <w:noProof/>
                <w:webHidden/>
              </w:rPr>
              <w:fldChar w:fldCharType="end"/>
            </w:r>
          </w:hyperlink>
        </w:p>
        <w:p w:rsidR="0021379C" w:rsidRDefault="0021379C">
          <w:pPr>
            <w:pStyle w:val="TOC3"/>
            <w:tabs>
              <w:tab w:val="right" w:leader="dot" w:pos="9010"/>
            </w:tabs>
            <w:rPr>
              <w:rFonts w:eastAsiaTheme="minorEastAsia" w:cstheme="minorBidi"/>
              <w:noProof/>
              <w:kern w:val="2"/>
              <w:sz w:val="24"/>
              <w:szCs w:val="24"/>
              <w14:ligatures w14:val="standardContextual"/>
            </w:rPr>
          </w:pPr>
          <w:hyperlink w:anchor="_Toc217231853" w:history="1">
            <w:r w:rsidRPr="00830238">
              <w:rPr>
                <w:rStyle w:val="Hyperlink"/>
                <w:rFonts w:ascii="Arial" w:hAnsi="Arial" w:cs="Arial"/>
                <w:b/>
                <w:bCs/>
                <w:noProof/>
              </w:rPr>
              <w:t>3.3.4. Interactions: Current Management and Institutions</w:t>
            </w:r>
            <w:r>
              <w:rPr>
                <w:noProof/>
                <w:webHidden/>
              </w:rPr>
              <w:tab/>
            </w:r>
            <w:r>
              <w:rPr>
                <w:noProof/>
                <w:webHidden/>
              </w:rPr>
              <w:fldChar w:fldCharType="begin"/>
            </w:r>
            <w:r>
              <w:rPr>
                <w:noProof/>
                <w:webHidden/>
              </w:rPr>
              <w:instrText xml:space="preserve"> PAGEREF _Toc217231853 \h </w:instrText>
            </w:r>
            <w:r>
              <w:rPr>
                <w:noProof/>
                <w:webHidden/>
              </w:rPr>
            </w:r>
            <w:r>
              <w:rPr>
                <w:noProof/>
                <w:webHidden/>
              </w:rPr>
              <w:fldChar w:fldCharType="separate"/>
            </w:r>
            <w:r w:rsidR="00D35426">
              <w:rPr>
                <w:noProof/>
                <w:webHidden/>
              </w:rPr>
              <w:t>11</w:t>
            </w:r>
            <w:r>
              <w:rPr>
                <w:noProof/>
                <w:webHidden/>
              </w:rPr>
              <w:fldChar w:fldCharType="end"/>
            </w:r>
          </w:hyperlink>
        </w:p>
        <w:p w:rsidR="0021379C" w:rsidRDefault="0021379C">
          <w:pPr>
            <w:pStyle w:val="TOC3"/>
            <w:tabs>
              <w:tab w:val="right" w:leader="dot" w:pos="9010"/>
            </w:tabs>
            <w:rPr>
              <w:rFonts w:eastAsiaTheme="minorEastAsia" w:cstheme="minorBidi"/>
              <w:noProof/>
              <w:kern w:val="2"/>
              <w:sz w:val="24"/>
              <w:szCs w:val="24"/>
              <w14:ligatures w14:val="standardContextual"/>
            </w:rPr>
          </w:pPr>
          <w:hyperlink w:anchor="_Toc217231854" w:history="1">
            <w:r w:rsidRPr="00830238">
              <w:rPr>
                <w:rStyle w:val="Hyperlink"/>
                <w:rFonts w:ascii="Arial" w:hAnsi="Arial" w:cs="Arial"/>
                <w:b/>
                <w:bCs/>
                <w:noProof/>
              </w:rPr>
              <w:t>3.3.5 Gaps and Priority Challenges</w:t>
            </w:r>
            <w:r>
              <w:rPr>
                <w:noProof/>
                <w:webHidden/>
              </w:rPr>
              <w:tab/>
            </w:r>
            <w:r>
              <w:rPr>
                <w:noProof/>
                <w:webHidden/>
              </w:rPr>
              <w:fldChar w:fldCharType="begin"/>
            </w:r>
            <w:r>
              <w:rPr>
                <w:noProof/>
                <w:webHidden/>
              </w:rPr>
              <w:instrText xml:space="preserve"> PAGEREF _Toc217231854 \h </w:instrText>
            </w:r>
            <w:r>
              <w:rPr>
                <w:noProof/>
                <w:webHidden/>
              </w:rPr>
            </w:r>
            <w:r>
              <w:rPr>
                <w:noProof/>
                <w:webHidden/>
              </w:rPr>
              <w:fldChar w:fldCharType="separate"/>
            </w:r>
            <w:r w:rsidR="00D35426">
              <w:rPr>
                <w:noProof/>
                <w:webHidden/>
              </w:rPr>
              <w:t>12</w:t>
            </w:r>
            <w:r>
              <w:rPr>
                <w:noProof/>
                <w:webHidden/>
              </w:rPr>
              <w:fldChar w:fldCharType="end"/>
            </w:r>
          </w:hyperlink>
        </w:p>
        <w:p w:rsidR="0021379C" w:rsidRDefault="0021379C">
          <w:pPr>
            <w:pStyle w:val="TOC3"/>
            <w:tabs>
              <w:tab w:val="right" w:leader="dot" w:pos="9010"/>
            </w:tabs>
            <w:rPr>
              <w:rFonts w:eastAsiaTheme="minorEastAsia" w:cstheme="minorBidi"/>
              <w:noProof/>
              <w:kern w:val="2"/>
              <w:sz w:val="24"/>
              <w:szCs w:val="24"/>
              <w14:ligatures w14:val="standardContextual"/>
            </w:rPr>
          </w:pPr>
          <w:hyperlink w:anchor="_Toc217231855" w:history="1">
            <w:r w:rsidRPr="00830238">
              <w:rPr>
                <w:rStyle w:val="Hyperlink"/>
                <w:rFonts w:ascii="Arial" w:hAnsi="Arial" w:cs="Arial"/>
                <w:b/>
                <w:bCs/>
                <w:noProof/>
              </w:rPr>
              <w:t>3.3.6 Recommended Priority Actions</w:t>
            </w:r>
            <w:r>
              <w:rPr>
                <w:noProof/>
                <w:webHidden/>
              </w:rPr>
              <w:tab/>
            </w:r>
            <w:r>
              <w:rPr>
                <w:noProof/>
                <w:webHidden/>
              </w:rPr>
              <w:fldChar w:fldCharType="begin"/>
            </w:r>
            <w:r>
              <w:rPr>
                <w:noProof/>
                <w:webHidden/>
              </w:rPr>
              <w:instrText xml:space="preserve"> PAGEREF _Toc217231855 \h </w:instrText>
            </w:r>
            <w:r>
              <w:rPr>
                <w:noProof/>
                <w:webHidden/>
              </w:rPr>
            </w:r>
            <w:r>
              <w:rPr>
                <w:noProof/>
                <w:webHidden/>
              </w:rPr>
              <w:fldChar w:fldCharType="separate"/>
            </w:r>
            <w:r w:rsidR="00D35426">
              <w:rPr>
                <w:noProof/>
                <w:webHidden/>
              </w:rPr>
              <w:t>12</w:t>
            </w:r>
            <w:r>
              <w:rPr>
                <w:noProof/>
                <w:webHidden/>
              </w:rPr>
              <w:fldChar w:fldCharType="end"/>
            </w:r>
          </w:hyperlink>
        </w:p>
        <w:p w:rsidR="0021379C" w:rsidRDefault="0021379C">
          <w:pPr>
            <w:pStyle w:val="TOC2"/>
            <w:tabs>
              <w:tab w:val="right" w:leader="dot" w:pos="9010"/>
            </w:tabs>
            <w:rPr>
              <w:rFonts w:eastAsiaTheme="minorEastAsia" w:cstheme="minorBidi"/>
              <w:b w:val="0"/>
              <w:bCs w:val="0"/>
              <w:noProof/>
              <w:kern w:val="2"/>
              <w:sz w:val="24"/>
              <w:szCs w:val="24"/>
              <w14:ligatures w14:val="standardContextual"/>
            </w:rPr>
          </w:pPr>
          <w:hyperlink w:anchor="_Toc217231856" w:history="1">
            <w:r w:rsidRPr="00830238">
              <w:rPr>
                <w:rStyle w:val="Hyperlink"/>
                <w:rFonts w:ascii="Arial" w:hAnsi="Arial" w:cs="Arial"/>
                <w:noProof/>
              </w:rPr>
              <w:t>3.4 Methodology and Analysis</w:t>
            </w:r>
            <w:r>
              <w:rPr>
                <w:noProof/>
                <w:webHidden/>
              </w:rPr>
              <w:tab/>
            </w:r>
            <w:r>
              <w:rPr>
                <w:noProof/>
                <w:webHidden/>
              </w:rPr>
              <w:fldChar w:fldCharType="begin"/>
            </w:r>
            <w:r>
              <w:rPr>
                <w:noProof/>
                <w:webHidden/>
              </w:rPr>
              <w:instrText xml:space="preserve"> PAGEREF _Toc217231856 \h </w:instrText>
            </w:r>
            <w:r>
              <w:rPr>
                <w:noProof/>
                <w:webHidden/>
              </w:rPr>
            </w:r>
            <w:r>
              <w:rPr>
                <w:noProof/>
                <w:webHidden/>
              </w:rPr>
              <w:fldChar w:fldCharType="separate"/>
            </w:r>
            <w:r w:rsidR="00D35426">
              <w:rPr>
                <w:noProof/>
                <w:webHidden/>
              </w:rPr>
              <w:t>13</w:t>
            </w:r>
            <w:r>
              <w:rPr>
                <w:noProof/>
                <w:webHidden/>
              </w:rPr>
              <w:fldChar w:fldCharType="end"/>
            </w:r>
          </w:hyperlink>
        </w:p>
        <w:p w:rsidR="0021379C" w:rsidRDefault="0021379C">
          <w:pPr>
            <w:pStyle w:val="TOC3"/>
            <w:tabs>
              <w:tab w:val="right" w:leader="dot" w:pos="9010"/>
            </w:tabs>
            <w:rPr>
              <w:rFonts w:eastAsiaTheme="minorEastAsia" w:cstheme="minorBidi"/>
              <w:noProof/>
              <w:kern w:val="2"/>
              <w:sz w:val="24"/>
              <w:szCs w:val="24"/>
              <w14:ligatures w14:val="standardContextual"/>
            </w:rPr>
          </w:pPr>
          <w:hyperlink w:anchor="_Toc217231857" w:history="1">
            <w:r w:rsidRPr="00830238">
              <w:rPr>
                <w:rStyle w:val="Hyperlink"/>
                <w:rFonts w:ascii="Arial" w:hAnsi="Arial" w:cs="Arial"/>
                <w:b/>
                <w:bCs/>
                <w:noProof/>
              </w:rPr>
              <w:t>3.4.1 Overall Approach</w:t>
            </w:r>
            <w:r>
              <w:rPr>
                <w:noProof/>
                <w:webHidden/>
              </w:rPr>
              <w:tab/>
            </w:r>
            <w:r>
              <w:rPr>
                <w:noProof/>
                <w:webHidden/>
              </w:rPr>
              <w:fldChar w:fldCharType="begin"/>
            </w:r>
            <w:r>
              <w:rPr>
                <w:noProof/>
                <w:webHidden/>
              </w:rPr>
              <w:instrText xml:space="preserve"> PAGEREF _Toc217231857 \h </w:instrText>
            </w:r>
            <w:r>
              <w:rPr>
                <w:noProof/>
                <w:webHidden/>
              </w:rPr>
            </w:r>
            <w:r>
              <w:rPr>
                <w:noProof/>
                <w:webHidden/>
              </w:rPr>
              <w:fldChar w:fldCharType="separate"/>
            </w:r>
            <w:r w:rsidR="00D35426">
              <w:rPr>
                <w:noProof/>
                <w:webHidden/>
              </w:rPr>
              <w:t>13</w:t>
            </w:r>
            <w:r>
              <w:rPr>
                <w:noProof/>
                <w:webHidden/>
              </w:rPr>
              <w:fldChar w:fldCharType="end"/>
            </w:r>
          </w:hyperlink>
        </w:p>
        <w:p w:rsidR="0021379C" w:rsidRDefault="0021379C">
          <w:pPr>
            <w:pStyle w:val="TOC3"/>
            <w:tabs>
              <w:tab w:val="right" w:leader="dot" w:pos="9010"/>
            </w:tabs>
            <w:rPr>
              <w:rFonts w:eastAsiaTheme="minorEastAsia" w:cstheme="minorBidi"/>
              <w:noProof/>
              <w:kern w:val="2"/>
              <w:sz w:val="24"/>
              <w:szCs w:val="24"/>
              <w14:ligatures w14:val="standardContextual"/>
            </w:rPr>
          </w:pPr>
          <w:hyperlink w:anchor="_Toc217231858" w:history="1">
            <w:r w:rsidRPr="00830238">
              <w:rPr>
                <w:rStyle w:val="Hyperlink"/>
                <w:rFonts w:ascii="Arial" w:hAnsi="Arial" w:cs="Arial"/>
                <w:b/>
                <w:bCs/>
                <w:noProof/>
              </w:rPr>
              <w:t>3.4.2 Data Compilation and Validation</w:t>
            </w:r>
            <w:r>
              <w:rPr>
                <w:noProof/>
                <w:webHidden/>
              </w:rPr>
              <w:tab/>
            </w:r>
            <w:r>
              <w:rPr>
                <w:noProof/>
                <w:webHidden/>
              </w:rPr>
              <w:fldChar w:fldCharType="begin"/>
            </w:r>
            <w:r>
              <w:rPr>
                <w:noProof/>
                <w:webHidden/>
              </w:rPr>
              <w:instrText xml:space="preserve"> PAGEREF _Toc217231858 \h </w:instrText>
            </w:r>
            <w:r>
              <w:rPr>
                <w:noProof/>
                <w:webHidden/>
              </w:rPr>
            </w:r>
            <w:r>
              <w:rPr>
                <w:noProof/>
                <w:webHidden/>
              </w:rPr>
              <w:fldChar w:fldCharType="separate"/>
            </w:r>
            <w:r w:rsidR="00D35426">
              <w:rPr>
                <w:noProof/>
                <w:webHidden/>
              </w:rPr>
              <w:t>14</w:t>
            </w:r>
            <w:r>
              <w:rPr>
                <w:noProof/>
                <w:webHidden/>
              </w:rPr>
              <w:fldChar w:fldCharType="end"/>
            </w:r>
          </w:hyperlink>
        </w:p>
        <w:p w:rsidR="0021379C" w:rsidRDefault="0021379C">
          <w:pPr>
            <w:pStyle w:val="TOC3"/>
            <w:tabs>
              <w:tab w:val="right" w:leader="dot" w:pos="9010"/>
            </w:tabs>
            <w:rPr>
              <w:rFonts w:eastAsiaTheme="minorEastAsia" w:cstheme="minorBidi"/>
              <w:noProof/>
              <w:kern w:val="2"/>
              <w:sz w:val="24"/>
              <w:szCs w:val="24"/>
              <w14:ligatures w14:val="standardContextual"/>
            </w:rPr>
          </w:pPr>
          <w:hyperlink w:anchor="_Toc217231859" w:history="1">
            <w:r w:rsidRPr="00830238">
              <w:rPr>
                <w:rStyle w:val="Hyperlink"/>
                <w:rFonts w:ascii="Arial" w:hAnsi="Arial" w:cs="Arial"/>
                <w:b/>
                <w:bCs/>
                <w:noProof/>
              </w:rPr>
              <w:t>3.4.3 Indicator Selection and Scoring</w:t>
            </w:r>
            <w:r>
              <w:rPr>
                <w:noProof/>
                <w:webHidden/>
              </w:rPr>
              <w:tab/>
            </w:r>
            <w:r>
              <w:rPr>
                <w:noProof/>
                <w:webHidden/>
              </w:rPr>
              <w:fldChar w:fldCharType="begin"/>
            </w:r>
            <w:r>
              <w:rPr>
                <w:noProof/>
                <w:webHidden/>
              </w:rPr>
              <w:instrText xml:space="preserve"> PAGEREF _Toc217231859 \h </w:instrText>
            </w:r>
            <w:r>
              <w:rPr>
                <w:noProof/>
                <w:webHidden/>
              </w:rPr>
            </w:r>
            <w:r>
              <w:rPr>
                <w:noProof/>
                <w:webHidden/>
              </w:rPr>
              <w:fldChar w:fldCharType="separate"/>
            </w:r>
            <w:r w:rsidR="00D35426">
              <w:rPr>
                <w:noProof/>
                <w:webHidden/>
              </w:rPr>
              <w:t>14</w:t>
            </w:r>
            <w:r>
              <w:rPr>
                <w:noProof/>
                <w:webHidden/>
              </w:rPr>
              <w:fldChar w:fldCharType="end"/>
            </w:r>
          </w:hyperlink>
        </w:p>
        <w:p w:rsidR="0021379C" w:rsidRDefault="0021379C">
          <w:pPr>
            <w:pStyle w:val="TOC3"/>
            <w:tabs>
              <w:tab w:val="right" w:leader="dot" w:pos="9010"/>
            </w:tabs>
            <w:rPr>
              <w:rFonts w:eastAsiaTheme="minorEastAsia" w:cstheme="minorBidi"/>
              <w:noProof/>
              <w:kern w:val="2"/>
              <w:sz w:val="24"/>
              <w:szCs w:val="24"/>
              <w14:ligatures w14:val="standardContextual"/>
            </w:rPr>
          </w:pPr>
          <w:hyperlink w:anchor="_Toc217231860" w:history="1">
            <w:r w:rsidRPr="00830238">
              <w:rPr>
                <w:rStyle w:val="Hyperlink"/>
                <w:rFonts w:ascii="Arial" w:hAnsi="Arial" w:cs="Arial"/>
                <w:b/>
                <w:bCs/>
                <w:noProof/>
              </w:rPr>
              <w:t>3.4.4 Risk Quotient (RQ) Analysis</w:t>
            </w:r>
            <w:r>
              <w:rPr>
                <w:noProof/>
                <w:webHidden/>
              </w:rPr>
              <w:tab/>
            </w:r>
            <w:r>
              <w:rPr>
                <w:noProof/>
                <w:webHidden/>
              </w:rPr>
              <w:fldChar w:fldCharType="begin"/>
            </w:r>
            <w:r>
              <w:rPr>
                <w:noProof/>
                <w:webHidden/>
              </w:rPr>
              <w:instrText xml:space="preserve"> PAGEREF _Toc217231860 \h </w:instrText>
            </w:r>
            <w:r>
              <w:rPr>
                <w:noProof/>
                <w:webHidden/>
              </w:rPr>
            </w:r>
            <w:r>
              <w:rPr>
                <w:noProof/>
                <w:webHidden/>
              </w:rPr>
              <w:fldChar w:fldCharType="separate"/>
            </w:r>
            <w:r w:rsidR="00D35426">
              <w:rPr>
                <w:noProof/>
                <w:webHidden/>
              </w:rPr>
              <w:t>14</w:t>
            </w:r>
            <w:r>
              <w:rPr>
                <w:noProof/>
                <w:webHidden/>
              </w:rPr>
              <w:fldChar w:fldCharType="end"/>
            </w:r>
          </w:hyperlink>
        </w:p>
        <w:p w:rsidR="0021379C" w:rsidRDefault="0021379C">
          <w:pPr>
            <w:pStyle w:val="TOC3"/>
            <w:tabs>
              <w:tab w:val="right" w:leader="dot" w:pos="9010"/>
            </w:tabs>
            <w:rPr>
              <w:rFonts w:eastAsiaTheme="minorEastAsia" w:cstheme="minorBidi"/>
              <w:noProof/>
              <w:kern w:val="2"/>
              <w:sz w:val="24"/>
              <w:szCs w:val="24"/>
              <w14:ligatures w14:val="standardContextual"/>
            </w:rPr>
          </w:pPr>
          <w:hyperlink w:anchor="_Toc217231861" w:history="1">
            <w:r w:rsidRPr="00830238">
              <w:rPr>
                <w:rStyle w:val="Hyperlink"/>
                <w:rFonts w:ascii="Arial" w:hAnsi="Arial" w:cs="Arial"/>
                <w:b/>
                <w:bCs/>
                <w:noProof/>
              </w:rPr>
              <w:t>3.4.5 Water Quality Index (WQI) Screening</w:t>
            </w:r>
            <w:r>
              <w:rPr>
                <w:noProof/>
                <w:webHidden/>
              </w:rPr>
              <w:tab/>
            </w:r>
            <w:r>
              <w:rPr>
                <w:noProof/>
                <w:webHidden/>
              </w:rPr>
              <w:fldChar w:fldCharType="begin"/>
            </w:r>
            <w:r>
              <w:rPr>
                <w:noProof/>
                <w:webHidden/>
              </w:rPr>
              <w:instrText xml:space="preserve"> PAGEREF _Toc217231861 \h </w:instrText>
            </w:r>
            <w:r>
              <w:rPr>
                <w:noProof/>
                <w:webHidden/>
              </w:rPr>
            </w:r>
            <w:r>
              <w:rPr>
                <w:noProof/>
                <w:webHidden/>
              </w:rPr>
              <w:fldChar w:fldCharType="separate"/>
            </w:r>
            <w:r w:rsidR="00D35426">
              <w:rPr>
                <w:noProof/>
                <w:webHidden/>
              </w:rPr>
              <w:t>14</w:t>
            </w:r>
            <w:r>
              <w:rPr>
                <w:noProof/>
                <w:webHidden/>
              </w:rPr>
              <w:fldChar w:fldCharType="end"/>
            </w:r>
          </w:hyperlink>
        </w:p>
        <w:p w:rsidR="0021379C" w:rsidRDefault="0021379C">
          <w:pPr>
            <w:pStyle w:val="TOC3"/>
            <w:tabs>
              <w:tab w:val="right" w:leader="dot" w:pos="9010"/>
            </w:tabs>
            <w:rPr>
              <w:rFonts w:eastAsiaTheme="minorEastAsia" w:cstheme="minorBidi"/>
              <w:noProof/>
              <w:kern w:val="2"/>
              <w:sz w:val="24"/>
              <w:szCs w:val="24"/>
              <w14:ligatures w14:val="standardContextual"/>
            </w:rPr>
          </w:pPr>
          <w:hyperlink w:anchor="_Toc217231862" w:history="1">
            <w:r w:rsidRPr="00830238">
              <w:rPr>
                <w:rStyle w:val="Hyperlink"/>
                <w:rFonts w:ascii="Arial" w:hAnsi="Arial" w:cs="Arial"/>
                <w:b/>
                <w:bCs/>
                <w:noProof/>
              </w:rPr>
              <w:t>3.4.6 Spatial and Transboundary Analysis</w:t>
            </w:r>
            <w:r>
              <w:rPr>
                <w:noProof/>
                <w:webHidden/>
              </w:rPr>
              <w:tab/>
            </w:r>
            <w:r>
              <w:rPr>
                <w:noProof/>
                <w:webHidden/>
              </w:rPr>
              <w:fldChar w:fldCharType="begin"/>
            </w:r>
            <w:r>
              <w:rPr>
                <w:noProof/>
                <w:webHidden/>
              </w:rPr>
              <w:instrText xml:space="preserve"> PAGEREF _Toc217231862 \h </w:instrText>
            </w:r>
            <w:r>
              <w:rPr>
                <w:noProof/>
                <w:webHidden/>
              </w:rPr>
            </w:r>
            <w:r>
              <w:rPr>
                <w:noProof/>
                <w:webHidden/>
              </w:rPr>
              <w:fldChar w:fldCharType="separate"/>
            </w:r>
            <w:r w:rsidR="00D35426">
              <w:rPr>
                <w:noProof/>
                <w:webHidden/>
              </w:rPr>
              <w:t>15</w:t>
            </w:r>
            <w:r>
              <w:rPr>
                <w:noProof/>
                <w:webHidden/>
              </w:rPr>
              <w:fldChar w:fldCharType="end"/>
            </w:r>
          </w:hyperlink>
        </w:p>
        <w:p w:rsidR="0021379C" w:rsidRDefault="0021379C">
          <w:pPr>
            <w:pStyle w:val="TOC3"/>
            <w:tabs>
              <w:tab w:val="left" w:pos="1200"/>
              <w:tab w:val="right" w:leader="dot" w:pos="9010"/>
            </w:tabs>
            <w:rPr>
              <w:rFonts w:eastAsiaTheme="minorEastAsia" w:cstheme="minorBidi"/>
              <w:noProof/>
              <w:kern w:val="2"/>
              <w:sz w:val="24"/>
              <w:szCs w:val="24"/>
              <w14:ligatures w14:val="standardContextual"/>
            </w:rPr>
          </w:pPr>
          <w:hyperlink w:anchor="_Toc217231863" w:history="1">
            <w:r w:rsidRPr="00830238">
              <w:rPr>
                <w:rStyle w:val="Hyperlink"/>
                <w:rFonts w:ascii="Arial" w:hAnsi="Arial" w:cs="Arial"/>
                <w:b/>
                <w:bCs/>
                <w:noProof/>
              </w:rPr>
              <w:t>3.4.7</w:t>
            </w:r>
            <w:r>
              <w:rPr>
                <w:rFonts w:eastAsiaTheme="minorEastAsia" w:cstheme="minorBidi"/>
                <w:noProof/>
                <w:kern w:val="2"/>
                <w:sz w:val="24"/>
                <w:szCs w:val="24"/>
                <w14:ligatures w14:val="standardContextual"/>
              </w:rPr>
              <w:tab/>
            </w:r>
            <w:r w:rsidRPr="00830238">
              <w:rPr>
                <w:rStyle w:val="Hyperlink"/>
                <w:rFonts w:ascii="Arial" w:hAnsi="Arial" w:cs="Arial"/>
                <w:b/>
                <w:bCs/>
                <w:noProof/>
              </w:rPr>
              <w:t>Limitations</w:t>
            </w:r>
            <w:r>
              <w:rPr>
                <w:noProof/>
                <w:webHidden/>
              </w:rPr>
              <w:tab/>
            </w:r>
            <w:r>
              <w:rPr>
                <w:noProof/>
                <w:webHidden/>
              </w:rPr>
              <w:fldChar w:fldCharType="begin"/>
            </w:r>
            <w:r>
              <w:rPr>
                <w:noProof/>
                <w:webHidden/>
              </w:rPr>
              <w:instrText xml:space="preserve"> PAGEREF _Toc217231863 \h </w:instrText>
            </w:r>
            <w:r>
              <w:rPr>
                <w:noProof/>
                <w:webHidden/>
              </w:rPr>
            </w:r>
            <w:r>
              <w:rPr>
                <w:noProof/>
                <w:webHidden/>
              </w:rPr>
              <w:fldChar w:fldCharType="separate"/>
            </w:r>
            <w:r w:rsidR="00D35426">
              <w:rPr>
                <w:noProof/>
                <w:webHidden/>
              </w:rPr>
              <w:t>15</w:t>
            </w:r>
            <w:r>
              <w:rPr>
                <w:noProof/>
                <w:webHidden/>
              </w:rPr>
              <w:fldChar w:fldCharType="end"/>
            </w:r>
          </w:hyperlink>
        </w:p>
        <w:p w:rsidR="0021379C" w:rsidRDefault="0021379C">
          <w:pPr>
            <w:pStyle w:val="TOC1"/>
            <w:rPr>
              <w:rFonts w:eastAsiaTheme="minorEastAsia" w:cstheme="minorBidi"/>
              <w:b w:val="0"/>
              <w:bCs w:val="0"/>
              <w:i w:val="0"/>
              <w:iCs w:val="0"/>
              <w:noProof/>
              <w:kern w:val="2"/>
              <w14:ligatures w14:val="standardContextual"/>
            </w:rPr>
          </w:pPr>
          <w:hyperlink w:anchor="_Toc217231864" w:history="1">
            <w:r w:rsidRPr="00830238">
              <w:rPr>
                <w:rStyle w:val="Hyperlink"/>
                <w:noProof/>
              </w:rPr>
              <w:t>Glossary</w:t>
            </w:r>
            <w:r>
              <w:rPr>
                <w:noProof/>
                <w:webHidden/>
              </w:rPr>
              <w:tab/>
            </w:r>
            <w:r>
              <w:rPr>
                <w:noProof/>
                <w:webHidden/>
              </w:rPr>
              <w:fldChar w:fldCharType="begin"/>
            </w:r>
            <w:r>
              <w:rPr>
                <w:noProof/>
                <w:webHidden/>
              </w:rPr>
              <w:instrText xml:space="preserve"> PAGEREF _Toc217231864 \h </w:instrText>
            </w:r>
            <w:r>
              <w:rPr>
                <w:noProof/>
                <w:webHidden/>
              </w:rPr>
            </w:r>
            <w:r>
              <w:rPr>
                <w:noProof/>
                <w:webHidden/>
              </w:rPr>
              <w:fldChar w:fldCharType="separate"/>
            </w:r>
            <w:r w:rsidR="00D35426">
              <w:rPr>
                <w:noProof/>
                <w:webHidden/>
              </w:rPr>
              <w:t>16</w:t>
            </w:r>
            <w:r>
              <w:rPr>
                <w:noProof/>
                <w:webHidden/>
              </w:rPr>
              <w:fldChar w:fldCharType="end"/>
            </w:r>
          </w:hyperlink>
        </w:p>
        <w:p w:rsidR="0021379C" w:rsidRDefault="0021379C">
          <w:pPr>
            <w:pStyle w:val="TOC1"/>
            <w:rPr>
              <w:rFonts w:eastAsiaTheme="minorEastAsia" w:cstheme="minorBidi"/>
              <w:b w:val="0"/>
              <w:bCs w:val="0"/>
              <w:i w:val="0"/>
              <w:iCs w:val="0"/>
              <w:noProof/>
              <w:kern w:val="2"/>
              <w14:ligatures w14:val="standardContextual"/>
            </w:rPr>
          </w:pPr>
          <w:hyperlink w:anchor="_Toc217231865" w:history="1">
            <w:r w:rsidRPr="00830238">
              <w:rPr>
                <w:rStyle w:val="Hyperlink"/>
                <w:noProof/>
              </w:rPr>
              <w:t>Funding Sources</w:t>
            </w:r>
            <w:r>
              <w:rPr>
                <w:noProof/>
                <w:webHidden/>
              </w:rPr>
              <w:tab/>
            </w:r>
            <w:r>
              <w:rPr>
                <w:noProof/>
                <w:webHidden/>
              </w:rPr>
              <w:fldChar w:fldCharType="begin"/>
            </w:r>
            <w:r>
              <w:rPr>
                <w:noProof/>
                <w:webHidden/>
              </w:rPr>
              <w:instrText xml:space="preserve"> PAGEREF _Toc217231865 \h </w:instrText>
            </w:r>
            <w:r>
              <w:rPr>
                <w:noProof/>
                <w:webHidden/>
              </w:rPr>
            </w:r>
            <w:r>
              <w:rPr>
                <w:noProof/>
                <w:webHidden/>
              </w:rPr>
              <w:fldChar w:fldCharType="separate"/>
            </w:r>
            <w:r w:rsidR="00D35426">
              <w:rPr>
                <w:noProof/>
                <w:webHidden/>
              </w:rPr>
              <w:t>18</w:t>
            </w:r>
            <w:r>
              <w:rPr>
                <w:noProof/>
                <w:webHidden/>
              </w:rPr>
              <w:fldChar w:fldCharType="end"/>
            </w:r>
          </w:hyperlink>
        </w:p>
        <w:p w:rsidR="0021379C" w:rsidRDefault="0021379C">
          <w:pPr>
            <w:pStyle w:val="TOC1"/>
            <w:rPr>
              <w:rFonts w:eastAsiaTheme="minorEastAsia" w:cstheme="minorBidi"/>
              <w:b w:val="0"/>
              <w:bCs w:val="0"/>
              <w:i w:val="0"/>
              <w:iCs w:val="0"/>
              <w:noProof/>
              <w:kern w:val="2"/>
              <w14:ligatures w14:val="standardContextual"/>
            </w:rPr>
          </w:pPr>
          <w:hyperlink w:anchor="_Toc217231866" w:history="1">
            <w:r w:rsidRPr="00830238">
              <w:rPr>
                <w:rStyle w:val="Hyperlink"/>
                <w:noProof/>
              </w:rPr>
              <w:t>Reference</w:t>
            </w:r>
            <w:r>
              <w:rPr>
                <w:noProof/>
                <w:webHidden/>
              </w:rPr>
              <w:tab/>
            </w:r>
            <w:r>
              <w:rPr>
                <w:noProof/>
                <w:webHidden/>
              </w:rPr>
              <w:fldChar w:fldCharType="begin"/>
            </w:r>
            <w:r>
              <w:rPr>
                <w:noProof/>
                <w:webHidden/>
              </w:rPr>
              <w:instrText xml:space="preserve"> PAGEREF _Toc217231866 \h </w:instrText>
            </w:r>
            <w:r>
              <w:rPr>
                <w:noProof/>
                <w:webHidden/>
              </w:rPr>
            </w:r>
            <w:r>
              <w:rPr>
                <w:noProof/>
                <w:webHidden/>
              </w:rPr>
              <w:fldChar w:fldCharType="separate"/>
            </w:r>
            <w:r w:rsidR="00D35426">
              <w:rPr>
                <w:noProof/>
                <w:webHidden/>
              </w:rPr>
              <w:t>19</w:t>
            </w:r>
            <w:r>
              <w:rPr>
                <w:noProof/>
                <w:webHidden/>
              </w:rPr>
              <w:fldChar w:fldCharType="end"/>
            </w:r>
          </w:hyperlink>
        </w:p>
        <w:p w:rsidR="0021379C" w:rsidRDefault="0021379C">
          <w:pPr>
            <w:pStyle w:val="TOC1"/>
            <w:rPr>
              <w:rFonts w:eastAsiaTheme="minorEastAsia" w:cstheme="minorBidi"/>
              <w:b w:val="0"/>
              <w:bCs w:val="0"/>
              <w:i w:val="0"/>
              <w:iCs w:val="0"/>
              <w:noProof/>
              <w:kern w:val="2"/>
              <w14:ligatures w14:val="standardContextual"/>
            </w:rPr>
          </w:pPr>
          <w:hyperlink w:anchor="_Toc217231867" w:history="1">
            <w:r w:rsidRPr="00830238">
              <w:rPr>
                <w:rStyle w:val="Hyperlink"/>
                <w:noProof/>
              </w:rPr>
              <w:t>Annex 3</w:t>
            </w:r>
            <w:r>
              <w:rPr>
                <w:noProof/>
                <w:webHidden/>
              </w:rPr>
              <w:tab/>
            </w:r>
            <w:r>
              <w:rPr>
                <w:noProof/>
                <w:webHidden/>
              </w:rPr>
              <w:fldChar w:fldCharType="begin"/>
            </w:r>
            <w:r>
              <w:rPr>
                <w:noProof/>
                <w:webHidden/>
              </w:rPr>
              <w:instrText xml:space="preserve"> PAGEREF _Toc217231867 \h </w:instrText>
            </w:r>
            <w:r>
              <w:rPr>
                <w:noProof/>
                <w:webHidden/>
              </w:rPr>
            </w:r>
            <w:r>
              <w:rPr>
                <w:noProof/>
                <w:webHidden/>
              </w:rPr>
              <w:fldChar w:fldCharType="separate"/>
            </w:r>
            <w:r w:rsidR="00D35426">
              <w:rPr>
                <w:noProof/>
                <w:webHidden/>
              </w:rPr>
              <w:t>21</w:t>
            </w:r>
            <w:r>
              <w:rPr>
                <w:noProof/>
                <w:webHidden/>
              </w:rPr>
              <w:fldChar w:fldCharType="end"/>
            </w:r>
          </w:hyperlink>
        </w:p>
        <w:p w:rsidR="000F5008" w:rsidRPr="000F5008" w:rsidRDefault="000F5008">
          <w:pPr>
            <w:rPr>
              <w:rFonts w:ascii="Arial" w:hAnsi="Arial" w:cs="Arial"/>
            </w:rPr>
          </w:pPr>
          <w:r w:rsidRPr="000F5008">
            <w:rPr>
              <w:rFonts w:ascii="Arial" w:hAnsi="Arial" w:cs="Arial"/>
              <w:b/>
              <w:bCs/>
              <w:noProof/>
            </w:rPr>
            <w:fldChar w:fldCharType="end"/>
          </w:r>
        </w:p>
      </w:sdtContent>
    </w:sdt>
    <w:p w:rsidR="003454E2" w:rsidRDefault="003454E2" w:rsidP="00185157">
      <w:pPr>
        <w:rPr>
          <w:rStyle w:val="Strong"/>
          <w:rFonts w:ascii="Arial" w:hAnsi="Arial" w:cs="Arial"/>
          <w:sz w:val="22"/>
          <w:szCs w:val="22"/>
        </w:rPr>
      </w:pPr>
    </w:p>
    <w:p w:rsidR="003454E2" w:rsidRPr="00F67343" w:rsidRDefault="003454E2" w:rsidP="00185157">
      <w:pPr>
        <w:rPr>
          <w:rStyle w:val="Strong"/>
          <w:rFonts w:ascii="Arial" w:hAnsi="Arial" w:cs="Arial"/>
          <w:i/>
          <w:iCs/>
          <w:color w:val="002060"/>
          <w:sz w:val="22"/>
          <w:szCs w:val="22"/>
        </w:rPr>
      </w:pPr>
      <w:r w:rsidRPr="00F67343">
        <w:rPr>
          <w:rStyle w:val="Strong"/>
          <w:rFonts w:ascii="Arial" w:hAnsi="Arial" w:cs="Arial"/>
          <w:i/>
          <w:iCs/>
          <w:color w:val="002060"/>
          <w:sz w:val="22"/>
          <w:szCs w:val="22"/>
        </w:rPr>
        <w:t>List of Figures</w:t>
      </w:r>
    </w:p>
    <w:p w:rsidR="00C766A1" w:rsidRPr="00C766A1" w:rsidRDefault="003454E2">
      <w:pPr>
        <w:pStyle w:val="TableofFigures"/>
        <w:tabs>
          <w:tab w:val="right" w:leader="dot" w:pos="9010"/>
        </w:tabs>
        <w:rPr>
          <w:rFonts w:ascii="Arial" w:eastAsiaTheme="minorEastAsia" w:hAnsi="Arial" w:cs="Arial"/>
          <w:noProof/>
          <w:kern w:val="2"/>
          <w:sz w:val="22"/>
          <w:szCs w:val="22"/>
          <w14:ligatures w14:val="standardContextual"/>
        </w:rPr>
      </w:pPr>
      <w:r w:rsidRPr="003454E2">
        <w:rPr>
          <w:rStyle w:val="Strong"/>
          <w:rFonts w:ascii="Arial" w:hAnsi="Arial" w:cs="Arial"/>
          <w:i/>
          <w:iCs/>
          <w:sz w:val="22"/>
          <w:szCs w:val="22"/>
        </w:rPr>
        <w:fldChar w:fldCharType="begin"/>
      </w:r>
      <w:r w:rsidRPr="003454E2">
        <w:rPr>
          <w:rStyle w:val="Strong"/>
          <w:rFonts w:ascii="Arial" w:hAnsi="Arial" w:cs="Arial"/>
          <w:i/>
          <w:iCs/>
          <w:sz w:val="22"/>
          <w:szCs w:val="22"/>
        </w:rPr>
        <w:instrText xml:space="preserve"> TOC \h \z \c "Figure 3-" </w:instrText>
      </w:r>
      <w:r w:rsidRPr="003454E2">
        <w:rPr>
          <w:rStyle w:val="Strong"/>
          <w:rFonts w:ascii="Arial" w:hAnsi="Arial" w:cs="Arial"/>
          <w:i/>
          <w:iCs/>
          <w:sz w:val="22"/>
          <w:szCs w:val="22"/>
        </w:rPr>
        <w:fldChar w:fldCharType="separate"/>
      </w:r>
      <w:hyperlink w:anchor="_Toc214875138" w:history="1">
        <w:r w:rsidR="00C766A1" w:rsidRPr="00C766A1">
          <w:rPr>
            <w:rStyle w:val="Hyperlink"/>
            <w:rFonts w:ascii="Arial" w:hAnsi="Arial" w:cs="Arial"/>
            <w:noProof/>
            <w:sz w:val="22"/>
            <w:szCs w:val="22"/>
          </w:rPr>
          <w:t>Figure 3-1 Cambodia’s national fertilizer consumption (kg/ha of arable land) 2002-2023</w:t>
        </w:r>
        <w:r w:rsidR="00C766A1" w:rsidRPr="00C766A1">
          <w:rPr>
            <w:rFonts w:ascii="Arial" w:hAnsi="Arial" w:cs="Arial"/>
            <w:noProof/>
            <w:webHidden/>
            <w:sz w:val="22"/>
            <w:szCs w:val="22"/>
          </w:rPr>
          <w:tab/>
        </w:r>
        <w:r w:rsidR="00C766A1" w:rsidRPr="00C766A1">
          <w:rPr>
            <w:rFonts w:ascii="Arial" w:hAnsi="Arial" w:cs="Arial"/>
            <w:noProof/>
            <w:webHidden/>
            <w:sz w:val="22"/>
            <w:szCs w:val="22"/>
          </w:rPr>
          <w:fldChar w:fldCharType="begin"/>
        </w:r>
        <w:r w:rsidR="00C766A1" w:rsidRPr="00C766A1">
          <w:rPr>
            <w:rFonts w:ascii="Arial" w:hAnsi="Arial" w:cs="Arial"/>
            <w:noProof/>
            <w:webHidden/>
            <w:sz w:val="22"/>
            <w:szCs w:val="22"/>
          </w:rPr>
          <w:instrText xml:space="preserve"> PAGEREF _Toc214875138 \h </w:instrText>
        </w:r>
        <w:r w:rsidR="00C766A1" w:rsidRPr="00C766A1">
          <w:rPr>
            <w:rFonts w:ascii="Arial" w:hAnsi="Arial" w:cs="Arial"/>
            <w:noProof/>
            <w:webHidden/>
            <w:sz w:val="22"/>
            <w:szCs w:val="22"/>
          </w:rPr>
        </w:r>
        <w:r w:rsidR="00C766A1" w:rsidRPr="00C766A1">
          <w:rPr>
            <w:rFonts w:ascii="Arial" w:hAnsi="Arial" w:cs="Arial"/>
            <w:noProof/>
            <w:webHidden/>
            <w:sz w:val="22"/>
            <w:szCs w:val="22"/>
          </w:rPr>
          <w:fldChar w:fldCharType="separate"/>
        </w:r>
        <w:r w:rsidR="00D35426">
          <w:rPr>
            <w:rFonts w:ascii="Arial" w:hAnsi="Arial" w:cs="Arial"/>
            <w:noProof/>
            <w:webHidden/>
            <w:sz w:val="22"/>
            <w:szCs w:val="22"/>
          </w:rPr>
          <w:t>2</w:t>
        </w:r>
        <w:r w:rsidR="00C766A1" w:rsidRPr="00C766A1">
          <w:rPr>
            <w:rFonts w:ascii="Arial" w:hAnsi="Arial" w:cs="Arial"/>
            <w:noProof/>
            <w:webHidden/>
            <w:sz w:val="22"/>
            <w:szCs w:val="22"/>
          </w:rPr>
          <w:fldChar w:fldCharType="end"/>
        </w:r>
      </w:hyperlink>
    </w:p>
    <w:p w:rsidR="00C766A1" w:rsidRDefault="00000000">
      <w:pPr>
        <w:pStyle w:val="TableofFigures"/>
        <w:tabs>
          <w:tab w:val="right" w:leader="dot" w:pos="9010"/>
        </w:tabs>
        <w:rPr>
          <w:rFonts w:asciiTheme="minorHAnsi" w:eastAsiaTheme="minorEastAsia" w:hAnsiTheme="minorHAnsi" w:cstheme="minorBidi"/>
          <w:noProof/>
          <w:kern w:val="2"/>
          <w14:ligatures w14:val="standardContextual"/>
        </w:rPr>
      </w:pPr>
      <w:hyperlink w:anchor="_Toc214875139" w:history="1">
        <w:r w:rsidR="00C766A1" w:rsidRPr="00C766A1">
          <w:rPr>
            <w:rStyle w:val="Hyperlink"/>
            <w:rFonts w:ascii="Arial" w:hAnsi="Arial" w:cs="Arial"/>
            <w:noProof/>
            <w:sz w:val="22"/>
            <w:szCs w:val="22"/>
          </w:rPr>
          <w:t>Figure 3-2 Cambodia’s national pesticide use (agricultural use &amp; use per area of cropland)</w:t>
        </w:r>
        <w:r w:rsidR="00C766A1" w:rsidRPr="00C766A1">
          <w:rPr>
            <w:rFonts w:ascii="Arial" w:hAnsi="Arial" w:cs="Arial"/>
            <w:noProof/>
            <w:webHidden/>
            <w:sz w:val="22"/>
            <w:szCs w:val="22"/>
          </w:rPr>
          <w:tab/>
        </w:r>
        <w:r w:rsidR="00C766A1" w:rsidRPr="00C766A1">
          <w:rPr>
            <w:rFonts w:ascii="Arial" w:hAnsi="Arial" w:cs="Arial"/>
            <w:noProof/>
            <w:webHidden/>
            <w:sz w:val="22"/>
            <w:szCs w:val="22"/>
          </w:rPr>
          <w:fldChar w:fldCharType="begin"/>
        </w:r>
        <w:r w:rsidR="00C766A1" w:rsidRPr="00C766A1">
          <w:rPr>
            <w:rFonts w:ascii="Arial" w:hAnsi="Arial" w:cs="Arial"/>
            <w:noProof/>
            <w:webHidden/>
            <w:sz w:val="22"/>
            <w:szCs w:val="22"/>
          </w:rPr>
          <w:instrText xml:space="preserve"> PAGEREF _Toc214875139 \h </w:instrText>
        </w:r>
        <w:r w:rsidR="00C766A1" w:rsidRPr="00C766A1">
          <w:rPr>
            <w:rFonts w:ascii="Arial" w:hAnsi="Arial" w:cs="Arial"/>
            <w:noProof/>
            <w:webHidden/>
            <w:sz w:val="22"/>
            <w:szCs w:val="22"/>
          </w:rPr>
        </w:r>
        <w:r w:rsidR="00C766A1" w:rsidRPr="00C766A1">
          <w:rPr>
            <w:rFonts w:ascii="Arial" w:hAnsi="Arial" w:cs="Arial"/>
            <w:noProof/>
            <w:webHidden/>
            <w:sz w:val="22"/>
            <w:szCs w:val="22"/>
          </w:rPr>
          <w:fldChar w:fldCharType="separate"/>
        </w:r>
        <w:r w:rsidR="00D35426">
          <w:rPr>
            <w:rFonts w:ascii="Arial" w:hAnsi="Arial" w:cs="Arial"/>
            <w:noProof/>
            <w:webHidden/>
            <w:sz w:val="22"/>
            <w:szCs w:val="22"/>
          </w:rPr>
          <w:t>2</w:t>
        </w:r>
        <w:r w:rsidR="00C766A1" w:rsidRPr="00C766A1">
          <w:rPr>
            <w:rFonts w:ascii="Arial" w:hAnsi="Arial" w:cs="Arial"/>
            <w:noProof/>
            <w:webHidden/>
            <w:sz w:val="22"/>
            <w:szCs w:val="22"/>
          </w:rPr>
          <w:fldChar w:fldCharType="end"/>
        </w:r>
      </w:hyperlink>
    </w:p>
    <w:p w:rsidR="003454E2" w:rsidRDefault="003454E2" w:rsidP="003454E2">
      <w:pPr>
        <w:rPr>
          <w:rStyle w:val="Strong"/>
          <w:rFonts w:ascii="Arial" w:hAnsi="Arial" w:cs="Arial"/>
          <w:sz w:val="22"/>
          <w:szCs w:val="22"/>
        </w:rPr>
      </w:pPr>
      <w:r w:rsidRPr="003454E2">
        <w:rPr>
          <w:rStyle w:val="Strong"/>
          <w:rFonts w:ascii="Arial" w:hAnsi="Arial" w:cs="Arial"/>
          <w:i/>
          <w:iCs/>
          <w:sz w:val="22"/>
          <w:szCs w:val="22"/>
        </w:rPr>
        <w:fldChar w:fldCharType="end"/>
      </w:r>
    </w:p>
    <w:p w:rsidR="003454E2" w:rsidRPr="00F67343" w:rsidRDefault="003454E2" w:rsidP="003454E2">
      <w:pPr>
        <w:rPr>
          <w:rStyle w:val="Strong"/>
          <w:rFonts w:ascii="Arial" w:hAnsi="Arial" w:cs="Arial"/>
          <w:i/>
          <w:iCs/>
          <w:color w:val="002060"/>
          <w:sz w:val="22"/>
          <w:szCs w:val="22"/>
        </w:rPr>
      </w:pPr>
      <w:r w:rsidRPr="00F67343">
        <w:rPr>
          <w:rStyle w:val="Strong"/>
          <w:rFonts w:ascii="Arial" w:hAnsi="Arial" w:cs="Arial"/>
          <w:i/>
          <w:iCs/>
          <w:color w:val="002060"/>
          <w:sz w:val="22"/>
          <w:szCs w:val="22"/>
        </w:rPr>
        <w:t>List of Table</w:t>
      </w:r>
    </w:p>
    <w:p w:rsidR="00C766A1" w:rsidRPr="00C766A1" w:rsidRDefault="003454E2">
      <w:pPr>
        <w:pStyle w:val="TableofFigures"/>
        <w:tabs>
          <w:tab w:val="right" w:leader="dot" w:pos="9010"/>
        </w:tabs>
        <w:rPr>
          <w:rFonts w:ascii="Arial" w:eastAsiaTheme="minorEastAsia" w:hAnsi="Arial" w:cs="Arial"/>
          <w:noProof/>
          <w:kern w:val="2"/>
          <w:sz w:val="22"/>
          <w:szCs w:val="22"/>
          <w14:ligatures w14:val="standardContextual"/>
        </w:rPr>
      </w:pPr>
      <w:r w:rsidRPr="00C766A1">
        <w:rPr>
          <w:rStyle w:val="Strong"/>
          <w:rFonts w:ascii="Arial" w:hAnsi="Arial" w:cs="Arial"/>
          <w:sz w:val="22"/>
          <w:szCs w:val="22"/>
        </w:rPr>
        <w:fldChar w:fldCharType="begin"/>
      </w:r>
      <w:r w:rsidRPr="00C766A1">
        <w:rPr>
          <w:rStyle w:val="Strong"/>
          <w:rFonts w:ascii="Arial" w:hAnsi="Arial" w:cs="Arial"/>
          <w:sz w:val="22"/>
          <w:szCs w:val="22"/>
        </w:rPr>
        <w:instrText xml:space="preserve"> TOC \h \z \c "Table 3-" </w:instrText>
      </w:r>
      <w:r w:rsidRPr="00C766A1">
        <w:rPr>
          <w:rStyle w:val="Strong"/>
          <w:rFonts w:ascii="Arial" w:hAnsi="Arial" w:cs="Arial"/>
          <w:sz w:val="22"/>
          <w:szCs w:val="22"/>
        </w:rPr>
        <w:fldChar w:fldCharType="separate"/>
      </w:r>
      <w:hyperlink w:anchor="_Toc214875143" w:history="1">
        <w:r w:rsidR="00C766A1" w:rsidRPr="00C766A1">
          <w:rPr>
            <w:rStyle w:val="Hyperlink"/>
            <w:rFonts w:ascii="Arial" w:hAnsi="Arial" w:cs="Arial"/>
            <w:noProof/>
            <w:sz w:val="22"/>
            <w:szCs w:val="22"/>
          </w:rPr>
          <w:t>Table 3-1 Hydrology and pollution indicators of major rivers – (Cambodia segment)</w:t>
        </w:r>
        <w:r w:rsidR="00C766A1" w:rsidRPr="00C766A1">
          <w:rPr>
            <w:rFonts w:ascii="Arial" w:hAnsi="Arial" w:cs="Arial"/>
            <w:noProof/>
            <w:webHidden/>
            <w:sz w:val="22"/>
            <w:szCs w:val="22"/>
          </w:rPr>
          <w:tab/>
        </w:r>
        <w:r w:rsidR="00C766A1" w:rsidRPr="00C766A1">
          <w:rPr>
            <w:rFonts w:ascii="Arial" w:hAnsi="Arial" w:cs="Arial"/>
            <w:noProof/>
            <w:webHidden/>
            <w:sz w:val="22"/>
            <w:szCs w:val="22"/>
          </w:rPr>
          <w:fldChar w:fldCharType="begin"/>
        </w:r>
        <w:r w:rsidR="00C766A1" w:rsidRPr="00C766A1">
          <w:rPr>
            <w:rFonts w:ascii="Arial" w:hAnsi="Arial" w:cs="Arial"/>
            <w:noProof/>
            <w:webHidden/>
            <w:sz w:val="22"/>
            <w:szCs w:val="22"/>
          </w:rPr>
          <w:instrText xml:space="preserve"> PAGEREF _Toc214875143 \h </w:instrText>
        </w:r>
        <w:r w:rsidR="00C766A1" w:rsidRPr="00C766A1">
          <w:rPr>
            <w:rFonts w:ascii="Arial" w:hAnsi="Arial" w:cs="Arial"/>
            <w:noProof/>
            <w:webHidden/>
            <w:sz w:val="22"/>
            <w:szCs w:val="22"/>
          </w:rPr>
        </w:r>
        <w:r w:rsidR="00C766A1" w:rsidRPr="00C766A1">
          <w:rPr>
            <w:rFonts w:ascii="Arial" w:hAnsi="Arial" w:cs="Arial"/>
            <w:noProof/>
            <w:webHidden/>
            <w:sz w:val="22"/>
            <w:szCs w:val="22"/>
          </w:rPr>
          <w:fldChar w:fldCharType="separate"/>
        </w:r>
        <w:r w:rsidR="00D35426">
          <w:rPr>
            <w:rFonts w:ascii="Arial" w:hAnsi="Arial" w:cs="Arial"/>
            <w:noProof/>
            <w:webHidden/>
            <w:sz w:val="22"/>
            <w:szCs w:val="22"/>
          </w:rPr>
          <w:t>3</w:t>
        </w:r>
        <w:r w:rsidR="00C766A1" w:rsidRPr="00C766A1">
          <w:rPr>
            <w:rFonts w:ascii="Arial" w:hAnsi="Arial" w:cs="Arial"/>
            <w:noProof/>
            <w:webHidden/>
            <w:sz w:val="22"/>
            <w:szCs w:val="22"/>
          </w:rPr>
          <w:fldChar w:fldCharType="end"/>
        </w:r>
      </w:hyperlink>
    </w:p>
    <w:p w:rsidR="00C766A1" w:rsidRPr="00C766A1" w:rsidRDefault="00000000">
      <w:pPr>
        <w:pStyle w:val="TableofFigures"/>
        <w:tabs>
          <w:tab w:val="right" w:leader="dot" w:pos="9010"/>
        </w:tabs>
        <w:rPr>
          <w:rFonts w:ascii="Arial" w:eastAsiaTheme="minorEastAsia" w:hAnsi="Arial" w:cs="Arial"/>
          <w:noProof/>
          <w:kern w:val="2"/>
          <w:sz w:val="22"/>
          <w:szCs w:val="22"/>
          <w14:ligatures w14:val="standardContextual"/>
        </w:rPr>
      </w:pPr>
      <w:hyperlink w:anchor="_Toc214875144" w:history="1">
        <w:r w:rsidR="00C766A1" w:rsidRPr="00C766A1">
          <w:rPr>
            <w:rStyle w:val="Hyperlink"/>
            <w:rFonts w:ascii="Arial" w:hAnsi="Arial" w:cs="Arial"/>
            <w:noProof/>
            <w:sz w:val="22"/>
            <w:szCs w:val="22"/>
          </w:rPr>
          <w:t>Table 3-2 Compliance assessment of key pollution indicators using RQ</w:t>
        </w:r>
        <w:r w:rsidR="00C766A1" w:rsidRPr="00C766A1">
          <w:rPr>
            <w:rFonts w:ascii="Arial" w:hAnsi="Arial" w:cs="Arial"/>
            <w:noProof/>
            <w:webHidden/>
            <w:sz w:val="22"/>
            <w:szCs w:val="22"/>
          </w:rPr>
          <w:tab/>
        </w:r>
        <w:r w:rsidR="00C766A1" w:rsidRPr="00C766A1">
          <w:rPr>
            <w:rFonts w:ascii="Arial" w:hAnsi="Arial" w:cs="Arial"/>
            <w:noProof/>
            <w:webHidden/>
            <w:sz w:val="22"/>
            <w:szCs w:val="22"/>
          </w:rPr>
          <w:fldChar w:fldCharType="begin"/>
        </w:r>
        <w:r w:rsidR="00C766A1" w:rsidRPr="00C766A1">
          <w:rPr>
            <w:rFonts w:ascii="Arial" w:hAnsi="Arial" w:cs="Arial"/>
            <w:noProof/>
            <w:webHidden/>
            <w:sz w:val="22"/>
            <w:szCs w:val="22"/>
          </w:rPr>
          <w:instrText xml:space="preserve"> PAGEREF _Toc214875144 \h </w:instrText>
        </w:r>
        <w:r w:rsidR="00C766A1" w:rsidRPr="00C766A1">
          <w:rPr>
            <w:rFonts w:ascii="Arial" w:hAnsi="Arial" w:cs="Arial"/>
            <w:noProof/>
            <w:webHidden/>
            <w:sz w:val="22"/>
            <w:szCs w:val="22"/>
          </w:rPr>
        </w:r>
        <w:r w:rsidR="00C766A1" w:rsidRPr="00C766A1">
          <w:rPr>
            <w:rFonts w:ascii="Arial" w:hAnsi="Arial" w:cs="Arial"/>
            <w:noProof/>
            <w:webHidden/>
            <w:sz w:val="22"/>
            <w:szCs w:val="22"/>
          </w:rPr>
          <w:fldChar w:fldCharType="separate"/>
        </w:r>
        <w:r w:rsidR="00D35426">
          <w:rPr>
            <w:rFonts w:ascii="Arial" w:hAnsi="Arial" w:cs="Arial"/>
            <w:noProof/>
            <w:webHidden/>
            <w:sz w:val="22"/>
            <w:szCs w:val="22"/>
          </w:rPr>
          <w:t>9</w:t>
        </w:r>
        <w:r w:rsidR="00C766A1" w:rsidRPr="00C766A1">
          <w:rPr>
            <w:rFonts w:ascii="Arial" w:hAnsi="Arial" w:cs="Arial"/>
            <w:noProof/>
            <w:webHidden/>
            <w:sz w:val="22"/>
            <w:szCs w:val="22"/>
          </w:rPr>
          <w:fldChar w:fldCharType="end"/>
        </w:r>
      </w:hyperlink>
    </w:p>
    <w:p w:rsidR="00C766A1" w:rsidRPr="00C766A1" w:rsidRDefault="00000000">
      <w:pPr>
        <w:pStyle w:val="TableofFigures"/>
        <w:tabs>
          <w:tab w:val="right" w:leader="dot" w:pos="9010"/>
        </w:tabs>
        <w:rPr>
          <w:rFonts w:ascii="Arial" w:eastAsiaTheme="minorEastAsia" w:hAnsi="Arial" w:cs="Arial"/>
          <w:noProof/>
          <w:kern w:val="2"/>
          <w:sz w:val="22"/>
          <w:szCs w:val="22"/>
          <w14:ligatures w14:val="standardContextual"/>
        </w:rPr>
      </w:pPr>
      <w:hyperlink w:anchor="_Toc214875145" w:history="1">
        <w:r w:rsidR="00C766A1" w:rsidRPr="00C766A1">
          <w:rPr>
            <w:rStyle w:val="Hyperlink"/>
            <w:rFonts w:ascii="Arial" w:hAnsi="Arial" w:cs="Arial"/>
            <w:noProof/>
            <w:sz w:val="22"/>
            <w:szCs w:val="22"/>
          </w:rPr>
          <w:t>Table 3-3 Summary of the high-risk pollution hotspots in Cambodia (Based on RQ, WQI, and Pollutant Exceedances)</w:t>
        </w:r>
        <w:r w:rsidR="00C766A1" w:rsidRPr="00C766A1">
          <w:rPr>
            <w:rFonts w:ascii="Arial" w:hAnsi="Arial" w:cs="Arial"/>
            <w:noProof/>
            <w:webHidden/>
            <w:sz w:val="22"/>
            <w:szCs w:val="22"/>
          </w:rPr>
          <w:tab/>
        </w:r>
        <w:r w:rsidR="00C766A1" w:rsidRPr="00C766A1">
          <w:rPr>
            <w:rFonts w:ascii="Arial" w:hAnsi="Arial" w:cs="Arial"/>
            <w:noProof/>
            <w:webHidden/>
            <w:sz w:val="22"/>
            <w:szCs w:val="22"/>
          </w:rPr>
          <w:fldChar w:fldCharType="begin"/>
        </w:r>
        <w:r w:rsidR="00C766A1" w:rsidRPr="00C766A1">
          <w:rPr>
            <w:rFonts w:ascii="Arial" w:hAnsi="Arial" w:cs="Arial"/>
            <w:noProof/>
            <w:webHidden/>
            <w:sz w:val="22"/>
            <w:szCs w:val="22"/>
          </w:rPr>
          <w:instrText xml:space="preserve"> PAGEREF _Toc214875145 \h </w:instrText>
        </w:r>
        <w:r w:rsidR="00C766A1" w:rsidRPr="00C766A1">
          <w:rPr>
            <w:rFonts w:ascii="Arial" w:hAnsi="Arial" w:cs="Arial"/>
            <w:noProof/>
            <w:webHidden/>
            <w:sz w:val="22"/>
            <w:szCs w:val="22"/>
          </w:rPr>
        </w:r>
        <w:r w:rsidR="00C766A1" w:rsidRPr="00C766A1">
          <w:rPr>
            <w:rFonts w:ascii="Arial" w:hAnsi="Arial" w:cs="Arial"/>
            <w:noProof/>
            <w:webHidden/>
            <w:sz w:val="22"/>
            <w:szCs w:val="22"/>
          </w:rPr>
          <w:fldChar w:fldCharType="separate"/>
        </w:r>
        <w:r w:rsidR="00D35426">
          <w:rPr>
            <w:rFonts w:ascii="Arial" w:hAnsi="Arial" w:cs="Arial"/>
            <w:noProof/>
            <w:webHidden/>
            <w:sz w:val="22"/>
            <w:szCs w:val="22"/>
          </w:rPr>
          <w:t>10</w:t>
        </w:r>
        <w:r w:rsidR="00C766A1" w:rsidRPr="00C766A1">
          <w:rPr>
            <w:rFonts w:ascii="Arial" w:hAnsi="Arial" w:cs="Arial"/>
            <w:noProof/>
            <w:webHidden/>
            <w:sz w:val="22"/>
            <w:szCs w:val="22"/>
          </w:rPr>
          <w:fldChar w:fldCharType="end"/>
        </w:r>
      </w:hyperlink>
    </w:p>
    <w:p w:rsidR="003454E2" w:rsidRDefault="003454E2" w:rsidP="003454E2">
      <w:pPr>
        <w:rPr>
          <w:rStyle w:val="Strong"/>
          <w:rFonts w:ascii="Arial" w:hAnsi="Arial" w:cs="Arial"/>
          <w:sz w:val="22"/>
          <w:szCs w:val="22"/>
        </w:rPr>
      </w:pPr>
      <w:r w:rsidRPr="00C766A1">
        <w:rPr>
          <w:rStyle w:val="Strong"/>
          <w:rFonts w:ascii="Arial" w:hAnsi="Arial" w:cs="Arial"/>
          <w:sz w:val="22"/>
          <w:szCs w:val="22"/>
        </w:rPr>
        <w:fldChar w:fldCharType="end"/>
      </w:r>
    </w:p>
    <w:p w:rsidR="00623399" w:rsidRDefault="000F5008" w:rsidP="00185157">
      <w:pPr>
        <w:rPr>
          <w:rStyle w:val="Strong"/>
          <w:rFonts w:ascii="Arial" w:hAnsi="Arial" w:cs="Arial"/>
          <w:i/>
          <w:iCs/>
          <w:sz w:val="22"/>
          <w:szCs w:val="22"/>
        </w:rPr>
      </w:pPr>
      <w:r w:rsidRPr="003454E2">
        <w:rPr>
          <w:rStyle w:val="Strong"/>
          <w:rFonts w:ascii="Arial" w:hAnsi="Arial" w:cs="Arial"/>
          <w:i/>
          <w:iCs/>
          <w:sz w:val="22"/>
          <w:szCs w:val="22"/>
        </w:rPr>
        <w:br w:type="column"/>
      </w:r>
      <w:r w:rsidRPr="00F67343">
        <w:rPr>
          <w:rStyle w:val="Strong"/>
          <w:rFonts w:ascii="Arial" w:hAnsi="Arial" w:cs="Arial"/>
          <w:i/>
          <w:iCs/>
          <w:color w:val="002060"/>
          <w:sz w:val="22"/>
          <w:szCs w:val="22"/>
        </w:rPr>
        <w:t xml:space="preserve"> </w:t>
      </w:r>
      <w:r w:rsidR="00A25477" w:rsidRPr="00F67343">
        <w:rPr>
          <w:rStyle w:val="Strong"/>
          <w:rFonts w:ascii="Arial" w:hAnsi="Arial" w:cs="Arial"/>
          <w:i/>
          <w:iCs/>
          <w:color w:val="002060"/>
          <w:sz w:val="22"/>
          <w:szCs w:val="22"/>
        </w:rPr>
        <w:t xml:space="preserve">List of Acronyms </w:t>
      </w:r>
    </w:p>
    <w:p w:rsidR="00A25477" w:rsidRDefault="00A25477" w:rsidP="00185157">
      <w:pPr>
        <w:rPr>
          <w:rStyle w:val="Strong"/>
          <w:rFonts w:ascii="Arial" w:hAnsi="Arial" w:cs="Arial"/>
          <w:i/>
          <w:iCs/>
          <w:sz w:val="22"/>
          <w:szCs w:val="22"/>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1560"/>
        <w:gridCol w:w="6804"/>
      </w:tblGrid>
      <w:tr w:rsidR="00A25477" w:rsidRPr="00A25477" w:rsidTr="00A25477">
        <w:trPr>
          <w:tblCellSpacing w:w="15" w:type="dxa"/>
        </w:trPr>
        <w:tc>
          <w:tcPr>
            <w:tcW w:w="1515" w:type="dxa"/>
            <w:vAlign w:val="center"/>
            <w:hideMark/>
          </w:tcPr>
          <w:p w:rsidR="00A25477" w:rsidRPr="00A25477" w:rsidRDefault="00A25477">
            <w:pPr>
              <w:rPr>
                <w:rFonts w:ascii="Arial" w:hAnsi="Arial" w:cs="Arial"/>
                <w:sz w:val="20"/>
                <w:szCs w:val="20"/>
              </w:rPr>
            </w:pPr>
            <w:r w:rsidRPr="00A25477">
              <w:rPr>
                <w:rStyle w:val="Strong"/>
                <w:rFonts w:ascii="Arial" w:hAnsi="Arial" w:cs="Arial"/>
                <w:sz w:val="20"/>
                <w:szCs w:val="20"/>
              </w:rPr>
              <w:t>ADB</w:t>
            </w:r>
          </w:p>
        </w:tc>
        <w:tc>
          <w:tcPr>
            <w:tcW w:w="6759" w:type="dxa"/>
            <w:vAlign w:val="center"/>
            <w:hideMark/>
          </w:tcPr>
          <w:p w:rsidR="00A25477" w:rsidRPr="00A25477" w:rsidRDefault="00A25477">
            <w:pPr>
              <w:rPr>
                <w:rFonts w:ascii="Arial" w:hAnsi="Arial" w:cs="Arial"/>
                <w:sz w:val="20"/>
                <w:szCs w:val="20"/>
              </w:rPr>
            </w:pPr>
            <w:r w:rsidRPr="00A25477">
              <w:rPr>
                <w:rFonts w:ascii="Arial" w:hAnsi="Arial" w:cs="Arial"/>
                <w:sz w:val="20"/>
                <w:szCs w:val="20"/>
              </w:rPr>
              <w:t>Asian Development Bank</w:t>
            </w:r>
          </w:p>
        </w:tc>
      </w:tr>
      <w:tr w:rsidR="00A25477" w:rsidRPr="00A25477" w:rsidTr="00A25477">
        <w:trPr>
          <w:tblCellSpacing w:w="15" w:type="dxa"/>
        </w:trPr>
        <w:tc>
          <w:tcPr>
            <w:tcW w:w="1515" w:type="dxa"/>
            <w:vAlign w:val="center"/>
            <w:hideMark/>
          </w:tcPr>
          <w:p w:rsidR="00A25477" w:rsidRPr="00A25477" w:rsidRDefault="00A25477">
            <w:pPr>
              <w:rPr>
                <w:rFonts w:ascii="Arial" w:hAnsi="Arial" w:cs="Arial"/>
                <w:sz w:val="20"/>
                <w:szCs w:val="20"/>
              </w:rPr>
            </w:pPr>
            <w:r w:rsidRPr="00A25477">
              <w:rPr>
                <w:rStyle w:val="Strong"/>
                <w:rFonts w:ascii="Arial" w:hAnsi="Arial" w:cs="Arial"/>
                <w:sz w:val="20"/>
                <w:szCs w:val="20"/>
              </w:rPr>
              <w:t>AMR</w:t>
            </w:r>
          </w:p>
        </w:tc>
        <w:tc>
          <w:tcPr>
            <w:tcW w:w="6759" w:type="dxa"/>
            <w:vAlign w:val="center"/>
            <w:hideMark/>
          </w:tcPr>
          <w:p w:rsidR="00A25477" w:rsidRPr="00A25477" w:rsidRDefault="00A25477">
            <w:pPr>
              <w:rPr>
                <w:rFonts w:ascii="Arial" w:hAnsi="Arial" w:cs="Arial"/>
                <w:sz w:val="20"/>
                <w:szCs w:val="20"/>
              </w:rPr>
            </w:pPr>
            <w:r w:rsidRPr="00A25477">
              <w:rPr>
                <w:rFonts w:ascii="Arial" w:hAnsi="Arial" w:cs="Arial"/>
                <w:sz w:val="20"/>
                <w:szCs w:val="20"/>
              </w:rPr>
              <w:t>Antimicrobial Resistance</w:t>
            </w:r>
          </w:p>
        </w:tc>
      </w:tr>
      <w:tr w:rsidR="00A25477" w:rsidRPr="00A25477" w:rsidTr="00A25477">
        <w:trPr>
          <w:tblCellSpacing w:w="15" w:type="dxa"/>
        </w:trPr>
        <w:tc>
          <w:tcPr>
            <w:tcW w:w="1515" w:type="dxa"/>
            <w:vAlign w:val="center"/>
            <w:hideMark/>
          </w:tcPr>
          <w:p w:rsidR="00A25477" w:rsidRPr="00A25477" w:rsidRDefault="00A25477">
            <w:pPr>
              <w:rPr>
                <w:rFonts w:ascii="Arial" w:hAnsi="Arial" w:cs="Arial"/>
                <w:sz w:val="20"/>
                <w:szCs w:val="20"/>
              </w:rPr>
            </w:pPr>
            <w:r w:rsidRPr="00A25477">
              <w:rPr>
                <w:rStyle w:val="Strong"/>
                <w:rFonts w:ascii="Arial" w:hAnsi="Arial" w:cs="Arial"/>
                <w:sz w:val="20"/>
                <w:szCs w:val="20"/>
              </w:rPr>
              <w:t>ARG</w:t>
            </w:r>
          </w:p>
        </w:tc>
        <w:tc>
          <w:tcPr>
            <w:tcW w:w="6759" w:type="dxa"/>
            <w:vAlign w:val="center"/>
            <w:hideMark/>
          </w:tcPr>
          <w:p w:rsidR="00A25477" w:rsidRPr="00A25477" w:rsidRDefault="00A25477">
            <w:pPr>
              <w:rPr>
                <w:rFonts w:ascii="Arial" w:hAnsi="Arial" w:cs="Arial"/>
                <w:sz w:val="20"/>
                <w:szCs w:val="20"/>
              </w:rPr>
            </w:pPr>
            <w:r w:rsidRPr="00A25477">
              <w:rPr>
                <w:rFonts w:ascii="Arial" w:hAnsi="Arial" w:cs="Arial"/>
                <w:sz w:val="20"/>
                <w:szCs w:val="20"/>
              </w:rPr>
              <w:t>Antibiotic-Resistance Gene</w:t>
            </w:r>
          </w:p>
        </w:tc>
      </w:tr>
      <w:tr w:rsidR="00A25477" w:rsidRPr="00A25477" w:rsidTr="00A25477">
        <w:trPr>
          <w:tblCellSpacing w:w="15" w:type="dxa"/>
        </w:trPr>
        <w:tc>
          <w:tcPr>
            <w:tcW w:w="1515" w:type="dxa"/>
            <w:vAlign w:val="center"/>
            <w:hideMark/>
          </w:tcPr>
          <w:p w:rsidR="00A25477" w:rsidRPr="00A25477" w:rsidRDefault="00A25477">
            <w:pPr>
              <w:rPr>
                <w:rFonts w:ascii="Arial" w:hAnsi="Arial" w:cs="Arial"/>
                <w:sz w:val="20"/>
                <w:szCs w:val="20"/>
              </w:rPr>
            </w:pPr>
            <w:r w:rsidRPr="00A25477">
              <w:rPr>
                <w:rStyle w:val="Strong"/>
                <w:rFonts w:ascii="Arial" w:hAnsi="Arial" w:cs="Arial"/>
                <w:sz w:val="20"/>
                <w:szCs w:val="20"/>
              </w:rPr>
              <w:t>ASEAN</w:t>
            </w:r>
          </w:p>
        </w:tc>
        <w:tc>
          <w:tcPr>
            <w:tcW w:w="6759" w:type="dxa"/>
            <w:vAlign w:val="center"/>
            <w:hideMark/>
          </w:tcPr>
          <w:p w:rsidR="00A25477" w:rsidRPr="00A25477" w:rsidRDefault="00A25477">
            <w:pPr>
              <w:rPr>
                <w:rFonts w:ascii="Arial" w:hAnsi="Arial" w:cs="Arial"/>
                <w:sz w:val="20"/>
                <w:szCs w:val="20"/>
              </w:rPr>
            </w:pPr>
            <w:r w:rsidRPr="00A25477">
              <w:rPr>
                <w:rFonts w:ascii="Arial" w:hAnsi="Arial" w:cs="Arial"/>
                <w:sz w:val="20"/>
                <w:szCs w:val="20"/>
              </w:rPr>
              <w:t>Association of Southeast Asian Nations</w:t>
            </w:r>
          </w:p>
        </w:tc>
      </w:tr>
      <w:tr w:rsidR="00A25477" w:rsidRPr="00A25477" w:rsidTr="00A25477">
        <w:trPr>
          <w:tblCellSpacing w:w="15" w:type="dxa"/>
        </w:trPr>
        <w:tc>
          <w:tcPr>
            <w:tcW w:w="1515" w:type="dxa"/>
            <w:vAlign w:val="center"/>
            <w:hideMark/>
          </w:tcPr>
          <w:p w:rsidR="00A25477" w:rsidRPr="00A25477" w:rsidRDefault="00A25477">
            <w:pPr>
              <w:rPr>
                <w:rFonts w:ascii="Arial" w:hAnsi="Arial" w:cs="Arial"/>
                <w:sz w:val="20"/>
                <w:szCs w:val="20"/>
              </w:rPr>
            </w:pPr>
            <w:r w:rsidRPr="00A25477">
              <w:rPr>
                <w:rStyle w:val="Strong"/>
                <w:rFonts w:ascii="Arial" w:hAnsi="Arial" w:cs="Arial"/>
                <w:sz w:val="20"/>
                <w:szCs w:val="20"/>
              </w:rPr>
              <w:t>BOD</w:t>
            </w:r>
          </w:p>
        </w:tc>
        <w:tc>
          <w:tcPr>
            <w:tcW w:w="6759" w:type="dxa"/>
            <w:vAlign w:val="center"/>
            <w:hideMark/>
          </w:tcPr>
          <w:p w:rsidR="00A25477" w:rsidRPr="00A25477" w:rsidRDefault="00A25477">
            <w:pPr>
              <w:rPr>
                <w:rFonts w:ascii="Arial" w:hAnsi="Arial" w:cs="Arial"/>
                <w:sz w:val="20"/>
                <w:szCs w:val="20"/>
              </w:rPr>
            </w:pPr>
            <w:r w:rsidRPr="00A25477">
              <w:rPr>
                <w:rFonts w:ascii="Arial" w:hAnsi="Arial" w:cs="Arial"/>
                <w:sz w:val="20"/>
                <w:szCs w:val="20"/>
              </w:rPr>
              <w:t>Biochemical Oxygen Demand</w:t>
            </w:r>
          </w:p>
        </w:tc>
      </w:tr>
      <w:tr w:rsidR="00A25477" w:rsidRPr="00A25477" w:rsidTr="00A25477">
        <w:trPr>
          <w:tblCellSpacing w:w="15" w:type="dxa"/>
        </w:trPr>
        <w:tc>
          <w:tcPr>
            <w:tcW w:w="1515" w:type="dxa"/>
            <w:vAlign w:val="center"/>
            <w:hideMark/>
          </w:tcPr>
          <w:p w:rsidR="00A25477" w:rsidRPr="00A25477" w:rsidRDefault="00A25477">
            <w:pPr>
              <w:rPr>
                <w:rFonts w:ascii="Arial" w:hAnsi="Arial" w:cs="Arial"/>
                <w:sz w:val="20"/>
                <w:szCs w:val="20"/>
              </w:rPr>
            </w:pPr>
            <w:r w:rsidRPr="00A25477">
              <w:rPr>
                <w:rStyle w:val="Strong"/>
                <w:rFonts w:ascii="Arial" w:hAnsi="Arial" w:cs="Arial"/>
                <w:sz w:val="20"/>
                <w:szCs w:val="20"/>
              </w:rPr>
              <w:t>BSfD</w:t>
            </w:r>
          </w:p>
        </w:tc>
        <w:tc>
          <w:tcPr>
            <w:tcW w:w="6759" w:type="dxa"/>
            <w:vAlign w:val="center"/>
            <w:hideMark/>
          </w:tcPr>
          <w:p w:rsidR="00A25477" w:rsidRPr="00A25477" w:rsidRDefault="00A25477">
            <w:pPr>
              <w:rPr>
                <w:rFonts w:ascii="Arial" w:hAnsi="Arial" w:cs="Arial"/>
                <w:sz w:val="20"/>
                <w:szCs w:val="20"/>
              </w:rPr>
            </w:pPr>
            <w:r w:rsidRPr="00A25477">
              <w:rPr>
                <w:rFonts w:ascii="Arial" w:hAnsi="Arial" w:cs="Arial"/>
                <w:sz w:val="20"/>
                <w:szCs w:val="20"/>
              </w:rPr>
              <w:t>Business Scouts for Development (GIZ)</w:t>
            </w:r>
          </w:p>
        </w:tc>
      </w:tr>
      <w:tr w:rsidR="00A25477" w:rsidRPr="00A25477" w:rsidTr="00A25477">
        <w:trPr>
          <w:tblCellSpacing w:w="15" w:type="dxa"/>
        </w:trPr>
        <w:tc>
          <w:tcPr>
            <w:tcW w:w="1515" w:type="dxa"/>
            <w:vAlign w:val="center"/>
            <w:hideMark/>
          </w:tcPr>
          <w:p w:rsidR="00A25477" w:rsidRPr="00A25477" w:rsidRDefault="00A25477">
            <w:pPr>
              <w:rPr>
                <w:rFonts w:ascii="Arial" w:hAnsi="Arial" w:cs="Arial"/>
                <w:sz w:val="20"/>
                <w:szCs w:val="20"/>
              </w:rPr>
            </w:pPr>
            <w:r w:rsidRPr="00A25477">
              <w:rPr>
                <w:rStyle w:val="Strong"/>
                <w:rFonts w:ascii="Arial" w:hAnsi="Arial" w:cs="Arial"/>
                <w:sz w:val="20"/>
                <w:szCs w:val="20"/>
              </w:rPr>
              <w:t>CAS</w:t>
            </w:r>
          </w:p>
        </w:tc>
        <w:tc>
          <w:tcPr>
            <w:tcW w:w="6759" w:type="dxa"/>
            <w:vAlign w:val="center"/>
            <w:hideMark/>
          </w:tcPr>
          <w:p w:rsidR="00A25477" w:rsidRPr="00A25477" w:rsidRDefault="00A25477">
            <w:pPr>
              <w:rPr>
                <w:rFonts w:ascii="Arial" w:hAnsi="Arial" w:cs="Arial"/>
                <w:sz w:val="20"/>
                <w:szCs w:val="20"/>
              </w:rPr>
            </w:pPr>
            <w:r w:rsidRPr="00A25477">
              <w:rPr>
                <w:rFonts w:ascii="Arial" w:hAnsi="Arial" w:cs="Arial"/>
                <w:sz w:val="20"/>
                <w:szCs w:val="20"/>
              </w:rPr>
              <w:t>Cambodia Agricultural Survey</w:t>
            </w:r>
          </w:p>
        </w:tc>
      </w:tr>
      <w:tr w:rsidR="00A25477" w:rsidRPr="00A25477" w:rsidTr="00A25477">
        <w:trPr>
          <w:tblCellSpacing w:w="15" w:type="dxa"/>
        </w:trPr>
        <w:tc>
          <w:tcPr>
            <w:tcW w:w="1515" w:type="dxa"/>
            <w:vAlign w:val="center"/>
            <w:hideMark/>
          </w:tcPr>
          <w:p w:rsidR="00A25477" w:rsidRPr="00A25477" w:rsidRDefault="00A25477">
            <w:pPr>
              <w:rPr>
                <w:rFonts w:ascii="Arial" w:hAnsi="Arial" w:cs="Arial"/>
                <w:sz w:val="20"/>
                <w:szCs w:val="20"/>
              </w:rPr>
            </w:pPr>
            <w:r w:rsidRPr="00A25477">
              <w:rPr>
                <w:rStyle w:val="Strong"/>
                <w:rFonts w:ascii="Arial" w:hAnsi="Arial" w:cs="Arial"/>
                <w:sz w:val="20"/>
                <w:szCs w:val="20"/>
              </w:rPr>
              <w:t>CFU</w:t>
            </w:r>
          </w:p>
        </w:tc>
        <w:tc>
          <w:tcPr>
            <w:tcW w:w="6759" w:type="dxa"/>
            <w:vAlign w:val="center"/>
            <w:hideMark/>
          </w:tcPr>
          <w:p w:rsidR="00A25477" w:rsidRPr="00A25477" w:rsidRDefault="00A25477">
            <w:pPr>
              <w:rPr>
                <w:rFonts w:ascii="Arial" w:hAnsi="Arial" w:cs="Arial"/>
                <w:sz w:val="20"/>
                <w:szCs w:val="20"/>
              </w:rPr>
            </w:pPr>
            <w:r w:rsidRPr="00A25477">
              <w:rPr>
                <w:rFonts w:ascii="Arial" w:hAnsi="Arial" w:cs="Arial"/>
                <w:sz w:val="20"/>
                <w:szCs w:val="20"/>
              </w:rPr>
              <w:t>Colony-Forming Unit</w:t>
            </w:r>
          </w:p>
        </w:tc>
      </w:tr>
      <w:tr w:rsidR="00A25477" w:rsidRPr="00A25477" w:rsidTr="00A25477">
        <w:trPr>
          <w:tblCellSpacing w:w="15" w:type="dxa"/>
        </w:trPr>
        <w:tc>
          <w:tcPr>
            <w:tcW w:w="1515" w:type="dxa"/>
            <w:vAlign w:val="center"/>
            <w:hideMark/>
          </w:tcPr>
          <w:p w:rsidR="00A25477" w:rsidRPr="00A25477" w:rsidRDefault="00A25477">
            <w:pPr>
              <w:rPr>
                <w:rFonts w:ascii="Arial" w:hAnsi="Arial" w:cs="Arial"/>
                <w:sz w:val="20"/>
                <w:szCs w:val="20"/>
              </w:rPr>
            </w:pPr>
            <w:r w:rsidRPr="00A25477">
              <w:rPr>
                <w:rStyle w:val="Strong"/>
                <w:rFonts w:ascii="Arial" w:hAnsi="Arial" w:cs="Arial"/>
                <w:sz w:val="20"/>
                <w:szCs w:val="20"/>
              </w:rPr>
              <w:t>COD</w:t>
            </w:r>
          </w:p>
        </w:tc>
        <w:tc>
          <w:tcPr>
            <w:tcW w:w="6759" w:type="dxa"/>
            <w:vAlign w:val="center"/>
            <w:hideMark/>
          </w:tcPr>
          <w:p w:rsidR="00A25477" w:rsidRPr="00A25477" w:rsidRDefault="00A25477">
            <w:pPr>
              <w:rPr>
                <w:rFonts w:ascii="Arial" w:hAnsi="Arial" w:cs="Arial"/>
                <w:sz w:val="20"/>
                <w:szCs w:val="20"/>
              </w:rPr>
            </w:pPr>
            <w:r w:rsidRPr="00A25477">
              <w:rPr>
                <w:rFonts w:ascii="Arial" w:hAnsi="Arial" w:cs="Arial"/>
                <w:sz w:val="20"/>
                <w:szCs w:val="20"/>
              </w:rPr>
              <w:t>Chemical Oxygen Demand</w:t>
            </w:r>
          </w:p>
        </w:tc>
      </w:tr>
      <w:tr w:rsidR="00A25477" w:rsidRPr="00A25477" w:rsidTr="00A25477">
        <w:trPr>
          <w:tblCellSpacing w:w="15" w:type="dxa"/>
        </w:trPr>
        <w:tc>
          <w:tcPr>
            <w:tcW w:w="1515" w:type="dxa"/>
            <w:vAlign w:val="center"/>
            <w:hideMark/>
          </w:tcPr>
          <w:p w:rsidR="00A25477" w:rsidRPr="00A25477" w:rsidRDefault="00A25477">
            <w:pPr>
              <w:rPr>
                <w:rFonts w:ascii="Arial" w:hAnsi="Arial" w:cs="Arial"/>
                <w:sz w:val="20"/>
                <w:szCs w:val="20"/>
              </w:rPr>
            </w:pPr>
            <w:r w:rsidRPr="00A25477">
              <w:rPr>
                <w:rStyle w:val="Strong"/>
                <w:rFonts w:ascii="Arial" w:hAnsi="Arial" w:cs="Arial"/>
                <w:sz w:val="20"/>
                <w:szCs w:val="20"/>
              </w:rPr>
              <w:t>COBSEA</w:t>
            </w:r>
          </w:p>
        </w:tc>
        <w:tc>
          <w:tcPr>
            <w:tcW w:w="6759" w:type="dxa"/>
            <w:vAlign w:val="center"/>
            <w:hideMark/>
          </w:tcPr>
          <w:p w:rsidR="00A25477" w:rsidRPr="00A25477" w:rsidRDefault="00A25477">
            <w:pPr>
              <w:rPr>
                <w:rFonts w:ascii="Arial" w:hAnsi="Arial" w:cs="Arial"/>
                <w:sz w:val="20"/>
                <w:szCs w:val="20"/>
              </w:rPr>
            </w:pPr>
            <w:r w:rsidRPr="00A25477">
              <w:rPr>
                <w:rFonts w:ascii="Arial" w:hAnsi="Arial" w:cs="Arial"/>
                <w:sz w:val="20"/>
                <w:szCs w:val="20"/>
              </w:rPr>
              <w:t>Coordinating Body on the Seas of East Asia</w:t>
            </w:r>
          </w:p>
        </w:tc>
      </w:tr>
      <w:tr w:rsidR="00A25477" w:rsidRPr="00A25477" w:rsidTr="00A25477">
        <w:trPr>
          <w:tblCellSpacing w:w="15" w:type="dxa"/>
        </w:trPr>
        <w:tc>
          <w:tcPr>
            <w:tcW w:w="1515" w:type="dxa"/>
            <w:vAlign w:val="center"/>
            <w:hideMark/>
          </w:tcPr>
          <w:p w:rsidR="00A25477" w:rsidRPr="00A25477" w:rsidRDefault="00A25477">
            <w:pPr>
              <w:rPr>
                <w:rFonts w:ascii="Arial" w:hAnsi="Arial" w:cs="Arial"/>
                <w:sz w:val="20"/>
                <w:szCs w:val="20"/>
              </w:rPr>
            </w:pPr>
            <w:r w:rsidRPr="00A25477">
              <w:rPr>
                <w:rStyle w:val="Strong"/>
                <w:rFonts w:ascii="Arial" w:hAnsi="Arial" w:cs="Arial"/>
                <w:sz w:val="20"/>
                <w:szCs w:val="20"/>
              </w:rPr>
              <w:t>CPP</w:t>
            </w:r>
          </w:p>
        </w:tc>
        <w:tc>
          <w:tcPr>
            <w:tcW w:w="6759" w:type="dxa"/>
            <w:vAlign w:val="center"/>
            <w:hideMark/>
          </w:tcPr>
          <w:p w:rsidR="00A25477" w:rsidRPr="00A25477" w:rsidRDefault="00A25477">
            <w:pPr>
              <w:rPr>
                <w:rFonts w:ascii="Arial" w:hAnsi="Arial" w:cs="Arial"/>
                <w:sz w:val="20"/>
                <w:szCs w:val="20"/>
              </w:rPr>
            </w:pPr>
            <w:r w:rsidRPr="00A25477">
              <w:rPr>
                <w:rFonts w:ascii="Arial" w:hAnsi="Arial" w:cs="Arial"/>
                <w:sz w:val="20"/>
                <w:szCs w:val="20"/>
              </w:rPr>
              <w:t>Phnom Penh Port (MRC water-quality station)</w:t>
            </w:r>
          </w:p>
        </w:tc>
      </w:tr>
      <w:tr w:rsidR="00A25477" w:rsidRPr="00A25477" w:rsidTr="00A25477">
        <w:trPr>
          <w:tblCellSpacing w:w="15" w:type="dxa"/>
        </w:trPr>
        <w:tc>
          <w:tcPr>
            <w:tcW w:w="1515" w:type="dxa"/>
            <w:vAlign w:val="center"/>
            <w:hideMark/>
          </w:tcPr>
          <w:p w:rsidR="00A25477" w:rsidRPr="00A25477" w:rsidRDefault="00A25477">
            <w:pPr>
              <w:rPr>
                <w:rFonts w:ascii="Arial" w:hAnsi="Arial" w:cs="Arial"/>
                <w:sz w:val="20"/>
                <w:szCs w:val="20"/>
              </w:rPr>
            </w:pPr>
            <w:r w:rsidRPr="00A25477">
              <w:rPr>
                <w:rStyle w:val="Strong"/>
                <w:rFonts w:ascii="Arial" w:hAnsi="Arial" w:cs="Arial"/>
                <w:sz w:val="20"/>
                <w:szCs w:val="20"/>
              </w:rPr>
              <w:t>CTK</w:t>
            </w:r>
          </w:p>
        </w:tc>
        <w:tc>
          <w:tcPr>
            <w:tcW w:w="6759" w:type="dxa"/>
            <w:vAlign w:val="center"/>
            <w:hideMark/>
          </w:tcPr>
          <w:p w:rsidR="00A25477" w:rsidRPr="00A25477" w:rsidRDefault="00A25477">
            <w:pPr>
              <w:rPr>
                <w:rFonts w:ascii="Arial" w:hAnsi="Arial" w:cs="Arial"/>
                <w:sz w:val="20"/>
                <w:szCs w:val="20"/>
              </w:rPr>
            </w:pPr>
            <w:r w:rsidRPr="00A25477">
              <w:rPr>
                <w:rFonts w:ascii="Arial" w:hAnsi="Arial" w:cs="Arial"/>
                <w:sz w:val="20"/>
                <w:szCs w:val="20"/>
              </w:rPr>
              <w:t>Takhmao Monitoring Station (Bassac River)</w:t>
            </w:r>
          </w:p>
        </w:tc>
      </w:tr>
      <w:tr w:rsidR="00A25477" w:rsidRPr="00A25477" w:rsidTr="00A25477">
        <w:trPr>
          <w:tblCellSpacing w:w="15" w:type="dxa"/>
        </w:trPr>
        <w:tc>
          <w:tcPr>
            <w:tcW w:w="1515" w:type="dxa"/>
            <w:vAlign w:val="center"/>
            <w:hideMark/>
          </w:tcPr>
          <w:p w:rsidR="00A25477" w:rsidRPr="00A25477" w:rsidRDefault="00A25477">
            <w:pPr>
              <w:rPr>
                <w:rFonts w:ascii="Arial" w:hAnsi="Arial" w:cs="Arial"/>
                <w:sz w:val="20"/>
                <w:szCs w:val="20"/>
              </w:rPr>
            </w:pPr>
            <w:r w:rsidRPr="00A25477">
              <w:rPr>
                <w:rStyle w:val="Strong"/>
                <w:rFonts w:ascii="Arial" w:hAnsi="Arial" w:cs="Arial"/>
                <w:sz w:val="20"/>
                <w:szCs w:val="20"/>
              </w:rPr>
              <w:t>DO</w:t>
            </w:r>
          </w:p>
        </w:tc>
        <w:tc>
          <w:tcPr>
            <w:tcW w:w="6759" w:type="dxa"/>
            <w:vAlign w:val="center"/>
            <w:hideMark/>
          </w:tcPr>
          <w:p w:rsidR="00A25477" w:rsidRPr="00A25477" w:rsidRDefault="00A25477">
            <w:pPr>
              <w:rPr>
                <w:rFonts w:ascii="Arial" w:hAnsi="Arial" w:cs="Arial"/>
                <w:sz w:val="20"/>
                <w:szCs w:val="20"/>
              </w:rPr>
            </w:pPr>
            <w:r w:rsidRPr="00A25477">
              <w:rPr>
                <w:rFonts w:ascii="Arial" w:hAnsi="Arial" w:cs="Arial"/>
                <w:sz w:val="20"/>
                <w:szCs w:val="20"/>
              </w:rPr>
              <w:t>Dissolved Oxygen</w:t>
            </w:r>
          </w:p>
        </w:tc>
      </w:tr>
      <w:tr w:rsidR="00A25477" w:rsidRPr="00A25477" w:rsidTr="00A25477">
        <w:trPr>
          <w:tblCellSpacing w:w="15" w:type="dxa"/>
        </w:trPr>
        <w:tc>
          <w:tcPr>
            <w:tcW w:w="1515" w:type="dxa"/>
            <w:vAlign w:val="center"/>
            <w:hideMark/>
          </w:tcPr>
          <w:p w:rsidR="00A25477" w:rsidRPr="00A25477" w:rsidRDefault="00A25477">
            <w:pPr>
              <w:rPr>
                <w:rFonts w:ascii="Arial" w:hAnsi="Arial" w:cs="Arial"/>
                <w:sz w:val="20"/>
                <w:szCs w:val="20"/>
              </w:rPr>
            </w:pPr>
            <w:r w:rsidRPr="00A25477">
              <w:rPr>
                <w:rStyle w:val="Strong"/>
                <w:rFonts w:ascii="Arial" w:hAnsi="Arial" w:cs="Arial"/>
                <w:sz w:val="20"/>
                <w:szCs w:val="20"/>
              </w:rPr>
              <w:t>DPWT</w:t>
            </w:r>
          </w:p>
        </w:tc>
        <w:tc>
          <w:tcPr>
            <w:tcW w:w="6759" w:type="dxa"/>
            <w:vAlign w:val="center"/>
            <w:hideMark/>
          </w:tcPr>
          <w:p w:rsidR="00A25477" w:rsidRPr="00A25477" w:rsidRDefault="00A25477">
            <w:pPr>
              <w:rPr>
                <w:rFonts w:ascii="Arial" w:hAnsi="Arial" w:cs="Arial"/>
                <w:sz w:val="20"/>
                <w:szCs w:val="20"/>
              </w:rPr>
            </w:pPr>
            <w:r w:rsidRPr="00A25477">
              <w:rPr>
                <w:rFonts w:ascii="Arial" w:hAnsi="Arial" w:cs="Arial"/>
                <w:sz w:val="20"/>
                <w:szCs w:val="20"/>
              </w:rPr>
              <w:t>Department of Public Works and Transport</w:t>
            </w:r>
          </w:p>
        </w:tc>
      </w:tr>
      <w:tr w:rsidR="00A25477" w:rsidRPr="00A25477" w:rsidTr="00A25477">
        <w:trPr>
          <w:tblCellSpacing w:w="15" w:type="dxa"/>
        </w:trPr>
        <w:tc>
          <w:tcPr>
            <w:tcW w:w="1515" w:type="dxa"/>
            <w:vAlign w:val="center"/>
            <w:hideMark/>
          </w:tcPr>
          <w:p w:rsidR="00A25477" w:rsidRPr="00A25477" w:rsidRDefault="00A25477">
            <w:pPr>
              <w:rPr>
                <w:rFonts w:ascii="Arial" w:hAnsi="Arial" w:cs="Arial"/>
                <w:sz w:val="20"/>
                <w:szCs w:val="20"/>
              </w:rPr>
            </w:pPr>
            <w:r w:rsidRPr="00A25477">
              <w:rPr>
                <w:rStyle w:val="Strong"/>
                <w:rFonts w:ascii="Arial" w:hAnsi="Arial" w:cs="Arial"/>
                <w:sz w:val="20"/>
                <w:szCs w:val="20"/>
              </w:rPr>
              <w:t>EANET</w:t>
            </w:r>
          </w:p>
        </w:tc>
        <w:tc>
          <w:tcPr>
            <w:tcW w:w="6759" w:type="dxa"/>
            <w:vAlign w:val="center"/>
            <w:hideMark/>
          </w:tcPr>
          <w:p w:rsidR="00A25477" w:rsidRPr="00A25477" w:rsidRDefault="00A25477">
            <w:pPr>
              <w:rPr>
                <w:rFonts w:ascii="Arial" w:hAnsi="Arial" w:cs="Arial"/>
                <w:sz w:val="20"/>
                <w:szCs w:val="20"/>
              </w:rPr>
            </w:pPr>
            <w:r w:rsidRPr="00A25477">
              <w:rPr>
                <w:rFonts w:ascii="Arial" w:hAnsi="Arial" w:cs="Arial"/>
                <w:sz w:val="20"/>
                <w:szCs w:val="20"/>
              </w:rPr>
              <w:t>Acid Deposition Monitoring Network in East Asia</w:t>
            </w:r>
          </w:p>
        </w:tc>
      </w:tr>
      <w:tr w:rsidR="00A25477" w:rsidRPr="00A25477" w:rsidTr="00A25477">
        <w:trPr>
          <w:tblCellSpacing w:w="15" w:type="dxa"/>
        </w:trPr>
        <w:tc>
          <w:tcPr>
            <w:tcW w:w="1515" w:type="dxa"/>
            <w:vAlign w:val="center"/>
            <w:hideMark/>
          </w:tcPr>
          <w:p w:rsidR="00A25477" w:rsidRPr="00A25477" w:rsidRDefault="00A25477">
            <w:pPr>
              <w:rPr>
                <w:rFonts w:ascii="Arial" w:hAnsi="Arial" w:cs="Arial"/>
                <w:sz w:val="20"/>
                <w:szCs w:val="20"/>
              </w:rPr>
            </w:pPr>
            <w:r w:rsidRPr="00A25477">
              <w:rPr>
                <w:rStyle w:val="Strong"/>
                <w:rFonts w:ascii="Arial" w:hAnsi="Arial" w:cs="Arial"/>
                <w:sz w:val="20"/>
                <w:szCs w:val="20"/>
              </w:rPr>
              <w:t>EIA</w:t>
            </w:r>
          </w:p>
        </w:tc>
        <w:tc>
          <w:tcPr>
            <w:tcW w:w="6759" w:type="dxa"/>
            <w:vAlign w:val="center"/>
            <w:hideMark/>
          </w:tcPr>
          <w:p w:rsidR="00A25477" w:rsidRPr="00A25477" w:rsidRDefault="00A25477">
            <w:pPr>
              <w:rPr>
                <w:rFonts w:ascii="Arial" w:hAnsi="Arial" w:cs="Arial"/>
                <w:sz w:val="20"/>
                <w:szCs w:val="20"/>
              </w:rPr>
            </w:pPr>
            <w:r w:rsidRPr="00A25477">
              <w:rPr>
                <w:rFonts w:ascii="Arial" w:hAnsi="Arial" w:cs="Arial"/>
                <w:sz w:val="20"/>
                <w:szCs w:val="20"/>
              </w:rPr>
              <w:t>Environmental Impact Assessment</w:t>
            </w:r>
          </w:p>
        </w:tc>
      </w:tr>
      <w:tr w:rsidR="00A25477" w:rsidRPr="00A25477" w:rsidTr="00A25477">
        <w:trPr>
          <w:tblCellSpacing w:w="15" w:type="dxa"/>
        </w:trPr>
        <w:tc>
          <w:tcPr>
            <w:tcW w:w="1515" w:type="dxa"/>
            <w:vAlign w:val="center"/>
            <w:hideMark/>
          </w:tcPr>
          <w:p w:rsidR="00A25477" w:rsidRPr="00A25477" w:rsidRDefault="00A25477">
            <w:pPr>
              <w:rPr>
                <w:rFonts w:ascii="Arial" w:hAnsi="Arial" w:cs="Arial"/>
                <w:sz w:val="20"/>
                <w:szCs w:val="20"/>
              </w:rPr>
            </w:pPr>
            <w:r w:rsidRPr="00A25477">
              <w:rPr>
                <w:rStyle w:val="Strong"/>
                <w:rFonts w:ascii="Arial" w:hAnsi="Arial" w:cs="Arial"/>
                <w:sz w:val="20"/>
                <w:szCs w:val="20"/>
              </w:rPr>
              <w:t>EPR</w:t>
            </w:r>
          </w:p>
        </w:tc>
        <w:tc>
          <w:tcPr>
            <w:tcW w:w="6759" w:type="dxa"/>
            <w:vAlign w:val="center"/>
            <w:hideMark/>
          </w:tcPr>
          <w:p w:rsidR="00A25477" w:rsidRPr="00A25477" w:rsidRDefault="00A25477">
            <w:pPr>
              <w:rPr>
                <w:rFonts w:ascii="Arial" w:hAnsi="Arial" w:cs="Arial"/>
                <w:sz w:val="20"/>
                <w:szCs w:val="20"/>
              </w:rPr>
            </w:pPr>
            <w:r w:rsidRPr="00A25477">
              <w:rPr>
                <w:rFonts w:ascii="Arial" w:hAnsi="Arial" w:cs="Arial"/>
                <w:sz w:val="20"/>
                <w:szCs w:val="20"/>
              </w:rPr>
              <w:t>Extended Producer Responsibility</w:t>
            </w:r>
          </w:p>
        </w:tc>
      </w:tr>
      <w:tr w:rsidR="00A25477" w:rsidRPr="00A25477" w:rsidTr="00A25477">
        <w:trPr>
          <w:tblCellSpacing w:w="15" w:type="dxa"/>
        </w:trPr>
        <w:tc>
          <w:tcPr>
            <w:tcW w:w="1515" w:type="dxa"/>
            <w:vAlign w:val="center"/>
            <w:hideMark/>
          </w:tcPr>
          <w:p w:rsidR="00A25477" w:rsidRPr="00A25477" w:rsidRDefault="00A25477">
            <w:pPr>
              <w:rPr>
                <w:rFonts w:ascii="Arial" w:hAnsi="Arial" w:cs="Arial"/>
                <w:sz w:val="20"/>
                <w:szCs w:val="20"/>
              </w:rPr>
            </w:pPr>
            <w:r w:rsidRPr="00A25477">
              <w:rPr>
                <w:rStyle w:val="Strong"/>
                <w:rFonts w:ascii="Arial" w:hAnsi="Arial" w:cs="Arial"/>
                <w:sz w:val="20"/>
                <w:szCs w:val="20"/>
              </w:rPr>
              <w:t>FAO</w:t>
            </w:r>
          </w:p>
        </w:tc>
        <w:tc>
          <w:tcPr>
            <w:tcW w:w="6759" w:type="dxa"/>
            <w:vAlign w:val="center"/>
            <w:hideMark/>
          </w:tcPr>
          <w:p w:rsidR="00A25477" w:rsidRPr="00A25477" w:rsidRDefault="00A25477">
            <w:pPr>
              <w:rPr>
                <w:rFonts w:ascii="Arial" w:hAnsi="Arial" w:cs="Arial"/>
                <w:sz w:val="20"/>
                <w:szCs w:val="20"/>
              </w:rPr>
            </w:pPr>
            <w:r w:rsidRPr="00A25477">
              <w:rPr>
                <w:rFonts w:ascii="Arial" w:hAnsi="Arial" w:cs="Arial"/>
                <w:sz w:val="20"/>
                <w:szCs w:val="20"/>
              </w:rPr>
              <w:t>Food and Agriculture Organization of the UN</w:t>
            </w:r>
          </w:p>
        </w:tc>
      </w:tr>
      <w:tr w:rsidR="00A25477" w:rsidRPr="00A25477" w:rsidTr="00A25477">
        <w:trPr>
          <w:tblCellSpacing w:w="15" w:type="dxa"/>
        </w:trPr>
        <w:tc>
          <w:tcPr>
            <w:tcW w:w="1515" w:type="dxa"/>
            <w:vAlign w:val="center"/>
            <w:hideMark/>
          </w:tcPr>
          <w:p w:rsidR="00A25477" w:rsidRPr="00A25477" w:rsidRDefault="00A25477">
            <w:pPr>
              <w:rPr>
                <w:rFonts w:ascii="Arial" w:hAnsi="Arial" w:cs="Arial"/>
                <w:sz w:val="20"/>
                <w:szCs w:val="20"/>
              </w:rPr>
            </w:pPr>
            <w:r w:rsidRPr="00A25477">
              <w:rPr>
                <w:rStyle w:val="Strong"/>
                <w:rFonts w:ascii="Arial" w:hAnsi="Arial" w:cs="Arial"/>
                <w:sz w:val="20"/>
                <w:szCs w:val="20"/>
              </w:rPr>
              <w:t>FAOSTAT</w:t>
            </w:r>
          </w:p>
        </w:tc>
        <w:tc>
          <w:tcPr>
            <w:tcW w:w="6759" w:type="dxa"/>
            <w:vAlign w:val="center"/>
            <w:hideMark/>
          </w:tcPr>
          <w:p w:rsidR="00A25477" w:rsidRPr="00A25477" w:rsidRDefault="00A25477">
            <w:pPr>
              <w:rPr>
                <w:rFonts w:ascii="Arial" w:hAnsi="Arial" w:cs="Arial"/>
                <w:sz w:val="20"/>
                <w:szCs w:val="20"/>
              </w:rPr>
            </w:pPr>
            <w:r w:rsidRPr="00A25477">
              <w:rPr>
                <w:rFonts w:ascii="Arial" w:hAnsi="Arial" w:cs="Arial"/>
                <w:sz w:val="20"/>
                <w:szCs w:val="20"/>
              </w:rPr>
              <w:t>FAO Statistical Database</w:t>
            </w:r>
          </w:p>
        </w:tc>
      </w:tr>
      <w:tr w:rsidR="00A25477" w:rsidRPr="00A25477" w:rsidTr="00A25477">
        <w:trPr>
          <w:tblCellSpacing w:w="15" w:type="dxa"/>
        </w:trPr>
        <w:tc>
          <w:tcPr>
            <w:tcW w:w="1515" w:type="dxa"/>
            <w:vAlign w:val="center"/>
            <w:hideMark/>
          </w:tcPr>
          <w:p w:rsidR="00A25477" w:rsidRPr="00A25477" w:rsidRDefault="00A25477">
            <w:pPr>
              <w:rPr>
                <w:rFonts w:ascii="Arial" w:hAnsi="Arial" w:cs="Arial"/>
                <w:sz w:val="20"/>
                <w:szCs w:val="20"/>
              </w:rPr>
            </w:pPr>
            <w:r w:rsidRPr="00A25477">
              <w:rPr>
                <w:rStyle w:val="Strong"/>
                <w:rFonts w:ascii="Arial" w:hAnsi="Arial" w:cs="Arial"/>
                <w:sz w:val="20"/>
                <w:szCs w:val="20"/>
              </w:rPr>
              <w:t>FC</w:t>
            </w:r>
          </w:p>
        </w:tc>
        <w:tc>
          <w:tcPr>
            <w:tcW w:w="6759" w:type="dxa"/>
            <w:vAlign w:val="center"/>
            <w:hideMark/>
          </w:tcPr>
          <w:p w:rsidR="00A25477" w:rsidRPr="00A25477" w:rsidRDefault="00A25477">
            <w:pPr>
              <w:rPr>
                <w:rFonts w:ascii="Arial" w:hAnsi="Arial" w:cs="Arial"/>
                <w:sz w:val="20"/>
                <w:szCs w:val="20"/>
              </w:rPr>
            </w:pPr>
            <w:r w:rsidRPr="00A25477">
              <w:rPr>
                <w:rFonts w:ascii="Arial" w:hAnsi="Arial" w:cs="Arial"/>
                <w:sz w:val="20"/>
                <w:szCs w:val="20"/>
              </w:rPr>
              <w:t>Fecal Coliform</w:t>
            </w:r>
          </w:p>
        </w:tc>
      </w:tr>
      <w:tr w:rsidR="00A25477" w:rsidRPr="00A25477" w:rsidTr="00A25477">
        <w:trPr>
          <w:tblCellSpacing w:w="15" w:type="dxa"/>
        </w:trPr>
        <w:tc>
          <w:tcPr>
            <w:tcW w:w="1515" w:type="dxa"/>
            <w:vAlign w:val="center"/>
            <w:hideMark/>
          </w:tcPr>
          <w:p w:rsidR="00A25477" w:rsidRPr="00A25477" w:rsidRDefault="00A25477">
            <w:pPr>
              <w:rPr>
                <w:rFonts w:ascii="Arial" w:hAnsi="Arial" w:cs="Arial"/>
                <w:sz w:val="20"/>
                <w:szCs w:val="20"/>
              </w:rPr>
            </w:pPr>
            <w:r w:rsidRPr="00A25477">
              <w:rPr>
                <w:rStyle w:val="Strong"/>
                <w:rFonts w:ascii="Arial" w:hAnsi="Arial" w:cs="Arial"/>
                <w:sz w:val="20"/>
                <w:szCs w:val="20"/>
              </w:rPr>
              <w:t>FCR</w:t>
            </w:r>
          </w:p>
        </w:tc>
        <w:tc>
          <w:tcPr>
            <w:tcW w:w="6759" w:type="dxa"/>
            <w:vAlign w:val="center"/>
            <w:hideMark/>
          </w:tcPr>
          <w:p w:rsidR="00A25477" w:rsidRPr="00A25477" w:rsidRDefault="00A25477">
            <w:pPr>
              <w:rPr>
                <w:rFonts w:ascii="Arial" w:hAnsi="Arial" w:cs="Arial"/>
                <w:sz w:val="20"/>
                <w:szCs w:val="20"/>
              </w:rPr>
            </w:pPr>
            <w:r w:rsidRPr="00A25477">
              <w:rPr>
                <w:rFonts w:ascii="Arial" w:hAnsi="Arial" w:cs="Arial"/>
                <w:sz w:val="20"/>
                <w:szCs w:val="20"/>
              </w:rPr>
              <w:t>Feed Conversion Ratio</w:t>
            </w:r>
          </w:p>
        </w:tc>
      </w:tr>
      <w:tr w:rsidR="00A25477" w:rsidRPr="00A25477" w:rsidTr="00A25477">
        <w:trPr>
          <w:tblCellSpacing w:w="15" w:type="dxa"/>
        </w:trPr>
        <w:tc>
          <w:tcPr>
            <w:tcW w:w="1515" w:type="dxa"/>
            <w:vAlign w:val="center"/>
            <w:hideMark/>
          </w:tcPr>
          <w:p w:rsidR="00A25477" w:rsidRPr="00A25477" w:rsidRDefault="00A25477">
            <w:pPr>
              <w:rPr>
                <w:rFonts w:ascii="Arial" w:hAnsi="Arial" w:cs="Arial"/>
                <w:sz w:val="20"/>
                <w:szCs w:val="20"/>
              </w:rPr>
            </w:pPr>
            <w:r w:rsidRPr="00A25477">
              <w:rPr>
                <w:rStyle w:val="Strong"/>
                <w:rFonts w:ascii="Arial" w:hAnsi="Arial" w:cs="Arial"/>
                <w:sz w:val="20"/>
                <w:szCs w:val="20"/>
              </w:rPr>
              <w:t>FiA</w:t>
            </w:r>
          </w:p>
        </w:tc>
        <w:tc>
          <w:tcPr>
            <w:tcW w:w="6759" w:type="dxa"/>
            <w:vAlign w:val="center"/>
            <w:hideMark/>
          </w:tcPr>
          <w:p w:rsidR="00A25477" w:rsidRPr="00A25477" w:rsidRDefault="00A25477">
            <w:pPr>
              <w:rPr>
                <w:rFonts w:ascii="Arial" w:hAnsi="Arial" w:cs="Arial"/>
                <w:sz w:val="20"/>
                <w:szCs w:val="20"/>
              </w:rPr>
            </w:pPr>
            <w:r w:rsidRPr="00A25477">
              <w:rPr>
                <w:rFonts w:ascii="Arial" w:hAnsi="Arial" w:cs="Arial"/>
                <w:sz w:val="20"/>
                <w:szCs w:val="20"/>
              </w:rPr>
              <w:t>Fisheries Administration</w:t>
            </w:r>
          </w:p>
        </w:tc>
      </w:tr>
      <w:tr w:rsidR="00A25477" w:rsidRPr="00A25477" w:rsidTr="00A25477">
        <w:trPr>
          <w:tblCellSpacing w:w="15" w:type="dxa"/>
        </w:trPr>
        <w:tc>
          <w:tcPr>
            <w:tcW w:w="1515" w:type="dxa"/>
            <w:vAlign w:val="center"/>
            <w:hideMark/>
          </w:tcPr>
          <w:p w:rsidR="00A25477" w:rsidRPr="00A25477" w:rsidRDefault="00A25477">
            <w:pPr>
              <w:rPr>
                <w:rFonts w:ascii="Arial" w:hAnsi="Arial" w:cs="Arial"/>
                <w:sz w:val="20"/>
                <w:szCs w:val="20"/>
              </w:rPr>
            </w:pPr>
            <w:r w:rsidRPr="00A25477">
              <w:rPr>
                <w:rStyle w:val="Strong"/>
                <w:rFonts w:ascii="Arial" w:hAnsi="Arial" w:cs="Arial"/>
                <w:sz w:val="20"/>
                <w:szCs w:val="20"/>
              </w:rPr>
              <w:t>GHG</w:t>
            </w:r>
          </w:p>
        </w:tc>
        <w:tc>
          <w:tcPr>
            <w:tcW w:w="6759" w:type="dxa"/>
            <w:vAlign w:val="center"/>
            <w:hideMark/>
          </w:tcPr>
          <w:p w:rsidR="00A25477" w:rsidRPr="00A25477" w:rsidRDefault="00A25477">
            <w:pPr>
              <w:rPr>
                <w:rFonts w:ascii="Arial" w:hAnsi="Arial" w:cs="Arial"/>
                <w:sz w:val="20"/>
                <w:szCs w:val="20"/>
              </w:rPr>
            </w:pPr>
            <w:r w:rsidRPr="00A25477">
              <w:rPr>
                <w:rFonts w:ascii="Arial" w:hAnsi="Arial" w:cs="Arial"/>
                <w:sz w:val="20"/>
                <w:szCs w:val="20"/>
              </w:rPr>
              <w:t>Greenhouse Gas</w:t>
            </w:r>
          </w:p>
        </w:tc>
      </w:tr>
      <w:tr w:rsidR="00A25477" w:rsidRPr="00A25477" w:rsidTr="00A25477">
        <w:trPr>
          <w:tblCellSpacing w:w="15" w:type="dxa"/>
        </w:trPr>
        <w:tc>
          <w:tcPr>
            <w:tcW w:w="1515" w:type="dxa"/>
            <w:vAlign w:val="center"/>
            <w:hideMark/>
          </w:tcPr>
          <w:p w:rsidR="00A25477" w:rsidRPr="00A25477" w:rsidRDefault="00A25477">
            <w:pPr>
              <w:rPr>
                <w:rFonts w:ascii="Arial" w:hAnsi="Arial" w:cs="Arial"/>
                <w:sz w:val="20"/>
                <w:szCs w:val="20"/>
              </w:rPr>
            </w:pPr>
            <w:r w:rsidRPr="00A25477">
              <w:rPr>
                <w:rStyle w:val="Strong"/>
                <w:rFonts w:ascii="Arial" w:hAnsi="Arial" w:cs="Arial"/>
                <w:sz w:val="20"/>
                <w:szCs w:val="20"/>
              </w:rPr>
              <w:t>GIZ</w:t>
            </w:r>
          </w:p>
        </w:tc>
        <w:tc>
          <w:tcPr>
            <w:tcW w:w="6759" w:type="dxa"/>
            <w:vAlign w:val="center"/>
            <w:hideMark/>
          </w:tcPr>
          <w:p w:rsidR="00A25477" w:rsidRPr="00A25477" w:rsidRDefault="00A25477">
            <w:pPr>
              <w:rPr>
                <w:rFonts w:ascii="Arial" w:hAnsi="Arial" w:cs="Arial"/>
                <w:sz w:val="20"/>
                <w:szCs w:val="20"/>
              </w:rPr>
            </w:pPr>
            <w:r w:rsidRPr="00A25477">
              <w:rPr>
                <w:rFonts w:ascii="Arial" w:hAnsi="Arial" w:cs="Arial"/>
                <w:sz w:val="20"/>
                <w:szCs w:val="20"/>
              </w:rPr>
              <w:t>Deutsche Gesellschaft für Internationale Zusammenarbeit</w:t>
            </w:r>
          </w:p>
        </w:tc>
      </w:tr>
      <w:tr w:rsidR="00A25477" w:rsidRPr="00A25477" w:rsidTr="00A25477">
        <w:trPr>
          <w:tblCellSpacing w:w="15" w:type="dxa"/>
        </w:trPr>
        <w:tc>
          <w:tcPr>
            <w:tcW w:w="1515" w:type="dxa"/>
            <w:vAlign w:val="center"/>
            <w:hideMark/>
          </w:tcPr>
          <w:p w:rsidR="00A25477" w:rsidRPr="00A25477" w:rsidRDefault="00A25477">
            <w:pPr>
              <w:rPr>
                <w:rFonts w:ascii="Arial" w:hAnsi="Arial" w:cs="Arial"/>
                <w:sz w:val="20"/>
                <w:szCs w:val="20"/>
              </w:rPr>
            </w:pPr>
            <w:r w:rsidRPr="00A25477">
              <w:rPr>
                <w:rStyle w:val="Strong"/>
                <w:rFonts w:ascii="Arial" w:hAnsi="Arial" w:cs="Arial"/>
                <w:sz w:val="20"/>
                <w:szCs w:val="20"/>
              </w:rPr>
              <w:t>HAB</w:t>
            </w:r>
          </w:p>
        </w:tc>
        <w:tc>
          <w:tcPr>
            <w:tcW w:w="6759" w:type="dxa"/>
            <w:vAlign w:val="center"/>
            <w:hideMark/>
          </w:tcPr>
          <w:p w:rsidR="00A25477" w:rsidRPr="00A25477" w:rsidRDefault="00A25477">
            <w:pPr>
              <w:rPr>
                <w:rFonts w:ascii="Arial" w:hAnsi="Arial" w:cs="Arial"/>
                <w:sz w:val="20"/>
                <w:szCs w:val="20"/>
              </w:rPr>
            </w:pPr>
            <w:r w:rsidRPr="00A25477">
              <w:rPr>
                <w:rFonts w:ascii="Arial" w:hAnsi="Arial" w:cs="Arial"/>
                <w:sz w:val="20"/>
                <w:szCs w:val="20"/>
              </w:rPr>
              <w:t>Harmful Algal Bloom</w:t>
            </w:r>
          </w:p>
        </w:tc>
      </w:tr>
      <w:tr w:rsidR="00A25477" w:rsidRPr="00A25477" w:rsidTr="00A25477">
        <w:trPr>
          <w:tblCellSpacing w:w="15" w:type="dxa"/>
        </w:trPr>
        <w:tc>
          <w:tcPr>
            <w:tcW w:w="1515" w:type="dxa"/>
            <w:vAlign w:val="center"/>
            <w:hideMark/>
          </w:tcPr>
          <w:p w:rsidR="00A25477" w:rsidRPr="00A25477" w:rsidRDefault="00A25477">
            <w:pPr>
              <w:rPr>
                <w:rFonts w:ascii="Arial" w:hAnsi="Arial" w:cs="Arial"/>
                <w:sz w:val="20"/>
                <w:szCs w:val="20"/>
              </w:rPr>
            </w:pPr>
            <w:r w:rsidRPr="00A25477">
              <w:rPr>
                <w:rStyle w:val="Strong"/>
                <w:rFonts w:ascii="Arial" w:hAnsi="Arial" w:cs="Arial"/>
                <w:sz w:val="20"/>
                <w:szCs w:val="20"/>
              </w:rPr>
              <w:t>ICM</w:t>
            </w:r>
          </w:p>
        </w:tc>
        <w:tc>
          <w:tcPr>
            <w:tcW w:w="6759" w:type="dxa"/>
            <w:vAlign w:val="center"/>
            <w:hideMark/>
          </w:tcPr>
          <w:p w:rsidR="00A25477" w:rsidRPr="00A25477" w:rsidRDefault="00A25477">
            <w:pPr>
              <w:rPr>
                <w:rFonts w:ascii="Arial" w:hAnsi="Arial" w:cs="Arial"/>
                <w:sz w:val="20"/>
                <w:szCs w:val="20"/>
              </w:rPr>
            </w:pPr>
            <w:r w:rsidRPr="00A25477">
              <w:rPr>
                <w:rFonts w:ascii="Arial" w:hAnsi="Arial" w:cs="Arial"/>
                <w:sz w:val="20"/>
                <w:szCs w:val="20"/>
              </w:rPr>
              <w:t>Integrated Coastal Management</w:t>
            </w:r>
          </w:p>
        </w:tc>
      </w:tr>
      <w:tr w:rsidR="00A25477" w:rsidRPr="00A25477" w:rsidTr="00A25477">
        <w:trPr>
          <w:tblCellSpacing w:w="15" w:type="dxa"/>
        </w:trPr>
        <w:tc>
          <w:tcPr>
            <w:tcW w:w="1515" w:type="dxa"/>
            <w:vAlign w:val="center"/>
            <w:hideMark/>
          </w:tcPr>
          <w:p w:rsidR="00A25477" w:rsidRPr="00A25477" w:rsidRDefault="00A25477">
            <w:pPr>
              <w:rPr>
                <w:rFonts w:ascii="Arial" w:hAnsi="Arial" w:cs="Arial"/>
                <w:sz w:val="20"/>
                <w:szCs w:val="20"/>
              </w:rPr>
            </w:pPr>
            <w:r w:rsidRPr="00A25477">
              <w:rPr>
                <w:rStyle w:val="Strong"/>
                <w:rFonts w:ascii="Arial" w:hAnsi="Arial" w:cs="Arial"/>
                <w:sz w:val="20"/>
                <w:szCs w:val="20"/>
              </w:rPr>
              <w:t>IJERPH</w:t>
            </w:r>
          </w:p>
        </w:tc>
        <w:tc>
          <w:tcPr>
            <w:tcW w:w="6759" w:type="dxa"/>
            <w:vAlign w:val="center"/>
            <w:hideMark/>
          </w:tcPr>
          <w:p w:rsidR="00A25477" w:rsidRPr="00A25477" w:rsidRDefault="00A25477">
            <w:pPr>
              <w:rPr>
                <w:rFonts w:ascii="Arial" w:hAnsi="Arial" w:cs="Arial"/>
                <w:sz w:val="20"/>
                <w:szCs w:val="20"/>
              </w:rPr>
            </w:pPr>
            <w:r w:rsidRPr="00A25477">
              <w:rPr>
                <w:rFonts w:ascii="Arial" w:hAnsi="Arial" w:cs="Arial"/>
                <w:sz w:val="20"/>
                <w:szCs w:val="20"/>
              </w:rPr>
              <w:t>International Journal of Environmental Research and Public Health</w:t>
            </w:r>
          </w:p>
        </w:tc>
      </w:tr>
      <w:tr w:rsidR="00A25477" w:rsidRPr="00A25477" w:rsidTr="00A25477">
        <w:trPr>
          <w:tblCellSpacing w:w="15" w:type="dxa"/>
        </w:trPr>
        <w:tc>
          <w:tcPr>
            <w:tcW w:w="1515" w:type="dxa"/>
            <w:vAlign w:val="center"/>
            <w:hideMark/>
          </w:tcPr>
          <w:p w:rsidR="00A25477" w:rsidRPr="00A25477" w:rsidRDefault="00A25477">
            <w:pPr>
              <w:rPr>
                <w:rFonts w:ascii="Arial" w:hAnsi="Arial" w:cs="Arial"/>
                <w:sz w:val="20"/>
                <w:szCs w:val="20"/>
              </w:rPr>
            </w:pPr>
            <w:r w:rsidRPr="00A25477">
              <w:rPr>
                <w:rStyle w:val="Strong"/>
                <w:rFonts w:ascii="Arial" w:hAnsi="Arial" w:cs="Arial"/>
                <w:sz w:val="20"/>
                <w:szCs w:val="20"/>
              </w:rPr>
              <w:t>JICA</w:t>
            </w:r>
          </w:p>
        </w:tc>
        <w:tc>
          <w:tcPr>
            <w:tcW w:w="6759" w:type="dxa"/>
            <w:vAlign w:val="center"/>
            <w:hideMark/>
          </w:tcPr>
          <w:p w:rsidR="00A25477" w:rsidRPr="00A25477" w:rsidRDefault="00A25477">
            <w:pPr>
              <w:rPr>
                <w:rFonts w:ascii="Arial" w:hAnsi="Arial" w:cs="Arial"/>
                <w:sz w:val="20"/>
                <w:szCs w:val="20"/>
              </w:rPr>
            </w:pPr>
            <w:r w:rsidRPr="00A25477">
              <w:rPr>
                <w:rFonts w:ascii="Arial" w:hAnsi="Arial" w:cs="Arial"/>
                <w:sz w:val="20"/>
                <w:szCs w:val="20"/>
              </w:rPr>
              <w:t>Japan International Cooperation Agency</w:t>
            </w:r>
          </w:p>
        </w:tc>
      </w:tr>
      <w:tr w:rsidR="00A25477" w:rsidRPr="00A25477" w:rsidTr="00A25477">
        <w:trPr>
          <w:tblCellSpacing w:w="15" w:type="dxa"/>
        </w:trPr>
        <w:tc>
          <w:tcPr>
            <w:tcW w:w="1515" w:type="dxa"/>
            <w:vAlign w:val="center"/>
            <w:hideMark/>
          </w:tcPr>
          <w:p w:rsidR="00A25477" w:rsidRPr="00A25477" w:rsidRDefault="00A25477">
            <w:pPr>
              <w:rPr>
                <w:rFonts w:ascii="Arial" w:hAnsi="Arial" w:cs="Arial"/>
                <w:sz w:val="20"/>
                <w:szCs w:val="20"/>
              </w:rPr>
            </w:pPr>
            <w:r w:rsidRPr="00A25477">
              <w:rPr>
                <w:rStyle w:val="Strong"/>
                <w:rFonts w:ascii="Arial" w:hAnsi="Arial" w:cs="Arial"/>
                <w:sz w:val="20"/>
                <w:szCs w:val="20"/>
              </w:rPr>
              <w:t>kg/ha</w:t>
            </w:r>
          </w:p>
        </w:tc>
        <w:tc>
          <w:tcPr>
            <w:tcW w:w="6759" w:type="dxa"/>
            <w:vAlign w:val="center"/>
            <w:hideMark/>
          </w:tcPr>
          <w:p w:rsidR="00A25477" w:rsidRPr="00A25477" w:rsidRDefault="00A25477">
            <w:pPr>
              <w:rPr>
                <w:rFonts w:ascii="Arial" w:hAnsi="Arial" w:cs="Arial"/>
                <w:sz w:val="20"/>
                <w:szCs w:val="20"/>
              </w:rPr>
            </w:pPr>
            <w:r w:rsidRPr="00A25477">
              <w:rPr>
                <w:rFonts w:ascii="Arial" w:hAnsi="Arial" w:cs="Arial"/>
                <w:sz w:val="20"/>
                <w:szCs w:val="20"/>
              </w:rPr>
              <w:t>Kilogram per hectare</w:t>
            </w:r>
          </w:p>
        </w:tc>
      </w:tr>
      <w:tr w:rsidR="00A25477" w:rsidRPr="00A25477" w:rsidTr="00A25477">
        <w:trPr>
          <w:tblCellSpacing w:w="15" w:type="dxa"/>
        </w:trPr>
        <w:tc>
          <w:tcPr>
            <w:tcW w:w="1515" w:type="dxa"/>
            <w:vAlign w:val="center"/>
            <w:hideMark/>
          </w:tcPr>
          <w:p w:rsidR="00A25477" w:rsidRPr="00A25477" w:rsidRDefault="00A25477">
            <w:pPr>
              <w:rPr>
                <w:rFonts w:ascii="Arial" w:hAnsi="Arial" w:cs="Arial"/>
                <w:sz w:val="20"/>
                <w:szCs w:val="20"/>
              </w:rPr>
            </w:pPr>
            <w:r w:rsidRPr="00A25477">
              <w:rPr>
                <w:rStyle w:val="Strong"/>
                <w:rFonts w:ascii="Arial" w:hAnsi="Arial" w:cs="Arial"/>
                <w:sz w:val="20"/>
                <w:szCs w:val="20"/>
              </w:rPr>
              <w:t>km²</w:t>
            </w:r>
          </w:p>
        </w:tc>
        <w:tc>
          <w:tcPr>
            <w:tcW w:w="6759" w:type="dxa"/>
            <w:vAlign w:val="center"/>
            <w:hideMark/>
          </w:tcPr>
          <w:p w:rsidR="00A25477" w:rsidRPr="00A25477" w:rsidRDefault="00A25477">
            <w:pPr>
              <w:rPr>
                <w:rFonts w:ascii="Arial" w:hAnsi="Arial" w:cs="Arial"/>
                <w:sz w:val="20"/>
                <w:szCs w:val="20"/>
              </w:rPr>
            </w:pPr>
            <w:r w:rsidRPr="00A25477">
              <w:rPr>
                <w:rFonts w:ascii="Arial" w:hAnsi="Arial" w:cs="Arial"/>
                <w:sz w:val="20"/>
                <w:szCs w:val="20"/>
              </w:rPr>
              <w:t>Square kilometer</w:t>
            </w:r>
          </w:p>
        </w:tc>
      </w:tr>
      <w:tr w:rsidR="00A25477" w:rsidRPr="00A25477" w:rsidTr="00A25477">
        <w:trPr>
          <w:tblCellSpacing w:w="15" w:type="dxa"/>
        </w:trPr>
        <w:tc>
          <w:tcPr>
            <w:tcW w:w="1515" w:type="dxa"/>
            <w:vAlign w:val="center"/>
            <w:hideMark/>
          </w:tcPr>
          <w:p w:rsidR="00A25477" w:rsidRPr="00A25477" w:rsidRDefault="00A25477">
            <w:pPr>
              <w:rPr>
                <w:rFonts w:ascii="Arial" w:hAnsi="Arial" w:cs="Arial"/>
                <w:sz w:val="20"/>
                <w:szCs w:val="20"/>
              </w:rPr>
            </w:pPr>
            <w:r w:rsidRPr="00A25477">
              <w:rPr>
                <w:rStyle w:val="Strong"/>
                <w:rFonts w:ascii="Arial" w:hAnsi="Arial" w:cs="Arial"/>
                <w:sz w:val="20"/>
                <w:szCs w:val="20"/>
              </w:rPr>
              <w:t>kt</w:t>
            </w:r>
          </w:p>
        </w:tc>
        <w:tc>
          <w:tcPr>
            <w:tcW w:w="6759" w:type="dxa"/>
            <w:vAlign w:val="center"/>
            <w:hideMark/>
          </w:tcPr>
          <w:p w:rsidR="00A25477" w:rsidRPr="00A25477" w:rsidRDefault="00A25477">
            <w:pPr>
              <w:rPr>
                <w:rFonts w:ascii="Arial" w:hAnsi="Arial" w:cs="Arial"/>
                <w:sz w:val="20"/>
                <w:szCs w:val="20"/>
              </w:rPr>
            </w:pPr>
            <w:r w:rsidRPr="00A25477">
              <w:rPr>
                <w:rFonts w:ascii="Arial" w:hAnsi="Arial" w:cs="Arial"/>
                <w:sz w:val="20"/>
                <w:szCs w:val="20"/>
              </w:rPr>
              <w:t>Kilotonne</w:t>
            </w:r>
          </w:p>
        </w:tc>
      </w:tr>
      <w:tr w:rsidR="00A25477" w:rsidRPr="00A25477" w:rsidTr="00A25477">
        <w:trPr>
          <w:tblCellSpacing w:w="15" w:type="dxa"/>
        </w:trPr>
        <w:tc>
          <w:tcPr>
            <w:tcW w:w="1515" w:type="dxa"/>
            <w:vAlign w:val="center"/>
            <w:hideMark/>
          </w:tcPr>
          <w:p w:rsidR="00A25477" w:rsidRPr="00A25477" w:rsidRDefault="00A25477">
            <w:pPr>
              <w:rPr>
                <w:rFonts w:ascii="Arial" w:hAnsi="Arial" w:cs="Arial"/>
                <w:sz w:val="20"/>
                <w:szCs w:val="20"/>
              </w:rPr>
            </w:pPr>
            <w:r w:rsidRPr="00A25477">
              <w:rPr>
                <w:rStyle w:val="Strong"/>
                <w:rFonts w:ascii="Arial" w:hAnsi="Arial" w:cs="Arial"/>
                <w:sz w:val="20"/>
                <w:szCs w:val="20"/>
              </w:rPr>
              <w:t>MAFF</w:t>
            </w:r>
          </w:p>
        </w:tc>
        <w:tc>
          <w:tcPr>
            <w:tcW w:w="6759" w:type="dxa"/>
            <w:vAlign w:val="center"/>
            <w:hideMark/>
          </w:tcPr>
          <w:p w:rsidR="00A25477" w:rsidRPr="00A25477" w:rsidRDefault="00A25477">
            <w:pPr>
              <w:rPr>
                <w:rFonts w:ascii="Arial" w:hAnsi="Arial" w:cs="Arial"/>
                <w:sz w:val="20"/>
                <w:szCs w:val="20"/>
              </w:rPr>
            </w:pPr>
            <w:r w:rsidRPr="00A25477">
              <w:rPr>
                <w:rFonts w:ascii="Arial" w:hAnsi="Arial" w:cs="Arial"/>
                <w:sz w:val="20"/>
                <w:szCs w:val="20"/>
              </w:rPr>
              <w:t>Ministry of Agriculture, Forestry and Fisheries</w:t>
            </w:r>
          </w:p>
        </w:tc>
      </w:tr>
      <w:tr w:rsidR="00A25477" w:rsidRPr="00A25477" w:rsidTr="00A25477">
        <w:trPr>
          <w:tblCellSpacing w:w="15" w:type="dxa"/>
        </w:trPr>
        <w:tc>
          <w:tcPr>
            <w:tcW w:w="1515" w:type="dxa"/>
            <w:vAlign w:val="center"/>
            <w:hideMark/>
          </w:tcPr>
          <w:p w:rsidR="00A25477" w:rsidRPr="00A25477" w:rsidRDefault="00A25477">
            <w:pPr>
              <w:rPr>
                <w:rFonts w:ascii="Arial" w:hAnsi="Arial" w:cs="Arial"/>
                <w:sz w:val="20"/>
                <w:szCs w:val="20"/>
              </w:rPr>
            </w:pPr>
            <w:r w:rsidRPr="00A25477">
              <w:rPr>
                <w:rStyle w:val="Strong"/>
                <w:rFonts w:ascii="Arial" w:hAnsi="Arial" w:cs="Arial"/>
                <w:sz w:val="20"/>
                <w:szCs w:val="20"/>
              </w:rPr>
              <w:t>MICS-Asia</w:t>
            </w:r>
          </w:p>
        </w:tc>
        <w:tc>
          <w:tcPr>
            <w:tcW w:w="6759" w:type="dxa"/>
            <w:vAlign w:val="center"/>
            <w:hideMark/>
          </w:tcPr>
          <w:p w:rsidR="00A25477" w:rsidRPr="00A25477" w:rsidRDefault="00A25477">
            <w:pPr>
              <w:rPr>
                <w:rFonts w:ascii="Arial" w:hAnsi="Arial" w:cs="Arial"/>
                <w:sz w:val="20"/>
                <w:szCs w:val="20"/>
              </w:rPr>
            </w:pPr>
            <w:r w:rsidRPr="00A25477">
              <w:rPr>
                <w:rFonts w:ascii="Arial" w:hAnsi="Arial" w:cs="Arial"/>
                <w:sz w:val="20"/>
                <w:szCs w:val="20"/>
              </w:rPr>
              <w:t>Model Inter-Comparison Study for Asia</w:t>
            </w:r>
          </w:p>
        </w:tc>
      </w:tr>
      <w:tr w:rsidR="00A25477" w:rsidRPr="00A25477" w:rsidTr="00A25477">
        <w:trPr>
          <w:tblCellSpacing w:w="15" w:type="dxa"/>
        </w:trPr>
        <w:tc>
          <w:tcPr>
            <w:tcW w:w="1515" w:type="dxa"/>
            <w:vAlign w:val="center"/>
            <w:hideMark/>
          </w:tcPr>
          <w:p w:rsidR="00A25477" w:rsidRPr="00A25477" w:rsidRDefault="00A25477">
            <w:pPr>
              <w:rPr>
                <w:rFonts w:ascii="Arial" w:hAnsi="Arial" w:cs="Arial"/>
                <w:sz w:val="20"/>
                <w:szCs w:val="20"/>
              </w:rPr>
            </w:pPr>
            <w:r w:rsidRPr="00A25477">
              <w:rPr>
                <w:rStyle w:val="Strong"/>
                <w:rFonts w:ascii="Arial" w:hAnsi="Arial" w:cs="Arial"/>
                <w:sz w:val="20"/>
                <w:szCs w:val="20"/>
              </w:rPr>
              <w:t>MoE</w:t>
            </w:r>
          </w:p>
        </w:tc>
        <w:tc>
          <w:tcPr>
            <w:tcW w:w="6759" w:type="dxa"/>
            <w:vAlign w:val="center"/>
            <w:hideMark/>
          </w:tcPr>
          <w:p w:rsidR="00A25477" w:rsidRPr="00A25477" w:rsidRDefault="00A25477">
            <w:pPr>
              <w:rPr>
                <w:rFonts w:ascii="Arial" w:hAnsi="Arial" w:cs="Arial"/>
                <w:sz w:val="20"/>
                <w:szCs w:val="20"/>
              </w:rPr>
            </w:pPr>
            <w:r w:rsidRPr="00A25477">
              <w:rPr>
                <w:rFonts w:ascii="Arial" w:hAnsi="Arial" w:cs="Arial"/>
                <w:sz w:val="20"/>
                <w:szCs w:val="20"/>
              </w:rPr>
              <w:t>Ministry of Environment (Cambodia)</w:t>
            </w:r>
          </w:p>
        </w:tc>
      </w:tr>
      <w:tr w:rsidR="00A25477" w:rsidRPr="00A25477" w:rsidTr="00A25477">
        <w:trPr>
          <w:tblCellSpacing w:w="15" w:type="dxa"/>
        </w:trPr>
        <w:tc>
          <w:tcPr>
            <w:tcW w:w="1515" w:type="dxa"/>
            <w:vAlign w:val="center"/>
            <w:hideMark/>
          </w:tcPr>
          <w:p w:rsidR="00A25477" w:rsidRPr="00A25477" w:rsidRDefault="00A25477">
            <w:pPr>
              <w:rPr>
                <w:rFonts w:ascii="Arial" w:hAnsi="Arial" w:cs="Arial"/>
                <w:sz w:val="20"/>
                <w:szCs w:val="20"/>
              </w:rPr>
            </w:pPr>
            <w:r w:rsidRPr="00A25477">
              <w:rPr>
                <w:rStyle w:val="Strong"/>
                <w:rFonts w:ascii="Arial" w:hAnsi="Arial" w:cs="Arial"/>
                <w:sz w:val="20"/>
                <w:szCs w:val="20"/>
              </w:rPr>
              <w:t>MPN</w:t>
            </w:r>
          </w:p>
        </w:tc>
        <w:tc>
          <w:tcPr>
            <w:tcW w:w="6759" w:type="dxa"/>
            <w:vAlign w:val="center"/>
            <w:hideMark/>
          </w:tcPr>
          <w:p w:rsidR="00A25477" w:rsidRPr="00A25477" w:rsidRDefault="00A25477">
            <w:pPr>
              <w:rPr>
                <w:rFonts w:ascii="Arial" w:hAnsi="Arial" w:cs="Arial"/>
                <w:sz w:val="20"/>
                <w:szCs w:val="20"/>
              </w:rPr>
            </w:pPr>
            <w:r w:rsidRPr="00A25477">
              <w:rPr>
                <w:rFonts w:ascii="Arial" w:hAnsi="Arial" w:cs="Arial"/>
                <w:sz w:val="20"/>
                <w:szCs w:val="20"/>
              </w:rPr>
              <w:t>Most Probable Number</w:t>
            </w:r>
          </w:p>
        </w:tc>
      </w:tr>
      <w:tr w:rsidR="00A25477" w:rsidRPr="00A25477" w:rsidTr="00A25477">
        <w:trPr>
          <w:tblCellSpacing w:w="15" w:type="dxa"/>
        </w:trPr>
        <w:tc>
          <w:tcPr>
            <w:tcW w:w="1515" w:type="dxa"/>
            <w:vAlign w:val="center"/>
            <w:hideMark/>
          </w:tcPr>
          <w:p w:rsidR="00A25477" w:rsidRPr="00A25477" w:rsidRDefault="00A25477">
            <w:pPr>
              <w:rPr>
                <w:rFonts w:ascii="Arial" w:hAnsi="Arial" w:cs="Arial"/>
                <w:sz w:val="20"/>
                <w:szCs w:val="20"/>
              </w:rPr>
            </w:pPr>
            <w:r w:rsidRPr="00A25477">
              <w:rPr>
                <w:rStyle w:val="Strong"/>
                <w:rFonts w:ascii="Arial" w:hAnsi="Arial" w:cs="Arial"/>
                <w:sz w:val="20"/>
                <w:szCs w:val="20"/>
              </w:rPr>
              <w:t>MPWT</w:t>
            </w:r>
          </w:p>
        </w:tc>
        <w:tc>
          <w:tcPr>
            <w:tcW w:w="6759" w:type="dxa"/>
            <w:vAlign w:val="center"/>
            <w:hideMark/>
          </w:tcPr>
          <w:p w:rsidR="00A25477" w:rsidRPr="00A25477" w:rsidRDefault="00A25477">
            <w:pPr>
              <w:rPr>
                <w:rFonts w:ascii="Arial" w:hAnsi="Arial" w:cs="Arial"/>
                <w:sz w:val="20"/>
                <w:szCs w:val="20"/>
              </w:rPr>
            </w:pPr>
            <w:r w:rsidRPr="00A25477">
              <w:rPr>
                <w:rFonts w:ascii="Arial" w:hAnsi="Arial" w:cs="Arial"/>
                <w:sz w:val="20"/>
                <w:szCs w:val="20"/>
              </w:rPr>
              <w:t>Ministry of Public Works and Transport</w:t>
            </w:r>
          </w:p>
        </w:tc>
      </w:tr>
      <w:tr w:rsidR="00A25477" w:rsidRPr="00A25477" w:rsidTr="00A25477">
        <w:trPr>
          <w:tblCellSpacing w:w="15" w:type="dxa"/>
        </w:trPr>
        <w:tc>
          <w:tcPr>
            <w:tcW w:w="1515" w:type="dxa"/>
            <w:vAlign w:val="center"/>
            <w:hideMark/>
          </w:tcPr>
          <w:p w:rsidR="00A25477" w:rsidRPr="00A25477" w:rsidRDefault="00A25477">
            <w:pPr>
              <w:rPr>
                <w:rFonts w:ascii="Arial" w:hAnsi="Arial" w:cs="Arial"/>
                <w:sz w:val="20"/>
                <w:szCs w:val="20"/>
              </w:rPr>
            </w:pPr>
            <w:r w:rsidRPr="00A25477">
              <w:rPr>
                <w:rStyle w:val="Strong"/>
                <w:rFonts w:ascii="Arial" w:hAnsi="Arial" w:cs="Arial"/>
                <w:sz w:val="20"/>
                <w:szCs w:val="20"/>
              </w:rPr>
              <w:t>MRC</w:t>
            </w:r>
          </w:p>
        </w:tc>
        <w:tc>
          <w:tcPr>
            <w:tcW w:w="6759" w:type="dxa"/>
            <w:vAlign w:val="center"/>
            <w:hideMark/>
          </w:tcPr>
          <w:p w:rsidR="00A25477" w:rsidRPr="00A25477" w:rsidRDefault="00A25477">
            <w:pPr>
              <w:rPr>
                <w:rFonts w:ascii="Arial" w:hAnsi="Arial" w:cs="Arial"/>
                <w:sz w:val="20"/>
                <w:szCs w:val="20"/>
              </w:rPr>
            </w:pPr>
            <w:r w:rsidRPr="00A25477">
              <w:rPr>
                <w:rFonts w:ascii="Arial" w:hAnsi="Arial" w:cs="Arial"/>
                <w:sz w:val="20"/>
                <w:szCs w:val="20"/>
              </w:rPr>
              <w:t>Mekong River Commission</w:t>
            </w:r>
          </w:p>
        </w:tc>
      </w:tr>
      <w:tr w:rsidR="00A25477" w:rsidRPr="00A25477" w:rsidTr="00A25477">
        <w:trPr>
          <w:tblCellSpacing w:w="15" w:type="dxa"/>
        </w:trPr>
        <w:tc>
          <w:tcPr>
            <w:tcW w:w="1515" w:type="dxa"/>
            <w:vAlign w:val="center"/>
            <w:hideMark/>
          </w:tcPr>
          <w:p w:rsidR="00A25477" w:rsidRPr="00A25477" w:rsidRDefault="00A25477">
            <w:pPr>
              <w:rPr>
                <w:rFonts w:ascii="Arial" w:hAnsi="Arial" w:cs="Arial"/>
                <w:sz w:val="20"/>
                <w:szCs w:val="20"/>
              </w:rPr>
            </w:pPr>
            <w:r w:rsidRPr="00A25477">
              <w:rPr>
                <w:rStyle w:val="Strong"/>
                <w:rFonts w:ascii="Arial" w:hAnsi="Arial" w:cs="Arial"/>
                <w:sz w:val="20"/>
                <w:szCs w:val="20"/>
              </w:rPr>
              <w:t>MSW</w:t>
            </w:r>
          </w:p>
        </w:tc>
        <w:tc>
          <w:tcPr>
            <w:tcW w:w="6759" w:type="dxa"/>
            <w:vAlign w:val="center"/>
            <w:hideMark/>
          </w:tcPr>
          <w:p w:rsidR="00A25477" w:rsidRPr="00A25477" w:rsidRDefault="00A25477">
            <w:pPr>
              <w:rPr>
                <w:rFonts w:ascii="Arial" w:hAnsi="Arial" w:cs="Arial"/>
                <w:sz w:val="20"/>
                <w:szCs w:val="20"/>
              </w:rPr>
            </w:pPr>
            <w:r w:rsidRPr="00A25477">
              <w:rPr>
                <w:rFonts w:ascii="Arial" w:hAnsi="Arial" w:cs="Arial"/>
                <w:sz w:val="20"/>
                <w:szCs w:val="20"/>
              </w:rPr>
              <w:t>Municipal Solid Waste</w:t>
            </w:r>
          </w:p>
        </w:tc>
      </w:tr>
      <w:tr w:rsidR="00A25477" w:rsidRPr="00A25477" w:rsidTr="00A25477">
        <w:trPr>
          <w:tblCellSpacing w:w="15" w:type="dxa"/>
        </w:trPr>
        <w:tc>
          <w:tcPr>
            <w:tcW w:w="1515" w:type="dxa"/>
            <w:vAlign w:val="center"/>
            <w:hideMark/>
          </w:tcPr>
          <w:p w:rsidR="00A25477" w:rsidRPr="00A25477" w:rsidRDefault="00A25477">
            <w:pPr>
              <w:rPr>
                <w:rFonts w:ascii="Arial" w:hAnsi="Arial" w:cs="Arial"/>
                <w:sz w:val="20"/>
                <w:szCs w:val="20"/>
              </w:rPr>
            </w:pPr>
            <w:r w:rsidRPr="00A25477">
              <w:rPr>
                <w:rStyle w:val="Strong"/>
                <w:rFonts w:ascii="Arial" w:hAnsi="Arial" w:cs="Arial"/>
                <w:sz w:val="20"/>
                <w:szCs w:val="20"/>
              </w:rPr>
              <w:t>MTB</w:t>
            </w:r>
          </w:p>
        </w:tc>
        <w:tc>
          <w:tcPr>
            <w:tcW w:w="6759" w:type="dxa"/>
            <w:vAlign w:val="center"/>
            <w:hideMark/>
          </w:tcPr>
          <w:p w:rsidR="00A25477" w:rsidRPr="00A25477" w:rsidRDefault="00A25477">
            <w:pPr>
              <w:rPr>
                <w:rFonts w:ascii="Arial" w:hAnsi="Arial" w:cs="Arial"/>
                <w:sz w:val="20"/>
                <w:szCs w:val="20"/>
              </w:rPr>
            </w:pPr>
            <w:r w:rsidRPr="00A25477">
              <w:rPr>
                <w:rFonts w:ascii="Arial" w:hAnsi="Arial" w:cs="Arial"/>
                <w:sz w:val="20"/>
                <w:szCs w:val="20"/>
              </w:rPr>
              <w:t>Mekong–Tonle Sap–Bassac river system</w:t>
            </w:r>
          </w:p>
        </w:tc>
      </w:tr>
      <w:tr w:rsidR="00A25477" w:rsidRPr="00A25477" w:rsidTr="00A25477">
        <w:trPr>
          <w:tblCellSpacing w:w="15" w:type="dxa"/>
        </w:trPr>
        <w:tc>
          <w:tcPr>
            <w:tcW w:w="1515" w:type="dxa"/>
            <w:vAlign w:val="center"/>
            <w:hideMark/>
          </w:tcPr>
          <w:p w:rsidR="00A25477" w:rsidRPr="00A25477" w:rsidRDefault="00A25477">
            <w:pPr>
              <w:rPr>
                <w:rFonts w:ascii="Arial" w:hAnsi="Arial" w:cs="Arial"/>
                <w:sz w:val="20"/>
                <w:szCs w:val="20"/>
              </w:rPr>
            </w:pPr>
            <w:r w:rsidRPr="00A25477">
              <w:rPr>
                <w:rStyle w:val="Strong"/>
                <w:rFonts w:ascii="Arial" w:hAnsi="Arial" w:cs="Arial"/>
                <w:sz w:val="20"/>
                <w:szCs w:val="20"/>
              </w:rPr>
              <w:t>NCCMD</w:t>
            </w:r>
          </w:p>
        </w:tc>
        <w:tc>
          <w:tcPr>
            <w:tcW w:w="6759" w:type="dxa"/>
            <w:vAlign w:val="center"/>
            <w:hideMark/>
          </w:tcPr>
          <w:p w:rsidR="00A25477" w:rsidRPr="00A25477" w:rsidRDefault="00A25477">
            <w:pPr>
              <w:rPr>
                <w:rFonts w:ascii="Arial" w:hAnsi="Arial" w:cs="Arial"/>
                <w:sz w:val="20"/>
                <w:szCs w:val="20"/>
              </w:rPr>
            </w:pPr>
            <w:r w:rsidRPr="00A25477">
              <w:rPr>
                <w:rFonts w:ascii="Arial" w:hAnsi="Arial" w:cs="Arial"/>
                <w:sz w:val="20"/>
                <w:szCs w:val="20"/>
              </w:rPr>
              <w:t>National Committee for Coastal Management and Development</w:t>
            </w:r>
          </w:p>
        </w:tc>
      </w:tr>
      <w:tr w:rsidR="00A25477" w:rsidRPr="00A25477" w:rsidTr="00A25477">
        <w:trPr>
          <w:tblCellSpacing w:w="15" w:type="dxa"/>
        </w:trPr>
        <w:tc>
          <w:tcPr>
            <w:tcW w:w="1515" w:type="dxa"/>
            <w:vAlign w:val="center"/>
            <w:hideMark/>
          </w:tcPr>
          <w:p w:rsidR="00A25477" w:rsidRPr="00A25477" w:rsidRDefault="00A25477">
            <w:pPr>
              <w:rPr>
                <w:rFonts w:ascii="Arial" w:hAnsi="Arial" w:cs="Arial"/>
                <w:sz w:val="20"/>
                <w:szCs w:val="20"/>
              </w:rPr>
            </w:pPr>
            <w:r w:rsidRPr="00A25477">
              <w:rPr>
                <w:rStyle w:val="Strong"/>
                <w:rFonts w:ascii="Arial" w:hAnsi="Arial" w:cs="Arial"/>
                <w:sz w:val="20"/>
                <w:szCs w:val="20"/>
              </w:rPr>
              <w:t>NIS</w:t>
            </w:r>
          </w:p>
        </w:tc>
        <w:tc>
          <w:tcPr>
            <w:tcW w:w="6759" w:type="dxa"/>
            <w:vAlign w:val="center"/>
            <w:hideMark/>
          </w:tcPr>
          <w:p w:rsidR="00A25477" w:rsidRPr="00A25477" w:rsidRDefault="00A25477">
            <w:pPr>
              <w:rPr>
                <w:rFonts w:ascii="Arial" w:hAnsi="Arial" w:cs="Arial"/>
                <w:sz w:val="20"/>
                <w:szCs w:val="20"/>
              </w:rPr>
            </w:pPr>
            <w:r w:rsidRPr="00A25477">
              <w:rPr>
                <w:rFonts w:ascii="Arial" w:hAnsi="Arial" w:cs="Arial"/>
                <w:sz w:val="20"/>
                <w:szCs w:val="20"/>
              </w:rPr>
              <w:t>National Institute of Statistics</w:t>
            </w:r>
          </w:p>
        </w:tc>
      </w:tr>
      <w:tr w:rsidR="00A25477" w:rsidRPr="00A25477" w:rsidTr="00A25477">
        <w:trPr>
          <w:tblCellSpacing w:w="15" w:type="dxa"/>
        </w:trPr>
        <w:tc>
          <w:tcPr>
            <w:tcW w:w="1515" w:type="dxa"/>
            <w:vAlign w:val="center"/>
            <w:hideMark/>
          </w:tcPr>
          <w:p w:rsidR="00A25477" w:rsidRPr="00A25477" w:rsidRDefault="00A25477">
            <w:pPr>
              <w:rPr>
                <w:rFonts w:ascii="Arial" w:hAnsi="Arial" w:cs="Arial"/>
                <w:sz w:val="20"/>
                <w:szCs w:val="20"/>
              </w:rPr>
            </w:pPr>
            <w:r w:rsidRPr="00A25477">
              <w:rPr>
                <w:rStyle w:val="Strong"/>
                <w:rFonts w:ascii="Arial" w:hAnsi="Arial" w:cs="Arial"/>
                <w:sz w:val="20"/>
                <w:szCs w:val="20"/>
              </w:rPr>
              <w:t>NO</w:t>
            </w:r>
            <w:r w:rsidRPr="00A25477">
              <w:rPr>
                <w:rStyle w:val="Strong"/>
                <w:rFonts w:ascii="Cambria Math" w:hAnsi="Cambria Math" w:cs="Cambria Math"/>
                <w:sz w:val="20"/>
                <w:szCs w:val="20"/>
              </w:rPr>
              <w:t>₃⁻</w:t>
            </w:r>
          </w:p>
        </w:tc>
        <w:tc>
          <w:tcPr>
            <w:tcW w:w="6759" w:type="dxa"/>
            <w:vAlign w:val="center"/>
            <w:hideMark/>
          </w:tcPr>
          <w:p w:rsidR="00A25477" w:rsidRPr="00A25477" w:rsidRDefault="00A25477">
            <w:pPr>
              <w:rPr>
                <w:rFonts w:ascii="Arial" w:hAnsi="Arial" w:cs="Arial"/>
                <w:sz w:val="20"/>
                <w:szCs w:val="20"/>
              </w:rPr>
            </w:pPr>
            <w:r w:rsidRPr="00A25477">
              <w:rPr>
                <w:rFonts w:ascii="Arial" w:hAnsi="Arial" w:cs="Arial"/>
                <w:sz w:val="20"/>
                <w:szCs w:val="20"/>
              </w:rPr>
              <w:t>Nitrate</w:t>
            </w:r>
          </w:p>
        </w:tc>
      </w:tr>
      <w:tr w:rsidR="00A25477" w:rsidRPr="00A25477" w:rsidTr="00A25477">
        <w:trPr>
          <w:tblCellSpacing w:w="15" w:type="dxa"/>
        </w:trPr>
        <w:tc>
          <w:tcPr>
            <w:tcW w:w="1515" w:type="dxa"/>
            <w:vAlign w:val="center"/>
            <w:hideMark/>
          </w:tcPr>
          <w:p w:rsidR="00A25477" w:rsidRPr="00A25477" w:rsidRDefault="00A25477">
            <w:pPr>
              <w:rPr>
                <w:rFonts w:ascii="Arial" w:hAnsi="Arial" w:cs="Arial"/>
                <w:sz w:val="20"/>
                <w:szCs w:val="20"/>
              </w:rPr>
            </w:pPr>
            <w:r w:rsidRPr="00A25477">
              <w:rPr>
                <w:rStyle w:val="Strong"/>
                <w:rFonts w:ascii="Arial" w:hAnsi="Arial" w:cs="Arial"/>
                <w:sz w:val="20"/>
                <w:szCs w:val="20"/>
              </w:rPr>
              <w:t>NOₓ</w:t>
            </w:r>
          </w:p>
        </w:tc>
        <w:tc>
          <w:tcPr>
            <w:tcW w:w="6759" w:type="dxa"/>
            <w:vAlign w:val="center"/>
            <w:hideMark/>
          </w:tcPr>
          <w:p w:rsidR="00A25477" w:rsidRPr="00A25477" w:rsidRDefault="00A25477">
            <w:pPr>
              <w:rPr>
                <w:rFonts w:ascii="Arial" w:hAnsi="Arial" w:cs="Arial"/>
                <w:sz w:val="20"/>
                <w:szCs w:val="20"/>
              </w:rPr>
            </w:pPr>
            <w:r w:rsidRPr="00A25477">
              <w:rPr>
                <w:rFonts w:ascii="Arial" w:hAnsi="Arial" w:cs="Arial"/>
                <w:sz w:val="20"/>
                <w:szCs w:val="20"/>
              </w:rPr>
              <w:t>Nitrogen Oxides</w:t>
            </w:r>
          </w:p>
        </w:tc>
      </w:tr>
      <w:tr w:rsidR="00A25477" w:rsidRPr="00A25477" w:rsidTr="00A25477">
        <w:trPr>
          <w:tblCellSpacing w:w="15" w:type="dxa"/>
        </w:trPr>
        <w:tc>
          <w:tcPr>
            <w:tcW w:w="1515" w:type="dxa"/>
            <w:vAlign w:val="center"/>
            <w:hideMark/>
          </w:tcPr>
          <w:p w:rsidR="00A25477" w:rsidRPr="00A25477" w:rsidRDefault="00A25477">
            <w:pPr>
              <w:rPr>
                <w:rFonts w:ascii="Arial" w:hAnsi="Arial" w:cs="Arial"/>
                <w:sz w:val="20"/>
                <w:szCs w:val="20"/>
              </w:rPr>
            </w:pPr>
            <w:r w:rsidRPr="00A25477">
              <w:rPr>
                <w:rStyle w:val="Strong"/>
                <w:rFonts w:ascii="Arial" w:hAnsi="Arial" w:cs="Arial"/>
                <w:sz w:val="20"/>
                <w:szCs w:val="20"/>
              </w:rPr>
              <w:t>NSOC</w:t>
            </w:r>
          </w:p>
        </w:tc>
        <w:tc>
          <w:tcPr>
            <w:tcW w:w="6759" w:type="dxa"/>
            <w:vAlign w:val="center"/>
            <w:hideMark/>
          </w:tcPr>
          <w:p w:rsidR="00A25477" w:rsidRPr="00A25477" w:rsidRDefault="00A25477">
            <w:pPr>
              <w:rPr>
                <w:rFonts w:ascii="Arial" w:hAnsi="Arial" w:cs="Arial"/>
                <w:sz w:val="20"/>
                <w:szCs w:val="20"/>
              </w:rPr>
            </w:pPr>
            <w:r w:rsidRPr="00A25477">
              <w:rPr>
                <w:rFonts w:ascii="Arial" w:hAnsi="Arial" w:cs="Arial"/>
                <w:sz w:val="20"/>
                <w:szCs w:val="20"/>
              </w:rPr>
              <w:t>National State of the Oceans and Coasts (PEMSEA)</w:t>
            </w:r>
          </w:p>
        </w:tc>
      </w:tr>
      <w:tr w:rsidR="00A25477" w:rsidRPr="00A25477" w:rsidTr="00A25477">
        <w:trPr>
          <w:tblCellSpacing w:w="15" w:type="dxa"/>
        </w:trPr>
        <w:tc>
          <w:tcPr>
            <w:tcW w:w="1515" w:type="dxa"/>
            <w:vAlign w:val="center"/>
            <w:hideMark/>
          </w:tcPr>
          <w:p w:rsidR="00A25477" w:rsidRPr="00A25477" w:rsidRDefault="00A25477">
            <w:pPr>
              <w:rPr>
                <w:rFonts w:ascii="Arial" w:hAnsi="Arial" w:cs="Arial"/>
                <w:sz w:val="20"/>
                <w:szCs w:val="20"/>
              </w:rPr>
            </w:pPr>
            <w:r w:rsidRPr="00A25477">
              <w:rPr>
                <w:rStyle w:val="Strong"/>
                <w:rFonts w:ascii="Arial" w:hAnsi="Arial" w:cs="Arial"/>
                <w:sz w:val="20"/>
                <w:szCs w:val="20"/>
              </w:rPr>
              <w:t>O&amp;G</w:t>
            </w:r>
          </w:p>
        </w:tc>
        <w:tc>
          <w:tcPr>
            <w:tcW w:w="6759" w:type="dxa"/>
            <w:vAlign w:val="center"/>
            <w:hideMark/>
          </w:tcPr>
          <w:p w:rsidR="00A25477" w:rsidRPr="00A25477" w:rsidRDefault="00A25477">
            <w:pPr>
              <w:rPr>
                <w:rFonts w:ascii="Arial" w:hAnsi="Arial" w:cs="Arial"/>
                <w:sz w:val="20"/>
                <w:szCs w:val="20"/>
              </w:rPr>
            </w:pPr>
            <w:r w:rsidRPr="00A25477">
              <w:rPr>
                <w:rFonts w:ascii="Arial" w:hAnsi="Arial" w:cs="Arial"/>
                <w:sz w:val="20"/>
                <w:szCs w:val="20"/>
              </w:rPr>
              <w:t>Oil and Grease</w:t>
            </w:r>
          </w:p>
        </w:tc>
      </w:tr>
      <w:tr w:rsidR="00A25477" w:rsidRPr="00A25477" w:rsidTr="00A25477">
        <w:trPr>
          <w:tblCellSpacing w:w="15" w:type="dxa"/>
        </w:trPr>
        <w:tc>
          <w:tcPr>
            <w:tcW w:w="1515" w:type="dxa"/>
            <w:vAlign w:val="center"/>
            <w:hideMark/>
          </w:tcPr>
          <w:p w:rsidR="00A25477" w:rsidRPr="00A25477" w:rsidRDefault="00A25477">
            <w:pPr>
              <w:rPr>
                <w:rFonts w:ascii="Arial" w:hAnsi="Arial" w:cs="Arial"/>
                <w:sz w:val="20"/>
                <w:szCs w:val="20"/>
              </w:rPr>
            </w:pPr>
            <w:r w:rsidRPr="00A25477">
              <w:rPr>
                <w:rStyle w:val="Strong"/>
                <w:rFonts w:ascii="Arial" w:hAnsi="Arial" w:cs="Arial"/>
                <w:sz w:val="20"/>
                <w:szCs w:val="20"/>
              </w:rPr>
              <w:t>ODC</w:t>
            </w:r>
          </w:p>
        </w:tc>
        <w:tc>
          <w:tcPr>
            <w:tcW w:w="6759" w:type="dxa"/>
            <w:vAlign w:val="center"/>
            <w:hideMark/>
          </w:tcPr>
          <w:p w:rsidR="00A25477" w:rsidRPr="00A25477" w:rsidRDefault="00A25477">
            <w:pPr>
              <w:rPr>
                <w:rFonts w:ascii="Arial" w:hAnsi="Arial" w:cs="Arial"/>
                <w:sz w:val="20"/>
                <w:szCs w:val="20"/>
              </w:rPr>
            </w:pPr>
            <w:r w:rsidRPr="00A25477">
              <w:rPr>
                <w:rFonts w:ascii="Arial" w:hAnsi="Arial" w:cs="Arial"/>
                <w:sz w:val="20"/>
                <w:szCs w:val="20"/>
              </w:rPr>
              <w:t>Open Development Cambodia</w:t>
            </w:r>
          </w:p>
        </w:tc>
      </w:tr>
      <w:tr w:rsidR="00A25477" w:rsidRPr="00A25477" w:rsidTr="00A25477">
        <w:trPr>
          <w:tblCellSpacing w:w="15" w:type="dxa"/>
        </w:trPr>
        <w:tc>
          <w:tcPr>
            <w:tcW w:w="1515" w:type="dxa"/>
            <w:vAlign w:val="center"/>
            <w:hideMark/>
          </w:tcPr>
          <w:p w:rsidR="00A25477" w:rsidRPr="00A25477" w:rsidRDefault="00A25477">
            <w:pPr>
              <w:rPr>
                <w:rFonts w:ascii="Arial" w:hAnsi="Arial" w:cs="Arial"/>
                <w:sz w:val="20"/>
                <w:szCs w:val="20"/>
              </w:rPr>
            </w:pPr>
            <w:r w:rsidRPr="00A25477">
              <w:rPr>
                <w:rStyle w:val="Strong"/>
                <w:rFonts w:ascii="Arial" w:hAnsi="Arial" w:cs="Arial"/>
                <w:sz w:val="20"/>
                <w:szCs w:val="20"/>
              </w:rPr>
              <w:t>PAS</w:t>
            </w:r>
          </w:p>
        </w:tc>
        <w:tc>
          <w:tcPr>
            <w:tcW w:w="6759" w:type="dxa"/>
            <w:vAlign w:val="center"/>
            <w:hideMark/>
          </w:tcPr>
          <w:p w:rsidR="00A25477" w:rsidRPr="00A25477" w:rsidRDefault="00A25477">
            <w:pPr>
              <w:rPr>
                <w:rFonts w:ascii="Arial" w:hAnsi="Arial" w:cs="Arial"/>
                <w:sz w:val="20"/>
                <w:szCs w:val="20"/>
              </w:rPr>
            </w:pPr>
            <w:r w:rsidRPr="00A25477">
              <w:rPr>
                <w:rFonts w:ascii="Arial" w:hAnsi="Arial" w:cs="Arial"/>
                <w:sz w:val="20"/>
                <w:szCs w:val="20"/>
              </w:rPr>
              <w:t>Sihanoukville Autonomous Port</w:t>
            </w:r>
          </w:p>
        </w:tc>
      </w:tr>
      <w:tr w:rsidR="00A25477" w:rsidRPr="00A25477" w:rsidTr="00A25477">
        <w:trPr>
          <w:tblCellSpacing w:w="15" w:type="dxa"/>
        </w:trPr>
        <w:tc>
          <w:tcPr>
            <w:tcW w:w="1515" w:type="dxa"/>
            <w:vAlign w:val="center"/>
            <w:hideMark/>
          </w:tcPr>
          <w:p w:rsidR="00A25477" w:rsidRPr="00A25477" w:rsidRDefault="00A25477">
            <w:pPr>
              <w:rPr>
                <w:rFonts w:ascii="Arial" w:hAnsi="Arial" w:cs="Arial"/>
                <w:sz w:val="20"/>
                <w:szCs w:val="20"/>
              </w:rPr>
            </w:pPr>
            <w:r w:rsidRPr="00A25477">
              <w:rPr>
                <w:rStyle w:val="Strong"/>
                <w:rFonts w:ascii="Arial" w:hAnsi="Arial" w:cs="Arial"/>
                <w:sz w:val="20"/>
                <w:szCs w:val="20"/>
              </w:rPr>
              <w:t>Pb</w:t>
            </w:r>
          </w:p>
        </w:tc>
        <w:tc>
          <w:tcPr>
            <w:tcW w:w="6759" w:type="dxa"/>
            <w:vAlign w:val="center"/>
            <w:hideMark/>
          </w:tcPr>
          <w:p w:rsidR="00A25477" w:rsidRPr="00A25477" w:rsidRDefault="00A25477">
            <w:pPr>
              <w:rPr>
                <w:rFonts w:ascii="Arial" w:hAnsi="Arial" w:cs="Arial"/>
                <w:sz w:val="20"/>
                <w:szCs w:val="20"/>
              </w:rPr>
            </w:pPr>
            <w:r w:rsidRPr="00A25477">
              <w:rPr>
                <w:rFonts w:ascii="Arial" w:hAnsi="Arial" w:cs="Arial"/>
                <w:sz w:val="20"/>
                <w:szCs w:val="20"/>
              </w:rPr>
              <w:t>Lead</w:t>
            </w:r>
          </w:p>
        </w:tc>
      </w:tr>
      <w:tr w:rsidR="00A25477" w:rsidRPr="00A25477" w:rsidTr="00A25477">
        <w:trPr>
          <w:tblCellSpacing w:w="15" w:type="dxa"/>
        </w:trPr>
        <w:tc>
          <w:tcPr>
            <w:tcW w:w="1515" w:type="dxa"/>
            <w:vAlign w:val="center"/>
            <w:hideMark/>
          </w:tcPr>
          <w:p w:rsidR="00A25477" w:rsidRPr="00A25477" w:rsidRDefault="00A25477">
            <w:pPr>
              <w:rPr>
                <w:rFonts w:ascii="Arial" w:hAnsi="Arial" w:cs="Arial"/>
                <w:sz w:val="20"/>
                <w:szCs w:val="20"/>
              </w:rPr>
            </w:pPr>
            <w:r w:rsidRPr="00A25477">
              <w:rPr>
                <w:rStyle w:val="Strong"/>
                <w:rFonts w:ascii="Arial" w:hAnsi="Arial" w:cs="Arial"/>
                <w:sz w:val="20"/>
                <w:szCs w:val="20"/>
              </w:rPr>
              <w:t>PEMSEA</w:t>
            </w:r>
          </w:p>
        </w:tc>
        <w:tc>
          <w:tcPr>
            <w:tcW w:w="6759" w:type="dxa"/>
            <w:vAlign w:val="center"/>
            <w:hideMark/>
          </w:tcPr>
          <w:p w:rsidR="00A25477" w:rsidRPr="00A25477" w:rsidRDefault="00A25477">
            <w:pPr>
              <w:rPr>
                <w:rFonts w:ascii="Arial" w:hAnsi="Arial" w:cs="Arial"/>
                <w:sz w:val="20"/>
                <w:szCs w:val="20"/>
              </w:rPr>
            </w:pPr>
            <w:r w:rsidRPr="00A25477">
              <w:rPr>
                <w:rFonts w:ascii="Arial" w:hAnsi="Arial" w:cs="Arial"/>
                <w:sz w:val="20"/>
                <w:szCs w:val="20"/>
              </w:rPr>
              <w:t>Partnerships in Environmental Management for the Seas of East Asia</w:t>
            </w:r>
          </w:p>
        </w:tc>
      </w:tr>
      <w:tr w:rsidR="00A25477" w:rsidRPr="00A25477" w:rsidTr="00A25477">
        <w:trPr>
          <w:tblCellSpacing w:w="15" w:type="dxa"/>
        </w:trPr>
        <w:tc>
          <w:tcPr>
            <w:tcW w:w="1515" w:type="dxa"/>
            <w:vAlign w:val="center"/>
            <w:hideMark/>
          </w:tcPr>
          <w:p w:rsidR="00A25477" w:rsidRPr="00A25477" w:rsidRDefault="00A25477">
            <w:pPr>
              <w:rPr>
                <w:rFonts w:ascii="Arial" w:hAnsi="Arial" w:cs="Arial"/>
                <w:sz w:val="20"/>
                <w:szCs w:val="20"/>
              </w:rPr>
            </w:pPr>
            <w:r w:rsidRPr="00A25477">
              <w:rPr>
                <w:rStyle w:val="Strong"/>
                <w:rFonts w:ascii="Arial" w:hAnsi="Arial" w:cs="Arial"/>
                <w:sz w:val="20"/>
                <w:szCs w:val="20"/>
              </w:rPr>
              <w:t>PM</w:t>
            </w:r>
            <w:r w:rsidRPr="00A25477">
              <w:rPr>
                <w:rStyle w:val="Strong"/>
                <w:rFonts w:ascii="Cambria Math" w:hAnsi="Cambria Math" w:cs="Cambria Math"/>
                <w:sz w:val="20"/>
                <w:szCs w:val="20"/>
              </w:rPr>
              <w:t>₂</w:t>
            </w:r>
            <w:r w:rsidRPr="00A25477">
              <w:rPr>
                <w:rStyle w:val="Strong"/>
                <w:rFonts w:ascii="Arial" w:hAnsi="Arial" w:cs="Arial"/>
                <w:sz w:val="20"/>
                <w:szCs w:val="20"/>
              </w:rPr>
              <w:t>.</w:t>
            </w:r>
            <w:r w:rsidRPr="00A25477">
              <w:rPr>
                <w:rStyle w:val="Strong"/>
                <w:rFonts w:ascii="Cambria Math" w:hAnsi="Cambria Math" w:cs="Cambria Math"/>
                <w:sz w:val="20"/>
                <w:szCs w:val="20"/>
              </w:rPr>
              <w:t>₅</w:t>
            </w:r>
            <w:r w:rsidRPr="00A25477">
              <w:rPr>
                <w:rStyle w:val="Strong"/>
                <w:rFonts w:ascii="Arial" w:hAnsi="Arial" w:cs="Arial"/>
                <w:sz w:val="20"/>
                <w:szCs w:val="20"/>
              </w:rPr>
              <w:t xml:space="preserve"> / PM</w:t>
            </w:r>
            <w:r w:rsidRPr="00A25477">
              <w:rPr>
                <w:rStyle w:val="Strong"/>
                <w:rFonts w:ascii="Cambria Math" w:hAnsi="Cambria Math" w:cs="Cambria Math"/>
                <w:sz w:val="20"/>
                <w:szCs w:val="20"/>
              </w:rPr>
              <w:t>₁₀</w:t>
            </w:r>
          </w:p>
        </w:tc>
        <w:tc>
          <w:tcPr>
            <w:tcW w:w="6759" w:type="dxa"/>
            <w:vAlign w:val="center"/>
            <w:hideMark/>
          </w:tcPr>
          <w:p w:rsidR="00A25477" w:rsidRPr="00A25477" w:rsidRDefault="00A25477">
            <w:pPr>
              <w:rPr>
                <w:rFonts w:ascii="Arial" w:hAnsi="Arial" w:cs="Arial"/>
                <w:sz w:val="20"/>
                <w:szCs w:val="20"/>
              </w:rPr>
            </w:pPr>
            <w:r w:rsidRPr="00A25477">
              <w:rPr>
                <w:rFonts w:ascii="Arial" w:hAnsi="Arial" w:cs="Arial"/>
                <w:sz w:val="20"/>
                <w:szCs w:val="20"/>
              </w:rPr>
              <w:t>Particulate Matter</w:t>
            </w:r>
          </w:p>
        </w:tc>
      </w:tr>
      <w:tr w:rsidR="00A25477" w:rsidRPr="00A25477" w:rsidTr="00A25477">
        <w:trPr>
          <w:tblCellSpacing w:w="15" w:type="dxa"/>
        </w:trPr>
        <w:tc>
          <w:tcPr>
            <w:tcW w:w="1515" w:type="dxa"/>
            <w:vAlign w:val="center"/>
            <w:hideMark/>
          </w:tcPr>
          <w:p w:rsidR="00A25477" w:rsidRPr="00A25477" w:rsidRDefault="00A25477">
            <w:pPr>
              <w:rPr>
                <w:rFonts w:ascii="Arial" w:hAnsi="Arial" w:cs="Arial"/>
                <w:sz w:val="20"/>
                <w:szCs w:val="20"/>
              </w:rPr>
            </w:pPr>
            <w:r w:rsidRPr="00A25477">
              <w:rPr>
                <w:rStyle w:val="Strong"/>
                <w:rFonts w:ascii="Arial" w:hAnsi="Arial" w:cs="Arial"/>
                <w:sz w:val="20"/>
                <w:szCs w:val="20"/>
              </w:rPr>
              <w:t>PPAP</w:t>
            </w:r>
          </w:p>
        </w:tc>
        <w:tc>
          <w:tcPr>
            <w:tcW w:w="6759" w:type="dxa"/>
            <w:vAlign w:val="center"/>
            <w:hideMark/>
          </w:tcPr>
          <w:p w:rsidR="00A25477" w:rsidRPr="00A25477" w:rsidRDefault="00A25477">
            <w:pPr>
              <w:rPr>
                <w:rFonts w:ascii="Arial" w:hAnsi="Arial" w:cs="Arial"/>
                <w:sz w:val="20"/>
                <w:szCs w:val="20"/>
              </w:rPr>
            </w:pPr>
            <w:r w:rsidRPr="00A25477">
              <w:rPr>
                <w:rFonts w:ascii="Arial" w:hAnsi="Arial" w:cs="Arial"/>
                <w:sz w:val="20"/>
                <w:szCs w:val="20"/>
              </w:rPr>
              <w:t>Phnom Penh Autonomous Port</w:t>
            </w:r>
          </w:p>
        </w:tc>
      </w:tr>
      <w:tr w:rsidR="00A25477" w:rsidRPr="00A25477" w:rsidTr="00A25477">
        <w:trPr>
          <w:tblCellSpacing w:w="15" w:type="dxa"/>
        </w:trPr>
        <w:tc>
          <w:tcPr>
            <w:tcW w:w="1515" w:type="dxa"/>
            <w:vAlign w:val="center"/>
            <w:hideMark/>
          </w:tcPr>
          <w:p w:rsidR="00A25477" w:rsidRPr="00A25477" w:rsidRDefault="00A25477">
            <w:pPr>
              <w:rPr>
                <w:rFonts w:ascii="Arial" w:hAnsi="Arial" w:cs="Arial"/>
                <w:sz w:val="20"/>
                <w:szCs w:val="20"/>
              </w:rPr>
            </w:pPr>
            <w:r w:rsidRPr="00A25477">
              <w:rPr>
                <w:rStyle w:val="Strong"/>
                <w:rFonts w:ascii="Arial" w:hAnsi="Arial" w:cs="Arial"/>
                <w:sz w:val="20"/>
                <w:szCs w:val="20"/>
              </w:rPr>
              <w:t>PPCA</w:t>
            </w:r>
          </w:p>
        </w:tc>
        <w:tc>
          <w:tcPr>
            <w:tcW w:w="6759" w:type="dxa"/>
            <w:vAlign w:val="center"/>
            <w:hideMark/>
          </w:tcPr>
          <w:p w:rsidR="00A25477" w:rsidRPr="00A25477" w:rsidRDefault="00A25477">
            <w:pPr>
              <w:rPr>
                <w:rFonts w:ascii="Arial" w:hAnsi="Arial" w:cs="Arial"/>
                <w:sz w:val="20"/>
                <w:szCs w:val="20"/>
              </w:rPr>
            </w:pPr>
            <w:r w:rsidRPr="00A25477">
              <w:rPr>
                <w:rFonts w:ascii="Arial" w:hAnsi="Arial" w:cs="Arial"/>
                <w:sz w:val="20"/>
                <w:szCs w:val="20"/>
              </w:rPr>
              <w:t>Phnom Penh Capital Administration</w:t>
            </w:r>
          </w:p>
        </w:tc>
      </w:tr>
      <w:tr w:rsidR="00A25477" w:rsidRPr="00A25477" w:rsidTr="00A25477">
        <w:trPr>
          <w:tblCellSpacing w:w="15" w:type="dxa"/>
        </w:trPr>
        <w:tc>
          <w:tcPr>
            <w:tcW w:w="1515" w:type="dxa"/>
            <w:vAlign w:val="center"/>
            <w:hideMark/>
          </w:tcPr>
          <w:p w:rsidR="00A25477" w:rsidRPr="00A25477" w:rsidRDefault="00A25477">
            <w:pPr>
              <w:rPr>
                <w:rFonts w:ascii="Arial" w:hAnsi="Arial" w:cs="Arial"/>
                <w:sz w:val="20"/>
                <w:szCs w:val="20"/>
              </w:rPr>
            </w:pPr>
            <w:r w:rsidRPr="00A25477">
              <w:rPr>
                <w:rStyle w:val="Strong"/>
                <w:rFonts w:ascii="Arial" w:hAnsi="Arial" w:cs="Arial"/>
                <w:sz w:val="20"/>
                <w:szCs w:val="20"/>
              </w:rPr>
              <w:t>PPSWMA</w:t>
            </w:r>
          </w:p>
        </w:tc>
        <w:tc>
          <w:tcPr>
            <w:tcW w:w="6759" w:type="dxa"/>
            <w:vAlign w:val="center"/>
            <w:hideMark/>
          </w:tcPr>
          <w:p w:rsidR="00A25477" w:rsidRPr="00A25477" w:rsidRDefault="00A25477">
            <w:pPr>
              <w:rPr>
                <w:rFonts w:ascii="Arial" w:hAnsi="Arial" w:cs="Arial"/>
                <w:sz w:val="20"/>
                <w:szCs w:val="20"/>
              </w:rPr>
            </w:pPr>
            <w:r w:rsidRPr="00A25477">
              <w:rPr>
                <w:rFonts w:ascii="Arial" w:hAnsi="Arial" w:cs="Arial"/>
                <w:sz w:val="20"/>
                <w:szCs w:val="20"/>
              </w:rPr>
              <w:t>Phnom Penh Solid Waste Management Authority</w:t>
            </w:r>
          </w:p>
        </w:tc>
      </w:tr>
      <w:tr w:rsidR="00A25477" w:rsidRPr="00A25477" w:rsidTr="00A25477">
        <w:trPr>
          <w:tblCellSpacing w:w="15" w:type="dxa"/>
        </w:trPr>
        <w:tc>
          <w:tcPr>
            <w:tcW w:w="1515" w:type="dxa"/>
            <w:vAlign w:val="center"/>
            <w:hideMark/>
          </w:tcPr>
          <w:p w:rsidR="00A25477" w:rsidRPr="00A25477" w:rsidRDefault="00A25477">
            <w:pPr>
              <w:rPr>
                <w:rFonts w:ascii="Arial" w:hAnsi="Arial" w:cs="Arial"/>
                <w:sz w:val="20"/>
                <w:szCs w:val="20"/>
              </w:rPr>
            </w:pPr>
            <w:r w:rsidRPr="00A25477">
              <w:rPr>
                <w:rStyle w:val="Strong"/>
                <w:rFonts w:ascii="Arial" w:hAnsi="Arial" w:cs="Arial"/>
                <w:sz w:val="20"/>
                <w:szCs w:val="20"/>
              </w:rPr>
              <w:t>PPWMS</w:t>
            </w:r>
          </w:p>
        </w:tc>
        <w:tc>
          <w:tcPr>
            <w:tcW w:w="6759" w:type="dxa"/>
            <w:vAlign w:val="center"/>
            <w:hideMark/>
          </w:tcPr>
          <w:p w:rsidR="00A25477" w:rsidRPr="00A25477" w:rsidRDefault="00A25477">
            <w:pPr>
              <w:rPr>
                <w:rFonts w:ascii="Arial" w:hAnsi="Arial" w:cs="Arial"/>
                <w:sz w:val="20"/>
                <w:szCs w:val="20"/>
              </w:rPr>
            </w:pPr>
            <w:r w:rsidRPr="00A25477">
              <w:rPr>
                <w:rFonts w:ascii="Arial" w:hAnsi="Arial" w:cs="Arial"/>
                <w:sz w:val="20"/>
                <w:szCs w:val="20"/>
              </w:rPr>
              <w:t>Phnom Penh Waste Management System</w:t>
            </w:r>
          </w:p>
        </w:tc>
      </w:tr>
      <w:tr w:rsidR="00A25477" w:rsidRPr="00A25477" w:rsidTr="00A25477">
        <w:trPr>
          <w:tblCellSpacing w:w="15" w:type="dxa"/>
        </w:trPr>
        <w:tc>
          <w:tcPr>
            <w:tcW w:w="1515" w:type="dxa"/>
            <w:vAlign w:val="center"/>
            <w:hideMark/>
          </w:tcPr>
          <w:p w:rsidR="00A25477" w:rsidRPr="00A25477" w:rsidRDefault="00A25477">
            <w:pPr>
              <w:rPr>
                <w:rFonts w:ascii="Arial" w:hAnsi="Arial" w:cs="Arial"/>
                <w:sz w:val="20"/>
                <w:szCs w:val="20"/>
              </w:rPr>
            </w:pPr>
            <w:r w:rsidRPr="00A25477">
              <w:rPr>
                <w:rStyle w:val="Strong"/>
                <w:rFonts w:ascii="Arial" w:hAnsi="Arial" w:cs="Arial"/>
                <w:sz w:val="20"/>
                <w:szCs w:val="20"/>
              </w:rPr>
              <w:t>PRSAD4</w:t>
            </w:r>
          </w:p>
        </w:tc>
        <w:tc>
          <w:tcPr>
            <w:tcW w:w="6759" w:type="dxa"/>
            <w:vAlign w:val="center"/>
            <w:hideMark/>
          </w:tcPr>
          <w:p w:rsidR="00A25477" w:rsidRPr="00A25477" w:rsidRDefault="00A25477">
            <w:pPr>
              <w:rPr>
                <w:rFonts w:ascii="Arial" w:hAnsi="Arial" w:cs="Arial"/>
                <w:sz w:val="20"/>
                <w:szCs w:val="20"/>
              </w:rPr>
            </w:pPr>
            <w:r w:rsidRPr="00A25477">
              <w:rPr>
                <w:rFonts w:ascii="Arial" w:hAnsi="Arial" w:cs="Arial"/>
                <w:sz w:val="20"/>
                <w:szCs w:val="20"/>
              </w:rPr>
              <w:t>4th Periodic Report on the State of Acid Deposition (EANET)</w:t>
            </w:r>
          </w:p>
        </w:tc>
      </w:tr>
      <w:tr w:rsidR="00A25477" w:rsidRPr="00A25477" w:rsidTr="00A25477">
        <w:trPr>
          <w:tblCellSpacing w:w="15" w:type="dxa"/>
        </w:trPr>
        <w:tc>
          <w:tcPr>
            <w:tcW w:w="1515" w:type="dxa"/>
            <w:vAlign w:val="center"/>
            <w:hideMark/>
          </w:tcPr>
          <w:p w:rsidR="00A25477" w:rsidRPr="00A25477" w:rsidRDefault="00A25477">
            <w:pPr>
              <w:rPr>
                <w:rFonts w:ascii="Arial" w:hAnsi="Arial" w:cs="Arial"/>
                <w:sz w:val="20"/>
                <w:szCs w:val="20"/>
              </w:rPr>
            </w:pPr>
            <w:r w:rsidRPr="00A25477">
              <w:rPr>
                <w:rStyle w:val="Strong"/>
                <w:rFonts w:ascii="Arial" w:hAnsi="Arial" w:cs="Arial"/>
                <w:sz w:val="20"/>
                <w:szCs w:val="20"/>
              </w:rPr>
              <w:t>RGC</w:t>
            </w:r>
          </w:p>
        </w:tc>
        <w:tc>
          <w:tcPr>
            <w:tcW w:w="6759" w:type="dxa"/>
            <w:vAlign w:val="center"/>
            <w:hideMark/>
          </w:tcPr>
          <w:p w:rsidR="00A25477" w:rsidRPr="00A25477" w:rsidRDefault="00A25477">
            <w:pPr>
              <w:rPr>
                <w:rFonts w:ascii="Arial" w:hAnsi="Arial" w:cs="Arial"/>
                <w:sz w:val="20"/>
                <w:szCs w:val="20"/>
              </w:rPr>
            </w:pPr>
            <w:r w:rsidRPr="00A25477">
              <w:rPr>
                <w:rFonts w:ascii="Arial" w:hAnsi="Arial" w:cs="Arial"/>
                <w:sz w:val="20"/>
                <w:szCs w:val="20"/>
              </w:rPr>
              <w:t>Royal Government of Cambodia</w:t>
            </w:r>
          </w:p>
        </w:tc>
      </w:tr>
      <w:tr w:rsidR="00A25477" w:rsidRPr="00A25477" w:rsidTr="00A25477">
        <w:trPr>
          <w:tblCellSpacing w:w="15" w:type="dxa"/>
        </w:trPr>
        <w:tc>
          <w:tcPr>
            <w:tcW w:w="1515" w:type="dxa"/>
            <w:vAlign w:val="center"/>
            <w:hideMark/>
          </w:tcPr>
          <w:p w:rsidR="00A25477" w:rsidRPr="00A25477" w:rsidRDefault="00A25477">
            <w:pPr>
              <w:rPr>
                <w:rFonts w:ascii="Arial" w:hAnsi="Arial" w:cs="Arial"/>
                <w:sz w:val="20"/>
                <w:szCs w:val="20"/>
              </w:rPr>
            </w:pPr>
            <w:r w:rsidRPr="00A25477">
              <w:rPr>
                <w:rStyle w:val="Strong"/>
                <w:rFonts w:ascii="Arial" w:hAnsi="Arial" w:cs="Arial"/>
                <w:sz w:val="20"/>
                <w:szCs w:val="20"/>
              </w:rPr>
              <w:t>RQ</w:t>
            </w:r>
          </w:p>
        </w:tc>
        <w:tc>
          <w:tcPr>
            <w:tcW w:w="6759" w:type="dxa"/>
            <w:vAlign w:val="center"/>
            <w:hideMark/>
          </w:tcPr>
          <w:p w:rsidR="00A25477" w:rsidRPr="00A25477" w:rsidRDefault="00A25477">
            <w:pPr>
              <w:rPr>
                <w:rFonts w:ascii="Arial" w:hAnsi="Arial" w:cs="Arial"/>
                <w:sz w:val="20"/>
                <w:szCs w:val="20"/>
              </w:rPr>
            </w:pPr>
            <w:r w:rsidRPr="00A25477">
              <w:rPr>
                <w:rFonts w:ascii="Arial" w:hAnsi="Arial" w:cs="Arial"/>
                <w:sz w:val="20"/>
                <w:szCs w:val="20"/>
              </w:rPr>
              <w:t>Risk Quotient</w:t>
            </w:r>
          </w:p>
        </w:tc>
      </w:tr>
      <w:tr w:rsidR="00A25477" w:rsidRPr="00A25477" w:rsidTr="00A25477">
        <w:trPr>
          <w:tblCellSpacing w:w="15" w:type="dxa"/>
        </w:trPr>
        <w:tc>
          <w:tcPr>
            <w:tcW w:w="1515" w:type="dxa"/>
            <w:vAlign w:val="center"/>
            <w:hideMark/>
          </w:tcPr>
          <w:p w:rsidR="00A25477" w:rsidRPr="00A25477" w:rsidRDefault="00A25477">
            <w:pPr>
              <w:rPr>
                <w:rFonts w:ascii="Arial" w:hAnsi="Arial" w:cs="Arial"/>
                <w:sz w:val="20"/>
                <w:szCs w:val="20"/>
              </w:rPr>
            </w:pPr>
            <w:r w:rsidRPr="00A25477">
              <w:rPr>
                <w:rStyle w:val="Strong"/>
                <w:rFonts w:ascii="Arial" w:hAnsi="Arial" w:cs="Arial"/>
                <w:sz w:val="20"/>
                <w:szCs w:val="20"/>
              </w:rPr>
              <w:t>SEAFDEC</w:t>
            </w:r>
          </w:p>
        </w:tc>
        <w:tc>
          <w:tcPr>
            <w:tcW w:w="6759" w:type="dxa"/>
            <w:vAlign w:val="center"/>
            <w:hideMark/>
          </w:tcPr>
          <w:p w:rsidR="00A25477" w:rsidRPr="00A25477" w:rsidRDefault="00A25477">
            <w:pPr>
              <w:rPr>
                <w:rFonts w:ascii="Arial" w:hAnsi="Arial" w:cs="Arial"/>
                <w:sz w:val="20"/>
                <w:szCs w:val="20"/>
              </w:rPr>
            </w:pPr>
            <w:r w:rsidRPr="00A25477">
              <w:rPr>
                <w:rFonts w:ascii="Arial" w:hAnsi="Arial" w:cs="Arial"/>
                <w:sz w:val="20"/>
                <w:szCs w:val="20"/>
              </w:rPr>
              <w:t>Southeast Asian Fisheries Development Center</w:t>
            </w:r>
          </w:p>
        </w:tc>
      </w:tr>
      <w:tr w:rsidR="00A25477" w:rsidRPr="00A25477" w:rsidTr="00A25477">
        <w:trPr>
          <w:tblCellSpacing w:w="15" w:type="dxa"/>
        </w:trPr>
        <w:tc>
          <w:tcPr>
            <w:tcW w:w="1515" w:type="dxa"/>
            <w:vAlign w:val="center"/>
            <w:hideMark/>
          </w:tcPr>
          <w:p w:rsidR="00A25477" w:rsidRPr="00A25477" w:rsidRDefault="00A25477">
            <w:pPr>
              <w:rPr>
                <w:rFonts w:ascii="Arial" w:hAnsi="Arial" w:cs="Arial"/>
                <w:sz w:val="20"/>
                <w:szCs w:val="20"/>
              </w:rPr>
            </w:pPr>
            <w:r w:rsidRPr="00A25477">
              <w:rPr>
                <w:rStyle w:val="Strong"/>
                <w:rFonts w:ascii="Arial" w:hAnsi="Arial" w:cs="Arial"/>
                <w:sz w:val="20"/>
                <w:szCs w:val="20"/>
              </w:rPr>
              <w:t>SEZ</w:t>
            </w:r>
          </w:p>
        </w:tc>
        <w:tc>
          <w:tcPr>
            <w:tcW w:w="6759" w:type="dxa"/>
            <w:vAlign w:val="center"/>
            <w:hideMark/>
          </w:tcPr>
          <w:p w:rsidR="00A25477" w:rsidRPr="00A25477" w:rsidRDefault="00A25477">
            <w:pPr>
              <w:rPr>
                <w:rFonts w:ascii="Arial" w:hAnsi="Arial" w:cs="Arial"/>
                <w:sz w:val="20"/>
                <w:szCs w:val="20"/>
              </w:rPr>
            </w:pPr>
            <w:r w:rsidRPr="00A25477">
              <w:rPr>
                <w:rFonts w:ascii="Arial" w:hAnsi="Arial" w:cs="Arial"/>
                <w:sz w:val="20"/>
                <w:szCs w:val="20"/>
              </w:rPr>
              <w:t>Special Economic Zone</w:t>
            </w:r>
          </w:p>
        </w:tc>
      </w:tr>
      <w:tr w:rsidR="00A25477" w:rsidRPr="00A25477" w:rsidTr="00A25477">
        <w:trPr>
          <w:tblCellSpacing w:w="15" w:type="dxa"/>
        </w:trPr>
        <w:tc>
          <w:tcPr>
            <w:tcW w:w="1515" w:type="dxa"/>
            <w:vAlign w:val="center"/>
            <w:hideMark/>
          </w:tcPr>
          <w:p w:rsidR="00A25477" w:rsidRPr="00A25477" w:rsidRDefault="00A25477">
            <w:pPr>
              <w:rPr>
                <w:rFonts w:ascii="Arial" w:hAnsi="Arial" w:cs="Arial"/>
                <w:sz w:val="20"/>
                <w:szCs w:val="20"/>
              </w:rPr>
            </w:pPr>
            <w:r w:rsidRPr="00A25477">
              <w:rPr>
                <w:rStyle w:val="Strong"/>
                <w:rFonts w:ascii="Arial" w:hAnsi="Arial" w:cs="Arial"/>
                <w:sz w:val="20"/>
                <w:szCs w:val="20"/>
              </w:rPr>
              <w:t>SO</w:t>
            </w:r>
            <w:r w:rsidRPr="00A25477">
              <w:rPr>
                <w:rStyle w:val="Strong"/>
                <w:rFonts w:ascii="Cambria Math" w:hAnsi="Cambria Math" w:cs="Cambria Math"/>
                <w:sz w:val="20"/>
                <w:szCs w:val="20"/>
              </w:rPr>
              <w:t>₂</w:t>
            </w:r>
          </w:p>
        </w:tc>
        <w:tc>
          <w:tcPr>
            <w:tcW w:w="6759" w:type="dxa"/>
            <w:vAlign w:val="center"/>
            <w:hideMark/>
          </w:tcPr>
          <w:p w:rsidR="00A25477" w:rsidRPr="00A25477" w:rsidRDefault="00A25477">
            <w:pPr>
              <w:rPr>
                <w:rFonts w:ascii="Arial" w:hAnsi="Arial" w:cs="Arial"/>
                <w:sz w:val="20"/>
                <w:szCs w:val="20"/>
              </w:rPr>
            </w:pPr>
            <w:r w:rsidRPr="00A25477">
              <w:rPr>
                <w:rFonts w:ascii="Arial" w:hAnsi="Arial" w:cs="Arial"/>
                <w:sz w:val="20"/>
                <w:szCs w:val="20"/>
              </w:rPr>
              <w:t>Sulfur Dioxide</w:t>
            </w:r>
          </w:p>
        </w:tc>
      </w:tr>
      <w:tr w:rsidR="00A25477" w:rsidRPr="00A25477" w:rsidTr="00A25477">
        <w:trPr>
          <w:tblCellSpacing w:w="15" w:type="dxa"/>
        </w:trPr>
        <w:tc>
          <w:tcPr>
            <w:tcW w:w="1515" w:type="dxa"/>
            <w:vAlign w:val="center"/>
            <w:hideMark/>
          </w:tcPr>
          <w:p w:rsidR="00A25477" w:rsidRPr="00A25477" w:rsidRDefault="00A25477">
            <w:pPr>
              <w:rPr>
                <w:rFonts w:ascii="Arial" w:hAnsi="Arial" w:cs="Arial"/>
                <w:sz w:val="20"/>
                <w:szCs w:val="20"/>
              </w:rPr>
            </w:pPr>
            <w:r w:rsidRPr="00A25477">
              <w:rPr>
                <w:rStyle w:val="Strong"/>
                <w:rFonts w:ascii="Arial" w:hAnsi="Arial" w:cs="Arial"/>
                <w:sz w:val="20"/>
                <w:szCs w:val="20"/>
              </w:rPr>
              <w:t>TDA</w:t>
            </w:r>
          </w:p>
        </w:tc>
        <w:tc>
          <w:tcPr>
            <w:tcW w:w="6759" w:type="dxa"/>
            <w:vAlign w:val="center"/>
            <w:hideMark/>
          </w:tcPr>
          <w:p w:rsidR="00A25477" w:rsidRPr="00A25477" w:rsidRDefault="00A25477">
            <w:pPr>
              <w:rPr>
                <w:rFonts w:ascii="Arial" w:hAnsi="Arial" w:cs="Arial"/>
                <w:sz w:val="20"/>
                <w:szCs w:val="20"/>
              </w:rPr>
            </w:pPr>
            <w:r w:rsidRPr="00A25477">
              <w:rPr>
                <w:rFonts w:ascii="Arial" w:hAnsi="Arial" w:cs="Arial"/>
                <w:sz w:val="20"/>
                <w:szCs w:val="20"/>
              </w:rPr>
              <w:t>Transboundary Diagnostic Analysis</w:t>
            </w:r>
          </w:p>
        </w:tc>
      </w:tr>
      <w:tr w:rsidR="00A25477" w:rsidRPr="00A25477" w:rsidTr="00A25477">
        <w:trPr>
          <w:tblCellSpacing w:w="15" w:type="dxa"/>
        </w:trPr>
        <w:tc>
          <w:tcPr>
            <w:tcW w:w="1515" w:type="dxa"/>
            <w:vAlign w:val="center"/>
            <w:hideMark/>
          </w:tcPr>
          <w:p w:rsidR="00A25477" w:rsidRPr="00A25477" w:rsidRDefault="00A25477">
            <w:pPr>
              <w:rPr>
                <w:rFonts w:ascii="Arial" w:hAnsi="Arial" w:cs="Arial"/>
                <w:sz w:val="20"/>
                <w:szCs w:val="20"/>
              </w:rPr>
            </w:pPr>
            <w:r w:rsidRPr="00A25477">
              <w:rPr>
                <w:rStyle w:val="Strong"/>
                <w:rFonts w:ascii="Arial" w:hAnsi="Arial" w:cs="Arial"/>
                <w:sz w:val="20"/>
                <w:szCs w:val="20"/>
              </w:rPr>
              <w:t>TN</w:t>
            </w:r>
          </w:p>
        </w:tc>
        <w:tc>
          <w:tcPr>
            <w:tcW w:w="6759" w:type="dxa"/>
            <w:vAlign w:val="center"/>
            <w:hideMark/>
          </w:tcPr>
          <w:p w:rsidR="00A25477" w:rsidRPr="00A25477" w:rsidRDefault="00A25477">
            <w:pPr>
              <w:rPr>
                <w:rFonts w:ascii="Arial" w:hAnsi="Arial" w:cs="Arial"/>
                <w:sz w:val="20"/>
                <w:szCs w:val="20"/>
              </w:rPr>
            </w:pPr>
            <w:r w:rsidRPr="00A25477">
              <w:rPr>
                <w:rFonts w:ascii="Arial" w:hAnsi="Arial" w:cs="Arial"/>
                <w:sz w:val="20"/>
                <w:szCs w:val="20"/>
              </w:rPr>
              <w:t>Total Nitrogen</w:t>
            </w:r>
          </w:p>
        </w:tc>
      </w:tr>
      <w:tr w:rsidR="00A25477" w:rsidRPr="00A25477" w:rsidTr="00A25477">
        <w:trPr>
          <w:tblCellSpacing w:w="15" w:type="dxa"/>
        </w:trPr>
        <w:tc>
          <w:tcPr>
            <w:tcW w:w="1515" w:type="dxa"/>
            <w:vAlign w:val="center"/>
            <w:hideMark/>
          </w:tcPr>
          <w:p w:rsidR="00A25477" w:rsidRPr="00A25477" w:rsidRDefault="00A25477">
            <w:pPr>
              <w:rPr>
                <w:rFonts w:ascii="Arial" w:hAnsi="Arial" w:cs="Arial"/>
                <w:sz w:val="20"/>
                <w:szCs w:val="20"/>
              </w:rPr>
            </w:pPr>
            <w:r w:rsidRPr="00A25477">
              <w:rPr>
                <w:rStyle w:val="Strong"/>
                <w:rFonts w:ascii="Arial" w:hAnsi="Arial" w:cs="Arial"/>
                <w:sz w:val="20"/>
                <w:szCs w:val="20"/>
              </w:rPr>
              <w:t>TP</w:t>
            </w:r>
          </w:p>
        </w:tc>
        <w:tc>
          <w:tcPr>
            <w:tcW w:w="6759" w:type="dxa"/>
            <w:vAlign w:val="center"/>
            <w:hideMark/>
          </w:tcPr>
          <w:p w:rsidR="00A25477" w:rsidRPr="00A25477" w:rsidRDefault="00A25477">
            <w:pPr>
              <w:rPr>
                <w:rFonts w:ascii="Arial" w:hAnsi="Arial" w:cs="Arial"/>
                <w:sz w:val="20"/>
                <w:szCs w:val="20"/>
              </w:rPr>
            </w:pPr>
            <w:r w:rsidRPr="00A25477">
              <w:rPr>
                <w:rFonts w:ascii="Arial" w:hAnsi="Arial" w:cs="Arial"/>
                <w:sz w:val="20"/>
                <w:szCs w:val="20"/>
              </w:rPr>
              <w:t>Total Phosphorus</w:t>
            </w:r>
          </w:p>
        </w:tc>
      </w:tr>
      <w:tr w:rsidR="00A25477" w:rsidRPr="00A25477" w:rsidTr="00A25477">
        <w:trPr>
          <w:tblCellSpacing w:w="15" w:type="dxa"/>
        </w:trPr>
        <w:tc>
          <w:tcPr>
            <w:tcW w:w="1515" w:type="dxa"/>
            <w:vAlign w:val="center"/>
            <w:hideMark/>
          </w:tcPr>
          <w:p w:rsidR="00A25477" w:rsidRPr="00A25477" w:rsidRDefault="00A25477">
            <w:pPr>
              <w:rPr>
                <w:rFonts w:ascii="Arial" w:hAnsi="Arial" w:cs="Arial"/>
                <w:sz w:val="20"/>
                <w:szCs w:val="20"/>
              </w:rPr>
            </w:pPr>
            <w:r w:rsidRPr="00A25477">
              <w:rPr>
                <w:rStyle w:val="Strong"/>
                <w:rFonts w:ascii="Arial" w:hAnsi="Arial" w:cs="Arial"/>
                <w:sz w:val="20"/>
                <w:szCs w:val="20"/>
              </w:rPr>
              <w:t>TPH</w:t>
            </w:r>
          </w:p>
        </w:tc>
        <w:tc>
          <w:tcPr>
            <w:tcW w:w="6759" w:type="dxa"/>
            <w:vAlign w:val="center"/>
            <w:hideMark/>
          </w:tcPr>
          <w:p w:rsidR="00A25477" w:rsidRPr="00A25477" w:rsidRDefault="00A25477">
            <w:pPr>
              <w:rPr>
                <w:rFonts w:ascii="Arial" w:hAnsi="Arial" w:cs="Arial"/>
                <w:sz w:val="20"/>
                <w:szCs w:val="20"/>
              </w:rPr>
            </w:pPr>
            <w:r w:rsidRPr="00A25477">
              <w:rPr>
                <w:rFonts w:ascii="Arial" w:hAnsi="Arial" w:cs="Arial"/>
                <w:sz w:val="20"/>
                <w:szCs w:val="20"/>
              </w:rPr>
              <w:t>Total Petroleum Hydrocarbons</w:t>
            </w:r>
          </w:p>
        </w:tc>
      </w:tr>
      <w:tr w:rsidR="00A25477" w:rsidRPr="00A25477" w:rsidTr="00A25477">
        <w:trPr>
          <w:tblCellSpacing w:w="15" w:type="dxa"/>
        </w:trPr>
        <w:tc>
          <w:tcPr>
            <w:tcW w:w="1515" w:type="dxa"/>
            <w:vAlign w:val="center"/>
            <w:hideMark/>
          </w:tcPr>
          <w:p w:rsidR="00A25477" w:rsidRPr="00A25477" w:rsidRDefault="00A25477">
            <w:pPr>
              <w:rPr>
                <w:rFonts w:ascii="Arial" w:hAnsi="Arial" w:cs="Arial"/>
                <w:sz w:val="20"/>
                <w:szCs w:val="20"/>
              </w:rPr>
            </w:pPr>
            <w:r w:rsidRPr="00A25477">
              <w:rPr>
                <w:rStyle w:val="Strong"/>
                <w:rFonts w:ascii="Arial" w:hAnsi="Arial" w:cs="Arial"/>
                <w:sz w:val="20"/>
                <w:szCs w:val="20"/>
              </w:rPr>
              <w:t>TSS</w:t>
            </w:r>
          </w:p>
        </w:tc>
        <w:tc>
          <w:tcPr>
            <w:tcW w:w="6759" w:type="dxa"/>
            <w:vAlign w:val="center"/>
            <w:hideMark/>
          </w:tcPr>
          <w:p w:rsidR="00A25477" w:rsidRPr="00A25477" w:rsidRDefault="00A25477">
            <w:pPr>
              <w:rPr>
                <w:rFonts w:ascii="Arial" w:hAnsi="Arial" w:cs="Arial"/>
                <w:sz w:val="20"/>
                <w:szCs w:val="20"/>
              </w:rPr>
            </w:pPr>
            <w:r w:rsidRPr="00A25477">
              <w:rPr>
                <w:rFonts w:ascii="Arial" w:hAnsi="Arial" w:cs="Arial"/>
                <w:sz w:val="20"/>
                <w:szCs w:val="20"/>
              </w:rPr>
              <w:t>Total Suspended Solids</w:t>
            </w:r>
          </w:p>
        </w:tc>
      </w:tr>
      <w:tr w:rsidR="00A25477" w:rsidRPr="00A25477" w:rsidTr="00A25477">
        <w:trPr>
          <w:tblCellSpacing w:w="15" w:type="dxa"/>
        </w:trPr>
        <w:tc>
          <w:tcPr>
            <w:tcW w:w="1515" w:type="dxa"/>
            <w:vAlign w:val="center"/>
            <w:hideMark/>
          </w:tcPr>
          <w:p w:rsidR="00A25477" w:rsidRPr="00A25477" w:rsidRDefault="00A25477">
            <w:pPr>
              <w:rPr>
                <w:rFonts w:ascii="Arial" w:hAnsi="Arial" w:cs="Arial"/>
                <w:sz w:val="20"/>
                <w:szCs w:val="20"/>
              </w:rPr>
            </w:pPr>
            <w:r w:rsidRPr="00A25477">
              <w:rPr>
                <w:rStyle w:val="Strong"/>
                <w:rFonts w:ascii="Arial" w:hAnsi="Arial" w:cs="Arial"/>
                <w:sz w:val="20"/>
                <w:szCs w:val="20"/>
              </w:rPr>
              <w:t>UNCRD</w:t>
            </w:r>
          </w:p>
        </w:tc>
        <w:tc>
          <w:tcPr>
            <w:tcW w:w="6759" w:type="dxa"/>
            <w:vAlign w:val="center"/>
            <w:hideMark/>
          </w:tcPr>
          <w:p w:rsidR="00A25477" w:rsidRPr="00A25477" w:rsidRDefault="00A25477">
            <w:pPr>
              <w:rPr>
                <w:rFonts w:ascii="Arial" w:hAnsi="Arial" w:cs="Arial"/>
                <w:sz w:val="20"/>
                <w:szCs w:val="20"/>
              </w:rPr>
            </w:pPr>
            <w:r w:rsidRPr="00A25477">
              <w:rPr>
                <w:rFonts w:ascii="Arial" w:hAnsi="Arial" w:cs="Arial"/>
                <w:sz w:val="20"/>
                <w:szCs w:val="20"/>
              </w:rPr>
              <w:t>United Nations Centre for Regional Development</w:t>
            </w:r>
          </w:p>
        </w:tc>
      </w:tr>
      <w:tr w:rsidR="00A25477" w:rsidRPr="00A25477" w:rsidTr="00A25477">
        <w:trPr>
          <w:tblCellSpacing w:w="15" w:type="dxa"/>
        </w:trPr>
        <w:tc>
          <w:tcPr>
            <w:tcW w:w="1515" w:type="dxa"/>
            <w:vAlign w:val="center"/>
            <w:hideMark/>
          </w:tcPr>
          <w:p w:rsidR="00A25477" w:rsidRPr="00A25477" w:rsidRDefault="00A25477">
            <w:pPr>
              <w:rPr>
                <w:rFonts w:ascii="Arial" w:hAnsi="Arial" w:cs="Arial"/>
                <w:sz w:val="20"/>
                <w:szCs w:val="20"/>
              </w:rPr>
            </w:pPr>
            <w:r w:rsidRPr="00A25477">
              <w:rPr>
                <w:rStyle w:val="Strong"/>
                <w:rFonts w:ascii="Arial" w:hAnsi="Arial" w:cs="Arial"/>
                <w:sz w:val="20"/>
                <w:szCs w:val="20"/>
              </w:rPr>
              <w:t>UNDP</w:t>
            </w:r>
          </w:p>
        </w:tc>
        <w:tc>
          <w:tcPr>
            <w:tcW w:w="6759" w:type="dxa"/>
            <w:vAlign w:val="center"/>
            <w:hideMark/>
          </w:tcPr>
          <w:p w:rsidR="00A25477" w:rsidRPr="00A25477" w:rsidRDefault="00A25477">
            <w:pPr>
              <w:rPr>
                <w:rFonts w:ascii="Arial" w:hAnsi="Arial" w:cs="Arial"/>
                <w:sz w:val="20"/>
                <w:szCs w:val="20"/>
              </w:rPr>
            </w:pPr>
            <w:r w:rsidRPr="00A25477">
              <w:rPr>
                <w:rFonts w:ascii="Arial" w:hAnsi="Arial" w:cs="Arial"/>
                <w:sz w:val="20"/>
                <w:szCs w:val="20"/>
              </w:rPr>
              <w:t>United Nations Development Programme</w:t>
            </w:r>
          </w:p>
        </w:tc>
      </w:tr>
      <w:tr w:rsidR="00A25477" w:rsidRPr="00A25477" w:rsidTr="00A25477">
        <w:trPr>
          <w:tblCellSpacing w:w="15" w:type="dxa"/>
        </w:trPr>
        <w:tc>
          <w:tcPr>
            <w:tcW w:w="1515" w:type="dxa"/>
            <w:vAlign w:val="center"/>
            <w:hideMark/>
          </w:tcPr>
          <w:p w:rsidR="00A25477" w:rsidRPr="00A25477" w:rsidRDefault="00A25477">
            <w:pPr>
              <w:rPr>
                <w:rFonts w:ascii="Arial" w:hAnsi="Arial" w:cs="Arial"/>
                <w:sz w:val="20"/>
                <w:szCs w:val="20"/>
              </w:rPr>
            </w:pPr>
            <w:r w:rsidRPr="00A25477">
              <w:rPr>
                <w:rStyle w:val="Strong"/>
                <w:rFonts w:ascii="Arial" w:hAnsi="Arial" w:cs="Arial"/>
                <w:sz w:val="20"/>
                <w:szCs w:val="20"/>
              </w:rPr>
              <w:t>UNEP</w:t>
            </w:r>
          </w:p>
        </w:tc>
        <w:tc>
          <w:tcPr>
            <w:tcW w:w="6759" w:type="dxa"/>
            <w:vAlign w:val="center"/>
            <w:hideMark/>
          </w:tcPr>
          <w:p w:rsidR="00A25477" w:rsidRPr="00A25477" w:rsidRDefault="00A25477">
            <w:pPr>
              <w:rPr>
                <w:rFonts w:ascii="Arial" w:hAnsi="Arial" w:cs="Arial"/>
                <w:sz w:val="20"/>
                <w:szCs w:val="20"/>
              </w:rPr>
            </w:pPr>
            <w:r w:rsidRPr="00A25477">
              <w:rPr>
                <w:rFonts w:ascii="Arial" w:hAnsi="Arial" w:cs="Arial"/>
                <w:sz w:val="20"/>
                <w:szCs w:val="20"/>
              </w:rPr>
              <w:t>United Nations Environment Programme</w:t>
            </w:r>
          </w:p>
        </w:tc>
      </w:tr>
      <w:tr w:rsidR="00A25477" w:rsidRPr="00A25477" w:rsidTr="00A25477">
        <w:trPr>
          <w:tblCellSpacing w:w="15" w:type="dxa"/>
        </w:trPr>
        <w:tc>
          <w:tcPr>
            <w:tcW w:w="1515" w:type="dxa"/>
            <w:vAlign w:val="center"/>
            <w:hideMark/>
          </w:tcPr>
          <w:p w:rsidR="00A25477" w:rsidRPr="00A25477" w:rsidRDefault="00A25477">
            <w:pPr>
              <w:rPr>
                <w:rFonts w:ascii="Arial" w:hAnsi="Arial" w:cs="Arial"/>
                <w:sz w:val="20"/>
                <w:szCs w:val="20"/>
              </w:rPr>
            </w:pPr>
            <w:r w:rsidRPr="00A25477">
              <w:rPr>
                <w:rStyle w:val="Strong"/>
                <w:rFonts w:ascii="Arial" w:hAnsi="Arial" w:cs="Arial"/>
                <w:sz w:val="20"/>
                <w:szCs w:val="20"/>
              </w:rPr>
              <w:t>UNFCCC</w:t>
            </w:r>
          </w:p>
        </w:tc>
        <w:tc>
          <w:tcPr>
            <w:tcW w:w="6759" w:type="dxa"/>
            <w:vAlign w:val="center"/>
            <w:hideMark/>
          </w:tcPr>
          <w:p w:rsidR="00A25477" w:rsidRPr="00A25477" w:rsidRDefault="00A25477">
            <w:pPr>
              <w:rPr>
                <w:rFonts w:ascii="Arial" w:hAnsi="Arial" w:cs="Arial"/>
                <w:sz w:val="20"/>
                <w:szCs w:val="20"/>
              </w:rPr>
            </w:pPr>
            <w:r w:rsidRPr="00A25477">
              <w:rPr>
                <w:rFonts w:ascii="Arial" w:hAnsi="Arial" w:cs="Arial"/>
                <w:sz w:val="20"/>
                <w:szCs w:val="20"/>
              </w:rPr>
              <w:t>United Nations Framework Convention on Climate Change</w:t>
            </w:r>
          </w:p>
        </w:tc>
      </w:tr>
      <w:tr w:rsidR="00A25477" w:rsidRPr="00A25477" w:rsidTr="00A25477">
        <w:trPr>
          <w:tblCellSpacing w:w="15" w:type="dxa"/>
        </w:trPr>
        <w:tc>
          <w:tcPr>
            <w:tcW w:w="1515" w:type="dxa"/>
            <w:vAlign w:val="center"/>
            <w:hideMark/>
          </w:tcPr>
          <w:p w:rsidR="00A25477" w:rsidRPr="00A25477" w:rsidRDefault="00A25477">
            <w:pPr>
              <w:rPr>
                <w:rFonts w:ascii="Arial" w:hAnsi="Arial" w:cs="Arial"/>
                <w:sz w:val="20"/>
                <w:szCs w:val="20"/>
              </w:rPr>
            </w:pPr>
            <w:r w:rsidRPr="00A25477">
              <w:rPr>
                <w:rStyle w:val="Strong"/>
                <w:rFonts w:ascii="Arial" w:hAnsi="Arial" w:cs="Arial"/>
                <w:sz w:val="20"/>
                <w:szCs w:val="20"/>
              </w:rPr>
              <w:t>WAPI</w:t>
            </w:r>
          </w:p>
        </w:tc>
        <w:tc>
          <w:tcPr>
            <w:tcW w:w="6759" w:type="dxa"/>
            <w:vAlign w:val="center"/>
            <w:hideMark/>
          </w:tcPr>
          <w:p w:rsidR="00A25477" w:rsidRPr="00A25477" w:rsidRDefault="00A25477">
            <w:pPr>
              <w:rPr>
                <w:rFonts w:ascii="Arial" w:hAnsi="Arial" w:cs="Arial"/>
                <w:sz w:val="20"/>
                <w:szCs w:val="20"/>
              </w:rPr>
            </w:pPr>
            <w:r w:rsidRPr="00A25477">
              <w:rPr>
                <w:rFonts w:ascii="Arial" w:hAnsi="Arial" w:cs="Arial"/>
                <w:sz w:val="20"/>
                <w:szCs w:val="20"/>
              </w:rPr>
              <w:t>World Aquaculture Performance Indicators (FAO)</w:t>
            </w:r>
          </w:p>
        </w:tc>
      </w:tr>
      <w:tr w:rsidR="00A25477" w:rsidRPr="00A25477" w:rsidTr="00A25477">
        <w:trPr>
          <w:tblCellSpacing w:w="15" w:type="dxa"/>
        </w:trPr>
        <w:tc>
          <w:tcPr>
            <w:tcW w:w="1515" w:type="dxa"/>
            <w:vAlign w:val="center"/>
            <w:hideMark/>
          </w:tcPr>
          <w:p w:rsidR="00A25477" w:rsidRPr="00A25477" w:rsidRDefault="00A25477">
            <w:pPr>
              <w:rPr>
                <w:rFonts w:ascii="Arial" w:hAnsi="Arial" w:cs="Arial"/>
                <w:sz w:val="20"/>
                <w:szCs w:val="20"/>
              </w:rPr>
            </w:pPr>
            <w:r w:rsidRPr="00A25477">
              <w:rPr>
                <w:rStyle w:val="Strong"/>
                <w:rFonts w:ascii="Arial" w:hAnsi="Arial" w:cs="Arial"/>
                <w:sz w:val="20"/>
                <w:szCs w:val="20"/>
              </w:rPr>
              <w:t>WEPA</w:t>
            </w:r>
          </w:p>
        </w:tc>
        <w:tc>
          <w:tcPr>
            <w:tcW w:w="6759" w:type="dxa"/>
            <w:vAlign w:val="center"/>
            <w:hideMark/>
          </w:tcPr>
          <w:p w:rsidR="00A25477" w:rsidRPr="00A25477" w:rsidRDefault="00A25477">
            <w:pPr>
              <w:rPr>
                <w:rFonts w:ascii="Arial" w:hAnsi="Arial" w:cs="Arial"/>
                <w:sz w:val="20"/>
                <w:szCs w:val="20"/>
              </w:rPr>
            </w:pPr>
            <w:r w:rsidRPr="00A25477">
              <w:rPr>
                <w:rFonts w:ascii="Arial" w:hAnsi="Arial" w:cs="Arial"/>
                <w:sz w:val="20"/>
                <w:szCs w:val="20"/>
              </w:rPr>
              <w:t>Water Environment Partnership in Asia</w:t>
            </w:r>
          </w:p>
        </w:tc>
      </w:tr>
      <w:tr w:rsidR="00A25477" w:rsidRPr="00A25477" w:rsidTr="00A25477">
        <w:trPr>
          <w:tblCellSpacing w:w="15" w:type="dxa"/>
        </w:trPr>
        <w:tc>
          <w:tcPr>
            <w:tcW w:w="1515" w:type="dxa"/>
            <w:vAlign w:val="center"/>
            <w:hideMark/>
          </w:tcPr>
          <w:p w:rsidR="00A25477" w:rsidRPr="00A25477" w:rsidRDefault="00A25477">
            <w:pPr>
              <w:rPr>
                <w:rFonts w:ascii="Arial" w:hAnsi="Arial" w:cs="Arial"/>
                <w:sz w:val="20"/>
                <w:szCs w:val="20"/>
              </w:rPr>
            </w:pPr>
            <w:r w:rsidRPr="00A25477">
              <w:rPr>
                <w:rStyle w:val="Strong"/>
                <w:rFonts w:ascii="Arial" w:hAnsi="Arial" w:cs="Arial"/>
                <w:sz w:val="20"/>
                <w:szCs w:val="20"/>
              </w:rPr>
              <w:t>WQI</w:t>
            </w:r>
          </w:p>
        </w:tc>
        <w:tc>
          <w:tcPr>
            <w:tcW w:w="6759" w:type="dxa"/>
            <w:vAlign w:val="center"/>
            <w:hideMark/>
          </w:tcPr>
          <w:p w:rsidR="00A25477" w:rsidRPr="00A25477" w:rsidRDefault="00A25477">
            <w:pPr>
              <w:rPr>
                <w:rFonts w:ascii="Arial" w:hAnsi="Arial" w:cs="Arial"/>
                <w:sz w:val="20"/>
                <w:szCs w:val="20"/>
              </w:rPr>
            </w:pPr>
            <w:r w:rsidRPr="00A25477">
              <w:rPr>
                <w:rFonts w:ascii="Arial" w:hAnsi="Arial" w:cs="Arial"/>
                <w:sz w:val="20"/>
                <w:szCs w:val="20"/>
              </w:rPr>
              <w:t>Water Quality Index</w:t>
            </w:r>
          </w:p>
        </w:tc>
      </w:tr>
      <w:tr w:rsidR="00A25477" w:rsidRPr="00A25477" w:rsidTr="00A25477">
        <w:trPr>
          <w:tblCellSpacing w:w="15" w:type="dxa"/>
        </w:trPr>
        <w:tc>
          <w:tcPr>
            <w:tcW w:w="1515" w:type="dxa"/>
            <w:vAlign w:val="center"/>
            <w:hideMark/>
          </w:tcPr>
          <w:p w:rsidR="00A25477" w:rsidRPr="00A25477" w:rsidRDefault="00A25477">
            <w:pPr>
              <w:rPr>
                <w:rFonts w:ascii="Arial" w:hAnsi="Arial" w:cs="Arial"/>
                <w:sz w:val="20"/>
                <w:szCs w:val="20"/>
              </w:rPr>
            </w:pPr>
            <w:r w:rsidRPr="00A25477">
              <w:rPr>
                <w:rStyle w:val="Strong"/>
                <w:rFonts w:ascii="Arial" w:hAnsi="Arial" w:cs="Arial"/>
                <w:sz w:val="20"/>
                <w:szCs w:val="20"/>
              </w:rPr>
              <w:t>WWTP</w:t>
            </w:r>
          </w:p>
        </w:tc>
        <w:tc>
          <w:tcPr>
            <w:tcW w:w="6759" w:type="dxa"/>
            <w:vAlign w:val="center"/>
            <w:hideMark/>
          </w:tcPr>
          <w:p w:rsidR="00A25477" w:rsidRPr="00A25477" w:rsidRDefault="00A25477">
            <w:pPr>
              <w:rPr>
                <w:rFonts w:ascii="Arial" w:hAnsi="Arial" w:cs="Arial"/>
                <w:sz w:val="20"/>
                <w:szCs w:val="20"/>
              </w:rPr>
            </w:pPr>
            <w:r w:rsidRPr="00A25477">
              <w:rPr>
                <w:rFonts w:ascii="Arial" w:hAnsi="Arial" w:cs="Arial"/>
                <w:sz w:val="20"/>
                <w:szCs w:val="20"/>
              </w:rPr>
              <w:t>Wastewater Treatment Plant</w:t>
            </w:r>
          </w:p>
        </w:tc>
      </w:tr>
      <w:tr w:rsidR="00A25477" w:rsidRPr="00A25477" w:rsidTr="00A25477">
        <w:trPr>
          <w:tblCellSpacing w:w="15" w:type="dxa"/>
        </w:trPr>
        <w:tc>
          <w:tcPr>
            <w:tcW w:w="1515" w:type="dxa"/>
            <w:vAlign w:val="center"/>
            <w:hideMark/>
          </w:tcPr>
          <w:p w:rsidR="00A25477" w:rsidRPr="00A25477" w:rsidRDefault="00A25477">
            <w:pPr>
              <w:rPr>
                <w:rFonts w:ascii="Arial" w:hAnsi="Arial" w:cs="Arial"/>
                <w:sz w:val="20"/>
                <w:szCs w:val="20"/>
              </w:rPr>
            </w:pPr>
            <w:r w:rsidRPr="00A25477">
              <w:rPr>
                <w:rStyle w:val="Strong"/>
                <w:rFonts w:ascii="Arial" w:hAnsi="Arial" w:cs="Arial"/>
                <w:sz w:val="20"/>
                <w:szCs w:val="20"/>
              </w:rPr>
              <w:t>Zn</w:t>
            </w:r>
          </w:p>
        </w:tc>
        <w:tc>
          <w:tcPr>
            <w:tcW w:w="6759" w:type="dxa"/>
            <w:vAlign w:val="center"/>
            <w:hideMark/>
          </w:tcPr>
          <w:p w:rsidR="00A25477" w:rsidRPr="00A25477" w:rsidRDefault="00A25477">
            <w:pPr>
              <w:rPr>
                <w:rFonts w:ascii="Arial" w:hAnsi="Arial" w:cs="Arial"/>
                <w:sz w:val="20"/>
                <w:szCs w:val="20"/>
              </w:rPr>
            </w:pPr>
            <w:r w:rsidRPr="00A25477">
              <w:rPr>
                <w:rFonts w:ascii="Arial" w:hAnsi="Arial" w:cs="Arial"/>
                <w:sz w:val="20"/>
                <w:szCs w:val="20"/>
              </w:rPr>
              <w:t>Zinc</w:t>
            </w:r>
          </w:p>
        </w:tc>
      </w:tr>
    </w:tbl>
    <w:p w:rsidR="00A25477" w:rsidRDefault="00A25477" w:rsidP="00185157">
      <w:pPr>
        <w:rPr>
          <w:rStyle w:val="Strong"/>
          <w:rFonts w:ascii="Arial" w:hAnsi="Arial" w:cs="Arial"/>
          <w:i/>
          <w:iCs/>
          <w:sz w:val="22"/>
          <w:szCs w:val="22"/>
        </w:rPr>
      </w:pPr>
    </w:p>
    <w:p w:rsidR="00452A45" w:rsidRPr="00F67343" w:rsidRDefault="00290C22" w:rsidP="000F5008">
      <w:pPr>
        <w:spacing w:before="240" w:after="240"/>
        <w:rPr>
          <w:rStyle w:val="Strong"/>
          <w:rFonts w:ascii="Arial" w:hAnsi="Arial" w:cs="Arial"/>
          <w:i/>
          <w:iCs/>
          <w:color w:val="002060"/>
          <w:sz w:val="22"/>
          <w:szCs w:val="22"/>
        </w:rPr>
      </w:pPr>
      <w:r>
        <w:rPr>
          <w:rStyle w:val="Strong"/>
          <w:rFonts w:ascii="Arial" w:hAnsi="Arial" w:cs="Arial"/>
          <w:i/>
          <w:iCs/>
          <w:color w:val="002060"/>
          <w:sz w:val="22"/>
          <w:szCs w:val="22"/>
        </w:rPr>
        <w:br w:type="column"/>
      </w:r>
      <w:r w:rsidR="000F5008" w:rsidRPr="00F67343">
        <w:rPr>
          <w:rStyle w:val="Strong"/>
          <w:rFonts w:ascii="Arial" w:hAnsi="Arial" w:cs="Arial"/>
          <w:i/>
          <w:iCs/>
          <w:color w:val="002060"/>
          <w:sz w:val="22"/>
          <w:szCs w:val="22"/>
        </w:rPr>
        <w:t>Annex 3-</w:t>
      </w:r>
      <w:r w:rsidR="000F5008" w:rsidRPr="00F67343">
        <w:rPr>
          <w:rStyle w:val="Strong"/>
          <w:rFonts w:ascii="Arial" w:hAnsi="Arial" w:cs="Arial"/>
          <w:i/>
          <w:iCs/>
          <w:color w:val="002060"/>
          <w:sz w:val="22"/>
          <w:szCs w:val="22"/>
        </w:rPr>
        <w:fldChar w:fldCharType="begin"/>
      </w:r>
      <w:r w:rsidR="000F5008" w:rsidRPr="00F67343">
        <w:rPr>
          <w:rStyle w:val="Strong"/>
          <w:rFonts w:ascii="Arial" w:hAnsi="Arial" w:cs="Arial"/>
          <w:i/>
          <w:iCs/>
          <w:color w:val="002060"/>
          <w:sz w:val="22"/>
          <w:szCs w:val="22"/>
        </w:rPr>
        <w:instrText xml:space="preserve"> SEQ Annex_3- \* ARABIC </w:instrText>
      </w:r>
      <w:r w:rsidR="000F5008" w:rsidRPr="00F67343">
        <w:rPr>
          <w:rStyle w:val="Strong"/>
          <w:rFonts w:ascii="Arial" w:hAnsi="Arial" w:cs="Arial"/>
          <w:i/>
          <w:iCs/>
          <w:color w:val="002060"/>
          <w:sz w:val="22"/>
          <w:szCs w:val="22"/>
        </w:rPr>
        <w:fldChar w:fldCharType="separate"/>
      </w:r>
      <w:r w:rsidR="00D35426">
        <w:rPr>
          <w:rStyle w:val="Strong"/>
          <w:rFonts w:ascii="Arial" w:hAnsi="Arial" w:cs="Arial"/>
          <w:i/>
          <w:iCs/>
          <w:noProof/>
          <w:color w:val="002060"/>
          <w:sz w:val="22"/>
          <w:szCs w:val="22"/>
        </w:rPr>
        <w:t>1</w:t>
      </w:r>
      <w:r w:rsidR="000F5008" w:rsidRPr="00F67343">
        <w:rPr>
          <w:rStyle w:val="Strong"/>
          <w:rFonts w:ascii="Arial" w:hAnsi="Arial" w:cs="Arial"/>
          <w:i/>
          <w:iCs/>
          <w:color w:val="002060"/>
          <w:sz w:val="22"/>
          <w:szCs w:val="22"/>
        </w:rPr>
        <w:fldChar w:fldCharType="end"/>
      </w:r>
      <w:r w:rsidR="000F5008" w:rsidRPr="00F67343">
        <w:rPr>
          <w:rStyle w:val="Strong"/>
          <w:rFonts w:ascii="Arial" w:hAnsi="Arial" w:cs="Arial"/>
          <w:i/>
          <w:iCs/>
          <w:color w:val="002060"/>
          <w:sz w:val="22"/>
          <w:szCs w:val="22"/>
        </w:rPr>
        <w:t xml:space="preserve"> Dataset and analysis framework, and complimentary note </w:t>
      </w:r>
    </w:p>
    <w:p w:rsidR="00DF2422" w:rsidRPr="001B2018" w:rsidRDefault="001E2162" w:rsidP="001B2018">
      <w:pPr>
        <w:pStyle w:val="Caption"/>
        <w:jc w:val="both"/>
        <w:rPr>
          <w:rFonts w:ascii="Arial" w:hAnsi="Arial" w:cs="Arial"/>
          <w:b/>
          <w:bCs/>
          <w:i w:val="0"/>
          <w:iCs w:val="0"/>
          <w:color w:val="0070C0"/>
          <w:sz w:val="22"/>
          <w:szCs w:val="22"/>
        </w:rPr>
      </w:pPr>
      <w:r>
        <w:rPr>
          <w:rFonts w:ascii="Arial" w:hAnsi="Arial" w:cs="Arial"/>
          <w:b/>
          <w:bCs/>
          <w:i w:val="0"/>
          <w:iCs w:val="0"/>
          <w:color w:val="0070C0"/>
          <w:sz w:val="22"/>
          <w:szCs w:val="22"/>
        </w:rPr>
        <w:t xml:space="preserve">A. </w:t>
      </w:r>
      <w:r w:rsidR="001B2018" w:rsidRPr="001B2018">
        <w:rPr>
          <w:rFonts w:ascii="Arial" w:hAnsi="Arial" w:cs="Arial"/>
          <w:b/>
          <w:bCs/>
          <w:i w:val="0"/>
          <w:iCs w:val="0"/>
          <w:color w:val="0070C0"/>
          <w:sz w:val="22"/>
          <w:szCs w:val="22"/>
        </w:rPr>
        <w:t xml:space="preserve"> </w:t>
      </w:r>
      <w:r w:rsidR="00DF2422" w:rsidRPr="001B2018">
        <w:rPr>
          <w:rFonts w:ascii="Arial" w:hAnsi="Arial" w:cs="Arial"/>
          <w:b/>
          <w:bCs/>
          <w:i w:val="0"/>
          <w:iCs w:val="0"/>
          <w:color w:val="0070C0"/>
          <w:sz w:val="22"/>
          <w:szCs w:val="22"/>
        </w:rPr>
        <w:t>Core Water-Quality Indicators</w:t>
      </w:r>
    </w:p>
    <w:p w:rsidR="00DF2422" w:rsidRPr="001B2018" w:rsidRDefault="00DF2422" w:rsidP="001B2018">
      <w:pPr>
        <w:pStyle w:val="NormalWeb"/>
        <w:jc w:val="both"/>
        <w:rPr>
          <w:rStyle w:val="relative"/>
          <w:rFonts w:ascii="Arial" w:hAnsi="Arial" w:cs="Arial"/>
          <w:sz w:val="22"/>
          <w:szCs w:val="22"/>
        </w:rPr>
      </w:pPr>
      <w:r w:rsidRPr="001B2018">
        <w:rPr>
          <w:rFonts w:ascii="Arial" w:hAnsi="Arial" w:cs="Arial"/>
          <w:sz w:val="22"/>
          <w:szCs w:val="22"/>
        </w:rPr>
        <w:t xml:space="preserve">This annex consolidates the core water-quality indicators used to diagnose organic pollution, nutrient enrichment and microbial contamination in Cambodia’s rivers, estuaries and coastal waters. It draws primarily on MoE’s river and coastal monitoring network, the Mekong River Commission’s Water Quality Monitoring Network (WQMN), and JICA drainage and sewerage studies in Phnom Penh. These datasets provide multi-year information on BOD, TSS, total nitrogen (TN), total phosphorus (TP), and fecal coliforms/E. coli, which together underpin the RQ and WQI analyses in the chapter. </w:t>
      </w:r>
    </w:p>
    <w:p w:rsidR="00DF2422" w:rsidRPr="001B2018" w:rsidRDefault="00DF2422" w:rsidP="001B2018">
      <w:pPr>
        <w:pStyle w:val="NormalWeb"/>
        <w:jc w:val="both"/>
        <w:rPr>
          <w:rFonts w:ascii="Arial" w:hAnsi="Arial" w:cs="Arial"/>
          <w:sz w:val="22"/>
          <w:szCs w:val="22"/>
        </w:rPr>
      </w:pPr>
      <w:r w:rsidRPr="001B2018">
        <w:rPr>
          <w:rFonts w:ascii="Arial" w:hAnsi="Arial" w:cs="Arial"/>
          <w:sz w:val="22"/>
          <w:szCs w:val="22"/>
        </w:rPr>
        <w:t>The indicators are used to detect hotspots where nutrient and microbial concentrations exceed Cambodian and ASEAN standards, and to trace land-based pollution pathways from Phnom Penh and major tributaries to coastal estuaries such as Kampot, Kep and Prek Toeuk Sap. Time-series trends (2010–2023) help identify whether conditions are improving, stable or deteriorating, and provide an empirical basis for classifying risk levels and prioritising interventions.</w:t>
      </w:r>
    </w:p>
    <w:p w:rsidR="00DF2422" w:rsidRPr="001B2018" w:rsidRDefault="001B2018" w:rsidP="001B2018">
      <w:pPr>
        <w:pStyle w:val="Caption"/>
        <w:keepNext/>
        <w:spacing w:before="240" w:after="120"/>
        <w:rPr>
          <w:rFonts w:ascii="Arial" w:hAnsi="Arial" w:cs="Arial"/>
          <w:color w:val="002060"/>
          <w:sz w:val="22"/>
          <w:szCs w:val="22"/>
        </w:rPr>
      </w:pPr>
      <w:r w:rsidRPr="001B2018">
        <w:rPr>
          <w:rFonts w:ascii="Arial" w:hAnsi="Arial" w:cs="Arial"/>
          <w:color w:val="002060"/>
          <w:sz w:val="22"/>
          <w:szCs w:val="22"/>
        </w:rPr>
        <w:t>Annex Table 3-</w:t>
      </w:r>
      <w:r w:rsidRPr="001B2018">
        <w:rPr>
          <w:rFonts w:ascii="Arial" w:hAnsi="Arial" w:cs="Arial"/>
          <w:color w:val="002060"/>
          <w:sz w:val="22"/>
          <w:szCs w:val="22"/>
        </w:rPr>
        <w:fldChar w:fldCharType="begin"/>
      </w:r>
      <w:r w:rsidRPr="001B2018">
        <w:rPr>
          <w:rFonts w:ascii="Arial" w:hAnsi="Arial" w:cs="Arial"/>
          <w:color w:val="002060"/>
          <w:sz w:val="22"/>
          <w:szCs w:val="22"/>
        </w:rPr>
        <w:instrText xml:space="preserve"> SEQ Annex_Table_3- \* ARABIC </w:instrText>
      </w:r>
      <w:r w:rsidRPr="001B2018">
        <w:rPr>
          <w:rFonts w:ascii="Arial" w:hAnsi="Arial" w:cs="Arial"/>
          <w:color w:val="002060"/>
          <w:sz w:val="22"/>
          <w:szCs w:val="22"/>
        </w:rPr>
        <w:fldChar w:fldCharType="separate"/>
      </w:r>
      <w:r w:rsidR="00D35426">
        <w:rPr>
          <w:rFonts w:ascii="Arial" w:hAnsi="Arial" w:cs="Arial"/>
          <w:noProof/>
          <w:color w:val="002060"/>
          <w:sz w:val="22"/>
          <w:szCs w:val="22"/>
        </w:rPr>
        <w:t>1</w:t>
      </w:r>
      <w:r w:rsidRPr="001B2018">
        <w:rPr>
          <w:rFonts w:ascii="Arial" w:hAnsi="Arial" w:cs="Arial"/>
          <w:color w:val="002060"/>
          <w:sz w:val="22"/>
          <w:szCs w:val="22"/>
        </w:rPr>
        <w:fldChar w:fldCharType="end"/>
      </w:r>
      <w:r>
        <w:rPr>
          <w:rFonts w:ascii="Arial" w:hAnsi="Arial" w:cs="Arial"/>
          <w:color w:val="002060"/>
          <w:sz w:val="22"/>
          <w:szCs w:val="22"/>
        </w:rPr>
        <w:t xml:space="preserve"> C</w:t>
      </w:r>
      <w:r w:rsidRPr="001B2018">
        <w:rPr>
          <w:rFonts w:ascii="Arial" w:hAnsi="Arial" w:cs="Arial"/>
          <w:color w:val="002060"/>
          <w:sz w:val="22"/>
          <w:szCs w:val="22"/>
        </w:rPr>
        <w:t>ore water-quality indicators: data sources, metadata, and assessment method</w:t>
      </w:r>
    </w:p>
    <w:tbl>
      <w:tblPr>
        <w:tblStyle w:val="GridTable4-Accent5"/>
        <w:tblW w:w="0" w:type="auto"/>
        <w:tblLook w:val="04A0" w:firstRow="1" w:lastRow="0" w:firstColumn="1" w:lastColumn="0" w:noHBand="0" w:noVBand="1"/>
      </w:tblPr>
      <w:tblGrid>
        <w:gridCol w:w="1413"/>
        <w:gridCol w:w="7597"/>
      </w:tblGrid>
      <w:tr w:rsidR="006C2D54" w:rsidRPr="001B2018" w:rsidTr="006C2D54">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13" w:type="dxa"/>
            <w:hideMark/>
          </w:tcPr>
          <w:p w:rsidR="00DF2422" w:rsidRPr="006C2D54" w:rsidRDefault="00DF2422" w:rsidP="006C2D54">
            <w:pPr>
              <w:jc w:val="center"/>
              <w:rPr>
                <w:rFonts w:ascii="Arial" w:hAnsi="Arial" w:cs="Arial"/>
                <w:sz w:val="20"/>
                <w:szCs w:val="20"/>
              </w:rPr>
            </w:pPr>
            <w:r w:rsidRPr="006C2D54">
              <w:rPr>
                <w:rStyle w:val="Strong"/>
                <w:rFonts w:ascii="Arial" w:hAnsi="Arial" w:cs="Arial"/>
                <w:sz w:val="20"/>
                <w:szCs w:val="20"/>
              </w:rPr>
              <w:t>Category</w:t>
            </w:r>
          </w:p>
        </w:tc>
        <w:tc>
          <w:tcPr>
            <w:tcW w:w="7597" w:type="dxa"/>
            <w:hideMark/>
          </w:tcPr>
          <w:p w:rsidR="00DF2422" w:rsidRPr="006C2D54" w:rsidRDefault="00DF2422" w:rsidP="006C2D54">
            <w:pPr>
              <w:jc w:val="center"/>
              <w:cnfStyle w:val="100000000000" w:firstRow="1" w:lastRow="0" w:firstColumn="0" w:lastColumn="0" w:oddVBand="0" w:evenVBand="0" w:oddHBand="0" w:evenHBand="0" w:firstRowFirstColumn="0" w:firstRowLastColumn="0" w:lastRowFirstColumn="0" w:lastRowLastColumn="0"/>
              <w:rPr>
                <w:rFonts w:ascii="Arial" w:hAnsi="Arial" w:cs="Arial"/>
                <w:sz w:val="20"/>
                <w:szCs w:val="20"/>
              </w:rPr>
            </w:pPr>
            <w:r w:rsidRPr="006C2D54">
              <w:rPr>
                <w:rStyle w:val="Strong"/>
                <w:rFonts w:ascii="Arial" w:hAnsi="Arial" w:cs="Arial"/>
                <w:b/>
                <w:bCs/>
                <w:sz w:val="20"/>
                <w:szCs w:val="20"/>
              </w:rPr>
              <w:t>Details</w:t>
            </w:r>
          </w:p>
        </w:tc>
      </w:tr>
      <w:tr w:rsidR="006C2D54" w:rsidRPr="001B2018" w:rsidTr="006C2D5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13" w:type="dxa"/>
            <w:hideMark/>
          </w:tcPr>
          <w:p w:rsidR="00DF2422" w:rsidRPr="006C2D54" w:rsidRDefault="00DF2422" w:rsidP="001B2018">
            <w:pPr>
              <w:jc w:val="both"/>
              <w:rPr>
                <w:rFonts w:ascii="Arial" w:hAnsi="Arial" w:cs="Arial"/>
                <w:b w:val="0"/>
                <w:bCs w:val="0"/>
                <w:sz w:val="20"/>
                <w:szCs w:val="20"/>
              </w:rPr>
            </w:pPr>
            <w:r w:rsidRPr="006C2D54">
              <w:rPr>
                <w:rStyle w:val="Strong"/>
                <w:rFonts w:ascii="Arial" w:hAnsi="Arial" w:cs="Arial"/>
                <w:b/>
                <w:bCs/>
                <w:sz w:val="20"/>
                <w:szCs w:val="20"/>
              </w:rPr>
              <w:t>Data Sources</w:t>
            </w:r>
          </w:p>
        </w:tc>
        <w:tc>
          <w:tcPr>
            <w:tcW w:w="7597" w:type="dxa"/>
            <w:hideMark/>
          </w:tcPr>
          <w:p w:rsidR="002947AD" w:rsidRDefault="00DF2422" w:rsidP="002947AD">
            <w:pPr>
              <w:pStyle w:val="ListParagraph"/>
              <w:numPr>
                <w:ilvl w:val="0"/>
                <w:numId w:val="41"/>
              </w:numPr>
              <w:ind w:left="202" w:hanging="218"/>
              <w:jc w:val="both"/>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947AD">
              <w:rPr>
                <w:rFonts w:ascii="Arial" w:hAnsi="Arial" w:cs="Arial"/>
                <w:sz w:val="20"/>
                <w:szCs w:val="20"/>
              </w:rPr>
              <w:t xml:space="preserve">MoE river &amp; coastal monitoring network (BOD, TSS, TN, TP, FC; c.2015–2023) </w:t>
            </w:r>
          </w:p>
          <w:p w:rsidR="002947AD" w:rsidRDefault="00DF2422" w:rsidP="002947AD">
            <w:pPr>
              <w:pStyle w:val="ListParagraph"/>
              <w:numPr>
                <w:ilvl w:val="0"/>
                <w:numId w:val="41"/>
              </w:numPr>
              <w:ind w:left="202" w:hanging="218"/>
              <w:jc w:val="both"/>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947AD">
              <w:rPr>
                <w:rFonts w:ascii="Arial" w:hAnsi="Arial" w:cs="Arial"/>
                <w:sz w:val="20"/>
                <w:szCs w:val="20"/>
              </w:rPr>
              <w:t>MRC WQMN (Mekong, Tonle Sap, Bassac stations; nutrients &amp; coliforms; 2012–2022)</w:t>
            </w:r>
          </w:p>
          <w:p w:rsidR="002947AD" w:rsidRDefault="00DF2422" w:rsidP="002947AD">
            <w:pPr>
              <w:pStyle w:val="ListParagraph"/>
              <w:numPr>
                <w:ilvl w:val="0"/>
                <w:numId w:val="41"/>
              </w:numPr>
              <w:ind w:left="202" w:hanging="218"/>
              <w:jc w:val="both"/>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947AD">
              <w:rPr>
                <w:rFonts w:ascii="Arial" w:hAnsi="Arial" w:cs="Arial"/>
                <w:sz w:val="20"/>
                <w:szCs w:val="20"/>
              </w:rPr>
              <w:t>JICA drainage &amp; sewerage studies for Phnom Penh canals (Trabek, Tumpun; 2010–2013)</w:t>
            </w:r>
          </w:p>
          <w:p w:rsidR="00DF2422" w:rsidRPr="002947AD" w:rsidRDefault="00DF2422" w:rsidP="002947AD">
            <w:pPr>
              <w:pStyle w:val="ListParagraph"/>
              <w:numPr>
                <w:ilvl w:val="0"/>
                <w:numId w:val="41"/>
              </w:numPr>
              <w:ind w:left="202" w:hanging="218"/>
              <w:jc w:val="both"/>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947AD">
              <w:rPr>
                <w:rFonts w:ascii="Arial" w:hAnsi="Arial" w:cs="Arial"/>
                <w:sz w:val="20"/>
                <w:szCs w:val="20"/>
              </w:rPr>
              <w:t xml:space="preserve">ADB/MoE special surveys in Kep and selected estuaries. </w:t>
            </w:r>
          </w:p>
        </w:tc>
      </w:tr>
      <w:tr w:rsidR="00DF2422" w:rsidRPr="001B2018" w:rsidTr="006C2D54">
        <w:tc>
          <w:tcPr>
            <w:cnfStyle w:val="001000000000" w:firstRow="0" w:lastRow="0" w:firstColumn="1" w:lastColumn="0" w:oddVBand="0" w:evenVBand="0" w:oddHBand="0" w:evenHBand="0" w:firstRowFirstColumn="0" w:firstRowLastColumn="0" w:lastRowFirstColumn="0" w:lastRowLastColumn="0"/>
            <w:tcW w:w="1413" w:type="dxa"/>
            <w:hideMark/>
          </w:tcPr>
          <w:p w:rsidR="00DF2422" w:rsidRPr="001B2018" w:rsidRDefault="00DF2422" w:rsidP="001B2018">
            <w:pPr>
              <w:jc w:val="both"/>
              <w:rPr>
                <w:rFonts w:ascii="Arial" w:hAnsi="Arial" w:cs="Arial"/>
                <w:sz w:val="20"/>
                <w:szCs w:val="20"/>
              </w:rPr>
            </w:pPr>
            <w:r w:rsidRPr="001B2018">
              <w:rPr>
                <w:rStyle w:val="Strong"/>
                <w:rFonts w:ascii="Arial" w:hAnsi="Arial" w:cs="Arial"/>
                <w:sz w:val="20"/>
                <w:szCs w:val="20"/>
              </w:rPr>
              <w:t>Metadata</w:t>
            </w:r>
          </w:p>
        </w:tc>
        <w:tc>
          <w:tcPr>
            <w:tcW w:w="7597" w:type="dxa"/>
            <w:hideMark/>
          </w:tcPr>
          <w:p w:rsidR="002947AD" w:rsidRDefault="00DF2422" w:rsidP="002947AD">
            <w:pPr>
              <w:pStyle w:val="ListParagraph"/>
              <w:numPr>
                <w:ilvl w:val="0"/>
                <w:numId w:val="41"/>
              </w:numPr>
              <w:ind w:left="202" w:hanging="218"/>
              <w:jc w:val="both"/>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2947AD">
              <w:rPr>
                <w:rFonts w:ascii="Arial" w:hAnsi="Arial" w:cs="Arial"/>
                <w:sz w:val="20"/>
                <w:szCs w:val="20"/>
              </w:rPr>
              <w:t>Parameters: BOD, TSS, TN, TP, fecal coliforms/E. coli.</w:t>
            </w:r>
          </w:p>
          <w:p w:rsidR="002947AD" w:rsidRDefault="00DF2422" w:rsidP="002947AD">
            <w:pPr>
              <w:pStyle w:val="ListParagraph"/>
              <w:numPr>
                <w:ilvl w:val="0"/>
                <w:numId w:val="41"/>
              </w:numPr>
              <w:ind w:left="202" w:hanging="218"/>
              <w:jc w:val="both"/>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2947AD">
              <w:rPr>
                <w:rFonts w:ascii="Arial" w:hAnsi="Arial" w:cs="Arial"/>
                <w:sz w:val="20"/>
                <w:szCs w:val="20"/>
              </w:rPr>
              <w:t xml:space="preserve">Units: mg/L (BOD, TSS, TN, TP); CFU/100 mL or MPN/100 mL (microbial). </w:t>
            </w:r>
          </w:p>
          <w:p w:rsidR="002947AD" w:rsidRDefault="00DF2422" w:rsidP="002947AD">
            <w:pPr>
              <w:pStyle w:val="ListParagraph"/>
              <w:numPr>
                <w:ilvl w:val="0"/>
                <w:numId w:val="41"/>
              </w:numPr>
              <w:ind w:left="202" w:hanging="218"/>
              <w:jc w:val="both"/>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2947AD">
              <w:rPr>
                <w:rFonts w:ascii="Arial" w:hAnsi="Arial" w:cs="Arial"/>
                <w:sz w:val="20"/>
                <w:szCs w:val="20"/>
              </w:rPr>
              <w:t xml:space="preserve">Coverage: main Mekong–Tonle Sap–Bassac stations plus coastal/estuarine sites in Kampot, Kep, Koh Kong, Preah Sihanouk. </w:t>
            </w:r>
          </w:p>
          <w:p w:rsidR="002947AD" w:rsidRDefault="00DF2422" w:rsidP="002947AD">
            <w:pPr>
              <w:pStyle w:val="ListParagraph"/>
              <w:numPr>
                <w:ilvl w:val="0"/>
                <w:numId w:val="41"/>
              </w:numPr>
              <w:ind w:left="202" w:hanging="218"/>
              <w:jc w:val="both"/>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2947AD">
              <w:rPr>
                <w:rFonts w:ascii="Arial" w:hAnsi="Arial" w:cs="Arial"/>
                <w:sz w:val="20"/>
                <w:szCs w:val="20"/>
              </w:rPr>
              <w:t xml:space="preserve">Frequency: typically monthly–quarterly; higher for some JICA canal datasets. </w:t>
            </w:r>
          </w:p>
          <w:p w:rsidR="00DF2422" w:rsidRPr="002947AD" w:rsidRDefault="00DF2422" w:rsidP="002947AD">
            <w:pPr>
              <w:pStyle w:val="ListParagraph"/>
              <w:numPr>
                <w:ilvl w:val="0"/>
                <w:numId w:val="41"/>
              </w:numPr>
              <w:ind w:left="202" w:hanging="218"/>
              <w:jc w:val="both"/>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2947AD">
              <w:rPr>
                <w:rFonts w:ascii="Arial" w:hAnsi="Arial" w:cs="Arial"/>
                <w:sz w:val="20"/>
                <w:szCs w:val="20"/>
              </w:rPr>
              <w:t xml:space="preserve">Reference standards: Cambodian ambient water standards and ASEAN Marine Water Quality Guidelines. </w:t>
            </w:r>
          </w:p>
        </w:tc>
      </w:tr>
      <w:tr w:rsidR="006C2D54" w:rsidRPr="001B2018" w:rsidTr="006C2D5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13" w:type="dxa"/>
            <w:hideMark/>
          </w:tcPr>
          <w:p w:rsidR="00DF2422" w:rsidRPr="001B2018" w:rsidRDefault="00DF2422" w:rsidP="001B2018">
            <w:pPr>
              <w:jc w:val="both"/>
              <w:rPr>
                <w:rFonts w:ascii="Arial" w:hAnsi="Arial" w:cs="Arial"/>
                <w:sz w:val="20"/>
                <w:szCs w:val="20"/>
              </w:rPr>
            </w:pPr>
            <w:r w:rsidRPr="001B2018">
              <w:rPr>
                <w:rStyle w:val="Strong"/>
                <w:rFonts w:ascii="Arial" w:hAnsi="Arial" w:cs="Arial"/>
                <w:sz w:val="20"/>
                <w:szCs w:val="20"/>
              </w:rPr>
              <w:t>Assessment Method</w:t>
            </w:r>
          </w:p>
        </w:tc>
        <w:tc>
          <w:tcPr>
            <w:tcW w:w="7597" w:type="dxa"/>
            <w:hideMark/>
          </w:tcPr>
          <w:p w:rsidR="002947AD" w:rsidRDefault="00DF2422" w:rsidP="002947AD">
            <w:pPr>
              <w:pStyle w:val="ListParagraph"/>
              <w:numPr>
                <w:ilvl w:val="0"/>
                <w:numId w:val="41"/>
              </w:numPr>
              <w:ind w:left="202" w:hanging="218"/>
              <w:jc w:val="both"/>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947AD">
              <w:rPr>
                <w:rFonts w:ascii="Arial" w:hAnsi="Arial" w:cs="Arial"/>
                <w:sz w:val="20"/>
                <w:szCs w:val="20"/>
              </w:rPr>
              <w:t>Compute RQ = observed / standard for each parameter and station to classify risk (RQ&lt;1 compliant; 1–2 moderate; &gt;2 high; &gt;3–5 severe).</w:t>
            </w:r>
          </w:p>
          <w:p w:rsidR="002947AD" w:rsidRDefault="00DF2422" w:rsidP="002947AD">
            <w:pPr>
              <w:pStyle w:val="ListParagraph"/>
              <w:numPr>
                <w:ilvl w:val="0"/>
                <w:numId w:val="41"/>
              </w:numPr>
              <w:ind w:left="202" w:hanging="218"/>
              <w:jc w:val="both"/>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947AD">
              <w:rPr>
                <w:rFonts w:ascii="Arial" w:hAnsi="Arial" w:cs="Arial"/>
                <w:sz w:val="20"/>
                <w:szCs w:val="20"/>
              </w:rPr>
              <w:t>Derive simple Water Quality Index (WQI) classes (good–very poor) from DO, BOD, TN/TP, coliforms and TSS where data allow.</w:t>
            </w:r>
          </w:p>
          <w:p w:rsidR="002947AD" w:rsidRDefault="00DF2422" w:rsidP="002947AD">
            <w:pPr>
              <w:pStyle w:val="ListParagraph"/>
              <w:numPr>
                <w:ilvl w:val="0"/>
                <w:numId w:val="41"/>
              </w:numPr>
              <w:ind w:left="202" w:hanging="218"/>
              <w:jc w:val="both"/>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947AD">
              <w:rPr>
                <w:rFonts w:ascii="Arial" w:hAnsi="Arial" w:cs="Arial"/>
                <w:sz w:val="20"/>
                <w:szCs w:val="20"/>
              </w:rPr>
              <w:t>Map hotspots where multiple parameters exceed thresholds over several years (e.g. Phnom Penh confluence, Kampot estuary, Prek Toeuk Sap).</w:t>
            </w:r>
          </w:p>
          <w:p w:rsidR="00DF2422" w:rsidRPr="002947AD" w:rsidRDefault="00DF2422" w:rsidP="002947AD">
            <w:pPr>
              <w:pStyle w:val="ListParagraph"/>
              <w:numPr>
                <w:ilvl w:val="0"/>
                <w:numId w:val="41"/>
              </w:numPr>
              <w:ind w:left="202" w:hanging="218"/>
              <w:jc w:val="both"/>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947AD">
              <w:rPr>
                <w:rFonts w:ascii="Arial" w:hAnsi="Arial" w:cs="Arial"/>
                <w:sz w:val="20"/>
                <w:szCs w:val="20"/>
              </w:rPr>
              <w:t xml:space="preserve">Compare trends over time to judge whether nutrient and microbial loads are increasing or stabilising. </w:t>
            </w:r>
          </w:p>
        </w:tc>
      </w:tr>
    </w:tbl>
    <w:p w:rsidR="00DF2422" w:rsidRPr="001B2018" w:rsidRDefault="00DF2422" w:rsidP="001B2018">
      <w:pPr>
        <w:jc w:val="both"/>
        <w:rPr>
          <w:rFonts w:ascii="Arial" w:hAnsi="Arial" w:cs="Arial"/>
          <w:sz w:val="22"/>
          <w:szCs w:val="22"/>
        </w:rPr>
      </w:pPr>
    </w:p>
    <w:p w:rsidR="00D81553" w:rsidRPr="001B2018" w:rsidRDefault="00DF2422" w:rsidP="001B2018">
      <w:pPr>
        <w:jc w:val="both"/>
        <w:rPr>
          <w:rFonts w:ascii="Arial" w:hAnsi="Arial" w:cs="Arial"/>
          <w:sz w:val="22"/>
          <w:szCs w:val="22"/>
        </w:rPr>
      </w:pPr>
      <w:r w:rsidRPr="001B2018">
        <w:rPr>
          <w:rFonts w:ascii="Arial" w:hAnsi="Arial" w:cs="Arial"/>
          <w:sz w:val="22"/>
          <w:szCs w:val="22"/>
        </w:rPr>
        <w:t xml:space="preserve">The combined BOD, TSS, TN, TP and coliform datasets demonstrate that chronic nutrient and microbial exceedances now affect multiple estuaries, particularly downstream of Phnom Penh and in semi-enclosed coastal bays. RQ and WQI scores highlight “poor–very poor” conditions in canals and estuaries feeding the Mekong–Bassac system and key coastal hotspots, supporting the chapter’s conclusion that untreated wastewater, agriculture and aquaculture are the dominant drivers of eutrophication and public-health risk. </w:t>
      </w:r>
    </w:p>
    <w:p w:rsidR="00452A45" w:rsidRPr="001B2018" w:rsidRDefault="00452A45" w:rsidP="001B2018">
      <w:pPr>
        <w:pStyle w:val="Caption"/>
        <w:keepNext/>
        <w:spacing w:before="240" w:after="120"/>
        <w:rPr>
          <w:rFonts w:ascii="Arial" w:hAnsi="Arial" w:cs="Arial"/>
          <w:color w:val="002060"/>
          <w:sz w:val="22"/>
          <w:szCs w:val="22"/>
        </w:rPr>
      </w:pPr>
      <w:r w:rsidRPr="001B2018">
        <w:rPr>
          <w:rFonts w:ascii="Arial" w:hAnsi="Arial" w:cs="Arial"/>
          <w:color w:val="002060"/>
          <w:sz w:val="22"/>
          <w:szCs w:val="22"/>
        </w:rPr>
        <w:t>Annex Table 3-</w:t>
      </w:r>
      <w:r w:rsidRPr="001B2018">
        <w:rPr>
          <w:rFonts w:ascii="Arial" w:hAnsi="Arial" w:cs="Arial"/>
          <w:color w:val="002060"/>
          <w:sz w:val="22"/>
          <w:szCs w:val="22"/>
        </w:rPr>
        <w:fldChar w:fldCharType="begin"/>
      </w:r>
      <w:r w:rsidRPr="001B2018">
        <w:rPr>
          <w:rFonts w:ascii="Arial" w:hAnsi="Arial" w:cs="Arial"/>
          <w:color w:val="002060"/>
          <w:sz w:val="22"/>
          <w:szCs w:val="22"/>
        </w:rPr>
        <w:instrText xml:space="preserve"> SEQ Annex_Table_3- \* ARABIC </w:instrText>
      </w:r>
      <w:r w:rsidRPr="001B2018">
        <w:rPr>
          <w:rFonts w:ascii="Arial" w:hAnsi="Arial" w:cs="Arial"/>
          <w:color w:val="002060"/>
          <w:sz w:val="22"/>
          <w:szCs w:val="22"/>
        </w:rPr>
        <w:fldChar w:fldCharType="separate"/>
      </w:r>
      <w:r w:rsidR="00D35426">
        <w:rPr>
          <w:rFonts w:ascii="Arial" w:hAnsi="Arial" w:cs="Arial"/>
          <w:noProof/>
          <w:color w:val="002060"/>
          <w:sz w:val="22"/>
          <w:szCs w:val="22"/>
        </w:rPr>
        <w:t>2</w:t>
      </w:r>
      <w:r w:rsidRPr="001B2018">
        <w:rPr>
          <w:rFonts w:ascii="Arial" w:hAnsi="Arial" w:cs="Arial"/>
          <w:color w:val="002060"/>
          <w:sz w:val="22"/>
          <w:szCs w:val="22"/>
        </w:rPr>
        <w:fldChar w:fldCharType="end"/>
      </w:r>
      <w:r w:rsidRPr="001B2018">
        <w:rPr>
          <w:rFonts w:ascii="Arial" w:hAnsi="Arial" w:cs="Arial"/>
          <w:color w:val="002060"/>
          <w:sz w:val="22"/>
          <w:szCs w:val="22"/>
        </w:rPr>
        <w:t xml:space="preserve"> </w:t>
      </w:r>
      <w:r w:rsidR="00290C22" w:rsidRPr="001B2018">
        <w:rPr>
          <w:rFonts w:ascii="Arial" w:hAnsi="Arial" w:cs="Arial"/>
          <w:color w:val="002060"/>
          <w:sz w:val="22"/>
          <w:szCs w:val="22"/>
        </w:rPr>
        <w:t xml:space="preserve">Water quality indicator summary </w:t>
      </w:r>
      <w:r w:rsidRPr="001B2018">
        <w:rPr>
          <w:rFonts w:ascii="Arial" w:hAnsi="Arial" w:cs="Arial"/>
          <w:color w:val="002060"/>
          <w:sz w:val="22"/>
          <w:szCs w:val="22"/>
        </w:rPr>
        <w:t>(BOD, TSS, TN, TP, FC)</w:t>
      </w:r>
    </w:p>
    <w:tbl>
      <w:tblPr>
        <w:tblStyle w:val="GridTable4-Accent5"/>
        <w:tblW w:w="0" w:type="auto"/>
        <w:tblLook w:val="04A0" w:firstRow="1" w:lastRow="0" w:firstColumn="1" w:lastColumn="0" w:noHBand="0" w:noVBand="1"/>
      </w:tblPr>
      <w:tblGrid>
        <w:gridCol w:w="1207"/>
        <w:gridCol w:w="1063"/>
        <w:gridCol w:w="1129"/>
        <w:gridCol w:w="1228"/>
        <w:gridCol w:w="2031"/>
        <w:gridCol w:w="2352"/>
      </w:tblGrid>
      <w:tr w:rsidR="00452A45" w:rsidRPr="002947AD" w:rsidTr="00C6532D">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rsidR="00452A45" w:rsidRPr="002947AD" w:rsidRDefault="00452A45" w:rsidP="001B2018">
            <w:pPr>
              <w:jc w:val="both"/>
              <w:rPr>
                <w:rFonts w:ascii="Arial" w:hAnsi="Arial" w:cs="Arial"/>
                <w:b w:val="0"/>
                <w:bCs w:val="0"/>
                <w:sz w:val="20"/>
                <w:szCs w:val="20"/>
              </w:rPr>
            </w:pPr>
            <w:r w:rsidRPr="002947AD">
              <w:rPr>
                <w:rStyle w:val="Strong"/>
                <w:rFonts w:ascii="Arial" w:hAnsi="Arial" w:cs="Arial"/>
                <w:b/>
                <w:bCs/>
                <w:sz w:val="20"/>
                <w:szCs w:val="20"/>
              </w:rPr>
              <w:t>Indicator</w:t>
            </w:r>
          </w:p>
        </w:tc>
        <w:tc>
          <w:tcPr>
            <w:tcW w:w="1063" w:type="dxa"/>
            <w:hideMark/>
          </w:tcPr>
          <w:p w:rsidR="00452A45" w:rsidRPr="002947AD" w:rsidRDefault="00452A45" w:rsidP="001B2018">
            <w:pPr>
              <w:jc w:val="both"/>
              <w:cnfStyle w:val="100000000000" w:firstRow="1" w:lastRow="0" w:firstColumn="0" w:lastColumn="0" w:oddVBand="0" w:evenVBand="0" w:oddHBand="0" w:evenHBand="0" w:firstRowFirstColumn="0" w:firstRowLastColumn="0" w:lastRowFirstColumn="0" w:lastRowLastColumn="0"/>
              <w:rPr>
                <w:rFonts w:ascii="Arial" w:hAnsi="Arial" w:cs="Arial"/>
                <w:b w:val="0"/>
                <w:bCs w:val="0"/>
                <w:sz w:val="20"/>
                <w:szCs w:val="20"/>
              </w:rPr>
            </w:pPr>
            <w:r w:rsidRPr="002947AD">
              <w:rPr>
                <w:rStyle w:val="Strong"/>
                <w:rFonts w:ascii="Arial" w:hAnsi="Arial" w:cs="Arial"/>
                <w:b/>
                <w:bCs/>
                <w:sz w:val="20"/>
                <w:szCs w:val="20"/>
              </w:rPr>
              <w:t>Units</w:t>
            </w:r>
          </w:p>
        </w:tc>
        <w:tc>
          <w:tcPr>
            <w:tcW w:w="1129" w:type="dxa"/>
            <w:hideMark/>
          </w:tcPr>
          <w:p w:rsidR="00452A45" w:rsidRPr="002947AD" w:rsidRDefault="00452A45" w:rsidP="001B2018">
            <w:pPr>
              <w:jc w:val="both"/>
              <w:cnfStyle w:val="100000000000" w:firstRow="1" w:lastRow="0" w:firstColumn="0" w:lastColumn="0" w:oddVBand="0" w:evenVBand="0" w:oddHBand="0" w:evenHBand="0" w:firstRowFirstColumn="0" w:firstRowLastColumn="0" w:lastRowFirstColumn="0" w:lastRowLastColumn="0"/>
              <w:rPr>
                <w:rFonts w:ascii="Arial" w:hAnsi="Arial" w:cs="Arial"/>
                <w:b w:val="0"/>
                <w:bCs w:val="0"/>
                <w:sz w:val="20"/>
                <w:szCs w:val="20"/>
              </w:rPr>
            </w:pPr>
            <w:r w:rsidRPr="002947AD">
              <w:rPr>
                <w:rStyle w:val="Strong"/>
                <w:rFonts w:ascii="Arial" w:hAnsi="Arial" w:cs="Arial"/>
                <w:b/>
                <w:bCs/>
                <w:sz w:val="20"/>
                <w:szCs w:val="20"/>
              </w:rPr>
              <w:t>Data Sources</w:t>
            </w:r>
          </w:p>
        </w:tc>
        <w:tc>
          <w:tcPr>
            <w:tcW w:w="1228" w:type="dxa"/>
            <w:hideMark/>
          </w:tcPr>
          <w:p w:rsidR="00452A45" w:rsidRPr="002947AD" w:rsidRDefault="00452A45" w:rsidP="001B2018">
            <w:pPr>
              <w:jc w:val="both"/>
              <w:cnfStyle w:val="100000000000" w:firstRow="1" w:lastRow="0" w:firstColumn="0" w:lastColumn="0" w:oddVBand="0" w:evenVBand="0" w:oddHBand="0" w:evenHBand="0" w:firstRowFirstColumn="0" w:firstRowLastColumn="0" w:lastRowFirstColumn="0" w:lastRowLastColumn="0"/>
              <w:rPr>
                <w:rFonts w:ascii="Arial" w:hAnsi="Arial" w:cs="Arial"/>
                <w:b w:val="0"/>
                <w:bCs w:val="0"/>
                <w:sz w:val="20"/>
                <w:szCs w:val="20"/>
              </w:rPr>
            </w:pPr>
            <w:r w:rsidRPr="002947AD">
              <w:rPr>
                <w:rStyle w:val="Strong"/>
                <w:rFonts w:ascii="Arial" w:hAnsi="Arial" w:cs="Arial"/>
                <w:b/>
                <w:bCs/>
                <w:sz w:val="20"/>
                <w:szCs w:val="20"/>
              </w:rPr>
              <w:t>Sampling Frequency</w:t>
            </w:r>
          </w:p>
        </w:tc>
        <w:tc>
          <w:tcPr>
            <w:tcW w:w="2031" w:type="dxa"/>
            <w:hideMark/>
          </w:tcPr>
          <w:p w:rsidR="00452A45" w:rsidRPr="002947AD" w:rsidRDefault="00452A45" w:rsidP="001B2018">
            <w:pPr>
              <w:jc w:val="both"/>
              <w:cnfStyle w:val="100000000000" w:firstRow="1" w:lastRow="0" w:firstColumn="0" w:lastColumn="0" w:oddVBand="0" w:evenVBand="0" w:oddHBand="0" w:evenHBand="0" w:firstRowFirstColumn="0" w:firstRowLastColumn="0" w:lastRowFirstColumn="0" w:lastRowLastColumn="0"/>
              <w:rPr>
                <w:rFonts w:ascii="Arial" w:hAnsi="Arial" w:cs="Arial"/>
                <w:b w:val="0"/>
                <w:bCs w:val="0"/>
                <w:sz w:val="20"/>
                <w:szCs w:val="20"/>
              </w:rPr>
            </w:pPr>
            <w:r w:rsidRPr="002947AD">
              <w:rPr>
                <w:rStyle w:val="Strong"/>
                <w:rFonts w:ascii="Arial" w:hAnsi="Arial" w:cs="Arial"/>
                <w:b/>
                <w:bCs/>
                <w:sz w:val="20"/>
                <w:szCs w:val="20"/>
              </w:rPr>
              <w:t>Method / Standard</w:t>
            </w:r>
          </w:p>
        </w:tc>
        <w:tc>
          <w:tcPr>
            <w:tcW w:w="2352" w:type="dxa"/>
            <w:hideMark/>
          </w:tcPr>
          <w:p w:rsidR="00452A45" w:rsidRPr="002947AD" w:rsidRDefault="00452A45" w:rsidP="001B2018">
            <w:pPr>
              <w:jc w:val="both"/>
              <w:cnfStyle w:val="100000000000" w:firstRow="1" w:lastRow="0" w:firstColumn="0" w:lastColumn="0" w:oddVBand="0" w:evenVBand="0" w:oddHBand="0" w:evenHBand="0" w:firstRowFirstColumn="0" w:firstRowLastColumn="0" w:lastRowFirstColumn="0" w:lastRowLastColumn="0"/>
              <w:rPr>
                <w:rFonts w:ascii="Arial" w:hAnsi="Arial" w:cs="Arial"/>
                <w:sz w:val="20"/>
                <w:szCs w:val="20"/>
              </w:rPr>
            </w:pPr>
            <w:r w:rsidRPr="002947AD">
              <w:rPr>
                <w:rStyle w:val="Strong"/>
                <w:rFonts w:ascii="Arial" w:hAnsi="Arial" w:cs="Arial"/>
                <w:b/>
                <w:bCs/>
                <w:sz w:val="20"/>
                <w:szCs w:val="20"/>
              </w:rPr>
              <w:t>Key Use in Analysis</w:t>
            </w:r>
          </w:p>
        </w:tc>
      </w:tr>
      <w:tr w:rsidR="00452A45" w:rsidRPr="002947AD" w:rsidTr="00C6532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rsidR="00452A45" w:rsidRPr="002947AD" w:rsidRDefault="00452A45" w:rsidP="001B2018">
            <w:pPr>
              <w:jc w:val="both"/>
              <w:rPr>
                <w:rFonts w:ascii="Arial" w:hAnsi="Arial" w:cs="Arial"/>
                <w:b w:val="0"/>
                <w:bCs w:val="0"/>
                <w:sz w:val="20"/>
                <w:szCs w:val="20"/>
              </w:rPr>
            </w:pPr>
            <w:r w:rsidRPr="002947AD">
              <w:rPr>
                <w:rStyle w:val="Strong"/>
                <w:rFonts w:ascii="Arial" w:hAnsi="Arial" w:cs="Arial"/>
                <w:b/>
                <w:bCs/>
                <w:sz w:val="20"/>
                <w:szCs w:val="20"/>
              </w:rPr>
              <w:t>BOD</w:t>
            </w:r>
          </w:p>
        </w:tc>
        <w:tc>
          <w:tcPr>
            <w:tcW w:w="1063" w:type="dxa"/>
            <w:hideMark/>
          </w:tcPr>
          <w:p w:rsidR="00452A45" w:rsidRPr="002947AD" w:rsidRDefault="00452A45" w:rsidP="001B2018">
            <w:pPr>
              <w:jc w:val="both"/>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947AD">
              <w:rPr>
                <w:rFonts w:ascii="Arial" w:hAnsi="Arial" w:cs="Arial"/>
                <w:sz w:val="20"/>
                <w:szCs w:val="20"/>
              </w:rPr>
              <w:t>mg/L</w:t>
            </w:r>
          </w:p>
        </w:tc>
        <w:tc>
          <w:tcPr>
            <w:tcW w:w="1129" w:type="dxa"/>
            <w:hideMark/>
          </w:tcPr>
          <w:p w:rsidR="00452A45" w:rsidRPr="002947AD" w:rsidRDefault="00452A45" w:rsidP="001B2018">
            <w:pPr>
              <w:jc w:val="both"/>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947AD">
              <w:rPr>
                <w:rFonts w:ascii="Arial" w:hAnsi="Arial" w:cs="Arial"/>
                <w:sz w:val="20"/>
                <w:szCs w:val="20"/>
              </w:rPr>
              <w:t>MoE; MRC; JICA</w:t>
            </w:r>
          </w:p>
        </w:tc>
        <w:tc>
          <w:tcPr>
            <w:tcW w:w="1228" w:type="dxa"/>
            <w:hideMark/>
          </w:tcPr>
          <w:p w:rsidR="00452A45" w:rsidRPr="002947AD" w:rsidRDefault="00452A45" w:rsidP="001B2018">
            <w:pPr>
              <w:jc w:val="both"/>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947AD">
              <w:rPr>
                <w:rFonts w:ascii="Arial" w:hAnsi="Arial" w:cs="Arial"/>
                <w:sz w:val="20"/>
                <w:szCs w:val="20"/>
              </w:rPr>
              <w:t>Monthly–Quarterly</w:t>
            </w:r>
          </w:p>
        </w:tc>
        <w:tc>
          <w:tcPr>
            <w:tcW w:w="2031" w:type="dxa"/>
            <w:hideMark/>
          </w:tcPr>
          <w:p w:rsidR="00452A45" w:rsidRPr="002947AD" w:rsidRDefault="00452A45" w:rsidP="001B2018">
            <w:pPr>
              <w:jc w:val="both"/>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947AD">
              <w:rPr>
                <w:rFonts w:ascii="Arial" w:hAnsi="Arial" w:cs="Arial"/>
                <w:sz w:val="20"/>
                <w:szCs w:val="20"/>
              </w:rPr>
              <w:t>APHA 5210 B (5-day BOD)</w:t>
            </w:r>
          </w:p>
        </w:tc>
        <w:tc>
          <w:tcPr>
            <w:tcW w:w="2352" w:type="dxa"/>
            <w:hideMark/>
          </w:tcPr>
          <w:p w:rsidR="00452A45" w:rsidRPr="002947AD" w:rsidRDefault="00452A45" w:rsidP="001B2018">
            <w:pPr>
              <w:jc w:val="both"/>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947AD">
              <w:rPr>
                <w:rFonts w:ascii="Arial" w:hAnsi="Arial" w:cs="Arial"/>
                <w:sz w:val="20"/>
                <w:szCs w:val="20"/>
              </w:rPr>
              <w:t>Organic pollution; wastewater load; RQ &amp; WQI sub-index</w:t>
            </w:r>
          </w:p>
        </w:tc>
      </w:tr>
      <w:tr w:rsidR="00452A45" w:rsidRPr="002947AD" w:rsidTr="00C6532D">
        <w:tc>
          <w:tcPr>
            <w:cnfStyle w:val="001000000000" w:firstRow="0" w:lastRow="0" w:firstColumn="1" w:lastColumn="0" w:oddVBand="0" w:evenVBand="0" w:oddHBand="0" w:evenHBand="0" w:firstRowFirstColumn="0" w:firstRowLastColumn="0" w:lastRowFirstColumn="0" w:lastRowLastColumn="0"/>
            <w:tcW w:w="0" w:type="auto"/>
            <w:hideMark/>
          </w:tcPr>
          <w:p w:rsidR="00452A45" w:rsidRPr="002947AD" w:rsidRDefault="00452A45" w:rsidP="001B2018">
            <w:pPr>
              <w:jc w:val="both"/>
              <w:rPr>
                <w:rFonts w:ascii="Arial" w:hAnsi="Arial" w:cs="Arial"/>
                <w:sz w:val="20"/>
                <w:szCs w:val="20"/>
              </w:rPr>
            </w:pPr>
            <w:r w:rsidRPr="002947AD">
              <w:rPr>
                <w:rStyle w:val="Strong"/>
                <w:rFonts w:ascii="Arial" w:hAnsi="Arial" w:cs="Arial"/>
                <w:sz w:val="20"/>
                <w:szCs w:val="20"/>
              </w:rPr>
              <w:t>TSS</w:t>
            </w:r>
          </w:p>
        </w:tc>
        <w:tc>
          <w:tcPr>
            <w:tcW w:w="1063" w:type="dxa"/>
            <w:hideMark/>
          </w:tcPr>
          <w:p w:rsidR="00452A45" w:rsidRPr="002947AD" w:rsidRDefault="00452A45" w:rsidP="001B2018">
            <w:pPr>
              <w:jc w:val="both"/>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2947AD">
              <w:rPr>
                <w:rFonts w:ascii="Arial" w:hAnsi="Arial" w:cs="Arial"/>
                <w:sz w:val="20"/>
                <w:szCs w:val="20"/>
              </w:rPr>
              <w:t>mg/L</w:t>
            </w:r>
          </w:p>
        </w:tc>
        <w:tc>
          <w:tcPr>
            <w:tcW w:w="1129" w:type="dxa"/>
            <w:hideMark/>
          </w:tcPr>
          <w:p w:rsidR="00452A45" w:rsidRPr="002947AD" w:rsidRDefault="00452A45" w:rsidP="001B2018">
            <w:pPr>
              <w:jc w:val="both"/>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2947AD">
              <w:rPr>
                <w:rFonts w:ascii="Arial" w:hAnsi="Arial" w:cs="Arial"/>
                <w:sz w:val="20"/>
                <w:szCs w:val="20"/>
              </w:rPr>
              <w:t>MoE; JICA; MRC</w:t>
            </w:r>
          </w:p>
        </w:tc>
        <w:tc>
          <w:tcPr>
            <w:tcW w:w="1228" w:type="dxa"/>
            <w:hideMark/>
          </w:tcPr>
          <w:p w:rsidR="00452A45" w:rsidRPr="002947AD" w:rsidRDefault="00452A45" w:rsidP="001B2018">
            <w:pPr>
              <w:jc w:val="both"/>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2947AD">
              <w:rPr>
                <w:rFonts w:ascii="Arial" w:hAnsi="Arial" w:cs="Arial"/>
                <w:sz w:val="20"/>
                <w:szCs w:val="20"/>
              </w:rPr>
              <w:t>Monthly–Seasonal</w:t>
            </w:r>
          </w:p>
        </w:tc>
        <w:tc>
          <w:tcPr>
            <w:tcW w:w="2031" w:type="dxa"/>
            <w:hideMark/>
          </w:tcPr>
          <w:p w:rsidR="00452A45" w:rsidRPr="002947AD" w:rsidRDefault="00452A45" w:rsidP="001B2018">
            <w:pPr>
              <w:jc w:val="both"/>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2947AD">
              <w:rPr>
                <w:rFonts w:ascii="Arial" w:hAnsi="Arial" w:cs="Arial"/>
                <w:sz w:val="20"/>
                <w:szCs w:val="20"/>
              </w:rPr>
              <w:t>Gravimetric method</w:t>
            </w:r>
          </w:p>
        </w:tc>
        <w:tc>
          <w:tcPr>
            <w:tcW w:w="2352" w:type="dxa"/>
            <w:hideMark/>
          </w:tcPr>
          <w:p w:rsidR="00452A45" w:rsidRPr="002947AD" w:rsidRDefault="00452A45" w:rsidP="001B2018">
            <w:pPr>
              <w:jc w:val="both"/>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2947AD">
              <w:rPr>
                <w:rFonts w:ascii="Arial" w:hAnsi="Arial" w:cs="Arial"/>
                <w:sz w:val="20"/>
                <w:szCs w:val="20"/>
              </w:rPr>
              <w:t>Sediment stress, estuary siltation, coastal turbidity</w:t>
            </w:r>
          </w:p>
        </w:tc>
      </w:tr>
      <w:tr w:rsidR="00452A45" w:rsidRPr="002947AD" w:rsidTr="00C6532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rsidR="00452A45" w:rsidRPr="002947AD" w:rsidRDefault="00452A45" w:rsidP="001B2018">
            <w:pPr>
              <w:jc w:val="both"/>
              <w:rPr>
                <w:rFonts w:ascii="Arial" w:hAnsi="Arial" w:cs="Arial"/>
                <w:sz w:val="20"/>
                <w:szCs w:val="20"/>
              </w:rPr>
            </w:pPr>
            <w:r w:rsidRPr="002947AD">
              <w:rPr>
                <w:rStyle w:val="Strong"/>
                <w:rFonts w:ascii="Arial" w:hAnsi="Arial" w:cs="Arial"/>
                <w:sz w:val="20"/>
                <w:szCs w:val="20"/>
              </w:rPr>
              <w:t>Total N (TN)</w:t>
            </w:r>
          </w:p>
        </w:tc>
        <w:tc>
          <w:tcPr>
            <w:tcW w:w="1063" w:type="dxa"/>
            <w:hideMark/>
          </w:tcPr>
          <w:p w:rsidR="00452A45" w:rsidRPr="002947AD" w:rsidRDefault="00452A45" w:rsidP="001B2018">
            <w:pPr>
              <w:jc w:val="both"/>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947AD">
              <w:rPr>
                <w:rFonts w:ascii="Arial" w:hAnsi="Arial" w:cs="Arial"/>
                <w:sz w:val="20"/>
                <w:szCs w:val="20"/>
              </w:rPr>
              <w:t>mg/L</w:t>
            </w:r>
          </w:p>
        </w:tc>
        <w:tc>
          <w:tcPr>
            <w:tcW w:w="1129" w:type="dxa"/>
            <w:hideMark/>
          </w:tcPr>
          <w:p w:rsidR="00452A45" w:rsidRPr="002947AD" w:rsidRDefault="00452A45" w:rsidP="001B2018">
            <w:pPr>
              <w:jc w:val="both"/>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947AD">
              <w:rPr>
                <w:rFonts w:ascii="Arial" w:hAnsi="Arial" w:cs="Arial"/>
                <w:sz w:val="20"/>
                <w:szCs w:val="20"/>
              </w:rPr>
              <w:t>MoE; MRC; WEPA</w:t>
            </w:r>
          </w:p>
        </w:tc>
        <w:tc>
          <w:tcPr>
            <w:tcW w:w="1228" w:type="dxa"/>
            <w:hideMark/>
          </w:tcPr>
          <w:p w:rsidR="00452A45" w:rsidRPr="002947AD" w:rsidRDefault="00452A45" w:rsidP="001B2018">
            <w:pPr>
              <w:jc w:val="both"/>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947AD">
              <w:rPr>
                <w:rFonts w:ascii="Arial" w:hAnsi="Arial" w:cs="Arial"/>
                <w:sz w:val="20"/>
                <w:szCs w:val="20"/>
              </w:rPr>
              <w:t>Monthly–Quarterly</w:t>
            </w:r>
          </w:p>
        </w:tc>
        <w:tc>
          <w:tcPr>
            <w:tcW w:w="2031" w:type="dxa"/>
            <w:hideMark/>
          </w:tcPr>
          <w:p w:rsidR="00452A45" w:rsidRPr="002947AD" w:rsidRDefault="00452A45" w:rsidP="001B2018">
            <w:pPr>
              <w:jc w:val="both"/>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947AD">
              <w:rPr>
                <w:rFonts w:ascii="Arial" w:hAnsi="Arial" w:cs="Arial"/>
                <w:sz w:val="20"/>
                <w:szCs w:val="20"/>
              </w:rPr>
              <w:t>Spectrophotometric (APHA 4500-N)</w:t>
            </w:r>
          </w:p>
        </w:tc>
        <w:tc>
          <w:tcPr>
            <w:tcW w:w="2352" w:type="dxa"/>
            <w:hideMark/>
          </w:tcPr>
          <w:p w:rsidR="00452A45" w:rsidRPr="002947AD" w:rsidRDefault="00452A45" w:rsidP="001B2018">
            <w:pPr>
              <w:jc w:val="both"/>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947AD">
              <w:rPr>
                <w:rFonts w:ascii="Arial" w:hAnsi="Arial" w:cs="Arial"/>
                <w:sz w:val="20"/>
                <w:szCs w:val="20"/>
              </w:rPr>
              <w:t>Nutrient enrichment; eutrophication; RQ mapping</w:t>
            </w:r>
          </w:p>
        </w:tc>
      </w:tr>
      <w:tr w:rsidR="00452A45" w:rsidRPr="002947AD" w:rsidTr="00C6532D">
        <w:tc>
          <w:tcPr>
            <w:cnfStyle w:val="001000000000" w:firstRow="0" w:lastRow="0" w:firstColumn="1" w:lastColumn="0" w:oddVBand="0" w:evenVBand="0" w:oddHBand="0" w:evenHBand="0" w:firstRowFirstColumn="0" w:firstRowLastColumn="0" w:lastRowFirstColumn="0" w:lastRowLastColumn="0"/>
            <w:tcW w:w="0" w:type="auto"/>
            <w:hideMark/>
          </w:tcPr>
          <w:p w:rsidR="00452A45" w:rsidRPr="002947AD" w:rsidRDefault="00452A45" w:rsidP="001B2018">
            <w:pPr>
              <w:jc w:val="both"/>
              <w:rPr>
                <w:rFonts w:ascii="Arial" w:hAnsi="Arial" w:cs="Arial"/>
                <w:sz w:val="20"/>
                <w:szCs w:val="20"/>
              </w:rPr>
            </w:pPr>
            <w:r w:rsidRPr="002947AD">
              <w:rPr>
                <w:rStyle w:val="Strong"/>
                <w:rFonts w:ascii="Arial" w:hAnsi="Arial" w:cs="Arial"/>
                <w:sz w:val="20"/>
                <w:szCs w:val="20"/>
              </w:rPr>
              <w:t>Total P (TP)</w:t>
            </w:r>
          </w:p>
        </w:tc>
        <w:tc>
          <w:tcPr>
            <w:tcW w:w="1063" w:type="dxa"/>
            <w:hideMark/>
          </w:tcPr>
          <w:p w:rsidR="00452A45" w:rsidRPr="002947AD" w:rsidRDefault="00452A45" w:rsidP="001B2018">
            <w:pPr>
              <w:jc w:val="both"/>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2947AD">
              <w:rPr>
                <w:rFonts w:ascii="Arial" w:hAnsi="Arial" w:cs="Arial"/>
                <w:sz w:val="20"/>
                <w:szCs w:val="20"/>
              </w:rPr>
              <w:t>mg/L</w:t>
            </w:r>
          </w:p>
        </w:tc>
        <w:tc>
          <w:tcPr>
            <w:tcW w:w="1129" w:type="dxa"/>
            <w:hideMark/>
          </w:tcPr>
          <w:p w:rsidR="00452A45" w:rsidRPr="002947AD" w:rsidRDefault="00452A45" w:rsidP="001B2018">
            <w:pPr>
              <w:jc w:val="both"/>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2947AD">
              <w:rPr>
                <w:rFonts w:ascii="Arial" w:hAnsi="Arial" w:cs="Arial"/>
                <w:sz w:val="20"/>
                <w:szCs w:val="20"/>
              </w:rPr>
              <w:t>MRC; MoE</w:t>
            </w:r>
          </w:p>
        </w:tc>
        <w:tc>
          <w:tcPr>
            <w:tcW w:w="1228" w:type="dxa"/>
            <w:hideMark/>
          </w:tcPr>
          <w:p w:rsidR="00452A45" w:rsidRPr="002947AD" w:rsidRDefault="00452A45" w:rsidP="001B2018">
            <w:pPr>
              <w:jc w:val="both"/>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2947AD">
              <w:rPr>
                <w:rFonts w:ascii="Arial" w:hAnsi="Arial" w:cs="Arial"/>
                <w:sz w:val="20"/>
                <w:szCs w:val="20"/>
              </w:rPr>
              <w:t>Monthly–Quarterly</w:t>
            </w:r>
          </w:p>
        </w:tc>
        <w:tc>
          <w:tcPr>
            <w:tcW w:w="2031" w:type="dxa"/>
            <w:hideMark/>
          </w:tcPr>
          <w:p w:rsidR="00452A45" w:rsidRPr="002947AD" w:rsidRDefault="00452A45" w:rsidP="001B2018">
            <w:pPr>
              <w:jc w:val="both"/>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2947AD">
              <w:rPr>
                <w:rFonts w:ascii="Arial" w:hAnsi="Arial" w:cs="Arial"/>
                <w:sz w:val="20"/>
                <w:szCs w:val="20"/>
              </w:rPr>
              <w:t>Molybdenum Blue (APHA 4500-P)</w:t>
            </w:r>
          </w:p>
        </w:tc>
        <w:tc>
          <w:tcPr>
            <w:tcW w:w="2352" w:type="dxa"/>
            <w:hideMark/>
          </w:tcPr>
          <w:p w:rsidR="00452A45" w:rsidRPr="002947AD" w:rsidRDefault="00452A45" w:rsidP="001B2018">
            <w:pPr>
              <w:jc w:val="both"/>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2947AD">
              <w:rPr>
                <w:rFonts w:ascii="Arial" w:hAnsi="Arial" w:cs="Arial"/>
                <w:sz w:val="20"/>
                <w:szCs w:val="20"/>
              </w:rPr>
              <w:t>Eutrophication; bloom risks; hotspot detection</w:t>
            </w:r>
          </w:p>
        </w:tc>
      </w:tr>
      <w:tr w:rsidR="00452A45" w:rsidRPr="002947AD" w:rsidTr="00C6532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rsidR="00452A45" w:rsidRPr="002947AD" w:rsidRDefault="00452A45" w:rsidP="001B2018">
            <w:pPr>
              <w:jc w:val="both"/>
              <w:rPr>
                <w:rFonts w:ascii="Arial" w:hAnsi="Arial" w:cs="Arial"/>
                <w:sz w:val="20"/>
                <w:szCs w:val="20"/>
              </w:rPr>
            </w:pPr>
            <w:r w:rsidRPr="002947AD">
              <w:rPr>
                <w:rStyle w:val="Strong"/>
                <w:rFonts w:ascii="Arial" w:hAnsi="Arial" w:cs="Arial"/>
                <w:sz w:val="20"/>
                <w:szCs w:val="20"/>
              </w:rPr>
              <w:t>Fecal Coliform / E. coli</w:t>
            </w:r>
          </w:p>
        </w:tc>
        <w:tc>
          <w:tcPr>
            <w:tcW w:w="1063" w:type="dxa"/>
            <w:hideMark/>
          </w:tcPr>
          <w:p w:rsidR="00452A45" w:rsidRPr="002947AD" w:rsidRDefault="00452A45" w:rsidP="001B2018">
            <w:pPr>
              <w:jc w:val="both"/>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947AD">
              <w:rPr>
                <w:rFonts w:ascii="Arial" w:hAnsi="Arial" w:cs="Arial"/>
                <w:sz w:val="20"/>
                <w:szCs w:val="20"/>
              </w:rPr>
              <w:t>CFU/100 mL</w:t>
            </w:r>
          </w:p>
        </w:tc>
        <w:tc>
          <w:tcPr>
            <w:tcW w:w="1129" w:type="dxa"/>
            <w:hideMark/>
          </w:tcPr>
          <w:p w:rsidR="00452A45" w:rsidRPr="002947AD" w:rsidRDefault="00452A45" w:rsidP="001B2018">
            <w:pPr>
              <w:jc w:val="both"/>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947AD">
              <w:rPr>
                <w:rFonts w:ascii="Arial" w:hAnsi="Arial" w:cs="Arial"/>
                <w:sz w:val="20"/>
                <w:szCs w:val="20"/>
              </w:rPr>
              <w:t>MoE; ADB; MRC</w:t>
            </w:r>
          </w:p>
        </w:tc>
        <w:tc>
          <w:tcPr>
            <w:tcW w:w="1228" w:type="dxa"/>
            <w:hideMark/>
          </w:tcPr>
          <w:p w:rsidR="00452A45" w:rsidRPr="002947AD" w:rsidRDefault="00452A45" w:rsidP="001B2018">
            <w:pPr>
              <w:jc w:val="both"/>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947AD">
              <w:rPr>
                <w:rFonts w:ascii="Arial" w:hAnsi="Arial" w:cs="Arial"/>
                <w:sz w:val="20"/>
                <w:szCs w:val="20"/>
              </w:rPr>
              <w:t>Monthly</w:t>
            </w:r>
          </w:p>
        </w:tc>
        <w:tc>
          <w:tcPr>
            <w:tcW w:w="2031" w:type="dxa"/>
            <w:hideMark/>
          </w:tcPr>
          <w:p w:rsidR="00452A45" w:rsidRPr="002947AD" w:rsidRDefault="00452A45" w:rsidP="001B2018">
            <w:pPr>
              <w:jc w:val="both"/>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947AD">
              <w:rPr>
                <w:rFonts w:ascii="Arial" w:hAnsi="Arial" w:cs="Arial"/>
                <w:sz w:val="20"/>
                <w:szCs w:val="20"/>
              </w:rPr>
              <w:t>MPN (Multiple-tube)</w:t>
            </w:r>
          </w:p>
        </w:tc>
        <w:tc>
          <w:tcPr>
            <w:tcW w:w="2352" w:type="dxa"/>
            <w:hideMark/>
          </w:tcPr>
          <w:p w:rsidR="00452A45" w:rsidRPr="002947AD" w:rsidRDefault="00452A45" w:rsidP="001B2018">
            <w:pPr>
              <w:jc w:val="both"/>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947AD">
              <w:rPr>
                <w:rFonts w:ascii="Arial" w:hAnsi="Arial" w:cs="Arial"/>
                <w:sz w:val="20"/>
                <w:szCs w:val="20"/>
              </w:rPr>
              <w:t>Public health risk; WQI microbial index; tourism risk</w:t>
            </w:r>
          </w:p>
        </w:tc>
      </w:tr>
    </w:tbl>
    <w:p w:rsidR="00452A45" w:rsidRPr="001B2018" w:rsidRDefault="00452A45" w:rsidP="001B2018">
      <w:pPr>
        <w:pStyle w:val="NormalWeb"/>
        <w:adjustRightInd w:val="0"/>
        <w:snapToGrid w:val="0"/>
        <w:spacing w:before="0" w:beforeAutospacing="0" w:after="0" w:afterAutospacing="0"/>
        <w:jc w:val="both"/>
        <w:rPr>
          <w:rFonts w:ascii="Arial" w:hAnsi="Arial" w:cs="Arial"/>
          <w:sz w:val="22"/>
          <w:szCs w:val="22"/>
        </w:rPr>
      </w:pPr>
    </w:p>
    <w:p w:rsidR="00D81553" w:rsidRPr="001B2018" w:rsidRDefault="001E2162" w:rsidP="001B2018">
      <w:pPr>
        <w:pStyle w:val="Caption"/>
        <w:jc w:val="both"/>
        <w:rPr>
          <w:rFonts w:ascii="Arial" w:hAnsi="Arial" w:cs="Arial"/>
          <w:b/>
          <w:bCs/>
          <w:color w:val="0070C0"/>
          <w:sz w:val="22"/>
          <w:szCs w:val="22"/>
        </w:rPr>
      </w:pPr>
      <w:r>
        <w:rPr>
          <w:rFonts w:ascii="Arial" w:hAnsi="Arial" w:cs="Arial"/>
          <w:b/>
          <w:bCs/>
          <w:i w:val="0"/>
          <w:iCs w:val="0"/>
          <w:color w:val="0070C0"/>
          <w:sz w:val="22"/>
          <w:szCs w:val="22"/>
        </w:rPr>
        <w:t>B.</w:t>
      </w:r>
      <w:r w:rsidR="001B2018" w:rsidRPr="001B2018">
        <w:rPr>
          <w:rFonts w:ascii="Arial" w:hAnsi="Arial" w:cs="Arial"/>
          <w:b/>
          <w:bCs/>
          <w:i w:val="0"/>
          <w:iCs w:val="0"/>
          <w:color w:val="0070C0"/>
          <w:sz w:val="22"/>
          <w:szCs w:val="22"/>
        </w:rPr>
        <w:t xml:space="preserve"> </w:t>
      </w:r>
      <w:r w:rsidR="00DF2422" w:rsidRPr="001B2018">
        <w:rPr>
          <w:rFonts w:ascii="Arial" w:hAnsi="Arial" w:cs="Arial"/>
          <w:b/>
          <w:bCs/>
          <w:i w:val="0"/>
          <w:iCs w:val="0"/>
          <w:color w:val="0070C0"/>
          <w:sz w:val="22"/>
          <w:szCs w:val="22"/>
        </w:rPr>
        <w:t>Industrial and Port Pollutants</w:t>
      </w:r>
      <w:r w:rsidR="00DF2422" w:rsidRPr="001B2018">
        <w:rPr>
          <w:rFonts w:ascii="Arial" w:hAnsi="Arial" w:cs="Arial"/>
          <w:b/>
          <w:bCs/>
          <w:color w:val="0070C0"/>
          <w:sz w:val="22"/>
          <w:szCs w:val="22"/>
        </w:rPr>
        <w:t xml:space="preserve">: </w:t>
      </w:r>
      <w:r w:rsidR="00D81553" w:rsidRPr="001B2018">
        <w:rPr>
          <w:rFonts w:ascii="Arial" w:hAnsi="Arial" w:cs="Arial"/>
          <w:b/>
          <w:bCs/>
          <w:i w:val="0"/>
          <w:iCs w:val="0"/>
          <w:color w:val="0070C0"/>
          <w:sz w:val="22"/>
          <w:szCs w:val="22"/>
        </w:rPr>
        <w:t>Hydrocarbons (Oil &amp; Grease, TPH)</w:t>
      </w:r>
      <w:r w:rsidR="00DF2422" w:rsidRPr="001B2018">
        <w:rPr>
          <w:rFonts w:ascii="Arial" w:hAnsi="Arial" w:cs="Arial"/>
          <w:b/>
          <w:bCs/>
          <w:color w:val="0070C0"/>
          <w:sz w:val="22"/>
          <w:szCs w:val="22"/>
        </w:rPr>
        <w:t xml:space="preserve"> and </w:t>
      </w:r>
      <w:r w:rsidR="00DF2422" w:rsidRPr="001B2018">
        <w:rPr>
          <w:rFonts w:ascii="Arial" w:hAnsi="Arial" w:cs="Arial"/>
          <w:b/>
          <w:bCs/>
          <w:i w:val="0"/>
          <w:iCs w:val="0"/>
          <w:color w:val="0070C0"/>
          <w:sz w:val="22"/>
          <w:szCs w:val="22"/>
        </w:rPr>
        <w:t>Heavy Metals (Pb, Zn, Cu)</w:t>
      </w:r>
    </w:p>
    <w:p w:rsidR="00DF2422" w:rsidRPr="001B2018" w:rsidRDefault="00DF2422" w:rsidP="001B2018">
      <w:pPr>
        <w:keepNext/>
        <w:adjustRightInd w:val="0"/>
        <w:snapToGrid w:val="0"/>
        <w:spacing w:before="240" w:after="120"/>
        <w:jc w:val="both"/>
        <w:rPr>
          <w:rFonts w:ascii="Arial" w:hAnsi="Arial" w:cs="Arial"/>
          <w:sz w:val="22"/>
          <w:szCs w:val="22"/>
        </w:rPr>
      </w:pPr>
      <w:r w:rsidRPr="001B2018">
        <w:rPr>
          <w:rFonts w:ascii="Arial" w:hAnsi="Arial" w:cs="Arial"/>
          <w:sz w:val="22"/>
          <w:szCs w:val="22"/>
        </w:rPr>
        <w:t>This annex summarises data on hydrocarbons (oil &amp; grease, total petroleum hydrocarbons – TPH) and heavy metals (Pb, Zn, Cu) in port areas and coastal sediments. The main focus is Sihanoukville Port and surrounding SEZs, as well as industrialised estuaries such as Prek Toeuk Sap and Stung Hav. Monitoring by MoE, complemented by FiA/UNDP habitat studies, documents both water-column exceedances of national effluent standards and long-term metal accumulation in mangrove and estuarine sediments.</w:t>
      </w:r>
    </w:p>
    <w:p w:rsidR="00DF2422" w:rsidRPr="001B2018" w:rsidRDefault="00DF2422" w:rsidP="001B2018">
      <w:pPr>
        <w:pStyle w:val="NormalWeb"/>
        <w:jc w:val="both"/>
        <w:rPr>
          <w:rFonts w:ascii="Arial" w:hAnsi="Arial" w:cs="Arial"/>
          <w:sz w:val="22"/>
          <w:szCs w:val="22"/>
        </w:rPr>
      </w:pPr>
      <w:r w:rsidRPr="001B2018">
        <w:rPr>
          <w:rFonts w:ascii="Arial" w:hAnsi="Arial" w:cs="Arial"/>
          <w:sz w:val="22"/>
          <w:szCs w:val="22"/>
        </w:rPr>
        <w:t>These indicators are used to identify toxic “hotspots” where industrial and port activities pose risks to marine life, food safety and transboundary pollution through Gulf of Thailand currents.</w:t>
      </w:r>
    </w:p>
    <w:p w:rsidR="00DF2422" w:rsidRPr="001B2018" w:rsidRDefault="001B2018" w:rsidP="001B2018">
      <w:pPr>
        <w:pStyle w:val="Caption"/>
        <w:keepNext/>
        <w:spacing w:before="240" w:after="120"/>
        <w:rPr>
          <w:rFonts w:ascii="Arial" w:hAnsi="Arial" w:cs="Arial"/>
          <w:color w:val="002060"/>
          <w:sz w:val="22"/>
          <w:szCs w:val="22"/>
        </w:rPr>
      </w:pPr>
      <w:r w:rsidRPr="001B2018">
        <w:rPr>
          <w:rFonts w:ascii="Arial" w:hAnsi="Arial" w:cs="Arial"/>
          <w:color w:val="002060"/>
          <w:sz w:val="22"/>
          <w:szCs w:val="22"/>
        </w:rPr>
        <w:t>Annex Table 3-</w:t>
      </w:r>
      <w:r w:rsidRPr="001B2018">
        <w:rPr>
          <w:rFonts w:ascii="Arial" w:hAnsi="Arial" w:cs="Arial"/>
          <w:color w:val="002060"/>
          <w:sz w:val="22"/>
          <w:szCs w:val="22"/>
        </w:rPr>
        <w:fldChar w:fldCharType="begin"/>
      </w:r>
      <w:r w:rsidRPr="001B2018">
        <w:rPr>
          <w:rFonts w:ascii="Arial" w:hAnsi="Arial" w:cs="Arial"/>
          <w:color w:val="002060"/>
          <w:sz w:val="22"/>
          <w:szCs w:val="22"/>
        </w:rPr>
        <w:instrText xml:space="preserve"> SEQ Annex_Table_3- \* ARABIC </w:instrText>
      </w:r>
      <w:r w:rsidRPr="001B2018">
        <w:rPr>
          <w:rFonts w:ascii="Arial" w:hAnsi="Arial" w:cs="Arial"/>
          <w:color w:val="002060"/>
          <w:sz w:val="22"/>
          <w:szCs w:val="22"/>
        </w:rPr>
        <w:fldChar w:fldCharType="separate"/>
      </w:r>
      <w:r w:rsidR="00D35426">
        <w:rPr>
          <w:rFonts w:ascii="Arial" w:hAnsi="Arial" w:cs="Arial"/>
          <w:noProof/>
          <w:color w:val="002060"/>
          <w:sz w:val="22"/>
          <w:szCs w:val="22"/>
        </w:rPr>
        <w:t>3</w:t>
      </w:r>
      <w:r w:rsidRPr="001B2018">
        <w:rPr>
          <w:rFonts w:ascii="Arial" w:hAnsi="Arial" w:cs="Arial"/>
          <w:color w:val="002060"/>
          <w:sz w:val="22"/>
          <w:szCs w:val="22"/>
        </w:rPr>
        <w:fldChar w:fldCharType="end"/>
      </w:r>
      <w:r w:rsidRPr="001B2018">
        <w:rPr>
          <w:rFonts w:ascii="Arial" w:hAnsi="Arial" w:cs="Arial"/>
          <w:color w:val="002060"/>
          <w:sz w:val="22"/>
          <w:szCs w:val="22"/>
        </w:rPr>
        <w:t xml:space="preserve"> </w:t>
      </w:r>
      <w:r>
        <w:rPr>
          <w:rFonts w:ascii="Arial" w:hAnsi="Arial" w:cs="Arial"/>
          <w:color w:val="002060"/>
          <w:sz w:val="22"/>
          <w:szCs w:val="22"/>
        </w:rPr>
        <w:t>I</w:t>
      </w:r>
      <w:r w:rsidRPr="001B2018">
        <w:rPr>
          <w:rFonts w:ascii="Arial" w:hAnsi="Arial" w:cs="Arial"/>
          <w:color w:val="002060"/>
          <w:sz w:val="22"/>
          <w:szCs w:val="22"/>
        </w:rPr>
        <w:t>ndustrial and port pollutants: data sources, metadata, and assessment method</w:t>
      </w:r>
    </w:p>
    <w:tbl>
      <w:tblPr>
        <w:tblStyle w:val="GridTable4-Accent5"/>
        <w:tblW w:w="0" w:type="auto"/>
        <w:tblLook w:val="04A0" w:firstRow="1" w:lastRow="0" w:firstColumn="1" w:lastColumn="0" w:noHBand="0" w:noVBand="1"/>
      </w:tblPr>
      <w:tblGrid>
        <w:gridCol w:w="1415"/>
        <w:gridCol w:w="7595"/>
      </w:tblGrid>
      <w:tr w:rsidR="00DF2422" w:rsidRPr="001B2018" w:rsidTr="002947AD">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88" w:type="dxa"/>
            <w:hideMark/>
          </w:tcPr>
          <w:p w:rsidR="00DF2422" w:rsidRPr="002947AD" w:rsidRDefault="00DF2422" w:rsidP="002947AD">
            <w:pPr>
              <w:jc w:val="center"/>
              <w:rPr>
                <w:rFonts w:ascii="Arial" w:hAnsi="Arial" w:cs="Arial"/>
                <w:sz w:val="22"/>
                <w:szCs w:val="22"/>
              </w:rPr>
            </w:pPr>
            <w:r w:rsidRPr="002947AD">
              <w:rPr>
                <w:rStyle w:val="Strong"/>
                <w:rFonts w:ascii="Arial" w:hAnsi="Arial" w:cs="Arial"/>
                <w:sz w:val="22"/>
                <w:szCs w:val="22"/>
              </w:rPr>
              <w:t>Category</w:t>
            </w:r>
          </w:p>
        </w:tc>
        <w:tc>
          <w:tcPr>
            <w:tcW w:w="8022" w:type="dxa"/>
            <w:hideMark/>
          </w:tcPr>
          <w:p w:rsidR="00DF2422" w:rsidRPr="002947AD" w:rsidRDefault="00DF2422" w:rsidP="002947AD">
            <w:pPr>
              <w:jc w:val="center"/>
              <w:cnfStyle w:val="100000000000" w:firstRow="1" w:lastRow="0" w:firstColumn="0" w:lastColumn="0" w:oddVBand="0" w:evenVBand="0" w:oddHBand="0" w:evenHBand="0" w:firstRowFirstColumn="0" w:firstRowLastColumn="0" w:lastRowFirstColumn="0" w:lastRowLastColumn="0"/>
              <w:rPr>
                <w:rFonts w:ascii="Arial" w:hAnsi="Arial" w:cs="Arial"/>
                <w:sz w:val="22"/>
                <w:szCs w:val="22"/>
              </w:rPr>
            </w:pPr>
            <w:r w:rsidRPr="002947AD">
              <w:rPr>
                <w:rStyle w:val="Strong"/>
                <w:rFonts w:ascii="Arial" w:hAnsi="Arial" w:cs="Arial"/>
                <w:b/>
                <w:bCs/>
                <w:sz w:val="22"/>
                <w:szCs w:val="22"/>
              </w:rPr>
              <w:t>Details</w:t>
            </w:r>
          </w:p>
        </w:tc>
      </w:tr>
      <w:tr w:rsidR="00DF2422" w:rsidRPr="001B2018" w:rsidTr="002947A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88" w:type="dxa"/>
            <w:hideMark/>
          </w:tcPr>
          <w:p w:rsidR="00DF2422" w:rsidRPr="002947AD" w:rsidRDefault="00DF2422" w:rsidP="001B2018">
            <w:pPr>
              <w:jc w:val="both"/>
              <w:rPr>
                <w:rFonts w:ascii="Arial" w:hAnsi="Arial" w:cs="Arial"/>
                <w:b w:val="0"/>
                <w:bCs w:val="0"/>
                <w:sz w:val="22"/>
                <w:szCs w:val="22"/>
              </w:rPr>
            </w:pPr>
            <w:r w:rsidRPr="002947AD">
              <w:rPr>
                <w:rStyle w:val="Strong"/>
                <w:rFonts w:ascii="Arial" w:hAnsi="Arial" w:cs="Arial"/>
                <w:b/>
                <w:bCs/>
                <w:sz w:val="22"/>
                <w:szCs w:val="22"/>
              </w:rPr>
              <w:t>Data Sources</w:t>
            </w:r>
          </w:p>
        </w:tc>
        <w:tc>
          <w:tcPr>
            <w:tcW w:w="8022" w:type="dxa"/>
            <w:hideMark/>
          </w:tcPr>
          <w:p w:rsidR="002947AD" w:rsidRDefault="00DF2422" w:rsidP="002947AD">
            <w:pPr>
              <w:pStyle w:val="ListParagraph"/>
              <w:numPr>
                <w:ilvl w:val="0"/>
                <w:numId w:val="41"/>
              </w:numPr>
              <w:ind w:left="202" w:hanging="218"/>
              <w:jc w:val="both"/>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947AD">
              <w:rPr>
                <w:rFonts w:ascii="Arial" w:hAnsi="Arial" w:cs="Arial"/>
                <w:sz w:val="20"/>
                <w:szCs w:val="20"/>
              </w:rPr>
              <w:t>MoE industrial effluent and port-area monitoring (oil &amp; grease, TPH, Pb, Zn; 2022–2023).</w:t>
            </w:r>
          </w:p>
          <w:p w:rsidR="002947AD" w:rsidRDefault="00DF2422" w:rsidP="002947AD">
            <w:pPr>
              <w:pStyle w:val="ListParagraph"/>
              <w:numPr>
                <w:ilvl w:val="0"/>
                <w:numId w:val="41"/>
              </w:numPr>
              <w:ind w:left="202" w:hanging="218"/>
              <w:jc w:val="both"/>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947AD">
              <w:rPr>
                <w:rFonts w:ascii="Arial" w:hAnsi="Arial" w:cs="Arial"/>
                <w:sz w:val="20"/>
                <w:szCs w:val="20"/>
              </w:rPr>
              <w:t>MoE sediment studies in Peam Krasop, Stung Hav, Koh Kong estuaries (metals, hydrocarbons).</w:t>
            </w:r>
          </w:p>
          <w:p w:rsidR="002947AD" w:rsidRDefault="00DF2422" w:rsidP="002947AD">
            <w:pPr>
              <w:pStyle w:val="ListParagraph"/>
              <w:numPr>
                <w:ilvl w:val="0"/>
                <w:numId w:val="41"/>
              </w:numPr>
              <w:ind w:left="202" w:hanging="218"/>
              <w:jc w:val="both"/>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947AD">
              <w:rPr>
                <w:rFonts w:ascii="Arial" w:hAnsi="Arial" w:cs="Arial"/>
                <w:sz w:val="20"/>
                <w:szCs w:val="20"/>
              </w:rPr>
              <w:t>FiA/UNDP habitat assessments (mangrove and seagrass sediment cores).</w:t>
            </w:r>
          </w:p>
          <w:p w:rsidR="00DF2422" w:rsidRPr="002947AD" w:rsidRDefault="00DF2422" w:rsidP="002947AD">
            <w:pPr>
              <w:pStyle w:val="ListParagraph"/>
              <w:numPr>
                <w:ilvl w:val="0"/>
                <w:numId w:val="41"/>
              </w:numPr>
              <w:ind w:left="202" w:hanging="218"/>
              <w:jc w:val="both"/>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947AD">
              <w:rPr>
                <w:rFonts w:ascii="Arial" w:hAnsi="Arial" w:cs="Arial"/>
                <w:sz w:val="20"/>
                <w:szCs w:val="20"/>
              </w:rPr>
              <w:t xml:space="preserve">SEZ and port environmental reports (PAS, SEZ WWTP performance). </w:t>
            </w:r>
          </w:p>
        </w:tc>
      </w:tr>
      <w:tr w:rsidR="00DF2422" w:rsidRPr="001B2018" w:rsidTr="002947AD">
        <w:tc>
          <w:tcPr>
            <w:cnfStyle w:val="001000000000" w:firstRow="0" w:lastRow="0" w:firstColumn="1" w:lastColumn="0" w:oddVBand="0" w:evenVBand="0" w:oddHBand="0" w:evenHBand="0" w:firstRowFirstColumn="0" w:firstRowLastColumn="0" w:lastRowFirstColumn="0" w:lastRowLastColumn="0"/>
            <w:tcW w:w="988" w:type="dxa"/>
            <w:hideMark/>
          </w:tcPr>
          <w:p w:rsidR="00DF2422" w:rsidRPr="001B2018" w:rsidRDefault="00DF2422" w:rsidP="001B2018">
            <w:pPr>
              <w:jc w:val="both"/>
              <w:rPr>
                <w:rFonts w:ascii="Arial" w:hAnsi="Arial" w:cs="Arial"/>
                <w:sz w:val="22"/>
                <w:szCs w:val="22"/>
              </w:rPr>
            </w:pPr>
            <w:r w:rsidRPr="001B2018">
              <w:rPr>
                <w:rStyle w:val="Strong"/>
                <w:rFonts w:ascii="Arial" w:hAnsi="Arial" w:cs="Arial"/>
                <w:sz w:val="22"/>
                <w:szCs w:val="22"/>
              </w:rPr>
              <w:t>Metadata</w:t>
            </w:r>
          </w:p>
        </w:tc>
        <w:tc>
          <w:tcPr>
            <w:tcW w:w="8022" w:type="dxa"/>
            <w:hideMark/>
          </w:tcPr>
          <w:p w:rsidR="002947AD" w:rsidRDefault="00DF2422" w:rsidP="002947AD">
            <w:pPr>
              <w:pStyle w:val="ListParagraph"/>
              <w:numPr>
                <w:ilvl w:val="0"/>
                <w:numId w:val="41"/>
              </w:numPr>
              <w:ind w:left="202" w:hanging="218"/>
              <w:jc w:val="both"/>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2947AD">
              <w:rPr>
                <w:rFonts w:ascii="Arial" w:hAnsi="Arial" w:cs="Arial"/>
                <w:sz w:val="20"/>
                <w:szCs w:val="20"/>
              </w:rPr>
              <w:t>Parameters: Oil &amp; Grease, TPH, Pb, Zn, Cu</w:t>
            </w:r>
            <w:r w:rsidR="002947AD">
              <w:rPr>
                <w:rFonts w:ascii="Arial" w:hAnsi="Arial" w:cs="Arial"/>
                <w:sz w:val="20"/>
                <w:szCs w:val="20"/>
              </w:rPr>
              <w:t>.</w:t>
            </w:r>
          </w:p>
          <w:p w:rsidR="002947AD" w:rsidRDefault="00DF2422" w:rsidP="002947AD">
            <w:pPr>
              <w:pStyle w:val="ListParagraph"/>
              <w:numPr>
                <w:ilvl w:val="0"/>
                <w:numId w:val="41"/>
              </w:numPr>
              <w:ind w:left="202" w:hanging="218"/>
              <w:jc w:val="both"/>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2947AD">
              <w:rPr>
                <w:rFonts w:ascii="Arial" w:hAnsi="Arial" w:cs="Arial"/>
                <w:sz w:val="20"/>
                <w:szCs w:val="20"/>
              </w:rPr>
              <w:t>Units: mg/L (water), mg/kg (sediment).</w:t>
            </w:r>
          </w:p>
          <w:p w:rsidR="002947AD" w:rsidRDefault="00DF2422" w:rsidP="002947AD">
            <w:pPr>
              <w:pStyle w:val="ListParagraph"/>
              <w:numPr>
                <w:ilvl w:val="0"/>
                <w:numId w:val="41"/>
              </w:numPr>
              <w:ind w:left="202" w:hanging="218"/>
              <w:jc w:val="both"/>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2947AD">
              <w:rPr>
                <w:rFonts w:ascii="Arial" w:hAnsi="Arial" w:cs="Arial"/>
                <w:sz w:val="20"/>
                <w:szCs w:val="20"/>
              </w:rPr>
              <w:t>Spatial focus: Sihanoukville Port, Prek Toeuk Sap, Stung Hav Bay, selected mangrove sites in Koh Kong and Peam Krasop.</w:t>
            </w:r>
          </w:p>
          <w:p w:rsidR="00DF2422" w:rsidRPr="002947AD" w:rsidRDefault="00DF2422" w:rsidP="002947AD">
            <w:pPr>
              <w:pStyle w:val="ListParagraph"/>
              <w:numPr>
                <w:ilvl w:val="0"/>
                <w:numId w:val="41"/>
              </w:numPr>
              <w:ind w:left="202" w:hanging="218"/>
              <w:jc w:val="both"/>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2947AD">
              <w:rPr>
                <w:rFonts w:ascii="Arial" w:hAnsi="Arial" w:cs="Arial"/>
                <w:sz w:val="20"/>
                <w:szCs w:val="20"/>
              </w:rPr>
              <w:t xml:space="preserve">Standards: Cambodian effluent limits (e.g. O&amp;G ≤5 mg/L; TPH ≤0.5 mg/L; Pb ≤0.1 mg/L; Zn ≤1.0 mg/L) and international sediment-quality guidelines. </w:t>
            </w:r>
          </w:p>
        </w:tc>
      </w:tr>
      <w:tr w:rsidR="00DF2422" w:rsidRPr="001B2018" w:rsidTr="002947A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88" w:type="dxa"/>
            <w:hideMark/>
          </w:tcPr>
          <w:p w:rsidR="00DF2422" w:rsidRPr="001B2018" w:rsidRDefault="00DF2422" w:rsidP="001B2018">
            <w:pPr>
              <w:jc w:val="both"/>
              <w:rPr>
                <w:rFonts w:ascii="Arial" w:hAnsi="Arial" w:cs="Arial"/>
                <w:sz w:val="22"/>
                <w:szCs w:val="22"/>
              </w:rPr>
            </w:pPr>
            <w:r w:rsidRPr="001B2018">
              <w:rPr>
                <w:rStyle w:val="Strong"/>
                <w:rFonts w:ascii="Arial" w:hAnsi="Arial" w:cs="Arial"/>
                <w:sz w:val="22"/>
                <w:szCs w:val="22"/>
              </w:rPr>
              <w:t>Assessment Method</w:t>
            </w:r>
          </w:p>
        </w:tc>
        <w:tc>
          <w:tcPr>
            <w:tcW w:w="8022" w:type="dxa"/>
            <w:hideMark/>
          </w:tcPr>
          <w:p w:rsidR="002947AD" w:rsidRDefault="00DF2422" w:rsidP="002947AD">
            <w:pPr>
              <w:pStyle w:val="ListParagraph"/>
              <w:numPr>
                <w:ilvl w:val="0"/>
                <w:numId w:val="41"/>
              </w:numPr>
              <w:ind w:left="202" w:hanging="218"/>
              <w:jc w:val="both"/>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947AD">
              <w:rPr>
                <w:rFonts w:ascii="Arial" w:hAnsi="Arial" w:cs="Arial"/>
                <w:sz w:val="20"/>
                <w:szCs w:val="20"/>
              </w:rPr>
              <w:t>Calculate RQ for each parameter relative to national limits to assess facility compliance (e.g. RQ&gt;1 for O&amp;G, TPH, Pb, Zn).</w:t>
            </w:r>
          </w:p>
          <w:p w:rsidR="002947AD" w:rsidRDefault="00DF2422" w:rsidP="002947AD">
            <w:pPr>
              <w:pStyle w:val="ListParagraph"/>
              <w:numPr>
                <w:ilvl w:val="0"/>
                <w:numId w:val="41"/>
              </w:numPr>
              <w:ind w:left="202" w:hanging="218"/>
              <w:jc w:val="both"/>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947AD">
              <w:rPr>
                <w:rFonts w:ascii="Arial" w:hAnsi="Arial" w:cs="Arial"/>
                <w:sz w:val="20"/>
                <w:szCs w:val="20"/>
              </w:rPr>
              <w:t>Compare sediment concentrations with pre-2000 baselines and guideline values to infer long-term accumulation and ecological risk.</w:t>
            </w:r>
          </w:p>
          <w:p w:rsidR="002947AD" w:rsidRDefault="00DF2422" w:rsidP="002947AD">
            <w:pPr>
              <w:pStyle w:val="ListParagraph"/>
              <w:numPr>
                <w:ilvl w:val="0"/>
                <w:numId w:val="41"/>
              </w:numPr>
              <w:ind w:left="202" w:hanging="218"/>
              <w:jc w:val="both"/>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947AD">
              <w:rPr>
                <w:rFonts w:ascii="Arial" w:hAnsi="Arial" w:cs="Arial"/>
                <w:sz w:val="20"/>
                <w:szCs w:val="20"/>
              </w:rPr>
              <w:t>Identify spatial clusters of non-compliance and sediment hotspots around ports and SEZ discharges.</w:t>
            </w:r>
          </w:p>
          <w:p w:rsidR="00DF2422" w:rsidRPr="002947AD" w:rsidRDefault="00DF2422" w:rsidP="002947AD">
            <w:pPr>
              <w:pStyle w:val="ListParagraph"/>
              <w:numPr>
                <w:ilvl w:val="0"/>
                <w:numId w:val="41"/>
              </w:numPr>
              <w:ind w:left="202" w:hanging="218"/>
              <w:jc w:val="both"/>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947AD">
              <w:rPr>
                <w:rFonts w:ascii="Arial" w:hAnsi="Arial" w:cs="Arial"/>
                <w:sz w:val="20"/>
                <w:szCs w:val="20"/>
              </w:rPr>
              <w:t xml:space="preserve">Qualitatively link hotspots to industrial activities, ship repair zones and port drainage patterns. </w:t>
            </w:r>
          </w:p>
        </w:tc>
      </w:tr>
    </w:tbl>
    <w:p w:rsidR="00DF2422" w:rsidRPr="001B2018" w:rsidRDefault="00DF2422" w:rsidP="001B2018">
      <w:pPr>
        <w:jc w:val="both"/>
        <w:rPr>
          <w:rFonts w:ascii="Arial" w:hAnsi="Arial" w:cs="Arial"/>
          <w:sz w:val="22"/>
          <w:szCs w:val="22"/>
        </w:rPr>
      </w:pPr>
      <w:r w:rsidRPr="001B2018">
        <w:rPr>
          <w:rFonts w:ascii="Arial" w:hAnsi="Arial" w:cs="Arial"/>
          <w:sz w:val="22"/>
          <w:szCs w:val="22"/>
        </w:rPr>
        <w:t xml:space="preserve">The industrial and port-pollution datasets show that around 60% of inspected facilities are non-compliant with effluent standards, with RQ values &gt;1 for oil &amp; grease, TPH, Pb and Zn in port-adjacent waters. Sediment records confirm chronic accumulation of metals in mangrove and estuarine environments, signalling long-term toxicity risks for benthic organisms and seafood consumers, and underlining the need for stronger port-based controls and hazardous-waste management. </w:t>
      </w:r>
    </w:p>
    <w:p w:rsidR="00F67343" w:rsidRPr="001B2018" w:rsidRDefault="001B2018" w:rsidP="001B2018">
      <w:pPr>
        <w:pStyle w:val="Caption"/>
        <w:keepNext/>
        <w:spacing w:before="240" w:after="120"/>
        <w:rPr>
          <w:rFonts w:ascii="Arial" w:hAnsi="Arial" w:cs="Arial"/>
          <w:color w:val="002060"/>
          <w:sz w:val="22"/>
          <w:szCs w:val="22"/>
        </w:rPr>
      </w:pPr>
      <w:r w:rsidRPr="001B2018">
        <w:rPr>
          <w:rFonts w:ascii="Arial" w:hAnsi="Arial" w:cs="Arial"/>
          <w:color w:val="002060"/>
          <w:sz w:val="22"/>
          <w:szCs w:val="22"/>
        </w:rPr>
        <w:t>Annex Table 3-</w:t>
      </w:r>
      <w:r w:rsidRPr="001B2018">
        <w:rPr>
          <w:rFonts w:ascii="Arial" w:hAnsi="Arial" w:cs="Arial"/>
          <w:color w:val="002060"/>
          <w:sz w:val="22"/>
          <w:szCs w:val="22"/>
        </w:rPr>
        <w:fldChar w:fldCharType="begin"/>
      </w:r>
      <w:r w:rsidRPr="001B2018">
        <w:rPr>
          <w:rFonts w:ascii="Arial" w:hAnsi="Arial" w:cs="Arial"/>
          <w:color w:val="002060"/>
          <w:sz w:val="22"/>
          <w:szCs w:val="22"/>
        </w:rPr>
        <w:instrText xml:space="preserve"> SEQ Annex_Table_3- \* ARABIC </w:instrText>
      </w:r>
      <w:r w:rsidRPr="001B2018">
        <w:rPr>
          <w:rFonts w:ascii="Arial" w:hAnsi="Arial" w:cs="Arial"/>
          <w:color w:val="002060"/>
          <w:sz w:val="22"/>
          <w:szCs w:val="22"/>
        </w:rPr>
        <w:fldChar w:fldCharType="separate"/>
      </w:r>
      <w:r w:rsidR="00D35426">
        <w:rPr>
          <w:rFonts w:ascii="Arial" w:hAnsi="Arial" w:cs="Arial"/>
          <w:noProof/>
          <w:color w:val="002060"/>
          <w:sz w:val="22"/>
          <w:szCs w:val="22"/>
        </w:rPr>
        <w:t>4</w:t>
      </w:r>
      <w:r w:rsidRPr="001B2018">
        <w:rPr>
          <w:rFonts w:ascii="Arial" w:hAnsi="Arial" w:cs="Arial"/>
          <w:color w:val="002060"/>
          <w:sz w:val="22"/>
          <w:szCs w:val="22"/>
        </w:rPr>
        <w:fldChar w:fldCharType="end"/>
      </w:r>
      <w:r>
        <w:rPr>
          <w:rFonts w:ascii="Arial" w:hAnsi="Arial" w:cs="Arial"/>
          <w:color w:val="002060"/>
          <w:sz w:val="22"/>
          <w:szCs w:val="22"/>
        </w:rPr>
        <w:t xml:space="preserve"> </w:t>
      </w:r>
      <w:r w:rsidR="00290C22" w:rsidRPr="001B2018">
        <w:rPr>
          <w:rFonts w:ascii="Arial" w:hAnsi="Arial" w:cs="Arial"/>
          <w:color w:val="002060"/>
          <w:sz w:val="22"/>
          <w:szCs w:val="22"/>
        </w:rPr>
        <w:t>Industrial/port pollutants (hydrocarbons &amp; heavy metals) indicator summary</w:t>
      </w:r>
    </w:p>
    <w:tbl>
      <w:tblPr>
        <w:tblStyle w:val="GridTable4-Accent5"/>
        <w:tblW w:w="0" w:type="auto"/>
        <w:tblLook w:val="04A0" w:firstRow="1" w:lastRow="0" w:firstColumn="1" w:lastColumn="0" w:noHBand="0" w:noVBand="1"/>
      </w:tblPr>
      <w:tblGrid>
        <w:gridCol w:w="1160"/>
        <w:gridCol w:w="1690"/>
        <w:gridCol w:w="1329"/>
        <w:gridCol w:w="1319"/>
        <w:gridCol w:w="1201"/>
        <w:gridCol w:w="2311"/>
      </w:tblGrid>
      <w:tr w:rsidR="00F67343" w:rsidRPr="002947AD" w:rsidTr="00C6532D">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rsidR="00F67343" w:rsidRPr="002947AD" w:rsidRDefault="00F67343" w:rsidP="001B2018">
            <w:pPr>
              <w:jc w:val="both"/>
              <w:rPr>
                <w:rFonts w:ascii="Arial" w:hAnsi="Arial" w:cs="Arial"/>
                <w:b w:val="0"/>
                <w:bCs w:val="0"/>
                <w:sz w:val="20"/>
                <w:szCs w:val="20"/>
              </w:rPr>
            </w:pPr>
            <w:r w:rsidRPr="002947AD">
              <w:rPr>
                <w:rStyle w:val="Strong"/>
                <w:rFonts w:ascii="Arial" w:hAnsi="Arial" w:cs="Arial"/>
                <w:b/>
                <w:bCs/>
                <w:sz w:val="20"/>
                <w:szCs w:val="20"/>
              </w:rPr>
              <w:t>Indicator</w:t>
            </w:r>
          </w:p>
        </w:tc>
        <w:tc>
          <w:tcPr>
            <w:tcW w:w="0" w:type="auto"/>
            <w:hideMark/>
          </w:tcPr>
          <w:p w:rsidR="00F67343" w:rsidRPr="002947AD" w:rsidRDefault="00F67343" w:rsidP="001B2018">
            <w:pPr>
              <w:jc w:val="both"/>
              <w:cnfStyle w:val="100000000000" w:firstRow="1" w:lastRow="0" w:firstColumn="0" w:lastColumn="0" w:oddVBand="0" w:evenVBand="0" w:oddHBand="0" w:evenHBand="0" w:firstRowFirstColumn="0" w:firstRowLastColumn="0" w:lastRowFirstColumn="0" w:lastRowLastColumn="0"/>
              <w:rPr>
                <w:rFonts w:ascii="Arial" w:hAnsi="Arial" w:cs="Arial"/>
                <w:b w:val="0"/>
                <w:bCs w:val="0"/>
                <w:sz w:val="20"/>
                <w:szCs w:val="20"/>
              </w:rPr>
            </w:pPr>
            <w:r w:rsidRPr="002947AD">
              <w:rPr>
                <w:rStyle w:val="Strong"/>
                <w:rFonts w:ascii="Arial" w:hAnsi="Arial" w:cs="Arial"/>
                <w:b/>
                <w:bCs/>
                <w:sz w:val="20"/>
                <w:szCs w:val="20"/>
              </w:rPr>
              <w:t>Units</w:t>
            </w:r>
          </w:p>
        </w:tc>
        <w:tc>
          <w:tcPr>
            <w:tcW w:w="0" w:type="auto"/>
            <w:hideMark/>
          </w:tcPr>
          <w:p w:rsidR="00F67343" w:rsidRPr="002947AD" w:rsidRDefault="00F67343" w:rsidP="001B2018">
            <w:pPr>
              <w:jc w:val="both"/>
              <w:cnfStyle w:val="100000000000" w:firstRow="1" w:lastRow="0" w:firstColumn="0" w:lastColumn="0" w:oddVBand="0" w:evenVBand="0" w:oddHBand="0" w:evenHBand="0" w:firstRowFirstColumn="0" w:firstRowLastColumn="0" w:lastRowFirstColumn="0" w:lastRowLastColumn="0"/>
              <w:rPr>
                <w:rFonts w:ascii="Arial" w:hAnsi="Arial" w:cs="Arial"/>
                <w:b w:val="0"/>
                <w:bCs w:val="0"/>
                <w:sz w:val="20"/>
                <w:szCs w:val="20"/>
              </w:rPr>
            </w:pPr>
            <w:r w:rsidRPr="002947AD">
              <w:rPr>
                <w:rStyle w:val="Strong"/>
                <w:rFonts w:ascii="Arial" w:hAnsi="Arial" w:cs="Arial"/>
                <w:b/>
                <w:bCs/>
                <w:sz w:val="20"/>
                <w:szCs w:val="20"/>
              </w:rPr>
              <w:t>Data Source</w:t>
            </w:r>
          </w:p>
        </w:tc>
        <w:tc>
          <w:tcPr>
            <w:tcW w:w="0" w:type="auto"/>
            <w:hideMark/>
          </w:tcPr>
          <w:p w:rsidR="00F67343" w:rsidRPr="002947AD" w:rsidRDefault="00F67343" w:rsidP="001B2018">
            <w:pPr>
              <w:jc w:val="both"/>
              <w:cnfStyle w:val="100000000000" w:firstRow="1" w:lastRow="0" w:firstColumn="0" w:lastColumn="0" w:oddVBand="0" w:evenVBand="0" w:oddHBand="0" w:evenHBand="0" w:firstRowFirstColumn="0" w:firstRowLastColumn="0" w:lastRowFirstColumn="0" w:lastRowLastColumn="0"/>
              <w:rPr>
                <w:rFonts w:ascii="Arial" w:hAnsi="Arial" w:cs="Arial"/>
                <w:b w:val="0"/>
                <w:bCs w:val="0"/>
                <w:sz w:val="20"/>
                <w:szCs w:val="20"/>
              </w:rPr>
            </w:pPr>
            <w:r w:rsidRPr="002947AD">
              <w:rPr>
                <w:rStyle w:val="Strong"/>
                <w:rFonts w:ascii="Arial" w:hAnsi="Arial" w:cs="Arial"/>
                <w:b/>
                <w:bCs/>
                <w:sz w:val="20"/>
                <w:szCs w:val="20"/>
              </w:rPr>
              <w:t>National Standard</w:t>
            </w:r>
          </w:p>
        </w:tc>
        <w:tc>
          <w:tcPr>
            <w:tcW w:w="0" w:type="auto"/>
            <w:hideMark/>
          </w:tcPr>
          <w:p w:rsidR="00F67343" w:rsidRPr="002947AD" w:rsidRDefault="00F67343" w:rsidP="001B2018">
            <w:pPr>
              <w:jc w:val="both"/>
              <w:cnfStyle w:val="100000000000" w:firstRow="1" w:lastRow="0" w:firstColumn="0" w:lastColumn="0" w:oddVBand="0" w:evenVBand="0" w:oddHBand="0" w:evenHBand="0" w:firstRowFirstColumn="0" w:firstRowLastColumn="0" w:lastRowFirstColumn="0" w:lastRowLastColumn="0"/>
              <w:rPr>
                <w:rFonts w:ascii="Arial" w:hAnsi="Arial" w:cs="Arial"/>
                <w:b w:val="0"/>
                <w:bCs w:val="0"/>
                <w:sz w:val="20"/>
                <w:szCs w:val="20"/>
              </w:rPr>
            </w:pPr>
            <w:r w:rsidRPr="002947AD">
              <w:rPr>
                <w:rStyle w:val="Strong"/>
                <w:rFonts w:ascii="Arial" w:hAnsi="Arial" w:cs="Arial"/>
                <w:b/>
                <w:bCs/>
                <w:sz w:val="20"/>
                <w:szCs w:val="20"/>
              </w:rPr>
              <w:t>Methods</w:t>
            </w:r>
          </w:p>
        </w:tc>
        <w:tc>
          <w:tcPr>
            <w:tcW w:w="0" w:type="auto"/>
            <w:hideMark/>
          </w:tcPr>
          <w:p w:rsidR="00F67343" w:rsidRPr="002947AD" w:rsidRDefault="00F67343" w:rsidP="001B2018">
            <w:pPr>
              <w:jc w:val="both"/>
              <w:cnfStyle w:val="100000000000" w:firstRow="1" w:lastRow="0" w:firstColumn="0" w:lastColumn="0" w:oddVBand="0" w:evenVBand="0" w:oddHBand="0" w:evenHBand="0" w:firstRowFirstColumn="0" w:firstRowLastColumn="0" w:lastRowFirstColumn="0" w:lastRowLastColumn="0"/>
              <w:rPr>
                <w:rFonts w:ascii="Arial" w:hAnsi="Arial" w:cs="Arial"/>
                <w:b w:val="0"/>
                <w:bCs w:val="0"/>
                <w:sz w:val="20"/>
                <w:szCs w:val="20"/>
              </w:rPr>
            </w:pPr>
            <w:r w:rsidRPr="002947AD">
              <w:rPr>
                <w:rStyle w:val="Strong"/>
                <w:rFonts w:ascii="Arial" w:hAnsi="Arial" w:cs="Arial"/>
                <w:b/>
                <w:bCs/>
                <w:sz w:val="20"/>
                <w:szCs w:val="20"/>
              </w:rPr>
              <w:t>Notes</w:t>
            </w:r>
          </w:p>
        </w:tc>
      </w:tr>
      <w:tr w:rsidR="00F67343" w:rsidRPr="002947AD" w:rsidTr="00C6532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rsidR="00F67343" w:rsidRPr="002947AD" w:rsidRDefault="00F67343" w:rsidP="001B2018">
            <w:pPr>
              <w:jc w:val="both"/>
              <w:rPr>
                <w:rFonts w:ascii="Arial" w:hAnsi="Arial" w:cs="Arial"/>
                <w:b w:val="0"/>
                <w:bCs w:val="0"/>
                <w:sz w:val="20"/>
                <w:szCs w:val="20"/>
              </w:rPr>
            </w:pPr>
            <w:r w:rsidRPr="002947AD">
              <w:rPr>
                <w:rFonts w:ascii="Arial" w:hAnsi="Arial" w:cs="Arial"/>
                <w:sz w:val="20"/>
                <w:szCs w:val="20"/>
              </w:rPr>
              <w:t>Oil &amp; Grease</w:t>
            </w:r>
          </w:p>
        </w:tc>
        <w:tc>
          <w:tcPr>
            <w:tcW w:w="0" w:type="auto"/>
            <w:hideMark/>
          </w:tcPr>
          <w:p w:rsidR="00F67343" w:rsidRPr="002947AD" w:rsidRDefault="00F67343" w:rsidP="001B2018">
            <w:pPr>
              <w:jc w:val="both"/>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947AD">
              <w:rPr>
                <w:rFonts w:ascii="Arial" w:hAnsi="Arial" w:cs="Arial"/>
                <w:sz w:val="20"/>
                <w:szCs w:val="20"/>
              </w:rPr>
              <w:t>mg/L</w:t>
            </w:r>
          </w:p>
        </w:tc>
        <w:tc>
          <w:tcPr>
            <w:tcW w:w="0" w:type="auto"/>
            <w:hideMark/>
          </w:tcPr>
          <w:p w:rsidR="00F67343" w:rsidRPr="002947AD" w:rsidRDefault="00F67343" w:rsidP="001B2018">
            <w:pPr>
              <w:jc w:val="both"/>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947AD">
              <w:rPr>
                <w:rFonts w:ascii="Arial" w:hAnsi="Arial" w:cs="Arial"/>
                <w:sz w:val="20"/>
                <w:szCs w:val="20"/>
              </w:rPr>
              <w:t>MoE (2022–2023)</w:t>
            </w:r>
          </w:p>
        </w:tc>
        <w:tc>
          <w:tcPr>
            <w:tcW w:w="0" w:type="auto"/>
            <w:hideMark/>
          </w:tcPr>
          <w:p w:rsidR="00F67343" w:rsidRPr="002947AD" w:rsidRDefault="00F67343" w:rsidP="001B2018">
            <w:pPr>
              <w:jc w:val="both"/>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947AD">
              <w:rPr>
                <w:rFonts w:ascii="Arial" w:hAnsi="Arial" w:cs="Arial"/>
                <w:sz w:val="20"/>
                <w:szCs w:val="20"/>
              </w:rPr>
              <w:t>≤5 mg/L</w:t>
            </w:r>
          </w:p>
        </w:tc>
        <w:tc>
          <w:tcPr>
            <w:tcW w:w="0" w:type="auto"/>
            <w:hideMark/>
          </w:tcPr>
          <w:p w:rsidR="00F67343" w:rsidRPr="002947AD" w:rsidRDefault="00F67343" w:rsidP="001B2018">
            <w:pPr>
              <w:jc w:val="both"/>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947AD">
              <w:rPr>
                <w:rFonts w:ascii="Arial" w:hAnsi="Arial" w:cs="Arial"/>
                <w:sz w:val="20"/>
                <w:szCs w:val="20"/>
              </w:rPr>
              <w:t>Infrared spectro</w:t>
            </w:r>
          </w:p>
        </w:tc>
        <w:tc>
          <w:tcPr>
            <w:tcW w:w="0" w:type="auto"/>
            <w:hideMark/>
          </w:tcPr>
          <w:p w:rsidR="00F67343" w:rsidRPr="002947AD" w:rsidRDefault="00F67343" w:rsidP="001B2018">
            <w:pPr>
              <w:jc w:val="both"/>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947AD">
              <w:rPr>
                <w:rFonts w:ascii="Arial" w:hAnsi="Arial" w:cs="Arial"/>
                <w:sz w:val="20"/>
                <w:szCs w:val="20"/>
              </w:rPr>
              <w:t>Exceedances at PAS, Stung Hav</w:t>
            </w:r>
          </w:p>
        </w:tc>
      </w:tr>
      <w:tr w:rsidR="00F67343" w:rsidRPr="002947AD" w:rsidTr="00C6532D">
        <w:tc>
          <w:tcPr>
            <w:cnfStyle w:val="001000000000" w:firstRow="0" w:lastRow="0" w:firstColumn="1" w:lastColumn="0" w:oddVBand="0" w:evenVBand="0" w:oddHBand="0" w:evenHBand="0" w:firstRowFirstColumn="0" w:firstRowLastColumn="0" w:lastRowFirstColumn="0" w:lastRowLastColumn="0"/>
            <w:tcW w:w="0" w:type="auto"/>
            <w:hideMark/>
          </w:tcPr>
          <w:p w:rsidR="00F67343" w:rsidRPr="002947AD" w:rsidRDefault="00F67343" w:rsidP="001B2018">
            <w:pPr>
              <w:jc w:val="both"/>
              <w:rPr>
                <w:rFonts w:ascii="Arial" w:hAnsi="Arial" w:cs="Arial"/>
                <w:sz w:val="20"/>
                <w:szCs w:val="20"/>
              </w:rPr>
            </w:pPr>
            <w:r w:rsidRPr="002947AD">
              <w:rPr>
                <w:rFonts w:ascii="Arial" w:hAnsi="Arial" w:cs="Arial"/>
                <w:sz w:val="20"/>
                <w:szCs w:val="20"/>
              </w:rPr>
              <w:t>TPH</w:t>
            </w:r>
          </w:p>
        </w:tc>
        <w:tc>
          <w:tcPr>
            <w:tcW w:w="0" w:type="auto"/>
            <w:hideMark/>
          </w:tcPr>
          <w:p w:rsidR="00F67343" w:rsidRPr="002947AD" w:rsidRDefault="00F67343" w:rsidP="001B2018">
            <w:pPr>
              <w:jc w:val="both"/>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2947AD">
              <w:rPr>
                <w:rFonts w:ascii="Arial" w:hAnsi="Arial" w:cs="Arial"/>
                <w:sz w:val="20"/>
                <w:szCs w:val="20"/>
              </w:rPr>
              <w:t>mg/L</w:t>
            </w:r>
          </w:p>
        </w:tc>
        <w:tc>
          <w:tcPr>
            <w:tcW w:w="0" w:type="auto"/>
            <w:hideMark/>
          </w:tcPr>
          <w:p w:rsidR="00F67343" w:rsidRPr="002947AD" w:rsidRDefault="00F67343" w:rsidP="001B2018">
            <w:pPr>
              <w:jc w:val="both"/>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2947AD">
              <w:rPr>
                <w:rFonts w:ascii="Arial" w:hAnsi="Arial" w:cs="Arial"/>
                <w:sz w:val="20"/>
                <w:szCs w:val="20"/>
              </w:rPr>
              <w:t>MoE</w:t>
            </w:r>
          </w:p>
        </w:tc>
        <w:tc>
          <w:tcPr>
            <w:tcW w:w="0" w:type="auto"/>
            <w:hideMark/>
          </w:tcPr>
          <w:p w:rsidR="00F67343" w:rsidRPr="002947AD" w:rsidRDefault="00F67343" w:rsidP="001B2018">
            <w:pPr>
              <w:jc w:val="both"/>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2947AD">
              <w:rPr>
                <w:rFonts w:ascii="Arial" w:hAnsi="Arial" w:cs="Arial"/>
                <w:sz w:val="20"/>
                <w:szCs w:val="20"/>
              </w:rPr>
              <w:t>≤0.5 mg/L</w:t>
            </w:r>
          </w:p>
        </w:tc>
        <w:tc>
          <w:tcPr>
            <w:tcW w:w="0" w:type="auto"/>
            <w:hideMark/>
          </w:tcPr>
          <w:p w:rsidR="00F67343" w:rsidRPr="002947AD" w:rsidRDefault="00F67343" w:rsidP="001B2018">
            <w:pPr>
              <w:jc w:val="both"/>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2947AD">
              <w:rPr>
                <w:rFonts w:ascii="Arial" w:hAnsi="Arial" w:cs="Arial"/>
                <w:sz w:val="20"/>
                <w:szCs w:val="20"/>
              </w:rPr>
              <w:t>GC or IR</w:t>
            </w:r>
          </w:p>
        </w:tc>
        <w:tc>
          <w:tcPr>
            <w:tcW w:w="0" w:type="auto"/>
            <w:hideMark/>
          </w:tcPr>
          <w:p w:rsidR="00F67343" w:rsidRPr="002947AD" w:rsidRDefault="00F67343" w:rsidP="001B2018">
            <w:pPr>
              <w:jc w:val="both"/>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2947AD">
              <w:rPr>
                <w:rFonts w:ascii="Arial" w:hAnsi="Arial" w:cs="Arial"/>
                <w:sz w:val="20"/>
                <w:szCs w:val="20"/>
              </w:rPr>
              <w:t>Chronic low-level contamination around port</w:t>
            </w:r>
          </w:p>
        </w:tc>
      </w:tr>
      <w:tr w:rsidR="00F67343" w:rsidRPr="002947AD" w:rsidTr="00C6532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rsidR="00F67343" w:rsidRPr="002947AD" w:rsidRDefault="00F67343" w:rsidP="001B2018">
            <w:pPr>
              <w:jc w:val="both"/>
              <w:rPr>
                <w:rFonts w:ascii="Arial" w:hAnsi="Arial" w:cs="Arial"/>
                <w:sz w:val="20"/>
                <w:szCs w:val="20"/>
              </w:rPr>
            </w:pPr>
            <w:r w:rsidRPr="002947AD">
              <w:rPr>
                <w:rFonts w:ascii="Arial" w:hAnsi="Arial" w:cs="Arial"/>
                <w:sz w:val="20"/>
                <w:szCs w:val="20"/>
              </w:rPr>
              <w:t>Lead (Pb)</w:t>
            </w:r>
          </w:p>
        </w:tc>
        <w:tc>
          <w:tcPr>
            <w:tcW w:w="0" w:type="auto"/>
            <w:hideMark/>
          </w:tcPr>
          <w:p w:rsidR="00F67343" w:rsidRPr="002947AD" w:rsidRDefault="00F67343" w:rsidP="001B2018">
            <w:pPr>
              <w:jc w:val="both"/>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947AD">
              <w:rPr>
                <w:rFonts w:ascii="Arial" w:hAnsi="Arial" w:cs="Arial"/>
                <w:sz w:val="20"/>
                <w:szCs w:val="20"/>
              </w:rPr>
              <w:t>mg/L (water) / mg/kg (sediment)</w:t>
            </w:r>
          </w:p>
        </w:tc>
        <w:tc>
          <w:tcPr>
            <w:tcW w:w="0" w:type="auto"/>
            <w:hideMark/>
          </w:tcPr>
          <w:p w:rsidR="00F67343" w:rsidRPr="002947AD" w:rsidRDefault="00F67343" w:rsidP="001B2018">
            <w:pPr>
              <w:jc w:val="both"/>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947AD">
              <w:rPr>
                <w:rFonts w:ascii="Arial" w:hAnsi="Arial" w:cs="Arial"/>
                <w:sz w:val="20"/>
                <w:szCs w:val="20"/>
              </w:rPr>
              <w:t>MoE; FiA/UNDP</w:t>
            </w:r>
          </w:p>
        </w:tc>
        <w:tc>
          <w:tcPr>
            <w:tcW w:w="0" w:type="auto"/>
            <w:hideMark/>
          </w:tcPr>
          <w:p w:rsidR="00F67343" w:rsidRPr="002947AD" w:rsidRDefault="00F67343" w:rsidP="001B2018">
            <w:pPr>
              <w:jc w:val="both"/>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947AD">
              <w:rPr>
                <w:rFonts w:ascii="Arial" w:hAnsi="Arial" w:cs="Arial"/>
                <w:sz w:val="20"/>
                <w:szCs w:val="20"/>
              </w:rPr>
              <w:t>≤0.1 mg/L</w:t>
            </w:r>
          </w:p>
        </w:tc>
        <w:tc>
          <w:tcPr>
            <w:tcW w:w="0" w:type="auto"/>
            <w:hideMark/>
          </w:tcPr>
          <w:p w:rsidR="00F67343" w:rsidRPr="002947AD" w:rsidRDefault="00F67343" w:rsidP="001B2018">
            <w:pPr>
              <w:jc w:val="both"/>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947AD">
              <w:rPr>
                <w:rFonts w:ascii="Arial" w:hAnsi="Arial" w:cs="Arial"/>
                <w:sz w:val="20"/>
                <w:szCs w:val="20"/>
              </w:rPr>
              <w:t>AAS</w:t>
            </w:r>
          </w:p>
        </w:tc>
        <w:tc>
          <w:tcPr>
            <w:tcW w:w="0" w:type="auto"/>
            <w:hideMark/>
          </w:tcPr>
          <w:p w:rsidR="00F67343" w:rsidRPr="002947AD" w:rsidRDefault="00F67343" w:rsidP="001B2018">
            <w:pPr>
              <w:jc w:val="both"/>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947AD">
              <w:rPr>
                <w:rFonts w:ascii="Arial" w:hAnsi="Arial" w:cs="Arial"/>
                <w:sz w:val="20"/>
                <w:szCs w:val="20"/>
              </w:rPr>
              <w:t>Sediments show 10–25 mg/kg accumulation</w:t>
            </w:r>
          </w:p>
        </w:tc>
      </w:tr>
      <w:tr w:rsidR="00F67343" w:rsidRPr="002947AD" w:rsidTr="00C6532D">
        <w:tc>
          <w:tcPr>
            <w:cnfStyle w:val="001000000000" w:firstRow="0" w:lastRow="0" w:firstColumn="1" w:lastColumn="0" w:oddVBand="0" w:evenVBand="0" w:oddHBand="0" w:evenHBand="0" w:firstRowFirstColumn="0" w:firstRowLastColumn="0" w:lastRowFirstColumn="0" w:lastRowLastColumn="0"/>
            <w:tcW w:w="0" w:type="auto"/>
            <w:hideMark/>
          </w:tcPr>
          <w:p w:rsidR="00F67343" w:rsidRPr="002947AD" w:rsidRDefault="00F67343" w:rsidP="001B2018">
            <w:pPr>
              <w:jc w:val="both"/>
              <w:rPr>
                <w:rFonts w:ascii="Arial" w:hAnsi="Arial" w:cs="Arial"/>
                <w:sz w:val="20"/>
                <w:szCs w:val="20"/>
              </w:rPr>
            </w:pPr>
            <w:r w:rsidRPr="002947AD">
              <w:rPr>
                <w:rFonts w:ascii="Arial" w:hAnsi="Arial" w:cs="Arial"/>
                <w:sz w:val="20"/>
                <w:szCs w:val="20"/>
              </w:rPr>
              <w:t>Zinc (Zn)</w:t>
            </w:r>
          </w:p>
        </w:tc>
        <w:tc>
          <w:tcPr>
            <w:tcW w:w="0" w:type="auto"/>
            <w:hideMark/>
          </w:tcPr>
          <w:p w:rsidR="00F67343" w:rsidRPr="002947AD" w:rsidRDefault="00F67343" w:rsidP="001B2018">
            <w:pPr>
              <w:jc w:val="both"/>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2947AD">
              <w:rPr>
                <w:rFonts w:ascii="Arial" w:hAnsi="Arial" w:cs="Arial"/>
                <w:sz w:val="20"/>
                <w:szCs w:val="20"/>
              </w:rPr>
              <w:t>mg/L / mg/kg</w:t>
            </w:r>
          </w:p>
        </w:tc>
        <w:tc>
          <w:tcPr>
            <w:tcW w:w="0" w:type="auto"/>
            <w:hideMark/>
          </w:tcPr>
          <w:p w:rsidR="00F67343" w:rsidRPr="002947AD" w:rsidRDefault="00F67343" w:rsidP="001B2018">
            <w:pPr>
              <w:jc w:val="both"/>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2947AD">
              <w:rPr>
                <w:rFonts w:ascii="Arial" w:hAnsi="Arial" w:cs="Arial"/>
                <w:sz w:val="20"/>
                <w:szCs w:val="20"/>
              </w:rPr>
              <w:t>MoE</w:t>
            </w:r>
          </w:p>
        </w:tc>
        <w:tc>
          <w:tcPr>
            <w:tcW w:w="0" w:type="auto"/>
            <w:hideMark/>
          </w:tcPr>
          <w:p w:rsidR="00F67343" w:rsidRPr="002947AD" w:rsidRDefault="00F67343" w:rsidP="001B2018">
            <w:pPr>
              <w:jc w:val="both"/>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2947AD">
              <w:rPr>
                <w:rFonts w:ascii="Arial" w:hAnsi="Arial" w:cs="Arial"/>
                <w:sz w:val="20"/>
                <w:szCs w:val="20"/>
              </w:rPr>
              <w:t>≤1.0 mg/L</w:t>
            </w:r>
          </w:p>
        </w:tc>
        <w:tc>
          <w:tcPr>
            <w:tcW w:w="0" w:type="auto"/>
            <w:hideMark/>
          </w:tcPr>
          <w:p w:rsidR="00F67343" w:rsidRPr="002947AD" w:rsidRDefault="00F67343" w:rsidP="001B2018">
            <w:pPr>
              <w:jc w:val="both"/>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2947AD">
              <w:rPr>
                <w:rFonts w:ascii="Arial" w:hAnsi="Arial" w:cs="Arial"/>
                <w:sz w:val="20"/>
                <w:szCs w:val="20"/>
              </w:rPr>
              <w:t>AAS</w:t>
            </w:r>
          </w:p>
        </w:tc>
        <w:tc>
          <w:tcPr>
            <w:tcW w:w="0" w:type="auto"/>
            <w:hideMark/>
          </w:tcPr>
          <w:p w:rsidR="00F67343" w:rsidRPr="002947AD" w:rsidRDefault="00F67343" w:rsidP="001B2018">
            <w:pPr>
              <w:jc w:val="both"/>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2947AD">
              <w:rPr>
                <w:rFonts w:ascii="Arial" w:hAnsi="Arial" w:cs="Arial"/>
                <w:sz w:val="20"/>
                <w:szCs w:val="20"/>
              </w:rPr>
              <w:t>Elevated in estuaries (35–90 mg/kg)</w:t>
            </w:r>
          </w:p>
        </w:tc>
      </w:tr>
      <w:tr w:rsidR="00F67343" w:rsidRPr="002947AD" w:rsidTr="00C6532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rsidR="00F67343" w:rsidRPr="002947AD" w:rsidRDefault="00F67343" w:rsidP="001B2018">
            <w:pPr>
              <w:jc w:val="both"/>
              <w:rPr>
                <w:rFonts w:ascii="Arial" w:hAnsi="Arial" w:cs="Arial"/>
                <w:sz w:val="20"/>
                <w:szCs w:val="20"/>
              </w:rPr>
            </w:pPr>
            <w:r w:rsidRPr="002947AD">
              <w:rPr>
                <w:rFonts w:ascii="Arial" w:hAnsi="Arial" w:cs="Arial"/>
                <w:sz w:val="20"/>
                <w:szCs w:val="20"/>
              </w:rPr>
              <w:t>Copper (Cu)</w:t>
            </w:r>
          </w:p>
        </w:tc>
        <w:tc>
          <w:tcPr>
            <w:tcW w:w="0" w:type="auto"/>
            <w:hideMark/>
          </w:tcPr>
          <w:p w:rsidR="00F67343" w:rsidRPr="002947AD" w:rsidRDefault="00F67343" w:rsidP="001B2018">
            <w:pPr>
              <w:jc w:val="both"/>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947AD">
              <w:rPr>
                <w:rFonts w:ascii="Arial" w:hAnsi="Arial" w:cs="Arial"/>
                <w:sz w:val="20"/>
                <w:szCs w:val="20"/>
              </w:rPr>
              <w:t>mg/kg (sediment)</w:t>
            </w:r>
          </w:p>
        </w:tc>
        <w:tc>
          <w:tcPr>
            <w:tcW w:w="0" w:type="auto"/>
            <w:hideMark/>
          </w:tcPr>
          <w:p w:rsidR="00F67343" w:rsidRPr="002947AD" w:rsidRDefault="00F67343" w:rsidP="001B2018">
            <w:pPr>
              <w:jc w:val="both"/>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947AD">
              <w:rPr>
                <w:rFonts w:ascii="Arial" w:hAnsi="Arial" w:cs="Arial"/>
                <w:sz w:val="20"/>
                <w:szCs w:val="20"/>
              </w:rPr>
              <w:t>MoE; FiA</w:t>
            </w:r>
          </w:p>
        </w:tc>
        <w:tc>
          <w:tcPr>
            <w:tcW w:w="0" w:type="auto"/>
            <w:hideMark/>
          </w:tcPr>
          <w:p w:rsidR="00F67343" w:rsidRPr="002947AD" w:rsidRDefault="00F67343" w:rsidP="001B2018">
            <w:pPr>
              <w:jc w:val="both"/>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947AD">
              <w:rPr>
                <w:rFonts w:ascii="Arial" w:hAnsi="Arial" w:cs="Arial"/>
                <w:sz w:val="20"/>
                <w:szCs w:val="20"/>
              </w:rPr>
              <w:t>—</w:t>
            </w:r>
          </w:p>
        </w:tc>
        <w:tc>
          <w:tcPr>
            <w:tcW w:w="0" w:type="auto"/>
            <w:hideMark/>
          </w:tcPr>
          <w:p w:rsidR="00F67343" w:rsidRPr="002947AD" w:rsidRDefault="00F67343" w:rsidP="001B2018">
            <w:pPr>
              <w:jc w:val="both"/>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947AD">
              <w:rPr>
                <w:rFonts w:ascii="Arial" w:hAnsi="Arial" w:cs="Arial"/>
                <w:sz w:val="20"/>
                <w:szCs w:val="20"/>
              </w:rPr>
              <w:t>AAS</w:t>
            </w:r>
          </w:p>
        </w:tc>
        <w:tc>
          <w:tcPr>
            <w:tcW w:w="0" w:type="auto"/>
            <w:hideMark/>
          </w:tcPr>
          <w:p w:rsidR="00F67343" w:rsidRPr="002947AD" w:rsidRDefault="00F67343" w:rsidP="001B2018">
            <w:pPr>
              <w:jc w:val="both"/>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947AD">
              <w:rPr>
                <w:rFonts w:ascii="Arial" w:hAnsi="Arial" w:cs="Arial"/>
                <w:sz w:val="20"/>
                <w:szCs w:val="20"/>
              </w:rPr>
              <w:t>Consistent increase in sediments (12–28 mg/kg)</w:t>
            </w:r>
          </w:p>
        </w:tc>
      </w:tr>
    </w:tbl>
    <w:p w:rsidR="00F67343" w:rsidRPr="001B2018" w:rsidRDefault="00F67343" w:rsidP="001B2018">
      <w:pPr>
        <w:pStyle w:val="NormalWeb"/>
        <w:adjustRightInd w:val="0"/>
        <w:snapToGrid w:val="0"/>
        <w:spacing w:before="0" w:beforeAutospacing="0" w:after="0" w:afterAutospacing="0"/>
        <w:jc w:val="both"/>
        <w:rPr>
          <w:rFonts w:ascii="Arial" w:hAnsi="Arial" w:cs="Arial"/>
          <w:sz w:val="22"/>
          <w:szCs w:val="22"/>
        </w:rPr>
      </w:pPr>
    </w:p>
    <w:p w:rsidR="00D81553" w:rsidRPr="001B2018" w:rsidRDefault="001E2162" w:rsidP="001B2018">
      <w:pPr>
        <w:pStyle w:val="Caption"/>
        <w:jc w:val="both"/>
        <w:rPr>
          <w:rFonts w:ascii="Arial" w:hAnsi="Arial" w:cs="Arial"/>
          <w:b/>
          <w:bCs/>
          <w:i w:val="0"/>
          <w:iCs w:val="0"/>
          <w:color w:val="0070C0"/>
          <w:sz w:val="22"/>
          <w:szCs w:val="22"/>
        </w:rPr>
      </w:pPr>
      <w:r>
        <w:rPr>
          <w:rFonts w:ascii="Arial" w:hAnsi="Arial" w:cs="Arial"/>
          <w:b/>
          <w:bCs/>
          <w:i w:val="0"/>
          <w:iCs w:val="0"/>
          <w:color w:val="0070C0"/>
          <w:sz w:val="22"/>
          <w:szCs w:val="22"/>
        </w:rPr>
        <w:t>C.</w:t>
      </w:r>
      <w:r w:rsidR="001B2018" w:rsidRPr="001B2018">
        <w:rPr>
          <w:rFonts w:ascii="Arial" w:hAnsi="Arial" w:cs="Arial"/>
          <w:b/>
          <w:bCs/>
          <w:i w:val="0"/>
          <w:iCs w:val="0"/>
          <w:color w:val="0070C0"/>
          <w:sz w:val="22"/>
          <w:szCs w:val="22"/>
        </w:rPr>
        <w:t xml:space="preserve"> </w:t>
      </w:r>
      <w:r w:rsidR="00D81553" w:rsidRPr="001B2018">
        <w:rPr>
          <w:rFonts w:ascii="Arial" w:hAnsi="Arial" w:cs="Arial"/>
          <w:b/>
          <w:bCs/>
          <w:i w:val="0"/>
          <w:iCs w:val="0"/>
          <w:color w:val="0070C0"/>
          <w:sz w:val="22"/>
          <w:szCs w:val="22"/>
        </w:rPr>
        <w:t>Solid Waste and Marine Litter</w:t>
      </w:r>
    </w:p>
    <w:p w:rsidR="00DF2422" w:rsidRPr="001B2018" w:rsidRDefault="00DF2422" w:rsidP="001B2018">
      <w:pPr>
        <w:pStyle w:val="NormalWeb"/>
        <w:jc w:val="both"/>
        <w:rPr>
          <w:rStyle w:val="relative"/>
          <w:rFonts w:ascii="Arial" w:hAnsi="Arial" w:cs="Arial"/>
          <w:sz w:val="22"/>
          <w:szCs w:val="22"/>
        </w:rPr>
      </w:pPr>
      <w:r w:rsidRPr="001B2018">
        <w:rPr>
          <w:rFonts w:ascii="Arial" w:hAnsi="Arial" w:cs="Arial"/>
          <w:sz w:val="22"/>
          <w:szCs w:val="22"/>
        </w:rPr>
        <w:t xml:space="preserve">This annex collates data on municipal solid waste generation, collection efficiency, marine litter and microplastic contamination in coastal areas. It integrates MoE national waste baselines, municipal waste data from coastal provinces, UNDP and ADB beach-litter surveys, and FiA/UNDP sediment microplastic studies. </w:t>
      </w:r>
    </w:p>
    <w:p w:rsidR="00DF2422" w:rsidRPr="001B2018" w:rsidRDefault="00DF2422" w:rsidP="001B2018">
      <w:pPr>
        <w:pStyle w:val="NormalWeb"/>
        <w:jc w:val="both"/>
        <w:rPr>
          <w:rFonts w:ascii="Arial" w:hAnsi="Arial" w:cs="Arial"/>
          <w:sz w:val="22"/>
          <w:szCs w:val="22"/>
        </w:rPr>
      </w:pPr>
      <w:r w:rsidRPr="001B2018">
        <w:rPr>
          <w:rFonts w:ascii="Arial" w:hAnsi="Arial" w:cs="Arial"/>
          <w:sz w:val="22"/>
          <w:szCs w:val="22"/>
        </w:rPr>
        <w:t>These datasets are used to estimate plastic leakage from land to sea, document spatial patterns of beach litter, and quantify microplastic abundance in nearshore sediments, providing a basis for assessing Cambodia’s contribution to regional marine-litter loads in the Gulf of Thailand.</w:t>
      </w:r>
    </w:p>
    <w:p w:rsidR="00DF2422" w:rsidRPr="002947AD" w:rsidRDefault="001B2018" w:rsidP="002947AD">
      <w:pPr>
        <w:pStyle w:val="Caption"/>
        <w:keepNext/>
        <w:spacing w:before="240" w:after="120"/>
        <w:rPr>
          <w:rFonts w:ascii="Arial" w:hAnsi="Arial" w:cs="Arial"/>
          <w:color w:val="002060"/>
          <w:sz w:val="22"/>
          <w:szCs w:val="22"/>
        </w:rPr>
      </w:pPr>
      <w:r w:rsidRPr="001B2018">
        <w:rPr>
          <w:rFonts w:ascii="Arial" w:hAnsi="Arial" w:cs="Arial"/>
          <w:color w:val="002060"/>
          <w:sz w:val="22"/>
          <w:szCs w:val="22"/>
        </w:rPr>
        <w:t>Annex Table 3-</w:t>
      </w:r>
      <w:r w:rsidRPr="001B2018">
        <w:rPr>
          <w:rFonts w:ascii="Arial" w:hAnsi="Arial" w:cs="Arial"/>
          <w:color w:val="002060"/>
          <w:sz w:val="22"/>
          <w:szCs w:val="22"/>
        </w:rPr>
        <w:fldChar w:fldCharType="begin"/>
      </w:r>
      <w:r w:rsidRPr="001B2018">
        <w:rPr>
          <w:rFonts w:ascii="Arial" w:hAnsi="Arial" w:cs="Arial"/>
          <w:color w:val="002060"/>
          <w:sz w:val="22"/>
          <w:szCs w:val="22"/>
        </w:rPr>
        <w:instrText xml:space="preserve"> SEQ Annex_Table_3- \* ARABIC </w:instrText>
      </w:r>
      <w:r w:rsidRPr="001B2018">
        <w:rPr>
          <w:rFonts w:ascii="Arial" w:hAnsi="Arial" w:cs="Arial"/>
          <w:color w:val="002060"/>
          <w:sz w:val="22"/>
          <w:szCs w:val="22"/>
        </w:rPr>
        <w:fldChar w:fldCharType="separate"/>
      </w:r>
      <w:r w:rsidR="00D35426">
        <w:rPr>
          <w:rFonts w:ascii="Arial" w:hAnsi="Arial" w:cs="Arial"/>
          <w:noProof/>
          <w:color w:val="002060"/>
          <w:sz w:val="22"/>
          <w:szCs w:val="22"/>
        </w:rPr>
        <w:t>5</w:t>
      </w:r>
      <w:r w:rsidRPr="001B2018">
        <w:rPr>
          <w:rFonts w:ascii="Arial" w:hAnsi="Arial" w:cs="Arial"/>
          <w:color w:val="002060"/>
          <w:sz w:val="22"/>
          <w:szCs w:val="22"/>
        </w:rPr>
        <w:fldChar w:fldCharType="end"/>
      </w:r>
      <w:r>
        <w:rPr>
          <w:rFonts w:ascii="Arial" w:hAnsi="Arial" w:cs="Arial"/>
          <w:color w:val="002060"/>
          <w:sz w:val="22"/>
          <w:szCs w:val="22"/>
        </w:rPr>
        <w:t xml:space="preserve"> </w:t>
      </w:r>
      <w:r w:rsidR="00DF2422" w:rsidRPr="002947AD">
        <w:rPr>
          <w:rFonts w:ascii="Arial" w:hAnsi="Arial" w:cs="Arial"/>
          <w:color w:val="002060"/>
          <w:sz w:val="22"/>
          <w:szCs w:val="22"/>
        </w:rPr>
        <w:t>Solid Waste, Marine Litter and Microplastics: Data Sources, Metadata, and Assessment Method</w:t>
      </w:r>
    </w:p>
    <w:tbl>
      <w:tblPr>
        <w:tblStyle w:val="GridTable4-Accent5"/>
        <w:tblW w:w="0" w:type="auto"/>
        <w:tblLook w:val="04A0" w:firstRow="1" w:lastRow="0" w:firstColumn="1" w:lastColumn="0" w:noHBand="0" w:noVBand="1"/>
      </w:tblPr>
      <w:tblGrid>
        <w:gridCol w:w="1306"/>
        <w:gridCol w:w="7704"/>
      </w:tblGrid>
      <w:tr w:rsidR="00DF2422" w:rsidRPr="001B2018" w:rsidTr="002947AD">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71" w:type="dxa"/>
            <w:hideMark/>
          </w:tcPr>
          <w:p w:rsidR="00DF2422" w:rsidRPr="002947AD" w:rsidRDefault="00DF2422" w:rsidP="002947AD">
            <w:pPr>
              <w:jc w:val="center"/>
              <w:rPr>
                <w:rFonts w:ascii="Arial" w:hAnsi="Arial" w:cs="Arial"/>
                <w:sz w:val="20"/>
                <w:szCs w:val="20"/>
              </w:rPr>
            </w:pPr>
            <w:r w:rsidRPr="002947AD">
              <w:rPr>
                <w:rStyle w:val="Strong"/>
                <w:rFonts w:ascii="Arial" w:hAnsi="Arial" w:cs="Arial"/>
                <w:sz w:val="20"/>
                <w:szCs w:val="20"/>
              </w:rPr>
              <w:t>Category</w:t>
            </w:r>
          </w:p>
        </w:tc>
        <w:tc>
          <w:tcPr>
            <w:tcW w:w="7739" w:type="dxa"/>
            <w:hideMark/>
          </w:tcPr>
          <w:p w:rsidR="00DF2422" w:rsidRPr="002947AD" w:rsidRDefault="00DF2422" w:rsidP="002947AD">
            <w:pPr>
              <w:jc w:val="center"/>
              <w:cnfStyle w:val="100000000000" w:firstRow="1" w:lastRow="0" w:firstColumn="0" w:lastColumn="0" w:oddVBand="0" w:evenVBand="0" w:oddHBand="0" w:evenHBand="0" w:firstRowFirstColumn="0" w:firstRowLastColumn="0" w:lastRowFirstColumn="0" w:lastRowLastColumn="0"/>
              <w:rPr>
                <w:rFonts w:ascii="Arial" w:hAnsi="Arial" w:cs="Arial"/>
                <w:sz w:val="20"/>
                <w:szCs w:val="20"/>
              </w:rPr>
            </w:pPr>
            <w:r w:rsidRPr="002947AD">
              <w:rPr>
                <w:rStyle w:val="Strong"/>
                <w:rFonts w:ascii="Arial" w:hAnsi="Arial" w:cs="Arial"/>
                <w:b/>
                <w:bCs/>
                <w:sz w:val="20"/>
                <w:szCs w:val="20"/>
              </w:rPr>
              <w:t>Details</w:t>
            </w:r>
          </w:p>
        </w:tc>
      </w:tr>
      <w:tr w:rsidR="00DF2422" w:rsidRPr="001B2018" w:rsidTr="002947A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71" w:type="dxa"/>
            <w:hideMark/>
          </w:tcPr>
          <w:p w:rsidR="00DF2422" w:rsidRPr="002947AD" w:rsidRDefault="00DF2422" w:rsidP="001B2018">
            <w:pPr>
              <w:jc w:val="both"/>
              <w:rPr>
                <w:rFonts w:ascii="Arial" w:hAnsi="Arial" w:cs="Arial"/>
                <w:b w:val="0"/>
                <w:bCs w:val="0"/>
                <w:sz w:val="20"/>
                <w:szCs w:val="20"/>
              </w:rPr>
            </w:pPr>
            <w:r w:rsidRPr="002947AD">
              <w:rPr>
                <w:rStyle w:val="Strong"/>
                <w:rFonts w:ascii="Arial" w:hAnsi="Arial" w:cs="Arial"/>
                <w:b/>
                <w:bCs/>
                <w:sz w:val="20"/>
                <w:szCs w:val="20"/>
              </w:rPr>
              <w:t>Data Sources</w:t>
            </w:r>
          </w:p>
        </w:tc>
        <w:tc>
          <w:tcPr>
            <w:tcW w:w="7739" w:type="dxa"/>
            <w:hideMark/>
          </w:tcPr>
          <w:p w:rsidR="002947AD" w:rsidRDefault="00DF2422" w:rsidP="002947AD">
            <w:pPr>
              <w:pStyle w:val="ListParagraph"/>
              <w:numPr>
                <w:ilvl w:val="0"/>
                <w:numId w:val="41"/>
              </w:numPr>
              <w:ind w:left="202" w:hanging="218"/>
              <w:jc w:val="both"/>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1B2018">
              <w:rPr>
                <w:rFonts w:ascii="Arial" w:hAnsi="Arial" w:cs="Arial"/>
                <w:sz w:val="20"/>
                <w:szCs w:val="20"/>
              </w:rPr>
              <w:t>MoE National Waste Baseline and provincial waste diagnostics (2018–2023). UNDP and ADB studies on municipal waste and marine litter in Phnom Penh and coastal cities.</w:t>
            </w:r>
          </w:p>
          <w:p w:rsidR="002947AD" w:rsidRDefault="00DF2422" w:rsidP="002947AD">
            <w:pPr>
              <w:pStyle w:val="ListParagraph"/>
              <w:numPr>
                <w:ilvl w:val="0"/>
                <w:numId w:val="41"/>
              </w:numPr>
              <w:ind w:left="202" w:hanging="218"/>
              <w:jc w:val="both"/>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1B2018">
              <w:rPr>
                <w:rFonts w:ascii="Arial" w:hAnsi="Arial" w:cs="Arial"/>
                <w:sz w:val="20"/>
                <w:szCs w:val="20"/>
              </w:rPr>
              <w:t>Beach-litter surveys following UNEP/COBSEA protocols (ADB, UNDP).</w:t>
            </w:r>
          </w:p>
          <w:p w:rsidR="00DF2422" w:rsidRPr="001B2018" w:rsidRDefault="00DF2422" w:rsidP="002947AD">
            <w:pPr>
              <w:pStyle w:val="ListParagraph"/>
              <w:numPr>
                <w:ilvl w:val="0"/>
                <w:numId w:val="41"/>
              </w:numPr>
              <w:ind w:left="202" w:hanging="218"/>
              <w:jc w:val="both"/>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1B2018">
              <w:rPr>
                <w:rFonts w:ascii="Arial" w:hAnsi="Arial" w:cs="Arial"/>
                <w:sz w:val="20"/>
                <w:szCs w:val="20"/>
              </w:rPr>
              <w:t xml:space="preserve">FiA &amp; UNDP sediment microplastic surveys (Otres, Ream, Koh Rong/Sanloem, Kep). </w:t>
            </w:r>
          </w:p>
        </w:tc>
      </w:tr>
      <w:tr w:rsidR="00DF2422" w:rsidRPr="001B2018" w:rsidTr="002947AD">
        <w:tc>
          <w:tcPr>
            <w:cnfStyle w:val="001000000000" w:firstRow="0" w:lastRow="0" w:firstColumn="1" w:lastColumn="0" w:oddVBand="0" w:evenVBand="0" w:oddHBand="0" w:evenHBand="0" w:firstRowFirstColumn="0" w:firstRowLastColumn="0" w:lastRowFirstColumn="0" w:lastRowLastColumn="0"/>
            <w:tcW w:w="1271" w:type="dxa"/>
            <w:hideMark/>
          </w:tcPr>
          <w:p w:rsidR="00DF2422" w:rsidRPr="001B2018" w:rsidRDefault="00DF2422" w:rsidP="001B2018">
            <w:pPr>
              <w:jc w:val="both"/>
              <w:rPr>
                <w:rFonts w:ascii="Arial" w:hAnsi="Arial" w:cs="Arial"/>
                <w:sz w:val="20"/>
                <w:szCs w:val="20"/>
              </w:rPr>
            </w:pPr>
            <w:r w:rsidRPr="001B2018">
              <w:rPr>
                <w:rStyle w:val="Strong"/>
                <w:rFonts w:ascii="Arial" w:hAnsi="Arial" w:cs="Arial"/>
                <w:sz w:val="20"/>
                <w:szCs w:val="20"/>
              </w:rPr>
              <w:t>Metadata</w:t>
            </w:r>
          </w:p>
        </w:tc>
        <w:tc>
          <w:tcPr>
            <w:tcW w:w="7739" w:type="dxa"/>
            <w:hideMark/>
          </w:tcPr>
          <w:p w:rsidR="002947AD" w:rsidRDefault="00DF2422" w:rsidP="002947AD">
            <w:pPr>
              <w:pStyle w:val="ListParagraph"/>
              <w:numPr>
                <w:ilvl w:val="0"/>
                <w:numId w:val="41"/>
              </w:numPr>
              <w:ind w:left="202" w:hanging="218"/>
              <w:jc w:val="both"/>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1B2018">
              <w:rPr>
                <w:rFonts w:ascii="Arial" w:hAnsi="Arial" w:cs="Arial"/>
                <w:sz w:val="20"/>
                <w:szCs w:val="20"/>
              </w:rPr>
              <w:t xml:space="preserve">• Indicators: waste generation (t/day, t/year); collection coverage (%); plastic fraction of MSW; beach-litter density (items/m²); sediment microplastic abundance (particles/kg). </w:t>
            </w:r>
          </w:p>
          <w:p w:rsidR="002947AD" w:rsidRDefault="00DF2422" w:rsidP="002947AD">
            <w:pPr>
              <w:pStyle w:val="ListParagraph"/>
              <w:numPr>
                <w:ilvl w:val="0"/>
                <w:numId w:val="41"/>
              </w:numPr>
              <w:ind w:left="202" w:hanging="218"/>
              <w:jc w:val="both"/>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1B2018">
              <w:rPr>
                <w:rFonts w:ascii="Arial" w:hAnsi="Arial" w:cs="Arial"/>
                <w:sz w:val="20"/>
                <w:szCs w:val="20"/>
              </w:rPr>
              <w:t>Spatial coverage: four coastal provinces plus Phnom Penh; key beaches and ports.</w:t>
            </w:r>
          </w:p>
          <w:p w:rsidR="00DF2422" w:rsidRPr="001B2018" w:rsidRDefault="00DF2422" w:rsidP="002947AD">
            <w:pPr>
              <w:pStyle w:val="ListParagraph"/>
              <w:numPr>
                <w:ilvl w:val="0"/>
                <w:numId w:val="41"/>
              </w:numPr>
              <w:ind w:left="202" w:hanging="218"/>
              <w:jc w:val="both"/>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1B2018">
              <w:rPr>
                <w:rFonts w:ascii="Arial" w:hAnsi="Arial" w:cs="Arial"/>
                <w:sz w:val="20"/>
                <w:szCs w:val="20"/>
              </w:rPr>
              <w:t>Timeframe: baseline around 2018–2023; some trend data for Phnom Penh.</w:t>
            </w:r>
          </w:p>
        </w:tc>
      </w:tr>
      <w:tr w:rsidR="00DF2422" w:rsidRPr="001B2018" w:rsidTr="002947A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71" w:type="dxa"/>
            <w:hideMark/>
          </w:tcPr>
          <w:p w:rsidR="00DF2422" w:rsidRPr="001B2018" w:rsidRDefault="00DF2422" w:rsidP="001B2018">
            <w:pPr>
              <w:jc w:val="both"/>
              <w:rPr>
                <w:rFonts w:ascii="Arial" w:hAnsi="Arial" w:cs="Arial"/>
                <w:sz w:val="20"/>
                <w:szCs w:val="20"/>
              </w:rPr>
            </w:pPr>
            <w:r w:rsidRPr="001B2018">
              <w:rPr>
                <w:rStyle w:val="Strong"/>
                <w:rFonts w:ascii="Arial" w:hAnsi="Arial" w:cs="Arial"/>
                <w:sz w:val="20"/>
                <w:szCs w:val="20"/>
              </w:rPr>
              <w:t>Assessment Method</w:t>
            </w:r>
          </w:p>
        </w:tc>
        <w:tc>
          <w:tcPr>
            <w:tcW w:w="7739" w:type="dxa"/>
            <w:hideMark/>
          </w:tcPr>
          <w:p w:rsidR="002947AD" w:rsidRDefault="00DF2422" w:rsidP="002947AD">
            <w:pPr>
              <w:pStyle w:val="ListParagraph"/>
              <w:numPr>
                <w:ilvl w:val="0"/>
                <w:numId w:val="41"/>
              </w:numPr>
              <w:ind w:left="202" w:hanging="218"/>
              <w:jc w:val="both"/>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1B2018">
              <w:rPr>
                <w:rFonts w:ascii="Arial" w:hAnsi="Arial" w:cs="Arial"/>
                <w:sz w:val="20"/>
                <w:szCs w:val="20"/>
              </w:rPr>
              <w:t>Combine generation and collection data to estimate uncollected waste and coastal plastic leakage (&gt;14,000 t/year).</w:t>
            </w:r>
          </w:p>
          <w:p w:rsidR="002947AD" w:rsidRDefault="00DF2422" w:rsidP="002947AD">
            <w:pPr>
              <w:pStyle w:val="ListParagraph"/>
              <w:numPr>
                <w:ilvl w:val="0"/>
                <w:numId w:val="41"/>
              </w:numPr>
              <w:ind w:left="202" w:hanging="218"/>
              <w:jc w:val="both"/>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1B2018">
              <w:rPr>
                <w:rFonts w:ascii="Arial" w:hAnsi="Arial" w:cs="Arial"/>
                <w:sz w:val="20"/>
                <w:szCs w:val="20"/>
              </w:rPr>
              <w:t>Use standardised transects to compare litter densities across sites and identify tourism-dominated hotspots.</w:t>
            </w:r>
          </w:p>
          <w:p w:rsidR="002947AD" w:rsidRDefault="00DF2422" w:rsidP="002947AD">
            <w:pPr>
              <w:pStyle w:val="ListParagraph"/>
              <w:numPr>
                <w:ilvl w:val="0"/>
                <w:numId w:val="41"/>
              </w:numPr>
              <w:ind w:left="202" w:hanging="218"/>
              <w:jc w:val="both"/>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1B2018">
              <w:rPr>
                <w:rFonts w:ascii="Arial" w:hAnsi="Arial" w:cs="Arial"/>
                <w:sz w:val="20"/>
                <w:szCs w:val="20"/>
              </w:rPr>
              <w:t>Analyse microplastic counts in sediments (120–350 particles/kg) to classify contamination levels and associate with nearby sources (ports, river mouths, tourism areas).</w:t>
            </w:r>
          </w:p>
          <w:p w:rsidR="00DF2422" w:rsidRPr="001B2018" w:rsidRDefault="00DF2422" w:rsidP="002947AD">
            <w:pPr>
              <w:pStyle w:val="ListParagraph"/>
              <w:numPr>
                <w:ilvl w:val="0"/>
                <w:numId w:val="41"/>
              </w:numPr>
              <w:ind w:left="202" w:hanging="218"/>
              <w:jc w:val="both"/>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1B2018">
              <w:rPr>
                <w:rFonts w:ascii="Arial" w:hAnsi="Arial" w:cs="Arial"/>
                <w:sz w:val="20"/>
                <w:szCs w:val="20"/>
              </w:rPr>
              <w:t xml:space="preserve">Interpret results in relation to regional circulation models to infer transboundary transport of plastics and microplastics. </w:t>
            </w:r>
          </w:p>
        </w:tc>
      </w:tr>
    </w:tbl>
    <w:p w:rsidR="00DF2422" w:rsidRPr="001B2018" w:rsidRDefault="00DF2422" w:rsidP="001B2018">
      <w:pPr>
        <w:jc w:val="both"/>
        <w:rPr>
          <w:rFonts w:ascii="Arial" w:hAnsi="Arial" w:cs="Arial"/>
          <w:sz w:val="22"/>
          <w:szCs w:val="22"/>
        </w:rPr>
      </w:pPr>
    </w:p>
    <w:p w:rsidR="00DF2422" w:rsidRPr="001B2018" w:rsidRDefault="00DF2422" w:rsidP="001B2018">
      <w:pPr>
        <w:jc w:val="both"/>
        <w:rPr>
          <w:rFonts w:ascii="Arial" w:hAnsi="Arial" w:cs="Arial"/>
          <w:sz w:val="22"/>
          <w:szCs w:val="22"/>
        </w:rPr>
      </w:pPr>
      <w:r w:rsidRPr="001B2018">
        <w:rPr>
          <w:rFonts w:ascii="Arial" w:hAnsi="Arial" w:cs="Arial"/>
          <w:sz w:val="22"/>
          <w:szCs w:val="22"/>
        </w:rPr>
        <w:t xml:space="preserve">The solid-waste and marine-litter datasets show that low collection rates and unengineered dumpsites generate substantial plastic leakage to rivers and coastal waters. Beach and sediment surveys confirm that plastics dominate shoreline debris and that microplastic contamination is already widespread near ports and tourist beaches. These findings support the chapter’s conclusion that marine litter and microplastics represent a rapidly escalating, transboundary pollution issue requiring coordinated land-based waste reforms and Gulf-wide cooperation. </w:t>
      </w:r>
    </w:p>
    <w:p w:rsidR="00F67343" w:rsidRPr="001B2018" w:rsidRDefault="00F67343" w:rsidP="001B2018">
      <w:pPr>
        <w:pStyle w:val="NormalWeb"/>
        <w:adjustRightInd w:val="0"/>
        <w:snapToGrid w:val="0"/>
        <w:spacing w:before="0" w:beforeAutospacing="0" w:after="0" w:afterAutospacing="0"/>
        <w:jc w:val="both"/>
        <w:rPr>
          <w:rFonts w:ascii="Arial" w:hAnsi="Arial" w:cs="Arial"/>
          <w:sz w:val="22"/>
          <w:szCs w:val="22"/>
        </w:rPr>
      </w:pPr>
    </w:p>
    <w:p w:rsidR="00D81553" w:rsidRPr="001B2018" w:rsidRDefault="001E2162" w:rsidP="001B2018">
      <w:pPr>
        <w:pStyle w:val="Caption"/>
        <w:jc w:val="both"/>
        <w:rPr>
          <w:rFonts w:ascii="Arial" w:hAnsi="Arial" w:cs="Arial"/>
          <w:b/>
          <w:bCs/>
          <w:i w:val="0"/>
          <w:iCs w:val="0"/>
          <w:color w:val="0070C0"/>
          <w:sz w:val="22"/>
          <w:szCs w:val="22"/>
        </w:rPr>
      </w:pPr>
      <w:r>
        <w:rPr>
          <w:rFonts w:ascii="Arial" w:hAnsi="Arial" w:cs="Arial"/>
          <w:b/>
          <w:bCs/>
          <w:i w:val="0"/>
          <w:iCs w:val="0"/>
          <w:color w:val="0070C0"/>
          <w:sz w:val="22"/>
          <w:szCs w:val="22"/>
        </w:rPr>
        <w:t>D.</w:t>
      </w:r>
      <w:r w:rsidR="001B2018" w:rsidRPr="001B2018">
        <w:rPr>
          <w:rFonts w:ascii="Arial" w:hAnsi="Arial" w:cs="Arial"/>
          <w:b/>
          <w:bCs/>
          <w:i w:val="0"/>
          <w:iCs w:val="0"/>
          <w:color w:val="0070C0"/>
          <w:sz w:val="22"/>
          <w:szCs w:val="22"/>
        </w:rPr>
        <w:t xml:space="preserve"> </w:t>
      </w:r>
      <w:r w:rsidR="00D81553" w:rsidRPr="001B2018">
        <w:rPr>
          <w:rFonts w:ascii="Arial" w:hAnsi="Arial" w:cs="Arial"/>
          <w:b/>
          <w:bCs/>
          <w:i w:val="0"/>
          <w:iCs w:val="0"/>
          <w:color w:val="0070C0"/>
          <w:sz w:val="22"/>
          <w:szCs w:val="22"/>
        </w:rPr>
        <w:t>Hazardous and Medical Waste</w:t>
      </w:r>
    </w:p>
    <w:p w:rsidR="00DF2422" w:rsidRPr="001B2018" w:rsidRDefault="00DF2422" w:rsidP="001B2018">
      <w:pPr>
        <w:pStyle w:val="NormalWeb"/>
        <w:jc w:val="both"/>
        <w:rPr>
          <w:rStyle w:val="relative"/>
          <w:rFonts w:ascii="Arial" w:hAnsi="Arial" w:cs="Arial"/>
          <w:sz w:val="22"/>
          <w:szCs w:val="22"/>
        </w:rPr>
      </w:pPr>
      <w:r w:rsidRPr="001B2018">
        <w:rPr>
          <w:rFonts w:ascii="Arial" w:hAnsi="Arial" w:cs="Arial"/>
          <w:sz w:val="22"/>
          <w:szCs w:val="22"/>
        </w:rPr>
        <w:t xml:space="preserve">This annex synthesises information on industrial hazardous waste and medical waste, including COVID-19-related surges, and compares estimated waste generation with national treatment capacity. It draws on UNDP and Business Scouts for Development (GIZ) sector studies, Korean knowledge-sharing programmes, UNCRD country summaries, and facility data for the Chip Mong Ecocycle co-processing plant and medical-waste incinerators. </w:t>
      </w:r>
    </w:p>
    <w:p w:rsidR="00DF2422" w:rsidRPr="001B2018" w:rsidRDefault="00DF2422" w:rsidP="001B2018">
      <w:pPr>
        <w:pStyle w:val="NormalWeb"/>
        <w:jc w:val="both"/>
        <w:rPr>
          <w:rFonts w:ascii="Arial" w:hAnsi="Arial" w:cs="Arial"/>
          <w:sz w:val="22"/>
          <w:szCs w:val="22"/>
        </w:rPr>
      </w:pPr>
      <w:r w:rsidRPr="001B2018">
        <w:rPr>
          <w:rFonts w:ascii="Arial" w:hAnsi="Arial" w:cs="Arial"/>
          <w:sz w:val="22"/>
          <w:szCs w:val="22"/>
        </w:rPr>
        <w:t>The indicators are used to assess whether hazardous and medical wastes are likely to be managed within licensed facilities or are at risk of informal dumping, co-disposal with municipal waste or uncontrolled burning.</w:t>
      </w:r>
    </w:p>
    <w:p w:rsidR="00DF2422" w:rsidRPr="002947AD" w:rsidRDefault="001B2018" w:rsidP="002947AD">
      <w:pPr>
        <w:pStyle w:val="Caption"/>
        <w:keepNext/>
        <w:spacing w:before="240" w:after="120"/>
        <w:rPr>
          <w:rFonts w:ascii="Arial" w:hAnsi="Arial" w:cs="Arial"/>
          <w:color w:val="002060"/>
          <w:sz w:val="22"/>
          <w:szCs w:val="22"/>
        </w:rPr>
      </w:pPr>
      <w:r w:rsidRPr="001B2018">
        <w:rPr>
          <w:rFonts w:ascii="Arial" w:hAnsi="Arial" w:cs="Arial"/>
          <w:color w:val="002060"/>
          <w:sz w:val="22"/>
          <w:szCs w:val="22"/>
        </w:rPr>
        <w:t>Annex Table 3-</w:t>
      </w:r>
      <w:r w:rsidRPr="001B2018">
        <w:rPr>
          <w:rFonts w:ascii="Arial" w:hAnsi="Arial" w:cs="Arial"/>
          <w:color w:val="002060"/>
          <w:sz w:val="22"/>
          <w:szCs w:val="22"/>
        </w:rPr>
        <w:fldChar w:fldCharType="begin"/>
      </w:r>
      <w:r w:rsidRPr="001B2018">
        <w:rPr>
          <w:rFonts w:ascii="Arial" w:hAnsi="Arial" w:cs="Arial"/>
          <w:color w:val="002060"/>
          <w:sz w:val="22"/>
          <w:szCs w:val="22"/>
        </w:rPr>
        <w:instrText xml:space="preserve"> SEQ Annex_Table_3- \* ARABIC </w:instrText>
      </w:r>
      <w:r w:rsidRPr="001B2018">
        <w:rPr>
          <w:rFonts w:ascii="Arial" w:hAnsi="Arial" w:cs="Arial"/>
          <w:color w:val="002060"/>
          <w:sz w:val="22"/>
          <w:szCs w:val="22"/>
        </w:rPr>
        <w:fldChar w:fldCharType="separate"/>
      </w:r>
      <w:r w:rsidR="00D35426">
        <w:rPr>
          <w:rFonts w:ascii="Arial" w:hAnsi="Arial" w:cs="Arial"/>
          <w:noProof/>
          <w:color w:val="002060"/>
          <w:sz w:val="22"/>
          <w:szCs w:val="22"/>
        </w:rPr>
        <w:t>6</w:t>
      </w:r>
      <w:r w:rsidRPr="001B2018">
        <w:rPr>
          <w:rFonts w:ascii="Arial" w:hAnsi="Arial" w:cs="Arial"/>
          <w:color w:val="002060"/>
          <w:sz w:val="22"/>
          <w:szCs w:val="22"/>
        </w:rPr>
        <w:fldChar w:fldCharType="end"/>
      </w:r>
      <w:r w:rsidR="002947AD">
        <w:rPr>
          <w:rFonts w:ascii="Arial" w:hAnsi="Arial" w:cs="Arial"/>
          <w:color w:val="002060"/>
          <w:sz w:val="22"/>
          <w:szCs w:val="22"/>
        </w:rPr>
        <w:t xml:space="preserve"> H</w:t>
      </w:r>
      <w:r w:rsidR="002947AD" w:rsidRPr="002947AD">
        <w:rPr>
          <w:rFonts w:ascii="Arial" w:hAnsi="Arial" w:cs="Arial"/>
          <w:color w:val="002060"/>
          <w:sz w:val="22"/>
          <w:szCs w:val="22"/>
        </w:rPr>
        <w:t>azardous and medical waste: data sources, metadata, and assessment method</w:t>
      </w:r>
    </w:p>
    <w:tbl>
      <w:tblPr>
        <w:tblStyle w:val="GridTable4-Accent5"/>
        <w:tblW w:w="0" w:type="auto"/>
        <w:tblLook w:val="04A0" w:firstRow="1" w:lastRow="0" w:firstColumn="1" w:lastColumn="0" w:noHBand="0" w:noVBand="1"/>
      </w:tblPr>
      <w:tblGrid>
        <w:gridCol w:w="1306"/>
        <w:gridCol w:w="7704"/>
      </w:tblGrid>
      <w:tr w:rsidR="00DF2422" w:rsidRPr="001B2018" w:rsidTr="002947AD">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129" w:type="dxa"/>
            <w:hideMark/>
          </w:tcPr>
          <w:p w:rsidR="00DF2422" w:rsidRPr="002947AD" w:rsidRDefault="00DF2422" w:rsidP="002947AD">
            <w:pPr>
              <w:jc w:val="center"/>
              <w:rPr>
                <w:rFonts w:ascii="Arial" w:hAnsi="Arial" w:cs="Arial"/>
                <w:sz w:val="20"/>
                <w:szCs w:val="20"/>
              </w:rPr>
            </w:pPr>
            <w:r w:rsidRPr="002947AD">
              <w:rPr>
                <w:rStyle w:val="Strong"/>
                <w:rFonts w:ascii="Arial" w:hAnsi="Arial" w:cs="Arial"/>
                <w:sz w:val="20"/>
                <w:szCs w:val="20"/>
              </w:rPr>
              <w:t>Category</w:t>
            </w:r>
          </w:p>
        </w:tc>
        <w:tc>
          <w:tcPr>
            <w:tcW w:w="7881" w:type="dxa"/>
            <w:hideMark/>
          </w:tcPr>
          <w:p w:rsidR="00DF2422" w:rsidRPr="002947AD" w:rsidRDefault="00DF2422" w:rsidP="002947AD">
            <w:pPr>
              <w:jc w:val="center"/>
              <w:cnfStyle w:val="100000000000" w:firstRow="1" w:lastRow="0" w:firstColumn="0" w:lastColumn="0" w:oddVBand="0" w:evenVBand="0" w:oddHBand="0" w:evenHBand="0" w:firstRowFirstColumn="0" w:firstRowLastColumn="0" w:lastRowFirstColumn="0" w:lastRowLastColumn="0"/>
              <w:rPr>
                <w:rFonts w:ascii="Arial" w:hAnsi="Arial" w:cs="Arial"/>
                <w:sz w:val="20"/>
                <w:szCs w:val="20"/>
              </w:rPr>
            </w:pPr>
            <w:r w:rsidRPr="002947AD">
              <w:rPr>
                <w:rStyle w:val="Strong"/>
                <w:rFonts w:ascii="Arial" w:hAnsi="Arial" w:cs="Arial"/>
                <w:b/>
                <w:bCs/>
                <w:sz w:val="20"/>
                <w:szCs w:val="20"/>
              </w:rPr>
              <w:t>Details</w:t>
            </w:r>
          </w:p>
        </w:tc>
      </w:tr>
      <w:tr w:rsidR="00DF2422" w:rsidRPr="001B2018" w:rsidTr="002947A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129" w:type="dxa"/>
            <w:hideMark/>
          </w:tcPr>
          <w:p w:rsidR="00DF2422" w:rsidRPr="002947AD" w:rsidRDefault="00DF2422" w:rsidP="001B2018">
            <w:pPr>
              <w:jc w:val="both"/>
              <w:rPr>
                <w:rFonts w:ascii="Arial" w:hAnsi="Arial" w:cs="Arial"/>
                <w:b w:val="0"/>
                <w:bCs w:val="0"/>
                <w:sz w:val="20"/>
                <w:szCs w:val="20"/>
              </w:rPr>
            </w:pPr>
            <w:r w:rsidRPr="002947AD">
              <w:rPr>
                <w:rStyle w:val="Strong"/>
                <w:rFonts w:ascii="Arial" w:hAnsi="Arial" w:cs="Arial"/>
                <w:b/>
                <w:bCs/>
                <w:sz w:val="20"/>
                <w:szCs w:val="20"/>
              </w:rPr>
              <w:t>Data Sources</w:t>
            </w:r>
          </w:p>
        </w:tc>
        <w:tc>
          <w:tcPr>
            <w:tcW w:w="7881" w:type="dxa"/>
            <w:hideMark/>
          </w:tcPr>
          <w:p w:rsidR="002947AD" w:rsidRDefault="00DF2422" w:rsidP="002947AD">
            <w:pPr>
              <w:pStyle w:val="ListParagraph"/>
              <w:numPr>
                <w:ilvl w:val="0"/>
                <w:numId w:val="41"/>
              </w:numPr>
              <w:ind w:left="202" w:hanging="218"/>
              <w:jc w:val="both"/>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1B2018">
              <w:rPr>
                <w:rFonts w:ascii="Arial" w:hAnsi="Arial" w:cs="Arial"/>
                <w:sz w:val="20"/>
                <w:szCs w:val="20"/>
              </w:rPr>
              <w:t>UNDP and GIZ/Business Scouts sector briefs on waste management and medical waste (2020–2023).</w:t>
            </w:r>
          </w:p>
          <w:p w:rsidR="002947AD" w:rsidRDefault="00DF2422" w:rsidP="002947AD">
            <w:pPr>
              <w:pStyle w:val="ListParagraph"/>
              <w:numPr>
                <w:ilvl w:val="0"/>
                <w:numId w:val="41"/>
              </w:numPr>
              <w:ind w:left="202" w:hanging="218"/>
              <w:jc w:val="both"/>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1B2018">
              <w:rPr>
                <w:rFonts w:ascii="Arial" w:hAnsi="Arial" w:cs="Arial"/>
                <w:sz w:val="20"/>
                <w:szCs w:val="20"/>
              </w:rPr>
              <w:t>Korean KSP/KDI policy studies on industrial waste.</w:t>
            </w:r>
          </w:p>
          <w:p w:rsidR="002947AD" w:rsidRDefault="00DF2422" w:rsidP="002947AD">
            <w:pPr>
              <w:pStyle w:val="ListParagraph"/>
              <w:numPr>
                <w:ilvl w:val="0"/>
                <w:numId w:val="41"/>
              </w:numPr>
              <w:ind w:left="202" w:hanging="218"/>
              <w:jc w:val="both"/>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1B2018">
              <w:rPr>
                <w:rFonts w:ascii="Arial" w:hAnsi="Arial" w:cs="Arial"/>
                <w:sz w:val="20"/>
                <w:szCs w:val="20"/>
              </w:rPr>
              <w:t>UNCRD reports on hazardous-waste co-processing in cement kilns.</w:t>
            </w:r>
          </w:p>
          <w:p w:rsidR="00DF2422" w:rsidRPr="001B2018" w:rsidRDefault="00DF2422" w:rsidP="002947AD">
            <w:pPr>
              <w:pStyle w:val="ListParagraph"/>
              <w:numPr>
                <w:ilvl w:val="0"/>
                <w:numId w:val="41"/>
              </w:numPr>
              <w:ind w:left="202" w:hanging="218"/>
              <w:jc w:val="both"/>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1B2018">
              <w:rPr>
                <w:rFonts w:ascii="Arial" w:hAnsi="Arial" w:cs="Arial"/>
                <w:sz w:val="20"/>
                <w:szCs w:val="20"/>
              </w:rPr>
              <w:t xml:space="preserve">MoH and facility reports on medical-waste incineration capacity. </w:t>
            </w:r>
          </w:p>
        </w:tc>
      </w:tr>
      <w:tr w:rsidR="00DF2422" w:rsidRPr="001B2018" w:rsidTr="002947AD">
        <w:tc>
          <w:tcPr>
            <w:cnfStyle w:val="001000000000" w:firstRow="0" w:lastRow="0" w:firstColumn="1" w:lastColumn="0" w:oddVBand="0" w:evenVBand="0" w:oddHBand="0" w:evenHBand="0" w:firstRowFirstColumn="0" w:firstRowLastColumn="0" w:lastRowFirstColumn="0" w:lastRowLastColumn="0"/>
            <w:tcW w:w="1129" w:type="dxa"/>
            <w:hideMark/>
          </w:tcPr>
          <w:p w:rsidR="00DF2422" w:rsidRPr="001B2018" w:rsidRDefault="00DF2422" w:rsidP="001B2018">
            <w:pPr>
              <w:jc w:val="both"/>
              <w:rPr>
                <w:rFonts w:ascii="Arial" w:hAnsi="Arial" w:cs="Arial"/>
                <w:sz w:val="20"/>
                <w:szCs w:val="20"/>
              </w:rPr>
            </w:pPr>
            <w:r w:rsidRPr="001B2018">
              <w:rPr>
                <w:rStyle w:val="Strong"/>
                <w:rFonts w:ascii="Arial" w:hAnsi="Arial" w:cs="Arial"/>
                <w:sz w:val="20"/>
                <w:szCs w:val="20"/>
              </w:rPr>
              <w:t>Metadata</w:t>
            </w:r>
          </w:p>
        </w:tc>
        <w:tc>
          <w:tcPr>
            <w:tcW w:w="7881" w:type="dxa"/>
            <w:hideMark/>
          </w:tcPr>
          <w:p w:rsidR="002947AD" w:rsidRPr="002947AD" w:rsidRDefault="00DF2422" w:rsidP="002947AD">
            <w:pPr>
              <w:pStyle w:val="ListParagraph"/>
              <w:numPr>
                <w:ilvl w:val="0"/>
                <w:numId w:val="41"/>
              </w:numPr>
              <w:ind w:left="202" w:hanging="218"/>
              <w:jc w:val="both"/>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1B2018">
              <w:rPr>
                <w:rFonts w:ascii="Arial" w:hAnsi="Arial" w:cs="Arial"/>
                <w:sz w:val="20"/>
                <w:szCs w:val="20"/>
              </w:rPr>
              <w:t>Indicators: estimated industrial hazardous/“collected industrial” waste (t/year); routine and COVID-peak medical waste (t/year); licensed co-processing capacity (~150,000 t/year); number and size of medical-waste incinerators (~34 units).</w:t>
            </w:r>
            <w:r w:rsidRPr="002947AD">
              <w:rPr>
                <w:rFonts w:ascii="Arial" w:hAnsi="Arial" w:cs="Arial"/>
                <w:sz w:val="20"/>
                <w:szCs w:val="20"/>
              </w:rPr>
              <w:t xml:space="preserve"> </w:t>
            </w:r>
          </w:p>
          <w:p w:rsidR="00DF2422" w:rsidRPr="001B2018" w:rsidRDefault="00DF2422" w:rsidP="002947AD">
            <w:pPr>
              <w:pStyle w:val="ListParagraph"/>
              <w:numPr>
                <w:ilvl w:val="0"/>
                <w:numId w:val="41"/>
              </w:numPr>
              <w:ind w:left="202" w:hanging="218"/>
              <w:jc w:val="both"/>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1B2018">
              <w:rPr>
                <w:rFonts w:ascii="Arial" w:hAnsi="Arial" w:cs="Arial"/>
                <w:sz w:val="20"/>
                <w:szCs w:val="20"/>
              </w:rPr>
              <w:t>Spatial coverage: national, with concentration in Phnom Penh and industrial hubs; co-processing facility in Kampot.</w:t>
            </w:r>
          </w:p>
        </w:tc>
      </w:tr>
      <w:tr w:rsidR="00DF2422" w:rsidRPr="001B2018" w:rsidTr="002947A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129" w:type="dxa"/>
            <w:hideMark/>
          </w:tcPr>
          <w:p w:rsidR="00DF2422" w:rsidRPr="001B2018" w:rsidRDefault="00DF2422" w:rsidP="001B2018">
            <w:pPr>
              <w:jc w:val="both"/>
              <w:rPr>
                <w:rFonts w:ascii="Arial" w:hAnsi="Arial" w:cs="Arial"/>
                <w:sz w:val="20"/>
                <w:szCs w:val="20"/>
              </w:rPr>
            </w:pPr>
            <w:r w:rsidRPr="001B2018">
              <w:rPr>
                <w:rStyle w:val="Strong"/>
                <w:rFonts w:ascii="Arial" w:hAnsi="Arial" w:cs="Arial"/>
                <w:sz w:val="20"/>
                <w:szCs w:val="20"/>
              </w:rPr>
              <w:t>Assessment Method</w:t>
            </w:r>
          </w:p>
        </w:tc>
        <w:tc>
          <w:tcPr>
            <w:tcW w:w="7881" w:type="dxa"/>
            <w:hideMark/>
          </w:tcPr>
          <w:p w:rsidR="002947AD" w:rsidRDefault="00DF2422" w:rsidP="002947AD">
            <w:pPr>
              <w:pStyle w:val="ListParagraph"/>
              <w:numPr>
                <w:ilvl w:val="0"/>
                <w:numId w:val="41"/>
              </w:numPr>
              <w:ind w:left="202" w:hanging="218"/>
              <w:jc w:val="both"/>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1B2018">
              <w:rPr>
                <w:rFonts w:ascii="Arial" w:hAnsi="Arial" w:cs="Arial"/>
                <w:sz w:val="20"/>
                <w:szCs w:val="20"/>
              </w:rPr>
              <w:t>Compile reported waste generation by sector and compare with licensed treatment capacity to identify gaps and potential uncontrolled disposal.</w:t>
            </w:r>
          </w:p>
          <w:p w:rsidR="002947AD" w:rsidRDefault="00DF2422" w:rsidP="002947AD">
            <w:pPr>
              <w:pStyle w:val="ListParagraph"/>
              <w:numPr>
                <w:ilvl w:val="0"/>
                <w:numId w:val="41"/>
              </w:numPr>
              <w:ind w:left="202" w:hanging="218"/>
              <w:jc w:val="both"/>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1B2018">
              <w:rPr>
                <w:rFonts w:ascii="Arial" w:hAnsi="Arial" w:cs="Arial"/>
                <w:sz w:val="20"/>
                <w:szCs w:val="20"/>
              </w:rPr>
              <w:t>Map provinces and sectors without reasonable access to licensed hazardous-waste facilities.</w:t>
            </w:r>
          </w:p>
          <w:p w:rsidR="00DF2422" w:rsidRPr="001B2018" w:rsidRDefault="00DF2422" w:rsidP="002947AD">
            <w:pPr>
              <w:pStyle w:val="ListParagraph"/>
              <w:numPr>
                <w:ilvl w:val="0"/>
                <w:numId w:val="41"/>
              </w:numPr>
              <w:ind w:left="202" w:hanging="218"/>
              <w:jc w:val="both"/>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1B2018">
              <w:rPr>
                <w:rFonts w:ascii="Arial" w:hAnsi="Arial" w:cs="Arial"/>
                <w:sz w:val="20"/>
                <w:szCs w:val="20"/>
              </w:rPr>
              <w:t xml:space="preserve">Classify overall risk qualitatively (low/medium/high) based on generation-to-capacity ratios, transport distances, and known informal practices (open burning, on-site burial, co-disposal at dumpsites). </w:t>
            </w:r>
          </w:p>
        </w:tc>
      </w:tr>
    </w:tbl>
    <w:p w:rsidR="001B2018" w:rsidRDefault="001B2018" w:rsidP="001B2018">
      <w:pPr>
        <w:jc w:val="both"/>
        <w:rPr>
          <w:rFonts w:ascii="Arial" w:hAnsi="Arial" w:cs="Arial"/>
          <w:sz w:val="22"/>
          <w:szCs w:val="22"/>
        </w:rPr>
      </w:pPr>
    </w:p>
    <w:p w:rsidR="00A71061" w:rsidRPr="001B2018" w:rsidRDefault="00DF2422" w:rsidP="002947AD">
      <w:pPr>
        <w:jc w:val="both"/>
        <w:rPr>
          <w:rFonts w:ascii="Arial" w:hAnsi="Arial" w:cs="Arial"/>
          <w:sz w:val="22"/>
          <w:szCs w:val="22"/>
        </w:rPr>
      </w:pPr>
      <w:r w:rsidRPr="001B2018">
        <w:rPr>
          <w:rFonts w:ascii="Arial" w:hAnsi="Arial" w:cs="Arial"/>
          <w:sz w:val="22"/>
          <w:szCs w:val="22"/>
        </w:rPr>
        <w:t>Available data suggest that industrial and medical hazardous wastes are increasing faster than licensed treatment capacity. While the Kampot co-processing facility provides substantial nominal capacity, geographic concentration and limited coverage for smaller generators mean that many hazardous streams are likely mismanaged. This reinforces the chapter’s conclusion that hazardous-waste mismanagement is a medium but growing risk, especially where residues can leach into waterways or be co-disposed with municipal waste in unlined dumps.</w:t>
      </w:r>
    </w:p>
    <w:p w:rsidR="00A71061" w:rsidRPr="001B2018" w:rsidRDefault="00A71061" w:rsidP="002947AD">
      <w:pPr>
        <w:pStyle w:val="Caption"/>
        <w:keepNext/>
        <w:spacing w:before="240" w:after="120"/>
        <w:rPr>
          <w:rFonts w:ascii="Arial" w:hAnsi="Arial" w:cs="Arial"/>
          <w:color w:val="002060"/>
          <w:sz w:val="22"/>
          <w:szCs w:val="22"/>
        </w:rPr>
      </w:pPr>
      <w:r w:rsidRPr="001B2018">
        <w:rPr>
          <w:rFonts w:ascii="Arial" w:hAnsi="Arial" w:cs="Arial"/>
          <w:color w:val="002060"/>
          <w:sz w:val="22"/>
          <w:szCs w:val="22"/>
        </w:rPr>
        <w:t>Annex Table 3-</w:t>
      </w:r>
      <w:r w:rsidRPr="001B2018">
        <w:rPr>
          <w:rFonts w:ascii="Arial" w:hAnsi="Arial" w:cs="Arial"/>
          <w:color w:val="002060"/>
          <w:sz w:val="22"/>
          <w:szCs w:val="22"/>
        </w:rPr>
        <w:fldChar w:fldCharType="begin"/>
      </w:r>
      <w:r w:rsidRPr="001B2018">
        <w:rPr>
          <w:rFonts w:ascii="Arial" w:hAnsi="Arial" w:cs="Arial"/>
          <w:color w:val="002060"/>
          <w:sz w:val="22"/>
          <w:szCs w:val="22"/>
        </w:rPr>
        <w:instrText xml:space="preserve"> SEQ Annex_Table_3- \* ARABIC </w:instrText>
      </w:r>
      <w:r w:rsidRPr="001B2018">
        <w:rPr>
          <w:rFonts w:ascii="Arial" w:hAnsi="Arial" w:cs="Arial"/>
          <w:color w:val="002060"/>
          <w:sz w:val="22"/>
          <w:szCs w:val="22"/>
        </w:rPr>
        <w:fldChar w:fldCharType="separate"/>
      </w:r>
      <w:r w:rsidR="00D35426">
        <w:rPr>
          <w:rFonts w:ascii="Arial" w:hAnsi="Arial" w:cs="Arial"/>
          <w:noProof/>
          <w:color w:val="002060"/>
          <w:sz w:val="22"/>
          <w:szCs w:val="22"/>
        </w:rPr>
        <w:t>7</w:t>
      </w:r>
      <w:r w:rsidRPr="001B2018">
        <w:rPr>
          <w:rFonts w:ascii="Arial" w:hAnsi="Arial" w:cs="Arial"/>
          <w:color w:val="002060"/>
          <w:sz w:val="22"/>
          <w:szCs w:val="22"/>
        </w:rPr>
        <w:fldChar w:fldCharType="end"/>
      </w:r>
      <w:r w:rsidRPr="001B2018">
        <w:rPr>
          <w:rFonts w:ascii="Arial" w:hAnsi="Arial" w:cs="Arial"/>
          <w:color w:val="002060"/>
          <w:sz w:val="22"/>
          <w:szCs w:val="22"/>
        </w:rPr>
        <w:t xml:space="preserve"> </w:t>
      </w:r>
      <w:r w:rsidR="00290C22" w:rsidRPr="001B2018">
        <w:rPr>
          <w:rFonts w:ascii="Arial" w:hAnsi="Arial" w:cs="Arial"/>
          <w:color w:val="002060"/>
          <w:sz w:val="22"/>
          <w:szCs w:val="22"/>
        </w:rPr>
        <w:t>Hazardous and medical waste indicator summary</w:t>
      </w:r>
    </w:p>
    <w:tbl>
      <w:tblPr>
        <w:tblStyle w:val="GridTable4-Accent5"/>
        <w:tblW w:w="0" w:type="auto"/>
        <w:tblLook w:val="04A0" w:firstRow="1" w:lastRow="0" w:firstColumn="1" w:lastColumn="0" w:noHBand="0" w:noVBand="1"/>
      </w:tblPr>
      <w:tblGrid>
        <w:gridCol w:w="1208"/>
        <w:gridCol w:w="1870"/>
        <w:gridCol w:w="1054"/>
        <w:gridCol w:w="1437"/>
        <w:gridCol w:w="1478"/>
        <w:gridCol w:w="1963"/>
      </w:tblGrid>
      <w:tr w:rsidR="00A71061" w:rsidRPr="001B2018" w:rsidTr="00A71061">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rsidR="00A71061" w:rsidRPr="006C2D54" w:rsidRDefault="00A71061" w:rsidP="001B2018">
            <w:pPr>
              <w:jc w:val="both"/>
              <w:rPr>
                <w:rFonts w:ascii="Arial" w:hAnsi="Arial" w:cs="Arial"/>
                <w:b w:val="0"/>
                <w:bCs w:val="0"/>
                <w:sz w:val="20"/>
                <w:szCs w:val="20"/>
              </w:rPr>
            </w:pPr>
            <w:r w:rsidRPr="006C2D54">
              <w:rPr>
                <w:rStyle w:val="Strong"/>
                <w:rFonts w:ascii="Arial" w:hAnsi="Arial" w:cs="Arial"/>
                <w:b/>
                <w:bCs/>
                <w:sz w:val="20"/>
                <w:szCs w:val="20"/>
              </w:rPr>
              <w:t>Category</w:t>
            </w:r>
          </w:p>
        </w:tc>
        <w:tc>
          <w:tcPr>
            <w:tcW w:w="0" w:type="auto"/>
            <w:hideMark/>
          </w:tcPr>
          <w:p w:rsidR="00A71061" w:rsidRPr="001B2018" w:rsidRDefault="00A71061" w:rsidP="001B2018">
            <w:pPr>
              <w:jc w:val="both"/>
              <w:cnfStyle w:val="100000000000" w:firstRow="1" w:lastRow="0" w:firstColumn="0" w:lastColumn="0" w:oddVBand="0" w:evenVBand="0" w:oddHBand="0" w:evenHBand="0" w:firstRowFirstColumn="0" w:firstRowLastColumn="0" w:lastRowFirstColumn="0" w:lastRowLastColumn="0"/>
              <w:rPr>
                <w:rFonts w:ascii="Arial" w:hAnsi="Arial" w:cs="Arial"/>
                <w:sz w:val="20"/>
                <w:szCs w:val="20"/>
              </w:rPr>
            </w:pPr>
            <w:r w:rsidRPr="001B2018">
              <w:rPr>
                <w:rStyle w:val="Strong"/>
                <w:rFonts w:ascii="Arial" w:hAnsi="Arial" w:cs="Arial"/>
                <w:b/>
                <w:bCs/>
                <w:sz w:val="20"/>
                <w:szCs w:val="20"/>
              </w:rPr>
              <w:t>Indicator</w:t>
            </w:r>
          </w:p>
        </w:tc>
        <w:tc>
          <w:tcPr>
            <w:tcW w:w="0" w:type="auto"/>
            <w:hideMark/>
          </w:tcPr>
          <w:p w:rsidR="00A71061" w:rsidRPr="001B2018" w:rsidRDefault="00A71061" w:rsidP="001B2018">
            <w:pPr>
              <w:jc w:val="both"/>
              <w:cnfStyle w:val="100000000000" w:firstRow="1" w:lastRow="0" w:firstColumn="0" w:lastColumn="0" w:oddVBand="0" w:evenVBand="0" w:oddHBand="0" w:evenHBand="0" w:firstRowFirstColumn="0" w:firstRowLastColumn="0" w:lastRowFirstColumn="0" w:lastRowLastColumn="0"/>
              <w:rPr>
                <w:rFonts w:ascii="Arial" w:hAnsi="Arial" w:cs="Arial"/>
                <w:sz w:val="20"/>
                <w:szCs w:val="20"/>
              </w:rPr>
            </w:pPr>
            <w:r w:rsidRPr="001B2018">
              <w:rPr>
                <w:rStyle w:val="Strong"/>
                <w:rFonts w:ascii="Arial" w:hAnsi="Arial" w:cs="Arial"/>
                <w:b/>
                <w:bCs/>
                <w:sz w:val="20"/>
                <w:szCs w:val="20"/>
              </w:rPr>
              <w:t>Units</w:t>
            </w:r>
          </w:p>
        </w:tc>
        <w:tc>
          <w:tcPr>
            <w:tcW w:w="0" w:type="auto"/>
            <w:hideMark/>
          </w:tcPr>
          <w:p w:rsidR="00A71061" w:rsidRPr="001B2018" w:rsidRDefault="00A71061" w:rsidP="001B2018">
            <w:pPr>
              <w:jc w:val="both"/>
              <w:cnfStyle w:val="100000000000" w:firstRow="1" w:lastRow="0" w:firstColumn="0" w:lastColumn="0" w:oddVBand="0" w:evenVBand="0" w:oddHBand="0" w:evenHBand="0" w:firstRowFirstColumn="0" w:firstRowLastColumn="0" w:lastRowFirstColumn="0" w:lastRowLastColumn="0"/>
              <w:rPr>
                <w:rFonts w:ascii="Arial" w:hAnsi="Arial" w:cs="Arial"/>
                <w:sz w:val="20"/>
                <w:szCs w:val="20"/>
              </w:rPr>
            </w:pPr>
            <w:r w:rsidRPr="001B2018">
              <w:rPr>
                <w:rStyle w:val="Strong"/>
                <w:rFonts w:ascii="Arial" w:hAnsi="Arial" w:cs="Arial"/>
                <w:b/>
                <w:bCs/>
                <w:sz w:val="20"/>
                <w:szCs w:val="20"/>
              </w:rPr>
              <w:t>Sources</w:t>
            </w:r>
          </w:p>
        </w:tc>
        <w:tc>
          <w:tcPr>
            <w:tcW w:w="0" w:type="auto"/>
            <w:hideMark/>
          </w:tcPr>
          <w:p w:rsidR="00A71061" w:rsidRPr="001B2018" w:rsidRDefault="00A71061" w:rsidP="001B2018">
            <w:pPr>
              <w:jc w:val="both"/>
              <w:cnfStyle w:val="100000000000" w:firstRow="1" w:lastRow="0" w:firstColumn="0" w:lastColumn="0" w:oddVBand="0" w:evenVBand="0" w:oddHBand="0" w:evenHBand="0" w:firstRowFirstColumn="0" w:firstRowLastColumn="0" w:lastRowFirstColumn="0" w:lastRowLastColumn="0"/>
              <w:rPr>
                <w:rFonts w:ascii="Arial" w:hAnsi="Arial" w:cs="Arial"/>
                <w:sz w:val="20"/>
                <w:szCs w:val="20"/>
              </w:rPr>
            </w:pPr>
            <w:r w:rsidRPr="001B2018">
              <w:rPr>
                <w:rStyle w:val="Strong"/>
                <w:rFonts w:ascii="Arial" w:hAnsi="Arial" w:cs="Arial"/>
                <w:b/>
                <w:bCs/>
                <w:sz w:val="20"/>
                <w:szCs w:val="20"/>
              </w:rPr>
              <w:t>Methods</w:t>
            </w:r>
          </w:p>
        </w:tc>
        <w:tc>
          <w:tcPr>
            <w:tcW w:w="0" w:type="auto"/>
            <w:hideMark/>
          </w:tcPr>
          <w:p w:rsidR="00A71061" w:rsidRPr="001B2018" w:rsidRDefault="00A71061" w:rsidP="001B2018">
            <w:pPr>
              <w:jc w:val="both"/>
              <w:cnfStyle w:val="100000000000" w:firstRow="1" w:lastRow="0" w:firstColumn="0" w:lastColumn="0" w:oddVBand="0" w:evenVBand="0" w:oddHBand="0" w:evenHBand="0" w:firstRowFirstColumn="0" w:firstRowLastColumn="0" w:lastRowFirstColumn="0" w:lastRowLastColumn="0"/>
              <w:rPr>
                <w:rFonts w:ascii="Arial" w:hAnsi="Arial" w:cs="Arial"/>
                <w:sz w:val="20"/>
                <w:szCs w:val="20"/>
              </w:rPr>
            </w:pPr>
            <w:r w:rsidRPr="001B2018">
              <w:rPr>
                <w:rStyle w:val="Strong"/>
                <w:rFonts w:ascii="Arial" w:hAnsi="Arial" w:cs="Arial"/>
                <w:b/>
                <w:bCs/>
                <w:sz w:val="20"/>
                <w:szCs w:val="20"/>
              </w:rPr>
              <w:t>Notes</w:t>
            </w:r>
          </w:p>
        </w:tc>
      </w:tr>
      <w:tr w:rsidR="00A71061" w:rsidRPr="001B2018" w:rsidTr="00A7106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rsidR="00A71061" w:rsidRPr="001B2018" w:rsidRDefault="00A71061" w:rsidP="001B2018">
            <w:pPr>
              <w:jc w:val="both"/>
              <w:rPr>
                <w:rFonts w:ascii="Arial" w:hAnsi="Arial" w:cs="Arial"/>
                <w:sz w:val="20"/>
                <w:szCs w:val="20"/>
              </w:rPr>
            </w:pPr>
            <w:r w:rsidRPr="001B2018">
              <w:rPr>
                <w:rFonts w:ascii="Arial" w:hAnsi="Arial" w:cs="Arial"/>
                <w:sz w:val="20"/>
                <w:szCs w:val="20"/>
              </w:rPr>
              <w:t>Industrial hazardous waste</w:t>
            </w:r>
          </w:p>
        </w:tc>
        <w:tc>
          <w:tcPr>
            <w:tcW w:w="0" w:type="auto"/>
            <w:hideMark/>
          </w:tcPr>
          <w:p w:rsidR="00A71061" w:rsidRPr="001B2018" w:rsidRDefault="00A71061" w:rsidP="001B2018">
            <w:pPr>
              <w:jc w:val="both"/>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1B2018">
              <w:rPr>
                <w:rFonts w:ascii="Arial" w:hAnsi="Arial" w:cs="Arial"/>
                <w:sz w:val="20"/>
                <w:szCs w:val="20"/>
              </w:rPr>
              <w:t>Estimated industrial hazardous/collected industrial waste</w:t>
            </w:r>
          </w:p>
        </w:tc>
        <w:tc>
          <w:tcPr>
            <w:tcW w:w="0" w:type="auto"/>
            <w:hideMark/>
          </w:tcPr>
          <w:p w:rsidR="00A71061" w:rsidRPr="001B2018" w:rsidRDefault="00A71061" w:rsidP="001B2018">
            <w:pPr>
              <w:jc w:val="both"/>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1B2018">
              <w:rPr>
                <w:rFonts w:ascii="Arial" w:hAnsi="Arial" w:cs="Arial"/>
                <w:sz w:val="20"/>
                <w:szCs w:val="20"/>
              </w:rPr>
              <w:t>t/year</w:t>
            </w:r>
          </w:p>
        </w:tc>
        <w:tc>
          <w:tcPr>
            <w:tcW w:w="0" w:type="auto"/>
            <w:hideMark/>
          </w:tcPr>
          <w:p w:rsidR="00A71061" w:rsidRPr="001B2018" w:rsidRDefault="00A71061" w:rsidP="001B2018">
            <w:pPr>
              <w:jc w:val="both"/>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1B2018">
              <w:rPr>
                <w:rFonts w:ascii="Arial" w:hAnsi="Arial" w:cs="Arial"/>
                <w:sz w:val="20"/>
                <w:szCs w:val="20"/>
              </w:rPr>
              <w:t>UNDP (2021); Business Scouts for Development (2023); KSP/KDI studies; facility reports</w:t>
            </w:r>
          </w:p>
        </w:tc>
        <w:tc>
          <w:tcPr>
            <w:tcW w:w="0" w:type="auto"/>
            <w:hideMark/>
          </w:tcPr>
          <w:p w:rsidR="00A71061" w:rsidRPr="001B2018" w:rsidRDefault="00A71061" w:rsidP="001B2018">
            <w:pPr>
              <w:jc w:val="both"/>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1B2018">
              <w:rPr>
                <w:rFonts w:ascii="Arial" w:hAnsi="Arial" w:cs="Arial"/>
                <w:sz w:val="20"/>
                <w:szCs w:val="20"/>
              </w:rPr>
              <w:t>Compile reported annual waste volumes by facility/sector; compare with national hazardous-waste definitions</w:t>
            </w:r>
          </w:p>
        </w:tc>
        <w:tc>
          <w:tcPr>
            <w:tcW w:w="0" w:type="auto"/>
            <w:hideMark/>
          </w:tcPr>
          <w:p w:rsidR="00A71061" w:rsidRPr="001B2018" w:rsidRDefault="00A71061" w:rsidP="001B2018">
            <w:pPr>
              <w:jc w:val="both"/>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1B2018">
              <w:rPr>
                <w:rFonts w:ascii="Arial" w:hAnsi="Arial" w:cs="Arial"/>
                <w:sz w:val="20"/>
                <w:szCs w:val="20"/>
              </w:rPr>
              <w:t>Around 120,000 t/year “collected industrial waste” reported; only a portion formally recorded as hazardous; significant uncertainty on informal/unregistered generators.</w:t>
            </w:r>
          </w:p>
        </w:tc>
      </w:tr>
      <w:tr w:rsidR="00F439E3" w:rsidRPr="001B2018" w:rsidTr="00A71061">
        <w:tc>
          <w:tcPr>
            <w:cnfStyle w:val="001000000000" w:firstRow="0" w:lastRow="0" w:firstColumn="1" w:lastColumn="0" w:oddVBand="0" w:evenVBand="0" w:oddHBand="0" w:evenHBand="0" w:firstRowFirstColumn="0" w:firstRowLastColumn="0" w:lastRowFirstColumn="0" w:lastRowLastColumn="0"/>
            <w:tcW w:w="0" w:type="auto"/>
            <w:hideMark/>
          </w:tcPr>
          <w:p w:rsidR="00A71061" w:rsidRPr="001B2018" w:rsidRDefault="00A71061" w:rsidP="001B2018">
            <w:pPr>
              <w:jc w:val="both"/>
              <w:rPr>
                <w:rFonts w:ascii="Arial" w:hAnsi="Arial" w:cs="Arial"/>
                <w:sz w:val="20"/>
                <w:szCs w:val="20"/>
              </w:rPr>
            </w:pPr>
            <w:r w:rsidRPr="001B2018">
              <w:rPr>
                <w:rFonts w:ascii="Arial" w:hAnsi="Arial" w:cs="Arial"/>
                <w:sz w:val="20"/>
                <w:szCs w:val="20"/>
              </w:rPr>
              <w:t>Medical waste (pre-COVID)</w:t>
            </w:r>
          </w:p>
        </w:tc>
        <w:tc>
          <w:tcPr>
            <w:tcW w:w="0" w:type="auto"/>
            <w:hideMark/>
          </w:tcPr>
          <w:p w:rsidR="00A71061" w:rsidRPr="001B2018" w:rsidRDefault="00A71061" w:rsidP="001B2018">
            <w:pPr>
              <w:jc w:val="both"/>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1B2018">
              <w:rPr>
                <w:rFonts w:ascii="Arial" w:hAnsi="Arial" w:cs="Arial"/>
                <w:sz w:val="20"/>
                <w:szCs w:val="20"/>
              </w:rPr>
              <w:t>Routine medical waste generation</w:t>
            </w:r>
          </w:p>
        </w:tc>
        <w:tc>
          <w:tcPr>
            <w:tcW w:w="0" w:type="auto"/>
            <w:hideMark/>
          </w:tcPr>
          <w:p w:rsidR="00A71061" w:rsidRPr="001B2018" w:rsidRDefault="00A71061" w:rsidP="001B2018">
            <w:pPr>
              <w:jc w:val="both"/>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1B2018">
              <w:rPr>
                <w:rFonts w:ascii="Arial" w:hAnsi="Arial" w:cs="Arial"/>
                <w:sz w:val="20"/>
                <w:szCs w:val="20"/>
              </w:rPr>
              <w:t>t/year</w:t>
            </w:r>
          </w:p>
        </w:tc>
        <w:tc>
          <w:tcPr>
            <w:tcW w:w="0" w:type="auto"/>
            <w:hideMark/>
          </w:tcPr>
          <w:p w:rsidR="00A71061" w:rsidRPr="001B2018" w:rsidRDefault="00A71061" w:rsidP="001B2018">
            <w:pPr>
              <w:jc w:val="both"/>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1B2018">
              <w:rPr>
                <w:rFonts w:ascii="Arial" w:hAnsi="Arial" w:cs="Arial"/>
                <w:sz w:val="20"/>
                <w:szCs w:val="20"/>
              </w:rPr>
              <w:t>UNDP (2021); MoH/health-facility reports</w:t>
            </w:r>
          </w:p>
        </w:tc>
        <w:tc>
          <w:tcPr>
            <w:tcW w:w="0" w:type="auto"/>
            <w:hideMark/>
          </w:tcPr>
          <w:p w:rsidR="00A71061" w:rsidRPr="001B2018" w:rsidRDefault="00A71061" w:rsidP="001B2018">
            <w:pPr>
              <w:jc w:val="both"/>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1B2018">
              <w:rPr>
                <w:rFonts w:ascii="Arial" w:hAnsi="Arial" w:cs="Arial"/>
                <w:sz w:val="20"/>
                <w:szCs w:val="20"/>
              </w:rPr>
              <w:t>Sum reported monthly/annual waste from hospitals and health centres; extrapolate to national level</w:t>
            </w:r>
          </w:p>
        </w:tc>
        <w:tc>
          <w:tcPr>
            <w:tcW w:w="0" w:type="auto"/>
            <w:hideMark/>
          </w:tcPr>
          <w:p w:rsidR="00A71061" w:rsidRPr="001B2018" w:rsidRDefault="00A71061" w:rsidP="001B2018">
            <w:pPr>
              <w:jc w:val="both"/>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1B2018">
              <w:rPr>
                <w:rFonts w:ascii="Arial" w:hAnsi="Arial" w:cs="Arial"/>
                <w:sz w:val="20"/>
                <w:szCs w:val="20"/>
              </w:rPr>
              <w:t>Pre-COVID estimates ≈40 t/month (~480 t/year) in Phnom Penh; lower volumes in provinces with weak reporting.</w:t>
            </w:r>
          </w:p>
        </w:tc>
      </w:tr>
      <w:tr w:rsidR="00A71061" w:rsidRPr="001B2018" w:rsidTr="00A7106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rsidR="00A71061" w:rsidRPr="001B2018" w:rsidRDefault="00A71061" w:rsidP="001B2018">
            <w:pPr>
              <w:jc w:val="both"/>
              <w:rPr>
                <w:rFonts w:ascii="Arial" w:hAnsi="Arial" w:cs="Arial"/>
                <w:sz w:val="20"/>
                <w:szCs w:val="20"/>
              </w:rPr>
            </w:pPr>
            <w:r w:rsidRPr="001B2018">
              <w:rPr>
                <w:rFonts w:ascii="Arial" w:hAnsi="Arial" w:cs="Arial"/>
                <w:sz w:val="20"/>
                <w:szCs w:val="20"/>
              </w:rPr>
              <w:t>Medical waste (COVID surge)</w:t>
            </w:r>
          </w:p>
        </w:tc>
        <w:tc>
          <w:tcPr>
            <w:tcW w:w="0" w:type="auto"/>
            <w:hideMark/>
          </w:tcPr>
          <w:p w:rsidR="00A71061" w:rsidRPr="001B2018" w:rsidRDefault="00A71061" w:rsidP="001B2018">
            <w:pPr>
              <w:jc w:val="both"/>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1B2018">
              <w:rPr>
                <w:rFonts w:ascii="Arial" w:hAnsi="Arial" w:cs="Arial"/>
                <w:sz w:val="20"/>
                <w:szCs w:val="20"/>
              </w:rPr>
              <w:t>Pandemic-related surge in medical waste</w:t>
            </w:r>
          </w:p>
        </w:tc>
        <w:tc>
          <w:tcPr>
            <w:tcW w:w="0" w:type="auto"/>
            <w:hideMark/>
          </w:tcPr>
          <w:p w:rsidR="00A71061" w:rsidRPr="001B2018" w:rsidRDefault="00A71061" w:rsidP="001B2018">
            <w:pPr>
              <w:jc w:val="both"/>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1B2018">
              <w:rPr>
                <w:rFonts w:ascii="Arial" w:hAnsi="Arial" w:cs="Arial"/>
                <w:sz w:val="20"/>
                <w:szCs w:val="20"/>
              </w:rPr>
              <w:t>t/year</w:t>
            </w:r>
          </w:p>
        </w:tc>
        <w:tc>
          <w:tcPr>
            <w:tcW w:w="0" w:type="auto"/>
            <w:hideMark/>
          </w:tcPr>
          <w:p w:rsidR="00A71061" w:rsidRPr="001B2018" w:rsidRDefault="00A71061" w:rsidP="001B2018">
            <w:pPr>
              <w:jc w:val="both"/>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1B2018">
              <w:rPr>
                <w:rFonts w:ascii="Arial" w:hAnsi="Arial" w:cs="Arial"/>
                <w:sz w:val="20"/>
                <w:szCs w:val="20"/>
              </w:rPr>
              <w:t>UNDP (2021); emergency-response documentation</w:t>
            </w:r>
          </w:p>
        </w:tc>
        <w:tc>
          <w:tcPr>
            <w:tcW w:w="0" w:type="auto"/>
            <w:hideMark/>
          </w:tcPr>
          <w:p w:rsidR="00A71061" w:rsidRPr="001B2018" w:rsidRDefault="00A71061" w:rsidP="001B2018">
            <w:pPr>
              <w:jc w:val="both"/>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1B2018">
              <w:rPr>
                <w:rFonts w:ascii="Arial" w:hAnsi="Arial" w:cs="Arial"/>
                <w:sz w:val="20"/>
                <w:szCs w:val="20"/>
              </w:rPr>
              <w:t>Compare peak daily generation with pre-COVID baselines; estimate annualised surge</w:t>
            </w:r>
          </w:p>
        </w:tc>
        <w:tc>
          <w:tcPr>
            <w:tcW w:w="0" w:type="auto"/>
            <w:hideMark/>
          </w:tcPr>
          <w:p w:rsidR="00A71061" w:rsidRPr="001B2018" w:rsidRDefault="00A71061" w:rsidP="001B2018">
            <w:pPr>
              <w:jc w:val="both"/>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1B2018">
              <w:rPr>
                <w:rFonts w:ascii="Arial" w:hAnsi="Arial" w:cs="Arial"/>
                <w:sz w:val="20"/>
                <w:szCs w:val="20"/>
              </w:rPr>
              <w:t>COVID period peaks up to ~20 t/day (~7,300 t/year) in Phnom Penh; stress-tested existing incinerators and storage capacity.</w:t>
            </w:r>
          </w:p>
        </w:tc>
      </w:tr>
      <w:tr w:rsidR="00F439E3" w:rsidRPr="001B2018" w:rsidTr="00A71061">
        <w:tc>
          <w:tcPr>
            <w:cnfStyle w:val="001000000000" w:firstRow="0" w:lastRow="0" w:firstColumn="1" w:lastColumn="0" w:oddVBand="0" w:evenVBand="0" w:oddHBand="0" w:evenHBand="0" w:firstRowFirstColumn="0" w:firstRowLastColumn="0" w:lastRowFirstColumn="0" w:lastRowLastColumn="0"/>
            <w:tcW w:w="0" w:type="auto"/>
            <w:hideMark/>
          </w:tcPr>
          <w:p w:rsidR="00A71061" w:rsidRPr="001B2018" w:rsidRDefault="00A71061" w:rsidP="001B2018">
            <w:pPr>
              <w:jc w:val="both"/>
              <w:rPr>
                <w:rFonts w:ascii="Arial" w:hAnsi="Arial" w:cs="Arial"/>
                <w:sz w:val="20"/>
                <w:szCs w:val="20"/>
              </w:rPr>
            </w:pPr>
            <w:r w:rsidRPr="001B2018">
              <w:rPr>
                <w:rFonts w:ascii="Arial" w:hAnsi="Arial" w:cs="Arial"/>
                <w:sz w:val="20"/>
                <w:szCs w:val="20"/>
              </w:rPr>
              <w:t>Treatment capacity – co-processing</w:t>
            </w:r>
          </w:p>
        </w:tc>
        <w:tc>
          <w:tcPr>
            <w:tcW w:w="0" w:type="auto"/>
            <w:hideMark/>
          </w:tcPr>
          <w:p w:rsidR="00A71061" w:rsidRPr="001B2018" w:rsidRDefault="00A71061" w:rsidP="001B2018">
            <w:pPr>
              <w:jc w:val="both"/>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1B2018">
              <w:rPr>
                <w:rFonts w:ascii="Arial" w:hAnsi="Arial" w:cs="Arial"/>
                <w:sz w:val="20"/>
                <w:szCs w:val="20"/>
              </w:rPr>
              <w:t>Hazardous-waste co-processing capacity (cement kiln)</w:t>
            </w:r>
          </w:p>
        </w:tc>
        <w:tc>
          <w:tcPr>
            <w:tcW w:w="0" w:type="auto"/>
            <w:hideMark/>
          </w:tcPr>
          <w:p w:rsidR="00A71061" w:rsidRPr="001B2018" w:rsidRDefault="00A71061" w:rsidP="001B2018">
            <w:pPr>
              <w:jc w:val="both"/>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1B2018">
              <w:rPr>
                <w:rFonts w:ascii="Arial" w:hAnsi="Arial" w:cs="Arial"/>
                <w:sz w:val="20"/>
                <w:szCs w:val="20"/>
              </w:rPr>
              <w:t>t/year</w:t>
            </w:r>
          </w:p>
        </w:tc>
        <w:tc>
          <w:tcPr>
            <w:tcW w:w="0" w:type="auto"/>
            <w:hideMark/>
          </w:tcPr>
          <w:p w:rsidR="00A71061" w:rsidRPr="001B2018" w:rsidRDefault="00A71061" w:rsidP="001B2018">
            <w:pPr>
              <w:jc w:val="both"/>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1B2018">
              <w:rPr>
                <w:rFonts w:ascii="Arial" w:hAnsi="Arial" w:cs="Arial"/>
                <w:sz w:val="20"/>
                <w:szCs w:val="20"/>
              </w:rPr>
              <w:t>UNCRD (2023); company reports (Chip Mong Ecocycle)</w:t>
            </w:r>
          </w:p>
        </w:tc>
        <w:tc>
          <w:tcPr>
            <w:tcW w:w="0" w:type="auto"/>
            <w:hideMark/>
          </w:tcPr>
          <w:p w:rsidR="00A71061" w:rsidRPr="001B2018" w:rsidRDefault="00A71061" w:rsidP="001B2018">
            <w:pPr>
              <w:jc w:val="both"/>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1B2018">
              <w:rPr>
                <w:rFonts w:ascii="Arial" w:hAnsi="Arial" w:cs="Arial"/>
                <w:sz w:val="20"/>
                <w:szCs w:val="20"/>
              </w:rPr>
              <w:t>Review licensed capacity; cross-check with reported annual inputs</w:t>
            </w:r>
          </w:p>
        </w:tc>
        <w:tc>
          <w:tcPr>
            <w:tcW w:w="0" w:type="auto"/>
            <w:hideMark/>
          </w:tcPr>
          <w:p w:rsidR="00A71061" w:rsidRPr="001B2018" w:rsidRDefault="00A71061" w:rsidP="001B2018">
            <w:pPr>
              <w:jc w:val="both"/>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1B2018">
              <w:rPr>
                <w:rFonts w:ascii="Arial" w:hAnsi="Arial" w:cs="Arial"/>
                <w:sz w:val="20"/>
                <w:szCs w:val="20"/>
              </w:rPr>
              <w:t>Nominal capacity ≈150,000 t/year; actual throughput lower; capacity mainly in Kampot, far from northern/remote generators.</w:t>
            </w:r>
          </w:p>
        </w:tc>
      </w:tr>
      <w:tr w:rsidR="00A71061" w:rsidRPr="001B2018" w:rsidTr="00A7106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rsidR="00A71061" w:rsidRPr="001B2018" w:rsidRDefault="00A71061" w:rsidP="001B2018">
            <w:pPr>
              <w:jc w:val="both"/>
              <w:rPr>
                <w:rFonts w:ascii="Arial" w:hAnsi="Arial" w:cs="Arial"/>
                <w:sz w:val="20"/>
                <w:szCs w:val="20"/>
              </w:rPr>
            </w:pPr>
            <w:r w:rsidRPr="001B2018">
              <w:rPr>
                <w:rFonts w:ascii="Arial" w:hAnsi="Arial" w:cs="Arial"/>
                <w:sz w:val="20"/>
                <w:szCs w:val="20"/>
              </w:rPr>
              <w:t>Treatment capacity – medical waste</w:t>
            </w:r>
          </w:p>
        </w:tc>
        <w:tc>
          <w:tcPr>
            <w:tcW w:w="0" w:type="auto"/>
            <w:hideMark/>
          </w:tcPr>
          <w:p w:rsidR="00A71061" w:rsidRPr="001B2018" w:rsidRDefault="00A71061" w:rsidP="001B2018">
            <w:pPr>
              <w:jc w:val="both"/>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1B2018">
              <w:rPr>
                <w:rFonts w:ascii="Arial" w:hAnsi="Arial" w:cs="Arial"/>
                <w:sz w:val="20"/>
                <w:szCs w:val="20"/>
              </w:rPr>
              <w:t>Number and capacity of medical-waste incinerators</w:t>
            </w:r>
          </w:p>
        </w:tc>
        <w:tc>
          <w:tcPr>
            <w:tcW w:w="0" w:type="auto"/>
            <w:hideMark/>
          </w:tcPr>
          <w:p w:rsidR="00A71061" w:rsidRPr="001B2018" w:rsidRDefault="00A71061" w:rsidP="001B2018">
            <w:pPr>
              <w:jc w:val="both"/>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1B2018">
              <w:rPr>
                <w:rFonts w:ascii="Arial" w:hAnsi="Arial" w:cs="Arial"/>
                <w:sz w:val="20"/>
                <w:szCs w:val="20"/>
              </w:rPr>
              <w:t>units; t/year</w:t>
            </w:r>
          </w:p>
        </w:tc>
        <w:tc>
          <w:tcPr>
            <w:tcW w:w="0" w:type="auto"/>
            <w:hideMark/>
          </w:tcPr>
          <w:p w:rsidR="00A71061" w:rsidRPr="001B2018" w:rsidRDefault="00A71061" w:rsidP="001B2018">
            <w:pPr>
              <w:jc w:val="both"/>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1B2018">
              <w:rPr>
                <w:rFonts w:ascii="Arial" w:hAnsi="Arial" w:cs="Arial"/>
                <w:sz w:val="20"/>
                <w:szCs w:val="20"/>
              </w:rPr>
              <w:t>GIZ (2020); UNCRD (2023); MoH</w:t>
            </w:r>
          </w:p>
        </w:tc>
        <w:tc>
          <w:tcPr>
            <w:tcW w:w="0" w:type="auto"/>
            <w:hideMark/>
          </w:tcPr>
          <w:p w:rsidR="00A71061" w:rsidRPr="001B2018" w:rsidRDefault="00A71061" w:rsidP="001B2018">
            <w:pPr>
              <w:jc w:val="both"/>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1B2018">
              <w:rPr>
                <w:rFonts w:ascii="Arial" w:hAnsi="Arial" w:cs="Arial"/>
                <w:sz w:val="20"/>
                <w:szCs w:val="20"/>
              </w:rPr>
              <w:t>Inventory of installed incinerators; estimate throughput based on design capacity and operating days</w:t>
            </w:r>
          </w:p>
        </w:tc>
        <w:tc>
          <w:tcPr>
            <w:tcW w:w="0" w:type="auto"/>
            <w:hideMark/>
          </w:tcPr>
          <w:p w:rsidR="00A71061" w:rsidRPr="001B2018" w:rsidRDefault="00A71061" w:rsidP="001B2018">
            <w:pPr>
              <w:jc w:val="both"/>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1B2018">
              <w:rPr>
                <w:rFonts w:ascii="Arial" w:hAnsi="Arial" w:cs="Arial"/>
                <w:sz w:val="20"/>
                <w:szCs w:val="20"/>
              </w:rPr>
              <w:t>~34 incinerators nationwide (incl. 5 new JICA units); many small, intermittent operation; limited emission controls and ash management.</w:t>
            </w:r>
          </w:p>
        </w:tc>
      </w:tr>
      <w:tr w:rsidR="00F439E3" w:rsidRPr="001B2018" w:rsidTr="00A71061">
        <w:tc>
          <w:tcPr>
            <w:cnfStyle w:val="001000000000" w:firstRow="0" w:lastRow="0" w:firstColumn="1" w:lastColumn="0" w:oddVBand="0" w:evenVBand="0" w:oddHBand="0" w:evenHBand="0" w:firstRowFirstColumn="0" w:firstRowLastColumn="0" w:lastRowFirstColumn="0" w:lastRowLastColumn="0"/>
            <w:tcW w:w="0" w:type="auto"/>
            <w:hideMark/>
          </w:tcPr>
          <w:p w:rsidR="00A71061" w:rsidRPr="001B2018" w:rsidRDefault="00A71061" w:rsidP="001B2018">
            <w:pPr>
              <w:jc w:val="both"/>
              <w:rPr>
                <w:rFonts w:ascii="Arial" w:hAnsi="Arial" w:cs="Arial"/>
                <w:sz w:val="20"/>
                <w:szCs w:val="20"/>
              </w:rPr>
            </w:pPr>
            <w:r w:rsidRPr="001B2018">
              <w:rPr>
                <w:rFonts w:ascii="Arial" w:hAnsi="Arial" w:cs="Arial"/>
                <w:sz w:val="20"/>
                <w:szCs w:val="20"/>
              </w:rPr>
              <w:t>Sectoral risk mapping</w:t>
            </w:r>
          </w:p>
        </w:tc>
        <w:tc>
          <w:tcPr>
            <w:tcW w:w="0" w:type="auto"/>
            <w:hideMark/>
          </w:tcPr>
          <w:p w:rsidR="00A71061" w:rsidRPr="001B2018" w:rsidRDefault="00A71061" w:rsidP="001B2018">
            <w:pPr>
              <w:jc w:val="both"/>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1B2018">
              <w:rPr>
                <w:rFonts w:ascii="Arial" w:hAnsi="Arial" w:cs="Arial"/>
                <w:sz w:val="20"/>
                <w:szCs w:val="20"/>
              </w:rPr>
              <w:t>Mismatch between waste generation and licensed treatment</w:t>
            </w:r>
          </w:p>
        </w:tc>
        <w:tc>
          <w:tcPr>
            <w:tcW w:w="0" w:type="auto"/>
            <w:hideMark/>
          </w:tcPr>
          <w:p w:rsidR="00A71061" w:rsidRPr="001B2018" w:rsidRDefault="00A71061" w:rsidP="001B2018">
            <w:pPr>
              <w:jc w:val="both"/>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1B2018">
              <w:rPr>
                <w:rFonts w:ascii="Arial" w:hAnsi="Arial" w:cs="Arial"/>
                <w:sz w:val="20"/>
                <w:szCs w:val="20"/>
              </w:rPr>
              <w:t>ratio; qualitative rating</w:t>
            </w:r>
          </w:p>
        </w:tc>
        <w:tc>
          <w:tcPr>
            <w:tcW w:w="0" w:type="auto"/>
            <w:hideMark/>
          </w:tcPr>
          <w:p w:rsidR="00A71061" w:rsidRPr="001B2018" w:rsidRDefault="00A71061" w:rsidP="001B2018">
            <w:pPr>
              <w:jc w:val="both"/>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1B2018">
              <w:rPr>
                <w:rFonts w:ascii="Arial" w:hAnsi="Arial" w:cs="Arial"/>
                <w:sz w:val="20"/>
                <w:szCs w:val="20"/>
              </w:rPr>
              <w:t>All above</w:t>
            </w:r>
          </w:p>
        </w:tc>
        <w:tc>
          <w:tcPr>
            <w:tcW w:w="0" w:type="auto"/>
            <w:hideMark/>
          </w:tcPr>
          <w:p w:rsidR="00A71061" w:rsidRPr="001B2018" w:rsidRDefault="00A71061" w:rsidP="001B2018">
            <w:pPr>
              <w:jc w:val="both"/>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1B2018">
              <w:rPr>
                <w:rFonts w:ascii="Arial" w:hAnsi="Arial" w:cs="Arial"/>
                <w:sz w:val="20"/>
                <w:szCs w:val="20"/>
              </w:rPr>
              <w:t>Compare estimated generation vs. licensed capacity; map provinces with no access to licensed facilities</w:t>
            </w:r>
          </w:p>
        </w:tc>
        <w:tc>
          <w:tcPr>
            <w:tcW w:w="0" w:type="auto"/>
            <w:hideMark/>
          </w:tcPr>
          <w:p w:rsidR="00A71061" w:rsidRPr="001B2018" w:rsidRDefault="00A71061" w:rsidP="001B2018">
            <w:pPr>
              <w:jc w:val="both"/>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1B2018">
              <w:rPr>
                <w:rFonts w:ascii="Arial" w:hAnsi="Arial" w:cs="Arial"/>
                <w:sz w:val="20"/>
                <w:szCs w:val="20"/>
              </w:rPr>
              <w:t>High-risk sectors: small/medium industries, clinics, labs; risks include illegal dumping, on-site burial, co-disposal with municipal waste and open burning.</w:t>
            </w:r>
          </w:p>
        </w:tc>
      </w:tr>
    </w:tbl>
    <w:p w:rsidR="00262A4F" w:rsidRPr="001B2018" w:rsidRDefault="00262A4F" w:rsidP="001B2018">
      <w:pPr>
        <w:pStyle w:val="NormalWeb"/>
        <w:adjustRightInd w:val="0"/>
        <w:snapToGrid w:val="0"/>
        <w:spacing w:before="0" w:beforeAutospacing="0" w:after="0" w:afterAutospacing="0"/>
        <w:jc w:val="both"/>
        <w:rPr>
          <w:rFonts w:ascii="Arial" w:hAnsi="Arial" w:cs="Arial"/>
          <w:sz w:val="22"/>
          <w:szCs w:val="22"/>
        </w:rPr>
      </w:pPr>
    </w:p>
    <w:p w:rsidR="00D81553" w:rsidRPr="001B2018" w:rsidRDefault="001E2162" w:rsidP="001B2018">
      <w:pPr>
        <w:pStyle w:val="Caption"/>
        <w:jc w:val="both"/>
        <w:rPr>
          <w:rFonts w:ascii="Arial" w:hAnsi="Arial" w:cs="Arial"/>
          <w:b/>
          <w:bCs/>
          <w:i w:val="0"/>
          <w:iCs w:val="0"/>
          <w:color w:val="0070C0"/>
          <w:sz w:val="22"/>
          <w:szCs w:val="22"/>
        </w:rPr>
      </w:pPr>
      <w:r>
        <w:rPr>
          <w:rFonts w:ascii="Arial" w:hAnsi="Arial" w:cs="Arial"/>
          <w:b/>
          <w:bCs/>
          <w:i w:val="0"/>
          <w:iCs w:val="0"/>
          <w:color w:val="0070C0"/>
          <w:sz w:val="22"/>
          <w:szCs w:val="22"/>
        </w:rPr>
        <w:t>E.</w:t>
      </w:r>
      <w:r w:rsidR="001B2018" w:rsidRPr="001B2018">
        <w:rPr>
          <w:rFonts w:ascii="Arial" w:hAnsi="Arial" w:cs="Arial"/>
          <w:b/>
          <w:bCs/>
          <w:i w:val="0"/>
          <w:iCs w:val="0"/>
          <w:color w:val="0070C0"/>
          <w:sz w:val="22"/>
          <w:szCs w:val="22"/>
        </w:rPr>
        <w:t xml:space="preserve"> </w:t>
      </w:r>
      <w:r w:rsidR="00D81553" w:rsidRPr="001B2018">
        <w:rPr>
          <w:rFonts w:ascii="Arial" w:hAnsi="Arial" w:cs="Arial"/>
          <w:b/>
          <w:bCs/>
          <w:i w:val="0"/>
          <w:iCs w:val="0"/>
          <w:color w:val="0070C0"/>
          <w:sz w:val="22"/>
          <w:szCs w:val="22"/>
        </w:rPr>
        <w:t xml:space="preserve">Hydrology </w:t>
      </w:r>
      <w:r w:rsidR="001B2018" w:rsidRPr="001B2018">
        <w:rPr>
          <w:rFonts w:ascii="Arial" w:hAnsi="Arial" w:cs="Arial"/>
          <w:b/>
          <w:bCs/>
          <w:i w:val="0"/>
          <w:iCs w:val="0"/>
          <w:color w:val="0070C0"/>
          <w:sz w:val="22"/>
          <w:szCs w:val="22"/>
        </w:rPr>
        <w:t xml:space="preserve">and atmospheric </w:t>
      </w:r>
      <w:r w:rsidR="00D81553" w:rsidRPr="001B2018">
        <w:rPr>
          <w:rFonts w:ascii="Arial" w:hAnsi="Arial" w:cs="Arial"/>
          <w:b/>
          <w:bCs/>
          <w:i w:val="0"/>
          <w:iCs w:val="0"/>
          <w:color w:val="0070C0"/>
          <w:sz w:val="22"/>
          <w:szCs w:val="22"/>
        </w:rPr>
        <w:t>(Discharge, Catchment Area, Flow Reversal)</w:t>
      </w:r>
    </w:p>
    <w:bookmarkEnd w:id="0"/>
    <w:bookmarkEnd w:id="1"/>
    <w:bookmarkEnd w:id="2"/>
    <w:p w:rsidR="00DF2422" w:rsidRPr="001B2018" w:rsidRDefault="00DF2422" w:rsidP="001B2018">
      <w:pPr>
        <w:pStyle w:val="NormalWeb"/>
        <w:jc w:val="both"/>
        <w:rPr>
          <w:rStyle w:val="relative"/>
          <w:rFonts w:ascii="Arial" w:hAnsi="Arial" w:cs="Arial"/>
          <w:sz w:val="22"/>
          <w:szCs w:val="22"/>
        </w:rPr>
      </w:pPr>
      <w:r w:rsidRPr="001B2018">
        <w:rPr>
          <w:rFonts w:ascii="Arial" w:hAnsi="Arial" w:cs="Arial"/>
          <w:sz w:val="22"/>
          <w:szCs w:val="22"/>
        </w:rPr>
        <w:t xml:space="preserve">This annex summarises the hydrological and atmospheric datasets used to understand how pollutants are transported from inland hotspots to the coast and across borders. It relies on MRC hydrological records (discharge, flow reversal, catchment areas), MoE/WEPA reports, and regional acid-deposition and air-pollution assessments (EANET/PRSAD4, MICS-Asia). </w:t>
      </w:r>
    </w:p>
    <w:p w:rsidR="00DF2422" w:rsidRPr="001B2018" w:rsidRDefault="00DF2422" w:rsidP="001B2018">
      <w:pPr>
        <w:pStyle w:val="NormalWeb"/>
        <w:jc w:val="both"/>
        <w:rPr>
          <w:rFonts w:ascii="Arial" w:hAnsi="Arial" w:cs="Arial"/>
          <w:sz w:val="22"/>
          <w:szCs w:val="22"/>
        </w:rPr>
      </w:pPr>
      <w:r w:rsidRPr="001B2018">
        <w:rPr>
          <w:rFonts w:ascii="Arial" w:hAnsi="Arial" w:cs="Arial"/>
          <w:sz w:val="22"/>
          <w:szCs w:val="22"/>
        </w:rPr>
        <w:t>Hydrological indicators are used to estimate pollutant loads (BOD, TSS, TN, TP) at key stations and to identify major river-to-sea pathways, while atmospheric datasets frame the relative contribution of airborne sulphur and nitrogen deposition to coastal nutrient budgets.</w:t>
      </w:r>
    </w:p>
    <w:p w:rsidR="00DF2422" w:rsidRPr="002947AD" w:rsidRDefault="001B2018" w:rsidP="002947AD">
      <w:pPr>
        <w:pStyle w:val="Caption"/>
        <w:keepNext/>
        <w:spacing w:before="240" w:after="120"/>
        <w:rPr>
          <w:rFonts w:ascii="Arial" w:hAnsi="Arial" w:cs="Arial"/>
          <w:color w:val="002060"/>
          <w:sz w:val="22"/>
          <w:szCs w:val="22"/>
        </w:rPr>
      </w:pPr>
      <w:r w:rsidRPr="001B2018">
        <w:rPr>
          <w:rFonts w:ascii="Arial" w:hAnsi="Arial" w:cs="Arial"/>
          <w:color w:val="002060"/>
          <w:sz w:val="22"/>
          <w:szCs w:val="22"/>
        </w:rPr>
        <w:t>Annex Table 3-</w:t>
      </w:r>
      <w:r w:rsidRPr="001B2018">
        <w:rPr>
          <w:rFonts w:ascii="Arial" w:hAnsi="Arial" w:cs="Arial"/>
          <w:color w:val="002060"/>
          <w:sz w:val="22"/>
          <w:szCs w:val="22"/>
        </w:rPr>
        <w:fldChar w:fldCharType="begin"/>
      </w:r>
      <w:r w:rsidRPr="001B2018">
        <w:rPr>
          <w:rFonts w:ascii="Arial" w:hAnsi="Arial" w:cs="Arial"/>
          <w:color w:val="002060"/>
          <w:sz w:val="22"/>
          <w:szCs w:val="22"/>
        </w:rPr>
        <w:instrText xml:space="preserve"> SEQ Annex_Table_3- \* ARABIC </w:instrText>
      </w:r>
      <w:r w:rsidRPr="001B2018">
        <w:rPr>
          <w:rFonts w:ascii="Arial" w:hAnsi="Arial" w:cs="Arial"/>
          <w:color w:val="002060"/>
          <w:sz w:val="22"/>
          <w:szCs w:val="22"/>
        </w:rPr>
        <w:fldChar w:fldCharType="separate"/>
      </w:r>
      <w:r w:rsidR="00D35426">
        <w:rPr>
          <w:rFonts w:ascii="Arial" w:hAnsi="Arial" w:cs="Arial"/>
          <w:noProof/>
          <w:color w:val="002060"/>
          <w:sz w:val="22"/>
          <w:szCs w:val="22"/>
        </w:rPr>
        <w:t>8</w:t>
      </w:r>
      <w:r w:rsidRPr="001B2018">
        <w:rPr>
          <w:rFonts w:ascii="Arial" w:hAnsi="Arial" w:cs="Arial"/>
          <w:color w:val="002060"/>
          <w:sz w:val="22"/>
          <w:szCs w:val="22"/>
        </w:rPr>
        <w:fldChar w:fldCharType="end"/>
      </w:r>
      <w:r>
        <w:rPr>
          <w:rFonts w:ascii="Arial" w:hAnsi="Arial" w:cs="Arial"/>
          <w:color w:val="002060"/>
          <w:sz w:val="22"/>
          <w:szCs w:val="22"/>
        </w:rPr>
        <w:t xml:space="preserve"> </w:t>
      </w:r>
      <w:r w:rsidRPr="002947AD">
        <w:rPr>
          <w:rFonts w:ascii="Arial" w:hAnsi="Arial" w:cs="Arial"/>
          <w:color w:val="002060"/>
          <w:sz w:val="22"/>
          <w:szCs w:val="22"/>
        </w:rPr>
        <w:t>Hydrology and transport: data sources, metadata, and assessment method</w:t>
      </w:r>
    </w:p>
    <w:tbl>
      <w:tblPr>
        <w:tblStyle w:val="GridTable4-Accent5"/>
        <w:tblW w:w="0" w:type="auto"/>
        <w:tblLook w:val="04A0" w:firstRow="1" w:lastRow="0" w:firstColumn="1" w:lastColumn="0" w:noHBand="0" w:noVBand="1"/>
      </w:tblPr>
      <w:tblGrid>
        <w:gridCol w:w="1306"/>
        <w:gridCol w:w="7704"/>
      </w:tblGrid>
      <w:tr w:rsidR="00DF2422" w:rsidRPr="001B2018" w:rsidTr="006C2D54">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88" w:type="dxa"/>
            <w:hideMark/>
          </w:tcPr>
          <w:p w:rsidR="00DF2422" w:rsidRPr="006C2D54" w:rsidRDefault="00DF2422" w:rsidP="006C2D54">
            <w:pPr>
              <w:jc w:val="center"/>
              <w:rPr>
                <w:rFonts w:ascii="Arial" w:hAnsi="Arial" w:cs="Arial"/>
                <w:sz w:val="20"/>
                <w:szCs w:val="20"/>
              </w:rPr>
            </w:pPr>
            <w:r w:rsidRPr="006C2D54">
              <w:rPr>
                <w:rStyle w:val="Strong"/>
                <w:rFonts w:ascii="Arial" w:hAnsi="Arial" w:cs="Arial"/>
                <w:sz w:val="20"/>
                <w:szCs w:val="20"/>
              </w:rPr>
              <w:t>Category</w:t>
            </w:r>
          </w:p>
        </w:tc>
        <w:tc>
          <w:tcPr>
            <w:tcW w:w="8022" w:type="dxa"/>
            <w:hideMark/>
          </w:tcPr>
          <w:p w:rsidR="00DF2422" w:rsidRPr="006C2D54" w:rsidRDefault="00DF2422" w:rsidP="006C2D54">
            <w:pPr>
              <w:jc w:val="center"/>
              <w:cnfStyle w:val="100000000000" w:firstRow="1" w:lastRow="0" w:firstColumn="0" w:lastColumn="0" w:oddVBand="0" w:evenVBand="0" w:oddHBand="0" w:evenHBand="0" w:firstRowFirstColumn="0" w:firstRowLastColumn="0" w:lastRowFirstColumn="0" w:lastRowLastColumn="0"/>
              <w:rPr>
                <w:rFonts w:ascii="Arial" w:hAnsi="Arial" w:cs="Arial"/>
                <w:sz w:val="20"/>
                <w:szCs w:val="20"/>
              </w:rPr>
            </w:pPr>
            <w:r w:rsidRPr="006C2D54">
              <w:rPr>
                <w:rStyle w:val="Strong"/>
                <w:rFonts w:ascii="Arial" w:hAnsi="Arial" w:cs="Arial"/>
                <w:b/>
                <w:bCs/>
                <w:sz w:val="20"/>
                <w:szCs w:val="20"/>
              </w:rPr>
              <w:t>Details</w:t>
            </w:r>
          </w:p>
        </w:tc>
      </w:tr>
      <w:tr w:rsidR="00DF2422" w:rsidRPr="001B2018" w:rsidTr="006C2D5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88" w:type="dxa"/>
            <w:hideMark/>
          </w:tcPr>
          <w:p w:rsidR="00DF2422" w:rsidRPr="006C2D54" w:rsidRDefault="00DF2422" w:rsidP="001B2018">
            <w:pPr>
              <w:jc w:val="both"/>
              <w:rPr>
                <w:rFonts w:ascii="Arial" w:hAnsi="Arial" w:cs="Arial"/>
                <w:b w:val="0"/>
                <w:bCs w:val="0"/>
                <w:sz w:val="20"/>
                <w:szCs w:val="20"/>
              </w:rPr>
            </w:pPr>
            <w:r w:rsidRPr="006C2D54">
              <w:rPr>
                <w:rStyle w:val="Strong"/>
                <w:rFonts w:ascii="Arial" w:hAnsi="Arial" w:cs="Arial"/>
                <w:b/>
                <w:bCs/>
                <w:sz w:val="20"/>
                <w:szCs w:val="20"/>
              </w:rPr>
              <w:t>Data Sources</w:t>
            </w:r>
          </w:p>
        </w:tc>
        <w:tc>
          <w:tcPr>
            <w:tcW w:w="8022" w:type="dxa"/>
            <w:hideMark/>
          </w:tcPr>
          <w:p w:rsidR="006C2D54" w:rsidRDefault="00DF2422" w:rsidP="002947AD">
            <w:pPr>
              <w:pStyle w:val="ListParagraph"/>
              <w:numPr>
                <w:ilvl w:val="0"/>
                <w:numId w:val="41"/>
              </w:numPr>
              <w:ind w:left="202" w:hanging="218"/>
              <w:jc w:val="both"/>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1B2018">
              <w:rPr>
                <w:rFonts w:ascii="Arial" w:hAnsi="Arial" w:cs="Arial"/>
                <w:sz w:val="20"/>
                <w:szCs w:val="20"/>
              </w:rPr>
              <w:t>MRC hydrological datasets for Mekong, Tonle Sap and Bassac (discharge, TSS).</w:t>
            </w:r>
          </w:p>
          <w:p w:rsidR="006C2D54" w:rsidRDefault="00DF2422" w:rsidP="002947AD">
            <w:pPr>
              <w:pStyle w:val="ListParagraph"/>
              <w:numPr>
                <w:ilvl w:val="0"/>
                <w:numId w:val="41"/>
              </w:numPr>
              <w:ind w:left="202" w:hanging="218"/>
              <w:jc w:val="both"/>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1B2018">
              <w:rPr>
                <w:rFonts w:ascii="Arial" w:hAnsi="Arial" w:cs="Arial"/>
                <w:sz w:val="20"/>
                <w:szCs w:val="20"/>
              </w:rPr>
              <w:t xml:space="preserve">MoE/WEPA water-environment assessments. </w:t>
            </w:r>
          </w:p>
          <w:p w:rsidR="006C2D54" w:rsidRDefault="00DF2422" w:rsidP="002947AD">
            <w:pPr>
              <w:pStyle w:val="ListParagraph"/>
              <w:numPr>
                <w:ilvl w:val="0"/>
                <w:numId w:val="41"/>
              </w:numPr>
              <w:ind w:left="202" w:hanging="218"/>
              <w:jc w:val="both"/>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1B2018">
              <w:rPr>
                <w:rFonts w:ascii="Arial" w:hAnsi="Arial" w:cs="Arial"/>
                <w:sz w:val="20"/>
                <w:szCs w:val="20"/>
              </w:rPr>
              <w:t xml:space="preserve">Peer-reviewed studies on Tonle Sap flow reversal and catchment characteristics. </w:t>
            </w:r>
          </w:p>
          <w:p w:rsidR="00DF2422" w:rsidRPr="001B2018" w:rsidRDefault="00DF2422" w:rsidP="002947AD">
            <w:pPr>
              <w:pStyle w:val="ListParagraph"/>
              <w:numPr>
                <w:ilvl w:val="0"/>
                <w:numId w:val="41"/>
              </w:numPr>
              <w:ind w:left="202" w:hanging="218"/>
              <w:jc w:val="both"/>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1B2018">
              <w:rPr>
                <w:rFonts w:ascii="Arial" w:hAnsi="Arial" w:cs="Arial"/>
                <w:sz w:val="20"/>
                <w:szCs w:val="20"/>
              </w:rPr>
              <w:t>EANET PRSAD4 and related regional modelling (MICS-Asia) for SO</w:t>
            </w:r>
            <w:r w:rsidRPr="002947AD">
              <w:rPr>
                <w:rFonts w:ascii="Cambria Math" w:hAnsi="Cambria Math" w:cs="Cambria Math"/>
                <w:sz w:val="20"/>
                <w:szCs w:val="20"/>
              </w:rPr>
              <w:t>₂</w:t>
            </w:r>
            <w:r w:rsidRPr="001B2018">
              <w:rPr>
                <w:rFonts w:ascii="Arial" w:hAnsi="Arial" w:cs="Arial"/>
                <w:sz w:val="20"/>
                <w:szCs w:val="20"/>
              </w:rPr>
              <w:t xml:space="preserve"> and NOₓ deposition. </w:t>
            </w:r>
          </w:p>
        </w:tc>
      </w:tr>
      <w:tr w:rsidR="00DF2422" w:rsidRPr="001B2018" w:rsidTr="006C2D54">
        <w:tc>
          <w:tcPr>
            <w:cnfStyle w:val="001000000000" w:firstRow="0" w:lastRow="0" w:firstColumn="1" w:lastColumn="0" w:oddVBand="0" w:evenVBand="0" w:oddHBand="0" w:evenHBand="0" w:firstRowFirstColumn="0" w:firstRowLastColumn="0" w:lastRowFirstColumn="0" w:lastRowLastColumn="0"/>
            <w:tcW w:w="988" w:type="dxa"/>
            <w:hideMark/>
          </w:tcPr>
          <w:p w:rsidR="00DF2422" w:rsidRPr="001B2018" w:rsidRDefault="00DF2422" w:rsidP="001B2018">
            <w:pPr>
              <w:jc w:val="both"/>
              <w:rPr>
                <w:rFonts w:ascii="Arial" w:hAnsi="Arial" w:cs="Arial"/>
                <w:sz w:val="20"/>
                <w:szCs w:val="20"/>
              </w:rPr>
            </w:pPr>
            <w:r w:rsidRPr="001B2018">
              <w:rPr>
                <w:rStyle w:val="Strong"/>
                <w:rFonts w:ascii="Arial" w:hAnsi="Arial" w:cs="Arial"/>
                <w:sz w:val="20"/>
                <w:szCs w:val="20"/>
              </w:rPr>
              <w:t>Metadata</w:t>
            </w:r>
          </w:p>
        </w:tc>
        <w:tc>
          <w:tcPr>
            <w:tcW w:w="8022" w:type="dxa"/>
            <w:hideMark/>
          </w:tcPr>
          <w:p w:rsidR="006C2D54" w:rsidRDefault="00DF2422" w:rsidP="002947AD">
            <w:pPr>
              <w:pStyle w:val="ListParagraph"/>
              <w:numPr>
                <w:ilvl w:val="0"/>
                <w:numId w:val="41"/>
              </w:numPr>
              <w:ind w:left="202" w:hanging="218"/>
              <w:jc w:val="both"/>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1B2018">
              <w:rPr>
                <w:rFonts w:ascii="Arial" w:hAnsi="Arial" w:cs="Arial"/>
                <w:sz w:val="20"/>
                <w:szCs w:val="20"/>
              </w:rPr>
              <w:t>Indicators: mean and seasonal discharge (m³/s); reverse-flow volume for Tonle Sap (~30 km³/year); TSS and nutrient concentrations at key stations; wet deposition of nitrogen and sulphur (kg/ha/year).</w:t>
            </w:r>
          </w:p>
          <w:p w:rsidR="006C2D54" w:rsidRDefault="00DF2422" w:rsidP="002947AD">
            <w:pPr>
              <w:pStyle w:val="ListParagraph"/>
              <w:numPr>
                <w:ilvl w:val="0"/>
                <w:numId w:val="41"/>
              </w:numPr>
              <w:ind w:left="202" w:hanging="218"/>
              <w:jc w:val="both"/>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1B2018">
              <w:rPr>
                <w:rFonts w:ascii="Arial" w:hAnsi="Arial" w:cs="Arial"/>
                <w:sz w:val="20"/>
                <w:szCs w:val="20"/>
              </w:rPr>
              <w:t>Spatial coverage: Mekong mainstream, Tonle Sap River, Bassac River (Koh Khel/border), and main coastal rivers (Kampot, Tatai, Prek Toeuk Sap).</w:t>
            </w:r>
          </w:p>
          <w:p w:rsidR="00DF2422" w:rsidRPr="001B2018" w:rsidRDefault="00DF2422" w:rsidP="002947AD">
            <w:pPr>
              <w:pStyle w:val="ListParagraph"/>
              <w:numPr>
                <w:ilvl w:val="0"/>
                <w:numId w:val="41"/>
              </w:numPr>
              <w:ind w:left="202" w:hanging="218"/>
              <w:jc w:val="both"/>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1B2018">
              <w:rPr>
                <w:rFonts w:ascii="Arial" w:hAnsi="Arial" w:cs="Arial"/>
                <w:sz w:val="20"/>
                <w:szCs w:val="20"/>
              </w:rPr>
              <w:t>Temporal coverage: mainly 2010–2022, with longer historical context where available.</w:t>
            </w:r>
          </w:p>
        </w:tc>
      </w:tr>
      <w:tr w:rsidR="00DF2422" w:rsidRPr="001B2018" w:rsidTr="006C2D5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88" w:type="dxa"/>
            <w:hideMark/>
          </w:tcPr>
          <w:p w:rsidR="00DF2422" w:rsidRPr="001B2018" w:rsidRDefault="00DF2422" w:rsidP="001B2018">
            <w:pPr>
              <w:jc w:val="both"/>
              <w:rPr>
                <w:rFonts w:ascii="Arial" w:hAnsi="Arial" w:cs="Arial"/>
                <w:sz w:val="20"/>
                <w:szCs w:val="20"/>
              </w:rPr>
            </w:pPr>
            <w:r w:rsidRPr="001B2018">
              <w:rPr>
                <w:rStyle w:val="Strong"/>
                <w:rFonts w:ascii="Arial" w:hAnsi="Arial" w:cs="Arial"/>
                <w:sz w:val="20"/>
                <w:szCs w:val="20"/>
              </w:rPr>
              <w:t>Assessment Method</w:t>
            </w:r>
          </w:p>
        </w:tc>
        <w:tc>
          <w:tcPr>
            <w:tcW w:w="8022" w:type="dxa"/>
            <w:hideMark/>
          </w:tcPr>
          <w:p w:rsidR="006C2D54" w:rsidRDefault="00DF2422" w:rsidP="002947AD">
            <w:pPr>
              <w:pStyle w:val="ListParagraph"/>
              <w:numPr>
                <w:ilvl w:val="0"/>
                <w:numId w:val="41"/>
              </w:numPr>
              <w:ind w:left="202" w:hanging="218"/>
              <w:jc w:val="both"/>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1B2018">
              <w:rPr>
                <w:rFonts w:ascii="Arial" w:hAnsi="Arial" w:cs="Arial"/>
                <w:sz w:val="20"/>
                <w:szCs w:val="20"/>
              </w:rPr>
              <w:t>Calculate annual pollutant loads (t/year) using L = C × Q × conversion factor, where concentration and discharge data co-exist.</w:t>
            </w:r>
          </w:p>
          <w:p w:rsidR="006C2D54" w:rsidRDefault="00DF2422" w:rsidP="002947AD">
            <w:pPr>
              <w:pStyle w:val="ListParagraph"/>
              <w:numPr>
                <w:ilvl w:val="0"/>
                <w:numId w:val="41"/>
              </w:numPr>
              <w:ind w:left="202" w:hanging="218"/>
              <w:jc w:val="both"/>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1B2018">
              <w:rPr>
                <w:rFonts w:ascii="Arial" w:hAnsi="Arial" w:cs="Arial"/>
                <w:sz w:val="20"/>
                <w:szCs w:val="20"/>
              </w:rPr>
              <w:t>Rank river reaches and tributaries by relative contribution to downstream nutrient and sediment loads.</w:t>
            </w:r>
          </w:p>
          <w:p w:rsidR="006C2D54" w:rsidRDefault="00DF2422" w:rsidP="002947AD">
            <w:pPr>
              <w:pStyle w:val="ListParagraph"/>
              <w:numPr>
                <w:ilvl w:val="0"/>
                <w:numId w:val="41"/>
              </w:numPr>
              <w:ind w:left="202" w:hanging="218"/>
              <w:jc w:val="both"/>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1B2018">
              <w:rPr>
                <w:rFonts w:ascii="Arial" w:hAnsi="Arial" w:cs="Arial"/>
                <w:sz w:val="20"/>
                <w:szCs w:val="20"/>
              </w:rPr>
              <w:t>Use qualitative pathway mapping to trace transport from Phnom Penh canals and MTB system to the Vietnamese delta and Gulf of Thailand.</w:t>
            </w:r>
          </w:p>
          <w:p w:rsidR="00DF2422" w:rsidRPr="001B2018" w:rsidRDefault="00DF2422" w:rsidP="002947AD">
            <w:pPr>
              <w:pStyle w:val="ListParagraph"/>
              <w:numPr>
                <w:ilvl w:val="0"/>
                <w:numId w:val="41"/>
              </w:numPr>
              <w:ind w:left="202" w:hanging="218"/>
              <w:jc w:val="both"/>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1B2018">
              <w:rPr>
                <w:rFonts w:ascii="Arial" w:hAnsi="Arial" w:cs="Arial"/>
                <w:sz w:val="20"/>
                <w:szCs w:val="20"/>
              </w:rPr>
              <w:t xml:space="preserve">Interpret atmospheric deposition data in relation to terrestrial nutrient sources to judge its relative significance. </w:t>
            </w:r>
          </w:p>
        </w:tc>
      </w:tr>
    </w:tbl>
    <w:p w:rsidR="00DF2422" w:rsidRPr="001B2018" w:rsidRDefault="00DF2422" w:rsidP="001B2018">
      <w:pPr>
        <w:jc w:val="both"/>
        <w:rPr>
          <w:rFonts w:ascii="Arial" w:hAnsi="Arial" w:cs="Arial"/>
          <w:sz w:val="22"/>
          <w:szCs w:val="22"/>
        </w:rPr>
      </w:pPr>
    </w:p>
    <w:p w:rsidR="00DF2422" w:rsidRPr="001B2018" w:rsidRDefault="00DF2422" w:rsidP="001B2018">
      <w:pPr>
        <w:jc w:val="both"/>
        <w:rPr>
          <w:rFonts w:ascii="Arial" w:hAnsi="Arial" w:cs="Arial"/>
          <w:sz w:val="22"/>
          <w:szCs w:val="22"/>
        </w:rPr>
      </w:pPr>
      <w:r w:rsidRPr="001B2018">
        <w:rPr>
          <w:rFonts w:ascii="Arial" w:hAnsi="Arial" w:cs="Arial"/>
          <w:sz w:val="22"/>
          <w:szCs w:val="22"/>
        </w:rPr>
        <w:t>Hydrological analysis confirms that the Mekong–Tonle Sap–Bassac system is the dominant pathway for nutrient and microbial export from Cambodia to the Vietnamese delta, while coastal rivers such as Kampot and Tatai deliver concentrated loads from local agricultural and urban sources directly to sensitive estuaries. Combined with regional circulation and deposition data, these findings underpin the chapter’s identification of transboundary pollution linkages in both riverine and marine compartments.</w:t>
      </w:r>
    </w:p>
    <w:p w:rsidR="00A71061" w:rsidRPr="002947AD" w:rsidRDefault="00A71061" w:rsidP="00A71061">
      <w:pPr>
        <w:pStyle w:val="Caption"/>
        <w:keepNext/>
        <w:spacing w:before="240" w:after="120"/>
        <w:rPr>
          <w:rFonts w:ascii="Arial" w:hAnsi="Arial" w:cs="Arial"/>
          <w:color w:val="002060"/>
          <w:sz w:val="22"/>
          <w:szCs w:val="22"/>
        </w:rPr>
      </w:pPr>
      <w:r w:rsidRPr="00A71061">
        <w:rPr>
          <w:rFonts w:ascii="Arial" w:hAnsi="Arial" w:cs="Arial"/>
          <w:color w:val="002060"/>
          <w:sz w:val="22"/>
          <w:szCs w:val="22"/>
        </w:rPr>
        <w:t>Annex Table 3-</w:t>
      </w:r>
      <w:r w:rsidRPr="00A71061">
        <w:rPr>
          <w:rFonts w:ascii="Arial" w:hAnsi="Arial" w:cs="Arial"/>
          <w:color w:val="002060"/>
          <w:sz w:val="22"/>
          <w:szCs w:val="22"/>
        </w:rPr>
        <w:fldChar w:fldCharType="begin"/>
      </w:r>
      <w:r w:rsidRPr="00A71061">
        <w:rPr>
          <w:rFonts w:ascii="Arial" w:hAnsi="Arial" w:cs="Arial"/>
          <w:color w:val="002060"/>
          <w:sz w:val="22"/>
          <w:szCs w:val="22"/>
        </w:rPr>
        <w:instrText xml:space="preserve"> SEQ Annex_Table_3- \* ARABIC </w:instrText>
      </w:r>
      <w:r w:rsidRPr="00A71061">
        <w:rPr>
          <w:rFonts w:ascii="Arial" w:hAnsi="Arial" w:cs="Arial"/>
          <w:color w:val="002060"/>
          <w:sz w:val="22"/>
          <w:szCs w:val="22"/>
        </w:rPr>
        <w:fldChar w:fldCharType="separate"/>
      </w:r>
      <w:r w:rsidR="00D35426">
        <w:rPr>
          <w:rFonts w:ascii="Arial" w:hAnsi="Arial" w:cs="Arial"/>
          <w:noProof/>
          <w:color w:val="002060"/>
          <w:sz w:val="22"/>
          <w:szCs w:val="22"/>
        </w:rPr>
        <w:t>9</w:t>
      </w:r>
      <w:r w:rsidRPr="00A71061">
        <w:rPr>
          <w:rFonts w:ascii="Arial" w:hAnsi="Arial" w:cs="Arial"/>
          <w:color w:val="002060"/>
          <w:sz w:val="22"/>
          <w:szCs w:val="22"/>
        </w:rPr>
        <w:fldChar w:fldCharType="end"/>
      </w:r>
      <w:r w:rsidRPr="00A71061">
        <w:rPr>
          <w:rFonts w:ascii="Arial" w:hAnsi="Arial" w:cs="Arial"/>
          <w:color w:val="002060"/>
          <w:sz w:val="22"/>
          <w:szCs w:val="22"/>
        </w:rPr>
        <w:t xml:space="preserve"> </w:t>
      </w:r>
      <w:r w:rsidR="00F439E3">
        <w:rPr>
          <w:rFonts w:ascii="Arial" w:hAnsi="Arial" w:cs="Arial"/>
          <w:color w:val="002060"/>
          <w:sz w:val="22"/>
          <w:szCs w:val="22"/>
        </w:rPr>
        <w:t>H</w:t>
      </w:r>
      <w:r w:rsidR="00F439E3" w:rsidRPr="00290C22">
        <w:rPr>
          <w:rFonts w:ascii="Arial" w:hAnsi="Arial" w:cs="Arial"/>
          <w:color w:val="002060"/>
          <w:sz w:val="22"/>
          <w:szCs w:val="22"/>
        </w:rPr>
        <w:t>ydrology (discharge, catchment area, flow reversal)</w:t>
      </w:r>
      <w:r w:rsidR="00F439E3" w:rsidRPr="00A71061">
        <w:rPr>
          <w:rFonts w:ascii="Arial" w:hAnsi="Arial" w:cs="Arial"/>
          <w:color w:val="002060"/>
          <w:sz w:val="22"/>
          <w:szCs w:val="22"/>
        </w:rPr>
        <w:t xml:space="preserve"> indicator summary</w:t>
      </w:r>
    </w:p>
    <w:tbl>
      <w:tblPr>
        <w:tblStyle w:val="GridTable4-Accent5"/>
        <w:tblW w:w="0" w:type="auto"/>
        <w:tblLook w:val="04A0" w:firstRow="1" w:lastRow="0" w:firstColumn="1" w:lastColumn="0" w:noHBand="0" w:noVBand="1"/>
      </w:tblPr>
      <w:tblGrid>
        <w:gridCol w:w="1260"/>
        <w:gridCol w:w="1469"/>
        <w:gridCol w:w="1237"/>
        <w:gridCol w:w="1625"/>
        <w:gridCol w:w="1583"/>
        <w:gridCol w:w="1836"/>
      </w:tblGrid>
      <w:tr w:rsidR="00A71061" w:rsidRPr="00F439E3" w:rsidTr="001B2018">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rsidR="00A71061" w:rsidRPr="002947AD" w:rsidRDefault="00A71061">
            <w:pPr>
              <w:jc w:val="center"/>
              <w:rPr>
                <w:rFonts w:ascii="Arial" w:hAnsi="Arial" w:cs="Arial"/>
                <w:b w:val="0"/>
                <w:bCs w:val="0"/>
                <w:sz w:val="18"/>
                <w:szCs w:val="18"/>
              </w:rPr>
            </w:pPr>
            <w:r w:rsidRPr="002947AD">
              <w:rPr>
                <w:rStyle w:val="Strong"/>
                <w:rFonts w:ascii="Arial" w:hAnsi="Arial" w:cs="Arial"/>
                <w:b/>
                <w:bCs/>
                <w:sz w:val="18"/>
                <w:szCs w:val="18"/>
              </w:rPr>
              <w:t>Category</w:t>
            </w:r>
          </w:p>
        </w:tc>
        <w:tc>
          <w:tcPr>
            <w:tcW w:w="0" w:type="auto"/>
            <w:hideMark/>
          </w:tcPr>
          <w:p w:rsidR="00A71061" w:rsidRPr="00F439E3" w:rsidRDefault="00A71061">
            <w:pPr>
              <w:jc w:val="center"/>
              <w:cnfStyle w:val="100000000000" w:firstRow="1" w:lastRow="0" w:firstColumn="0" w:lastColumn="0" w:oddVBand="0" w:evenVBand="0" w:oddHBand="0" w:evenHBand="0" w:firstRowFirstColumn="0" w:firstRowLastColumn="0" w:lastRowFirstColumn="0" w:lastRowLastColumn="0"/>
              <w:rPr>
                <w:rFonts w:ascii="Arial" w:hAnsi="Arial" w:cs="Arial"/>
                <w:sz w:val="18"/>
                <w:szCs w:val="18"/>
              </w:rPr>
            </w:pPr>
            <w:r w:rsidRPr="00F439E3">
              <w:rPr>
                <w:rStyle w:val="Strong"/>
                <w:rFonts w:ascii="Arial" w:hAnsi="Arial" w:cs="Arial"/>
                <w:b/>
                <w:bCs/>
                <w:sz w:val="18"/>
                <w:szCs w:val="18"/>
              </w:rPr>
              <w:t>Indicator</w:t>
            </w:r>
          </w:p>
        </w:tc>
        <w:tc>
          <w:tcPr>
            <w:tcW w:w="1053" w:type="dxa"/>
            <w:hideMark/>
          </w:tcPr>
          <w:p w:rsidR="00A71061" w:rsidRPr="00F439E3" w:rsidRDefault="00A71061">
            <w:pPr>
              <w:jc w:val="center"/>
              <w:cnfStyle w:val="100000000000" w:firstRow="1" w:lastRow="0" w:firstColumn="0" w:lastColumn="0" w:oddVBand="0" w:evenVBand="0" w:oddHBand="0" w:evenHBand="0" w:firstRowFirstColumn="0" w:firstRowLastColumn="0" w:lastRowFirstColumn="0" w:lastRowLastColumn="0"/>
              <w:rPr>
                <w:rFonts w:ascii="Arial" w:hAnsi="Arial" w:cs="Arial"/>
                <w:sz w:val="18"/>
                <w:szCs w:val="18"/>
              </w:rPr>
            </w:pPr>
            <w:r w:rsidRPr="00F439E3">
              <w:rPr>
                <w:rStyle w:val="Strong"/>
                <w:rFonts w:ascii="Arial" w:hAnsi="Arial" w:cs="Arial"/>
                <w:b/>
                <w:bCs/>
                <w:sz w:val="18"/>
                <w:szCs w:val="18"/>
              </w:rPr>
              <w:t>Units</w:t>
            </w:r>
          </w:p>
        </w:tc>
        <w:tc>
          <w:tcPr>
            <w:tcW w:w="1625" w:type="dxa"/>
            <w:hideMark/>
          </w:tcPr>
          <w:p w:rsidR="00A71061" w:rsidRPr="00F439E3" w:rsidRDefault="00A71061">
            <w:pPr>
              <w:jc w:val="center"/>
              <w:cnfStyle w:val="100000000000" w:firstRow="1" w:lastRow="0" w:firstColumn="0" w:lastColumn="0" w:oddVBand="0" w:evenVBand="0" w:oddHBand="0" w:evenHBand="0" w:firstRowFirstColumn="0" w:firstRowLastColumn="0" w:lastRowFirstColumn="0" w:lastRowLastColumn="0"/>
              <w:rPr>
                <w:rFonts w:ascii="Arial" w:hAnsi="Arial" w:cs="Arial"/>
                <w:sz w:val="18"/>
                <w:szCs w:val="18"/>
              </w:rPr>
            </w:pPr>
            <w:r w:rsidRPr="00F439E3">
              <w:rPr>
                <w:rStyle w:val="Strong"/>
                <w:rFonts w:ascii="Arial" w:hAnsi="Arial" w:cs="Arial"/>
                <w:b/>
                <w:bCs/>
                <w:sz w:val="18"/>
                <w:szCs w:val="18"/>
              </w:rPr>
              <w:t>Sources</w:t>
            </w:r>
          </w:p>
        </w:tc>
        <w:tc>
          <w:tcPr>
            <w:tcW w:w="0" w:type="auto"/>
            <w:hideMark/>
          </w:tcPr>
          <w:p w:rsidR="00A71061" w:rsidRPr="00F439E3" w:rsidRDefault="00A71061">
            <w:pPr>
              <w:jc w:val="center"/>
              <w:cnfStyle w:val="100000000000" w:firstRow="1" w:lastRow="0" w:firstColumn="0" w:lastColumn="0" w:oddVBand="0" w:evenVBand="0" w:oddHBand="0" w:evenHBand="0" w:firstRowFirstColumn="0" w:firstRowLastColumn="0" w:lastRowFirstColumn="0" w:lastRowLastColumn="0"/>
              <w:rPr>
                <w:rFonts w:ascii="Arial" w:hAnsi="Arial" w:cs="Arial"/>
                <w:sz w:val="18"/>
                <w:szCs w:val="18"/>
              </w:rPr>
            </w:pPr>
            <w:r w:rsidRPr="00F439E3">
              <w:rPr>
                <w:rStyle w:val="Strong"/>
                <w:rFonts w:ascii="Arial" w:hAnsi="Arial" w:cs="Arial"/>
                <w:b/>
                <w:bCs/>
                <w:sz w:val="18"/>
                <w:szCs w:val="18"/>
              </w:rPr>
              <w:t>Methods</w:t>
            </w:r>
          </w:p>
        </w:tc>
        <w:tc>
          <w:tcPr>
            <w:tcW w:w="0" w:type="auto"/>
            <w:hideMark/>
          </w:tcPr>
          <w:p w:rsidR="00A71061" w:rsidRPr="00F439E3" w:rsidRDefault="00A71061">
            <w:pPr>
              <w:jc w:val="center"/>
              <w:cnfStyle w:val="100000000000" w:firstRow="1" w:lastRow="0" w:firstColumn="0" w:lastColumn="0" w:oddVBand="0" w:evenVBand="0" w:oddHBand="0" w:evenHBand="0" w:firstRowFirstColumn="0" w:firstRowLastColumn="0" w:lastRowFirstColumn="0" w:lastRowLastColumn="0"/>
              <w:rPr>
                <w:rFonts w:ascii="Arial" w:hAnsi="Arial" w:cs="Arial"/>
                <w:sz w:val="18"/>
                <w:szCs w:val="18"/>
              </w:rPr>
            </w:pPr>
            <w:r w:rsidRPr="00F439E3">
              <w:rPr>
                <w:rStyle w:val="Strong"/>
                <w:rFonts w:ascii="Arial" w:hAnsi="Arial" w:cs="Arial"/>
                <w:b/>
                <w:bCs/>
                <w:sz w:val="18"/>
                <w:szCs w:val="18"/>
              </w:rPr>
              <w:t>Notes</w:t>
            </w:r>
          </w:p>
        </w:tc>
      </w:tr>
      <w:tr w:rsidR="00A71061" w:rsidRPr="00F439E3" w:rsidTr="001B201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rsidR="00A71061" w:rsidRPr="00F439E3" w:rsidRDefault="00A71061">
            <w:pPr>
              <w:rPr>
                <w:rFonts w:ascii="Arial" w:hAnsi="Arial" w:cs="Arial"/>
                <w:b w:val="0"/>
                <w:bCs w:val="0"/>
                <w:sz w:val="18"/>
                <w:szCs w:val="18"/>
              </w:rPr>
            </w:pPr>
            <w:r w:rsidRPr="00F439E3">
              <w:rPr>
                <w:rFonts w:ascii="Arial" w:hAnsi="Arial" w:cs="Arial"/>
                <w:sz w:val="18"/>
                <w:szCs w:val="18"/>
              </w:rPr>
              <w:t>Mekong mainstream</w:t>
            </w:r>
          </w:p>
        </w:tc>
        <w:tc>
          <w:tcPr>
            <w:tcW w:w="0" w:type="auto"/>
            <w:hideMark/>
          </w:tcPr>
          <w:p w:rsidR="00A71061" w:rsidRPr="00F439E3" w:rsidRDefault="00A71061">
            <w:pP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F439E3">
              <w:rPr>
                <w:rFonts w:ascii="Arial" w:hAnsi="Arial" w:cs="Arial"/>
                <w:sz w:val="18"/>
                <w:szCs w:val="18"/>
              </w:rPr>
              <w:t>Mean annual discharge at Phnom Penh / Kratie</w:t>
            </w:r>
          </w:p>
        </w:tc>
        <w:tc>
          <w:tcPr>
            <w:tcW w:w="1053" w:type="dxa"/>
            <w:hideMark/>
          </w:tcPr>
          <w:p w:rsidR="00A71061" w:rsidRPr="00F439E3" w:rsidRDefault="00A71061">
            <w:pP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F439E3">
              <w:rPr>
                <w:rFonts w:ascii="Arial" w:hAnsi="Arial" w:cs="Arial"/>
                <w:sz w:val="18"/>
                <w:szCs w:val="18"/>
              </w:rPr>
              <w:t>m³/s</w:t>
            </w:r>
          </w:p>
        </w:tc>
        <w:tc>
          <w:tcPr>
            <w:tcW w:w="1625" w:type="dxa"/>
            <w:hideMark/>
          </w:tcPr>
          <w:p w:rsidR="00A71061" w:rsidRPr="00F439E3" w:rsidRDefault="00A71061">
            <w:pP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F439E3">
              <w:rPr>
                <w:rFonts w:ascii="Arial" w:hAnsi="Arial" w:cs="Arial"/>
                <w:sz w:val="18"/>
                <w:szCs w:val="18"/>
              </w:rPr>
              <w:t>MRC hydrological datasets; MRC annual reports</w:t>
            </w:r>
          </w:p>
        </w:tc>
        <w:tc>
          <w:tcPr>
            <w:tcW w:w="0" w:type="auto"/>
            <w:hideMark/>
          </w:tcPr>
          <w:p w:rsidR="00A71061" w:rsidRPr="00F439E3" w:rsidRDefault="00A71061">
            <w:pP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F439E3">
              <w:rPr>
                <w:rFonts w:ascii="Arial" w:hAnsi="Arial" w:cs="Arial"/>
                <w:sz w:val="18"/>
                <w:szCs w:val="18"/>
              </w:rPr>
              <w:t>Analyze long-term gauging-station records; compute mean and seasonal range</w:t>
            </w:r>
          </w:p>
        </w:tc>
        <w:tc>
          <w:tcPr>
            <w:tcW w:w="0" w:type="auto"/>
            <w:hideMark/>
          </w:tcPr>
          <w:p w:rsidR="00A71061" w:rsidRPr="00F439E3" w:rsidRDefault="00A71061">
            <w:pP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F439E3">
              <w:rPr>
                <w:rFonts w:ascii="Arial" w:hAnsi="Arial" w:cs="Arial"/>
                <w:sz w:val="18"/>
                <w:szCs w:val="18"/>
              </w:rPr>
              <w:t>Mekong at Kratie ≈14,500 m³/s (order of magnitude); large discharge provides strong dilution but also rapid downstream transport of pollutants.</w:t>
            </w:r>
          </w:p>
        </w:tc>
      </w:tr>
      <w:tr w:rsidR="00A71061" w:rsidRPr="00F439E3" w:rsidTr="001B2018">
        <w:tc>
          <w:tcPr>
            <w:cnfStyle w:val="001000000000" w:firstRow="0" w:lastRow="0" w:firstColumn="1" w:lastColumn="0" w:oddVBand="0" w:evenVBand="0" w:oddHBand="0" w:evenHBand="0" w:firstRowFirstColumn="0" w:firstRowLastColumn="0" w:lastRowFirstColumn="0" w:lastRowLastColumn="0"/>
            <w:tcW w:w="0" w:type="auto"/>
            <w:hideMark/>
          </w:tcPr>
          <w:p w:rsidR="00A71061" w:rsidRPr="00F439E3" w:rsidRDefault="00A71061">
            <w:pPr>
              <w:rPr>
                <w:rFonts w:ascii="Arial" w:hAnsi="Arial" w:cs="Arial"/>
                <w:sz w:val="18"/>
                <w:szCs w:val="18"/>
              </w:rPr>
            </w:pPr>
            <w:r w:rsidRPr="00F439E3">
              <w:rPr>
                <w:rFonts w:ascii="Arial" w:hAnsi="Arial" w:cs="Arial"/>
                <w:sz w:val="18"/>
                <w:szCs w:val="18"/>
              </w:rPr>
              <w:t>Bassac River (Tonlé Bassac)</w:t>
            </w:r>
          </w:p>
        </w:tc>
        <w:tc>
          <w:tcPr>
            <w:tcW w:w="0" w:type="auto"/>
            <w:hideMark/>
          </w:tcPr>
          <w:p w:rsidR="00A71061" w:rsidRPr="00F439E3" w:rsidRDefault="00A71061">
            <w:pP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F439E3">
              <w:rPr>
                <w:rFonts w:ascii="Arial" w:hAnsi="Arial" w:cs="Arial"/>
                <w:sz w:val="18"/>
                <w:szCs w:val="18"/>
              </w:rPr>
              <w:t>Discharge at Koh Khel / border reach</w:t>
            </w:r>
          </w:p>
        </w:tc>
        <w:tc>
          <w:tcPr>
            <w:tcW w:w="1053" w:type="dxa"/>
            <w:hideMark/>
          </w:tcPr>
          <w:p w:rsidR="00A71061" w:rsidRPr="00F439E3" w:rsidRDefault="00A71061">
            <w:pP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F439E3">
              <w:rPr>
                <w:rFonts w:ascii="Arial" w:hAnsi="Arial" w:cs="Arial"/>
                <w:sz w:val="18"/>
                <w:szCs w:val="18"/>
              </w:rPr>
              <w:t>m³/s</w:t>
            </w:r>
          </w:p>
        </w:tc>
        <w:tc>
          <w:tcPr>
            <w:tcW w:w="1625" w:type="dxa"/>
            <w:hideMark/>
          </w:tcPr>
          <w:p w:rsidR="00A71061" w:rsidRPr="00F439E3" w:rsidRDefault="00A71061">
            <w:pP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F439E3">
              <w:rPr>
                <w:rFonts w:ascii="Arial" w:hAnsi="Arial" w:cs="Arial"/>
                <w:sz w:val="18"/>
                <w:szCs w:val="18"/>
              </w:rPr>
              <w:t>MRC WQMN &amp; hydrology; national river reports</w:t>
            </w:r>
          </w:p>
        </w:tc>
        <w:tc>
          <w:tcPr>
            <w:tcW w:w="0" w:type="auto"/>
            <w:hideMark/>
          </w:tcPr>
          <w:p w:rsidR="00A71061" w:rsidRPr="00F439E3" w:rsidRDefault="00A71061">
            <w:pP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F439E3">
              <w:rPr>
                <w:rFonts w:ascii="Arial" w:hAnsi="Arial" w:cs="Arial"/>
                <w:sz w:val="18"/>
                <w:szCs w:val="18"/>
              </w:rPr>
              <w:t>Use rating curves and stage–discharge relationships; interpolate for missing years</w:t>
            </w:r>
          </w:p>
        </w:tc>
        <w:tc>
          <w:tcPr>
            <w:tcW w:w="0" w:type="auto"/>
            <w:hideMark/>
          </w:tcPr>
          <w:p w:rsidR="00A71061" w:rsidRPr="00F439E3" w:rsidRDefault="00A71061">
            <w:pP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F439E3">
              <w:rPr>
                <w:rFonts w:ascii="Arial" w:hAnsi="Arial" w:cs="Arial"/>
                <w:sz w:val="18"/>
                <w:szCs w:val="18"/>
              </w:rPr>
              <w:t>Key conduit of Phnom Penh pollutants to Viet Nam; discharge ~10,000 m³/s in wet season; used for pollutant-load estimates where concentration data exist.</w:t>
            </w:r>
          </w:p>
        </w:tc>
      </w:tr>
      <w:tr w:rsidR="00A71061" w:rsidRPr="00F439E3" w:rsidTr="001B201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rsidR="00A71061" w:rsidRPr="00F439E3" w:rsidRDefault="00A71061">
            <w:pPr>
              <w:rPr>
                <w:rFonts w:ascii="Arial" w:hAnsi="Arial" w:cs="Arial"/>
                <w:sz w:val="18"/>
                <w:szCs w:val="18"/>
              </w:rPr>
            </w:pPr>
            <w:r w:rsidRPr="00F439E3">
              <w:rPr>
                <w:rFonts w:ascii="Arial" w:hAnsi="Arial" w:cs="Arial"/>
                <w:sz w:val="18"/>
                <w:szCs w:val="18"/>
              </w:rPr>
              <w:t>Tonlé Sap River &amp; Lake</w:t>
            </w:r>
          </w:p>
        </w:tc>
        <w:tc>
          <w:tcPr>
            <w:tcW w:w="0" w:type="auto"/>
            <w:hideMark/>
          </w:tcPr>
          <w:p w:rsidR="00A71061" w:rsidRPr="00F439E3" w:rsidRDefault="00A71061">
            <w:pP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F439E3">
              <w:rPr>
                <w:rFonts w:ascii="Arial" w:hAnsi="Arial" w:cs="Arial"/>
                <w:sz w:val="18"/>
                <w:szCs w:val="18"/>
              </w:rPr>
              <w:t>Catchment area; reverse flow volume</w:t>
            </w:r>
          </w:p>
        </w:tc>
        <w:tc>
          <w:tcPr>
            <w:tcW w:w="1053" w:type="dxa"/>
            <w:hideMark/>
          </w:tcPr>
          <w:p w:rsidR="00A71061" w:rsidRPr="00F439E3" w:rsidRDefault="00A71061">
            <w:pP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F439E3">
              <w:rPr>
                <w:rFonts w:ascii="Arial" w:hAnsi="Arial" w:cs="Arial"/>
                <w:sz w:val="18"/>
                <w:szCs w:val="18"/>
              </w:rPr>
              <w:t>km²; km³/year</w:t>
            </w:r>
          </w:p>
        </w:tc>
        <w:tc>
          <w:tcPr>
            <w:tcW w:w="1625" w:type="dxa"/>
            <w:hideMark/>
          </w:tcPr>
          <w:p w:rsidR="00A71061" w:rsidRPr="00F439E3" w:rsidRDefault="00A71061">
            <w:pP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F439E3">
              <w:rPr>
                <w:rFonts w:ascii="Arial" w:hAnsi="Arial" w:cs="Arial"/>
                <w:sz w:val="18"/>
                <w:szCs w:val="18"/>
              </w:rPr>
              <w:t>Peer-reviewed Tonlé Sap studies; MRC basin reports</w:t>
            </w:r>
          </w:p>
        </w:tc>
        <w:tc>
          <w:tcPr>
            <w:tcW w:w="0" w:type="auto"/>
            <w:hideMark/>
          </w:tcPr>
          <w:p w:rsidR="00A71061" w:rsidRPr="00F439E3" w:rsidRDefault="00A71061">
            <w:pP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F439E3">
              <w:rPr>
                <w:rFonts w:ascii="Arial" w:hAnsi="Arial" w:cs="Arial"/>
                <w:sz w:val="18"/>
                <w:szCs w:val="18"/>
              </w:rPr>
              <w:t>Derive catchment from GIS; use published reverse-flow estimates (e.g., 30 km³/year)</w:t>
            </w:r>
          </w:p>
        </w:tc>
        <w:tc>
          <w:tcPr>
            <w:tcW w:w="0" w:type="auto"/>
            <w:hideMark/>
          </w:tcPr>
          <w:p w:rsidR="00A71061" w:rsidRPr="00F439E3" w:rsidRDefault="00A71061">
            <w:pP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F439E3">
              <w:rPr>
                <w:rFonts w:ascii="Arial" w:hAnsi="Arial" w:cs="Arial"/>
                <w:sz w:val="18"/>
                <w:szCs w:val="18"/>
              </w:rPr>
              <w:t>Catchment ≈87,940 km²; unique flow reversal sends Mekong water into the lake in wet season and back out in dry season, redistributing nutrient and sediment loads.</w:t>
            </w:r>
          </w:p>
        </w:tc>
      </w:tr>
      <w:tr w:rsidR="00A71061" w:rsidRPr="00F439E3" w:rsidTr="001B2018">
        <w:tc>
          <w:tcPr>
            <w:cnfStyle w:val="001000000000" w:firstRow="0" w:lastRow="0" w:firstColumn="1" w:lastColumn="0" w:oddVBand="0" w:evenVBand="0" w:oddHBand="0" w:evenHBand="0" w:firstRowFirstColumn="0" w:firstRowLastColumn="0" w:lastRowFirstColumn="0" w:lastRowLastColumn="0"/>
            <w:tcW w:w="0" w:type="auto"/>
            <w:hideMark/>
          </w:tcPr>
          <w:p w:rsidR="00A71061" w:rsidRPr="00F439E3" w:rsidRDefault="00A71061">
            <w:pPr>
              <w:rPr>
                <w:rFonts w:ascii="Arial" w:hAnsi="Arial" w:cs="Arial"/>
                <w:sz w:val="18"/>
                <w:szCs w:val="18"/>
              </w:rPr>
            </w:pPr>
            <w:r w:rsidRPr="00F439E3">
              <w:rPr>
                <w:rFonts w:ascii="Arial" w:hAnsi="Arial" w:cs="Arial"/>
                <w:sz w:val="18"/>
                <w:szCs w:val="18"/>
              </w:rPr>
              <w:t>National river network</w:t>
            </w:r>
          </w:p>
        </w:tc>
        <w:tc>
          <w:tcPr>
            <w:tcW w:w="0" w:type="auto"/>
            <w:hideMark/>
          </w:tcPr>
          <w:p w:rsidR="00A71061" w:rsidRPr="00F439E3" w:rsidRDefault="00A71061">
            <w:pP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F439E3">
              <w:rPr>
                <w:rFonts w:ascii="Arial" w:hAnsi="Arial" w:cs="Arial"/>
                <w:sz w:val="18"/>
                <w:szCs w:val="18"/>
              </w:rPr>
              <w:t>Major river lengths &amp; catchments (Mekong, Tonlé Sap, Bassac, coastal rivers)</w:t>
            </w:r>
          </w:p>
        </w:tc>
        <w:tc>
          <w:tcPr>
            <w:tcW w:w="1053" w:type="dxa"/>
            <w:hideMark/>
          </w:tcPr>
          <w:p w:rsidR="00A71061" w:rsidRPr="00F439E3" w:rsidRDefault="00A71061">
            <w:pP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F439E3">
              <w:rPr>
                <w:rFonts w:ascii="Arial" w:hAnsi="Arial" w:cs="Arial"/>
                <w:sz w:val="18"/>
                <w:szCs w:val="18"/>
              </w:rPr>
              <w:t>km; km²</w:t>
            </w:r>
          </w:p>
        </w:tc>
        <w:tc>
          <w:tcPr>
            <w:tcW w:w="1625" w:type="dxa"/>
            <w:hideMark/>
          </w:tcPr>
          <w:p w:rsidR="00A71061" w:rsidRPr="00F439E3" w:rsidRDefault="00A71061">
            <w:pP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F439E3">
              <w:rPr>
                <w:rFonts w:ascii="Arial" w:hAnsi="Arial" w:cs="Arial"/>
                <w:sz w:val="18"/>
                <w:szCs w:val="18"/>
              </w:rPr>
              <w:t>MRC &amp; MoE river atlases; national topographic maps</w:t>
            </w:r>
          </w:p>
        </w:tc>
        <w:tc>
          <w:tcPr>
            <w:tcW w:w="0" w:type="auto"/>
            <w:hideMark/>
          </w:tcPr>
          <w:p w:rsidR="00A71061" w:rsidRPr="00F439E3" w:rsidRDefault="00A71061">
            <w:pP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F439E3">
              <w:rPr>
                <w:rFonts w:ascii="Arial" w:hAnsi="Arial" w:cs="Arial"/>
                <w:sz w:val="18"/>
                <w:szCs w:val="18"/>
              </w:rPr>
              <w:t>GIS delineation of catchments; digitised river networks</w:t>
            </w:r>
          </w:p>
        </w:tc>
        <w:tc>
          <w:tcPr>
            <w:tcW w:w="0" w:type="auto"/>
            <w:hideMark/>
          </w:tcPr>
          <w:p w:rsidR="00A71061" w:rsidRPr="00F439E3" w:rsidRDefault="00A71061">
            <w:pP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F439E3">
              <w:rPr>
                <w:rFonts w:ascii="Arial" w:hAnsi="Arial" w:cs="Arial"/>
                <w:sz w:val="18"/>
                <w:szCs w:val="18"/>
              </w:rPr>
              <w:t>Used to normalise pollutant loads (e.g., t/year per km²) and to identify sub-basins contributing to coastal hotspots (Tatai, Kampot, Prek Toeuk Sap).</w:t>
            </w:r>
          </w:p>
        </w:tc>
      </w:tr>
      <w:tr w:rsidR="00A71061" w:rsidRPr="00F439E3" w:rsidTr="001B201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rsidR="00A71061" w:rsidRPr="00F439E3" w:rsidRDefault="00A71061">
            <w:pPr>
              <w:rPr>
                <w:rFonts w:ascii="Arial" w:hAnsi="Arial" w:cs="Arial"/>
                <w:sz w:val="18"/>
                <w:szCs w:val="18"/>
              </w:rPr>
            </w:pPr>
            <w:r w:rsidRPr="00F439E3">
              <w:rPr>
                <w:rFonts w:ascii="Arial" w:hAnsi="Arial" w:cs="Arial"/>
                <w:sz w:val="18"/>
                <w:szCs w:val="18"/>
              </w:rPr>
              <w:t>Pollutant load estimation</w:t>
            </w:r>
          </w:p>
        </w:tc>
        <w:tc>
          <w:tcPr>
            <w:tcW w:w="0" w:type="auto"/>
            <w:hideMark/>
          </w:tcPr>
          <w:p w:rsidR="00A71061" w:rsidRPr="00F439E3" w:rsidRDefault="00A71061">
            <w:pP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F439E3">
              <w:rPr>
                <w:rFonts w:ascii="Arial" w:hAnsi="Arial" w:cs="Arial"/>
                <w:sz w:val="18"/>
                <w:szCs w:val="18"/>
              </w:rPr>
              <w:t>Loads for BOD, TSS, TN, TP at key stations</w:t>
            </w:r>
          </w:p>
        </w:tc>
        <w:tc>
          <w:tcPr>
            <w:tcW w:w="1053" w:type="dxa"/>
            <w:hideMark/>
          </w:tcPr>
          <w:p w:rsidR="00A71061" w:rsidRPr="00F439E3" w:rsidRDefault="00A71061">
            <w:pP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F439E3">
              <w:rPr>
                <w:rFonts w:ascii="Arial" w:hAnsi="Arial" w:cs="Arial"/>
                <w:sz w:val="18"/>
                <w:szCs w:val="18"/>
              </w:rPr>
              <w:t>t/year</w:t>
            </w:r>
          </w:p>
        </w:tc>
        <w:tc>
          <w:tcPr>
            <w:tcW w:w="1625" w:type="dxa"/>
            <w:hideMark/>
          </w:tcPr>
          <w:p w:rsidR="00A71061" w:rsidRPr="00F439E3" w:rsidRDefault="00A71061">
            <w:pP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F439E3">
              <w:rPr>
                <w:rFonts w:ascii="Arial" w:hAnsi="Arial" w:cs="Arial"/>
                <w:sz w:val="18"/>
                <w:szCs w:val="18"/>
              </w:rPr>
              <w:t>Combination of hydrological data (MRC) and water-quality datasets (MoE, JICA, MRC)</w:t>
            </w:r>
          </w:p>
        </w:tc>
        <w:tc>
          <w:tcPr>
            <w:tcW w:w="0" w:type="auto"/>
            <w:hideMark/>
          </w:tcPr>
          <w:p w:rsidR="00A71061" w:rsidRPr="00F439E3" w:rsidRDefault="00A71061">
            <w:pP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F439E3">
              <w:rPr>
                <w:rFonts w:ascii="Arial" w:hAnsi="Arial" w:cs="Arial"/>
                <w:sz w:val="18"/>
                <w:szCs w:val="18"/>
              </w:rPr>
              <w:t>Apply L = C × Q × 31.536 (for mg/L × m³/s → t/year); seasonal disaggregation where wet/dry data available</w:t>
            </w:r>
          </w:p>
        </w:tc>
        <w:tc>
          <w:tcPr>
            <w:tcW w:w="0" w:type="auto"/>
            <w:hideMark/>
          </w:tcPr>
          <w:p w:rsidR="00A71061" w:rsidRPr="00F439E3" w:rsidRDefault="00A71061">
            <w:pP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F439E3">
              <w:rPr>
                <w:rFonts w:ascii="Arial" w:hAnsi="Arial" w:cs="Arial"/>
                <w:sz w:val="18"/>
                <w:szCs w:val="18"/>
              </w:rPr>
              <w:t>Load estimates are used to rank river reaches as low/medium/high contributors to downstream coastal pollution; uncertainties flagged where discharge or concentration data are sparse.</w:t>
            </w:r>
          </w:p>
        </w:tc>
      </w:tr>
      <w:tr w:rsidR="00A71061" w:rsidRPr="00F439E3" w:rsidTr="001B2018">
        <w:tc>
          <w:tcPr>
            <w:cnfStyle w:val="001000000000" w:firstRow="0" w:lastRow="0" w:firstColumn="1" w:lastColumn="0" w:oddVBand="0" w:evenVBand="0" w:oddHBand="0" w:evenHBand="0" w:firstRowFirstColumn="0" w:firstRowLastColumn="0" w:lastRowFirstColumn="0" w:lastRowLastColumn="0"/>
            <w:tcW w:w="0" w:type="auto"/>
            <w:hideMark/>
          </w:tcPr>
          <w:p w:rsidR="00A71061" w:rsidRPr="00F439E3" w:rsidRDefault="00A71061">
            <w:pPr>
              <w:rPr>
                <w:rFonts w:ascii="Arial" w:hAnsi="Arial" w:cs="Arial"/>
                <w:sz w:val="18"/>
                <w:szCs w:val="18"/>
              </w:rPr>
            </w:pPr>
            <w:r w:rsidRPr="00F439E3">
              <w:rPr>
                <w:rFonts w:ascii="Arial" w:hAnsi="Arial" w:cs="Arial"/>
                <w:sz w:val="18"/>
                <w:szCs w:val="18"/>
              </w:rPr>
              <w:t>River-to-sea pathway mapping</w:t>
            </w:r>
          </w:p>
        </w:tc>
        <w:tc>
          <w:tcPr>
            <w:tcW w:w="0" w:type="auto"/>
            <w:hideMark/>
          </w:tcPr>
          <w:p w:rsidR="00A71061" w:rsidRPr="00F439E3" w:rsidRDefault="00A71061">
            <w:pP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F439E3">
              <w:rPr>
                <w:rFonts w:ascii="Arial" w:hAnsi="Arial" w:cs="Arial"/>
                <w:sz w:val="18"/>
                <w:szCs w:val="18"/>
              </w:rPr>
              <w:t>Connectivity from inland hotspots to coastal/ transboundary zones</w:t>
            </w:r>
          </w:p>
        </w:tc>
        <w:tc>
          <w:tcPr>
            <w:tcW w:w="1053" w:type="dxa"/>
            <w:hideMark/>
          </w:tcPr>
          <w:p w:rsidR="00A71061" w:rsidRPr="00F439E3" w:rsidRDefault="00A71061">
            <w:pP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F439E3">
              <w:rPr>
                <w:rFonts w:ascii="Arial" w:hAnsi="Arial" w:cs="Arial"/>
                <w:sz w:val="18"/>
                <w:szCs w:val="18"/>
              </w:rPr>
              <w:t>qualitative (maps; pathway descriptions)</w:t>
            </w:r>
          </w:p>
        </w:tc>
        <w:tc>
          <w:tcPr>
            <w:tcW w:w="1625" w:type="dxa"/>
            <w:hideMark/>
          </w:tcPr>
          <w:p w:rsidR="00A71061" w:rsidRPr="00F439E3" w:rsidRDefault="00A71061">
            <w:pP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F439E3">
              <w:rPr>
                <w:rFonts w:ascii="Arial" w:hAnsi="Arial" w:cs="Arial"/>
                <w:sz w:val="18"/>
                <w:szCs w:val="18"/>
              </w:rPr>
              <w:t>All above; plus regional circulation studies</w:t>
            </w:r>
          </w:p>
        </w:tc>
        <w:tc>
          <w:tcPr>
            <w:tcW w:w="0" w:type="auto"/>
            <w:hideMark/>
          </w:tcPr>
          <w:p w:rsidR="00A71061" w:rsidRPr="00F439E3" w:rsidRDefault="00A71061">
            <w:pP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F439E3">
              <w:rPr>
                <w:rFonts w:ascii="Arial" w:hAnsi="Arial" w:cs="Arial"/>
                <w:sz w:val="18"/>
                <w:szCs w:val="18"/>
              </w:rPr>
              <w:t>Overlay river network, discharge, and monitoring hotspots; trace main pollutant pathways to Gulf of Thailand and Vietnamese delta</w:t>
            </w:r>
          </w:p>
        </w:tc>
        <w:tc>
          <w:tcPr>
            <w:tcW w:w="0" w:type="auto"/>
            <w:hideMark/>
          </w:tcPr>
          <w:p w:rsidR="00A71061" w:rsidRPr="00F439E3" w:rsidRDefault="00A71061">
            <w:pP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F439E3">
              <w:rPr>
                <w:rFonts w:ascii="Arial" w:hAnsi="Arial" w:cs="Arial"/>
                <w:sz w:val="18"/>
                <w:szCs w:val="18"/>
              </w:rPr>
              <w:t>Highlights Phnom Penh–Bassac–Viet Nam pathway and coastal rivers (Kampot, Tatai, Prek Toeuk Sap) as primary transport routes for land-based pollution to marine ecosystems.</w:t>
            </w:r>
          </w:p>
        </w:tc>
      </w:tr>
    </w:tbl>
    <w:p w:rsidR="00A71061" w:rsidRDefault="00A71061" w:rsidP="00A71061">
      <w:pPr>
        <w:pStyle w:val="NormalWeb"/>
        <w:adjustRightInd w:val="0"/>
        <w:snapToGrid w:val="0"/>
        <w:spacing w:before="0" w:beforeAutospacing="0" w:after="0" w:afterAutospacing="0"/>
        <w:rPr>
          <w:rFonts w:ascii="Arial" w:hAnsi="Arial" w:cs="Arial"/>
          <w:sz w:val="22"/>
          <w:szCs w:val="22"/>
        </w:rPr>
      </w:pPr>
    </w:p>
    <w:p w:rsidR="00F439E3" w:rsidRPr="00F439E3" w:rsidRDefault="00F439E3" w:rsidP="00F439E3">
      <w:pPr>
        <w:pStyle w:val="Caption"/>
        <w:keepNext/>
        <w:spacing w:before="240" w:after="120"/>
        <w:rPr>
          <w:rFonts w:ascii="Arial" w:hAnsi="Arial" w:cs="Arial"/>
          <w:color w:val="002060"/>
          <w:sz w:val="32"/>
          <w:szCs w:val="32"/>
        </w:rPr>
      </w:pPr>
      <w:r w:rsidRPr="00A71061">
        <w:rPr>
          <w:rFonts w:ascii="Arial" w:hAnsi="Arial" w:cs="Arial"/>
          <w:color w:val="002060"/>
          <w:sz w:val="22"/>
          <w:szCs w:val="22"/>
        </w:rPr>
        <w:t>Annex Table 3-</w:t>
      </w:r>
      <w:r w:rsidRPr="00A71061">
        <w:rPr>
          <w:rFonts w:ascii="Arial" w:hAnsi="Arial" w:cs="Arial"/>
          <w:color w:val="002060"/>
          <w:sz w:val="22"/>
          <w:szCs w:val="22"/>
        </w:rPr>
        <w:fldChar w:fldCharType="begin"/>
      </w:r>
      <w:r w:rsidRPr="00A71061">
        <w:rPr>
          <w:rFonts w:ascii="Arial" w:hAnsi="Arial" w:cs="Arial"/>
          <w:color w:val="002060"/>
          <w:sz w:val="22"/>
          <w:szCs w:val="22"/>
        </w:rPr>
        <w:instrText xml:space="preserve"> SEQ Annex_Table_3- \* ARABIC </w:instrText>
      </w:r>
      <w:r w:rsidRPr="00A71061">
        <w:rPr>
          <w:rFonts w:ascii="Arial" w:hAnsi="Arial" w:cs="Arial"/>
          <w:color w:val="002060"/>
          <w:sz w:val="22"/>
          <w:szCs w:val="22"/>
        </w:rPr>
        <w:fldChar w:fldCharType="separate"/>
      </w:r>
      <w:r w:rsidR="00D35426">
        <w:rPr>
          <w:rFonts w:ascii="Arial" w:hAnsi="Arial" w:cs="Arial"/>
          <w:noProof/>
          <w:color w:val="002060"/>
          <w:sz w:val="22"/>
          <w:szCs w:val="22"/>
        </w:rPr>
        <w:t>10</w:t>
      </w:r>
      <w:r w:rsidRPr="00A71061">
        <w:rPr>
          <w:rFonts w:ascii="Arial" w:hAnsi="Arial" w:cs="Arial"/>
          <w:color w:val="002060"/>
          <w:sz w:val="22"/>
          <w:szCs w:val="22"/>
        </w:rPr>
        <w:fldChar w:fldCharType="end"/>
      </w:r>
      <w:r w:rsidRPr="00A71061">
        <w:rPr>
          <w:rFonts w:ascii="Arial" w:hAnsi="Arial" w:cs="Arial"/>
          <w:color w:val="002060"/>
          <w:sz w:val="22"/>
          <w:szCs w:val="22"/>
        </w:rPr>
        <w:t xml:space="preserve"> </w:t>
      </w:r>
      <w:r>
        <w:rPr>
          <w:rFonts w:ascii="Arial" w:hAnsi="Arial" w:cs="Arial"/>
          <w:color w:val="002060"/>
          <w:sz w:val="22"/>
          <w:szCs w:val="22"/>
        </w:rPr>
        <w:t>C</w:t>
      </w:r>
      <w:r w:rsidRPr="00F439E3">
        <w:rPr>
          <w:rFonts w:ascii="Arial" w:hAnsi="Arial" w:cs="Arial"/>
          <w:color w:val="002060"/>
          <w:sz w:val="22"/>
          <w:szCs w:val="22"/>
        </w:rPr>
        <w:t>oastal &amp; riverine pollution risk assessment</w:t>
      </w:r>
      <w:r>
        <w:rPr>
          <w:rFonts w:ascii="Arial" w:hAnsi="Arial" w:cs="Arial"/>
          <w:color w:val="002060"/>
          <w:sz w:val="22"/>
          <w:szCs w:val="22"/>
        </w:rPr>
        <w:t xml:space="preserve"> </w:t>
      </w:r>
    </w:p>
    <w:tbl>
      <w:tblPr>
        <w:tblStyle w:val="GridTable4-Accent5"/>
        <w:tblW w:w="0" w:type="auto"/>
        <w:tblLook w:val="04A0" w:firstRow="1" w:lastRow="0" w:firstColumn="1" w:lastColumn="0" w:noHBand="0" w:noVBand="1"/>
      </w:tblPr>
      <w:tblGrid>
        <w:gridCol w:w="1624"/>
        <w:gridCol w:w="1148"/>
        <w:gridCol w:w="1336"/>
        <w:gridCol w:w="2070"/>
        <w:gridCol w:w="1317"/>
        <w:gridCol w:w="1515"/>
      </w:tblGrid>
      <w:tr w:rsidR="00F439E3" w:rsidRPr="00F439E3" w:rsidTr="001E2162">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38" w:type="dxa"/>
            <w:hideMark/>
          </w:tcPr>
          <w:p w:rsidR="00F439E3" w:rsidRPr="00F439E3" w:rsidRDefault="00F439E3" w:rsidP="00C6532D">
            <w:pPr>
              <w:jc w:val="center"/>
              <w:rPr>
                <w:rFonts w:ascii="Arial" w:hAnsi="Arial" w:cs="Arial"/>
                <w:sz w:val="18"/>
                <w:szCs w:val="18"/>
              </w:rPr>
            </w:pPr>
            <w:r w:rsidRPr="00F439E3">
              <w:rPr>
                <w:rFonts w:ascii="Arial" w:hAnsi="Arial" w:cs="Arial"/>
                <w:sz w:val="18"/>
                <w:szCs w:val="18"/>
              </w:rPr>
              <w:t>Risk category</w:t>
            </w:r>
          </w:p>
        </w:tc>
        <w:tc>
          <w:tcPr>
            <w:tcW w:w="934" w:type="dxa"/>
            <w:hideMark/>
          </w:tcPr>
          <w:p w:rsidR="00F439E3" w:rsidRPr="00F439E3" w:rsidRDefault="00F439E3" w:rsidP="00C6532D">
            <w:pPr>
              <w:jc w:val="center"/>
              <w:cnfStyle w:val="100000000000" w:firstRow="1" w:lastRow="0" w:firstColumn="0" w:lastColumn="0" w:oddVBand="0" w:evenVBand="0" w:oddHBand="0" w:evenHBand="0" w:firstRowFirstColumn="0" w:firstRowLastColumn="0" w:lastRowFirstColumn="0" w:lastRowLastColumn="0"/>
              <w:rPr>
                <w:rFonts w:ascii="Arial" w:hAnsi="Arial" w:cs="Arial"/>
                <w:sz w:val="18"/>
                <w:szCs w:val="18"/>
              </w:rPr>
            </w:pPr>
            <w:r w:rsidRPr="00F439E3">
              <w:rPr>
                <w:rFonts w:ascii="Arial" w:hAnsi="Arial" w:cs="Arial"/>
                <w:sz w:val="18"/>
                <w:szCs w:val="18"/>
              </w:rPr>
              <w:t>Main pollutants / drivers</w:t>
            </w:r>
          </w:p>
        </w:tc>
        <w:tc>
          <w:tcPr>
            <w:tcW w:w="1336" w:type="dxa"/>
            <w:hideMark/>
          </w:tcPr>
          <w:p w:rsidR="00F439E3" w:rsidRPr="00F439E3" w:rsidRDefault="00F439E3" w:rsidP="00C6532D">
            <w:pPr>
              <w:jc w:val="center"/>
              <w:cnfStyle w:val="100000000000" w:firstRow="1" w:lastRow="0" w:firstColumn="0" w:lastColumn="0" w:oddVBand="0" w:evenVBand="0" w:oddHBand="0" w:evenHBand="0" w:firstRowFirstColumn="0" w:firstRowLastColumn="0" w:lastRowFirstColumn="0" w:lastRowLastColumn="0"/>
              <w:rPr>
                <w:rFonts w:ascii="Arial" w:hAnsi="Arial" w:cs="Arial"/>
                <w:sz w:val="18"/>
                <w:szCs w:val="18"/>
              </w:rPr>
            </w:pPr>
            <w:r w:rsidRPr="00F439E3">
              <w:rPr>
                <w:rFonts w:ascii="Arial" w:hAnsi="Arial" w:cs="Arial"/>
                <w:sz w:val="18"/>
                <w:szCs w:val="18"/>
              </w:rPr>
              <w:t>Likelihood</w:t>
            </w:r>
          </w:p>
        </w:tc>
        <w:tc>
          <w:tcPr>
            <w:tcW w:w="2070" w:type="dxa"/>
            <w:hideMark/>
          </w:tcPr>
          <w:p w:rsidR="00F439E3" w:rsidRPr="00F439E3" w:rsidRDefault="00F439E3" w:rsidP="00C6532D">
            <w:pPr>
              <w:jc w:val="center"/>
              <w:cnfStyle w:val="100000000000" w:firstRow="1" w:lastRow="0" w:firstColumn="0" w:lastColumn="0" w:oddVBand="0" w:evenVBand="0" w:oddHBand="0" w:evenHBand="0" w:firstRowFirstColumn="0" w:firstRowLastColumn="0" w:lastRowFirstColumn="0" w:lastRowLastColumn="0"/>
              <w:rPr>
                <w:rFonts w:ascii="Arial" w:hAnsi="Arial" w:cs="Arial"/>
                <w:sz w:val="18"/>
                <w:szCs w:val="18"/>
              </w:rPr>
            </w:pPr>
            <w:r w:rsidRPr="00F439E3">
              <w:rPr>
                <w:rFonts w:ascii="Arial" w:hAnsi="Arial" w:cs="Arial"/>
                <w:sz w:val="18"/>
                <w:szCs w:val="18"/>
              </w:rPr>
              <w:t>Key impacts</w:t>
            </w:r>
          </w:p>
        </w:tc>
        <w:tc>
          <w:tcPr>
            <w:tcW w:w="1317" w:type="dxa"/>
            <w:hideMark/>
          </w:tcPr>
          <w:p w:rsidR="00F439E3" w:rsidRPr="00F439E3" w:rsidRDefault="00F439E3" w:rsidP="00C6532D">
            <w:pPr>
              <w:jc w:val="center"/>
              <w:cnfStyle w:val="100000000000" w:firstRow="1" w:lastRow="0" w:firstColumn="0" w:lastColumn="0" w:oddVBand="0" w:evenVBand="0" w:oddHBand="0" w:evenHBand="0" w:firstRowFirstColumn="0" w:firstRowLastColumn="0" w:lastRowFirstColumn="0" w:lastRowLastColumn="0"/>
              <w:rPr>
                <w:rFonts w:ascii="Arial" w:hAnsi="Arial" w:cs="Arial"/>
                <w:sz w:val="18"/>
                <w:szCs w:val="18"/>
              </w:rPr>
            </w:pPr>
            <w:r w:rsidRPr="00F439E3">
              <w:rPr>
                <w:rFonts w:ascii="Arial" w:hAnsi="Arial" w:cs="Arial"/>
                <w:sz w:val="18"/>
                <w:szCs w:val="18"/>
              </w:rPr>
              <w:t>Main hotspots</w:t>
            </w:r>
          </w:p>
        </w:tc>
        <w:tc>
          <w:tcPr>
            <w:tcW w:w="0" w:type="auto"/>
            <w:hideMark/>
          </w:tcPr>
          <w:p w:rsidR="00F439E3" w:rsidRPr="00F439E3" w:rsidRDefault="00F439E3" w:rsidP="00C6532D">
            <w:pPr>
              <w:jc w:val="center"/>
              <w:cnfStyle w:val="100000000000" w:firstRow="1" w:lastRow="0" w:firstColumn="0" w:lastColumn="0" w:oddVBand="0" w:evenVBand="0" w:oddHBand="0" w:evenHBand="0" w:firstRowFirstColumn="0" w:firstRowLastColumn="0" w:lastRowFirstColumn="0" w:lastRowLastColumn="0"/>
              <w:rPr>
                <w:rFonts w:ascii="Arial" w:hAnsi="Arial" w:cs="Arial"/>
                <w:sz w:val="18"/>
                <w:szCs w:val="18"/>
              </w:rPr>
            </w:pPr>
            <w:r w:rsidRPr="00F439E3">
              <w:rPr>
                <w:rFonts w:ascii="Arial" w:hAnsi="Arial" w:cs="Arial"/>
                <w:sz w:val="18"/>
                <w:szCs w:val="18"/>
              </w:rPr>
              <w:t>Transboundary significance</w:t>
            </w:r>
          </w:p>
        </w:tc>
      </w:tr>
      <w:tr w:rsidR="00F439E3" w:rsidRPr="00F439E3" w:rsidTr="001E216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38" w:type="dxa"/>
            <w:hideMark/>
          </w:tcPr>
          <w:p w:rsidR="00F439E3" w:rsidRPr="001B2018" w:rsidRDefault="00F439E3" w:rsidP="00C6532D">
            <w:pPr>
              <w:rPr>
                <w:rFonts w:ascii="Arial" w:hAnsi="Arial" w:cs="Arial"/>
                <w:sz w:val="18"/>
                <w:szCs w:val="18"/>
              </w:rPr>
            </w:pPr>
            <w:r w:rsidRPr="001B2018">
              <w:rPr>
                <w:rFonts w:ascii="Arial" w:hAnsi="Arial" w:cs="Arial"/>
                <w:sz w:val="18"/>
                <w:szCs w:val="18"/>
              </w:rPr>
              <w:t>Nutrient enrichment &amp; eutrophication</w:t>
            </w:r>
          </w:p>
        </w:tc>
        <w:tc>
          <w:tcPr>
            <w:tcW w:w="934" w:type="dxa"/>
            <w:hideMark/>
          </w:tcPr>
          <w:p w:rsidR="00F439E3" w:rsidRPr="00F439E3" w:rsidRDefault="00F439E3" w:rsidP="00C6532D">
            <w:pP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F439E3">
              <w:rPr>
                <w:rFonts w:ascii="Arial" w:hAnsi="Arial" w:cs="Arial"/>
                <w:sz w:val="18"/>
                <w:szCs w:val="18"/>
              </w:rPr>
              <w:t>Fertilizer and pesticide runoff, aquaculture effluent, untreated municipal wastewater (NO</w:t>
            </w:r>
            <w:r w:rsidRPr="00F439E3">
              <w:rPr>
                <w:rFonts w:ascii="Cambria Math" w:hAnsi="Cambria Math" w:cs="Cambria Math"/>
                <w:sz w:val="18"/>
                <w:szCs w:val="18"/>
              </w:rPr>
              <w:t>₃⁻</w:t>
            </w:r>
            <w:r w:rsidRPr="00F439E3">
              <w:rPr>
                <w:rFonts w:ascii="Arial" w:hAnsi="Arial" w:cs="Arial"/>
                <w:sz w:val="18"/>
                <w:szCs w:val="18"/>
              </w:rPr>
              <w:t>, PO</w:t>
            </w:r>
            <w:r w:rsidRPr="00F439E3">
              <w:rPr>
                <w:rFonts w:ascii="Cambria Math" w:hAnsi="Cambria Math" w:cs="Cambria Math"/>
                <w:sz w:val="18"/>
                <w:szCs w:val="18"/>
              </w:rPr>
              <w:t>₄</w:t>
            </w:r>
            <w:r w:rsidRPr="00F439E3">
              <w:rPr>
                <w:rFonts w:ascii="Arial" w:hAnsi="Arial" w:cs="Arial"/>
                <w:sz w:val="18"/>
                <w:szCs w:val="18"/>
              </w:rPr>
              <w:t>³</w:t>
            </w:r>
            <w:r w:rsidRPr="00F439E3">
              <w:rPr>
                <w:rFonts w:ascii="Cambria Math" w:hAnsi="Cambria Math" w:cs="Cambria Math"/>
                <w:sz w:val="18"/>
                <w:szCs w:val="18"/>
              </w:rPr>
              <w:t>⁻</w:t>
            </w:r>
            <w:r w:rsidRPr="00F439E3">
              <w:rPr>
                <w:rFonts w:ascii="Arial" w:hAnsi="Arial" w:cs="Arial"/>
                <w:sz w:val="18"/>
                <w:szCs w:val="18"/>
              </w:rPr>
              <w:t>, TSS)</w:t>
            </w:r>
          </w:p>
        </w:tc>
        <w:tc>
          <w:tcPr>
            <w:tcW w:w="1336" w:type="dxa"/>
            <w:hideMark/>
          </w:tcPr>
          <w:p w:rsidR="00F439E3" w:rsidRPr="00F439E3" w:rsidRDefault="00F439E3" w:rsidP="00C6532D">
            <w:pP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F439E3">
              <w:rPr>
                <w:rStyle w:val="Strong"/>
                <w:rFonts w:ascii="Arial" w:hAnsi="Arial" w:cs="Arial"/>
                <w:sz w:val="18"/>
                <w:szCs w:val="18"/>
              </w:rPr>
              <w:t>Very high</w:t>
            </w:r>
          </w:p>
        </w:tc>
        <w:tc>
          <w:tcPr>
            <w:tcW w:w="2070" w:type="dxa"/>
            <w:hideMark/>
          </w:tcPr>
          <w:p w:rsidR="00F439E3" w:rsidRPr="00F439E3" w:rsidRDefault="00F439E3" w:rsidP="00C6532D">
            <w:pP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F439E3">
              <w:rPr>
                <w:rFonts w:ascii="Arial" w:hAnsi="Arial" w:cs="Arial"/>
                <w:sz w:val="18"/>
                <w:szCs w:val="18"/>
              </w:rPr>
              <w:t>Hypoxia (DO &lt;4 mg/L), algal blooms, coral-cover decline, seagrass stress, reduced fisheries productivity</w:t>
            </w:r>
          </w:p>
        </w:tc>
        <w:tc>
          <w:tcPr>
            <w:tcW w:w="1317" w:type="dxa"/>
            <w:hideMark/>
          </w:tcPr>
          <w:p w:rsidR="00F439E3" w:rsidRPr="00F439E3" w:rsidRDefault="00F439E3" w:rsidP="00C6532D">
            <w:pP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F439E3">
              <w:rPr>
                <w:rFonts w:ascii="Arial" w:hAnsi="Arial" w:cs="Arial"/>
                <w:sz w:val="18"/>
                <w:szCs w:val="18"/>
              </w:rPr>
              <w:t>Kampot Bay, Kep, Sihanoukville, Trapeang Ropov, Peam Krasop, Kampot estuary</w:t>
            </w:r>
          </w:p>
        </w:tc>
        <w:tc>
          <w:tcPr>
            <w:tcW w:w="0" w:type="auto"/>
            <w:hideMark/>
          </w:tcPr>
          <w:p w:rsidR="00F439E3" w:rsidRPr="00F439E3" w:rsidRDefault="00F439E3" w:rsidP="00C6532D">
            <w:pP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F439E3">
              <w:rPr>
                <w:rStyle w:val="Strong"/>
                <w:rFonts w:ascii="Arial" w:hAnsi="Arial" w:cs="Arial"/>
                <w:sz w:val="18"/>
                <w:szCs w:val="18"/>
              </w:rPr>
              <w:t>High</w:t>
            </w:r>
            <w:r w:rsidRPr="00F439E3">
              <w:rPr>
                <w:rFonts w:ascii="Arial" w:hAnsi="Arial" w:cs="Arial"/>
                <w:sz w:val="18"/>
                <w:szCs w:val="18"/>
              </w:rPr>
              <w:t xml:space="preserve"> – nutrients and organic matter transported within Gulf of Thailand and affect shared fisheries and water quality</w:t>
            </w:r>
          </w:p>
        </w:tc>
      </w:tr>
      <w:tr w:rsidR="00F439E3" w:rsidRPr="00F439E3" w:rsidTr="001E2162">
        <w:tc>
          <w:tcPr>
            <w:cnfStyle w:val="001000000000" w:firstRow="0" w:lastRow="0" w:firstColumn="1" w:lastColumn="0" w:oddVBand="0" w:evenVBand="0" w:oddHBand="0" w:evenHBand="0" w:firstRowFirstColumn="0" w:firstRowLastColumn="0" w:lastRowFirstColumn="0" w:lastRowLastColumn="0"/>
            <w:tcW w:w="1838" w:type="dxa"/>
            <w:hideMark/>
          </w:tcPr>
          <w:p w:rsidR="00F439E3" w:rsidRPr="00F439E3" w:rsidRDefault="00F439E3" w:rsidP="00C6532D">
            <w:pPr>
              <w:rPr>
                <w:rFonts w:ascii="Arial" w:hAnsi="Arial" w:cs="Arial"/>
                <w:sz w:val="18"/>
                <w:szCs w:val="18"/>
              </w:rPr>
            </w:pPr>
            <w:r w:rsidRPr="00F439E3">
              <w:rPr>
                <w:rFonts w:ascii="Arial" w:hAnsi="Arial" w:cs="Arial"/>
                <w:sz w:val="18"/>
                <w:szCs w:val="18"/>
              </w:rPr>
              <w:t>Microbial contamination &amp; public-health risk</w:t>
            </w:r>
          </w:p>
        </w:tc>
        <w:tc>
          <w:tcPr>
            <w:tcW w:w="934" w:type="dxa"/>
            <w:hideMark/>
          </w:tcPr>
          <w:p w:rsidR="00F439E3" w:rsidRPr="00F439E3" w:rsidRDefault="00F439E3" w:rsidP="00C6532D">
            <w:pP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F439E3">
              <w:rPr>
                <w:rFonts w:ascii="Arial" w:hAnsi="Arial" w:cs="Arial"/>
                <w:sz w:val="18"/>
                <w:szCs w:val="18"/>
              </w:rPr>
              <w:t>Fecal coliforms, pathogens from low sewerage coverage and direct discharge</w:t>
            </w:r>
          </w:p>
        </w:tc>
        <w:tc>
          <w:tcPr>
            <w:tcW w:w="1336" w:type="dxa"/>
            <w:hideMark/>
          </w:tcPr>
          <w:p w:rsidR="00F439E3" w:rsidRPr="00F439E3" w:rsidRDefault="00F439E3" w:rsidP="00C6532D">
            <w:pP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F439E3">
              <w:rPr>
                <w:rStyle w:val="Strong"/>
                <w:rFonts w:ascii="Arial" w:hAnsi="Arial" w:cs="Arial"/>
                <w:sz w:val="18"/>
                <w:szCs w:val="18"/>
              </w:rPr>
              <w:t>Very high</w:t>
            </w:r>
          </w:p>
        </w:tc>
        <w:tc>
          <w:tcPr>
            <w:tcW w:w="2070" w:type="dxa"/>
            <w:hideMark/>
          </w:tcPr>
          <w:p w:rsidR="00F439E3" w:rsidRPr="00F439E3" w:rsidRDefault="00F439E3" w:rsidP="00C6532D">
            <w:pP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F439E3">
              <w:rPr>
                <w:rFonts w:ascii="Arial" w:hAnsi="Arial" w:cs="Arial"/>
                <w:sz w:val="18"/>
                <w:szCs w:val="18"/>
              </w:rPr>
              <w:t>Waterborne disease, unsafe bathing water, fish-landing contamination, shellfish and food-safety risks, tourism losses</w:t>
            </w:r>
          </w:p>
        </w:tc>
        <w:tc>
          <w:tcPr>
            <w:tcW w:w="1317" w:type="dxa"/>
            <w:hideMark/>
          </w:tcPr>
          <w:p w:rsidR="00F439E3" w:rsidRPr="00F439E3" w:rsidRDefault="00F439E3" w:rsidP="00C6532D">
            <w:pP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F439E3">
              <w:rPr>
                <w:rFonts w:ascii="Arial" w:hAnsi="Arial" w:cs="Arial"/>
                <w:sz w:val="18"/>
                <w:szCs w:val="18"/>
              </w:rPr>
              <w:t>Phnom Penh Port/MTB system, Sihanoukville canals, Kep coastal waters, Prek Toeuk Sap, Tumpun Canal, Kampot River mouth</w:t>
            </w:r>
          </w:p>
        </w:tc>
        <w:tc>
          <w:tcPr>
            <w:tcW w:w="0" w:type="auto"/>
            <w:hideMark/>
          </w:tcPr>
          <w:p w:rsidR="00F439E3" w:rsidRPr="00F439E3" w:rsidRDefault="00F439E3" w:rsidP="00C6532D">
            <w:pP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F439E3">
              <w:rPr>
                <w:rStyle w:val="Strong"/>
                <w:rFonts w:ascii="Arial" w:hAnsi="Arial" w:cs="Arial"/>
                <w:sz w:val="18"/>
                <w:szCs w:val="18"/>
              </w:rPr>
              <w:t>Moderate–high</w:t>
            </w:r>
            <w:r w:rsidRPr="00F439E3">
              <w:rPr>
                <w:rFonts w:ascii="Arial" w:hAnsi="Arial" w:cs="Arial"/>
                <w:sz w:val="18"/>
                <w:szCs w:val="18"/>
              </w:rPr>
              <w:t xml:space="preserve"> – microbial loads exported via Mekong–Bassac and coastal currents</w:t>
            </w:r>
          </w:p>
        </w:tc>
      </w:tr>
      <w:tr w:rsidR="00F439E3" w:rsidRPr="00F439E3" w:rsidTr="001E216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38" w:type="dxa"/>
            <w:hideMark/>
          </w:tcPr>
          <w:p w:rsidR="00F439E3" w:rsidRPr="00F439E3" w:rsidRDefault="00F439E3" w:rsidP="00C6532D">
            <w:pPr>
              <w:rPr>
                <w:rFonts w:ascii="Arial" w:hAnsi="Arial" w:cs="Arial"/>
                <w:sz w:val="18"/>
                <w:szCs w:val="18"/>
              </w:rPr>
            </w:pPr>
            <w:r w:rsidRPr="00F439E3">
              <w:rPr>
                <w:rFonts w:ascii="Arial" w:hAnsi="Arial" w:cs="Arial"/>
                <w:sz w:val="18"/>
                <w:szCs w:val="18"/>
              </w:rPr>
              <w:t>Solid waste leakage &amp; microplastics</w:t>
            </w:r>
          </w:p>
        </w:tc>
        <w:tc>
          <w:tcPr>
            <w:tcW w:w="934" w:type="dxa"/>
            <w:hideMark/>
          </w:tcPr>
          <w:p w:rsidR="00F439E3" w:rsidRPr="00F439E3" w:rsidRDefault="00F439E3" w:rsidP="00C6532D">
            <w:pP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F439E3">
              <w:rPr>
                <w:rFonts w:ascii="Arial" w:hAnsi="Arial" w:cs="Arial"/>
                <w:sz w:val="18"/>
                <w:szCs w:val="18"/>
              </w:rPr>
              <w:t>Poorly managed municipal solid waste, plastics from tourism and urban areas</w:t>
            </w:r>
          </w:p>
        </w:tc>
        <w:tc>
          <w:tcPr>
            <w:tcW w:w="1336" w:type="dxa"/>
            <w:hideMark/>
          </w:tcPr>
          <w:p w:rsidR="00F439E3" w:rsidRPr="00F439E3" w:rsidRDefault="00F439E3" w:rsidP="00C6532D">
            <w:pP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F439E3">
              <w:rPr>
                <w:rStyle w:val="Strong"/>
                <w:rFonts w:ascii="Arial" w:hAnsi="Arial" w:cs="Arial"/>
                <w:sz w:val="18"/>
                <w:szCs w:val="18"/>
              </w:rPr>
              <w:t>High</w:t>
            </w:r>
          </w:p>
        </w:tc>
        <w:tc>
          <w:tcPr>
            <w:tcW w:w="2070" w:type="dxa"/>
            <w:hideMark/>
          </w:tcPr>
          <w:p w:rsidR="00F439E3" w:rsidRPr="00F439E3" w:rsidRDefault="00F439E3" w:rsidP="00C6532D">
            <w:pP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F439E3">
              <w:rPr>
                <w:rFonts w:ascii="Arial" w:hAnsi="Arial" w:cs="Arial"/>
                <w:sz w:val="18"/>
                <w:szCs w:val="18"/>
              </w:rPr>
              <w:t>Ingestion/entanglement of fauna, seagrass and mangrove damage, beach and seabed litter, long-term microplastic buildup, visual pollution</w:t>
            </w:r>
          </w:p>
        </w:tc>
        <w:tc>
          <w:tcPr>
            <w:tcW w:w="1317" w:type="dxa"/>
            <w:hideMark/>
          </w:tcPr>
          <w:p w:rsidR="00F439E3" w:rsidRPr="00F439E3" w:rsidRDefault="00F439E3" w:rsidP="00C6532D">
            <w:pP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F439E3">
              <w:rPr>
                <w:rFonts w:ascii="Arial" w:hAnsi="Arial" w:cs="Arial"/>
                <w:sz w:val="18"/>
                <w:szCs w:val="18"/>
              </w:rPr>
              <w:t>Coastal cities and landfills in Koh Kong, Sihanoukville, Kampot, Kep; beaches and port areas</w:t>
            </w:r>
          </w:p>
        </w:tc>
        <w:tc>
          <w:tcPr>
            <w:tcW w:w="0" w:type="auto"/>
            <w:hideMark/>
          </w:tcPr>
          <w:p w:rsidR="00F439E3" w:rsidRPr="00F439E3" w:rsidRDefault="00F439E3" w:rsidP="00C6532D">
            <w:pP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F439E3">
              <w:rPr>
                <w:rStyle w:val="Strong"/>
                <w:rFonts w:ascii="Arial" w:hAnsi="Arial" w:cs="Arial"/>
                <w:sz w:val="18"/>
                <w:szCs w:val="18"/>
              </w:rPr>
              <w:t>Very high</w:t>
            </w:r>
            <w:r w:rsidRPr="00F439E3">
              <w:rPr>
                <w:rFonts w:ascii="Arial" w:hAnsi="Arial" w:cs="Arial"/>
                <w:sz w:val="18"/>
                <w:szCs w:val="18"/>
              </w:rPr>
              <w:t xml:space="preserve"> – plastics transported around Gulf of Thailand, contributing to regional hotspots</w:t>
            </w:r>
          </w:p>
        </w:tc>
      </w:tr>
      <w:tr w:rsidR="00F439E3" w:rsidRPr="00F439E3" w:rsidTr="001E2162">
        <w:tc>
          <w:tcPr>
            <w:cnfStyle w:val="001000000000" w:firstRow="0" w:lastRow="0" w:firstColumn="1" w:lastColumn="0" w:oddVBand="0" w:evenVBand="0" w:oddHBand="0" w:evenHBand="0" w:firstRowFirstColumn="0" w:firstRowLastColumn="0" w:lastRowFirstColumn="0" w:lastRowLastColumn="0"/>
            <w:tcW w:w="1838" w:type="dxa"/>
            <w:hideMark/>
          </w:tcPr>
          <w:p w:rsidR="00F439E3" w:rsidRPr="00F439E3" w:rsidRDefault="00F439E3" w:rsidP="00C6532D">
            <w:pPr>
              <w:rPr>
                <w:rFonts w:ascii="Arial" w:hAnsi="Arial" w:cs="Arial"/>
                <w:sz w:val="18"/>
                <w:szCs w:val="18"/>
              </w:rPr>
            </w:pPr>
            <w:r w:rsidRPr="00F439E3">
              <w:rPr>
                <w:rFonts w:ascii="Arial" w:hAnsi="Arial" w:cs="Arial"/>
                <w:sz w:val="18"/>
                <w:szCs w:val="18"/>
              </w:rPr>
              <w:t>Industrial &amp; port-related contaminants</w:t>
            </w:r>
          </w:p>
        </w:tc>
        <w:tc>
          <w:tcPr>
            <w:tcW w:w="934" w:type="dxa"/>
            <w:hideMark/>
          </w:tcPr>
          <w:p w:rsidR="00F439E3" w:rsidRPr="00F439E3" w:rsidRDefault="00F439E3" w:rsidP="00C6532D">
            <w:pP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F439E3">
              <w:rPr>
                <w:rFonts w:ascii="Arial" w:hAnsi="Arial" w:cs="Arial"/>
                <w:sz w:val="18"/>
                <w:szCs w:val="18"/>
              </w:rPr>
              <w:t>Non-compliant effluents (oil &amp; grease, TPH, Pb, Zn, Cu) from SEZs, industry and ports</w:t>
            </w:r>
          </w:p>
        </w:tc>
        <w:tc>
          <w:tcPr>
            <w:tcW w:w="1336" w:type="dxa"/>
            <w:hideMark/>
          </w:tcPr>
          <w:p w:rsidR="00F439E3" w:rsidRPr="00F439E3" w:rsidRDefault="00F439E3" w:rsidP="00C6532D">
            <w:pP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F439E3">
              <w:rPr>
                <w:rStyle w:val="Strong"/>
                <w:rFonts w:ascii="Arial" w:hAnsi="Arial" w:cs="Arial"/>
                <w:sz w:val="18"/>
                <w:szCs w:val="18"/>
              </w:rPr>
              <w:t>Moderate–high</w:t>
            </w:r>
            <w:r w:rsidRPr="00F439E3">
              <w:rPr>
                <w:rFonts w:ascii="Arial" w:hAnsi="Arial" w:cs="Arial"/>
                <w:sz w:val="18"/>
                <w:szCs w:val="18"/>
              </w:rPr>
              <w:t xml:space="preserve"> (spatially concentrated)</w:t>
            </w:r>
          </w:p>
        </w:tc>
        <w:tc>
          <w:tcPr>
            <w:tcW w:w="2070" w:type="dxa"/>
            <w:hideMark/>
          </w:tcPr>
          <w:p w:rsidR="00F439E3" w:rsidRPr="00F439E3" w:rsidRDefault="00F439E3" w:rsidP="00C6532D">
            <w:pP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F439E3">
              <w:rPr>
                <w:rFonts w:ascii="Arial" w:hAnsi="Arial" w:cs="Arial"/>
                <w:sz w:val="18"/>
                <w:szCs w:val="18"/>
              </w:rPr>
              <w:t>Chronic toxicity, bioaccumulation in fish, estuarine habitat degradation, constraints for aquaculture</w:t>
            </w:r>
          </w:p>
        </w:tc>
        <w:tc>
          <w:tcPr>
            <w:tcW w:w="1317" w:type="dxa"/>
            <w:hideMark/>
          </w:tcPr>
          <w:p w:rsidR="00F439E3" w:rsidRPr="00F439E3" w:rsidRDefault="00F439E3" w:rsidP="00C6532D">
            <w:pP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F439E3">
              <w:rPr>
                <w:rFonts w:ascii="Arial" w:hAnsi="Arial" w:cs="Arial"/>
                <w:sz w:val="18"/>
                <w:szCs w:val="18"/>
              </w:rPr>
              <w:t>Sihanoukville Autonomous Port, Stung Hav cluster, Prek Toeuk Sap, Tumpun–Trabek canal system, Peam Krasop/Koh Kong</w:t>
            </w:r>
          </w:p>
        </w:tc>
        <w:tc>
          <w:tcPr>
            <w:tcW w:w="0" w:type="auto"/>
            <w:hideMark/>
          </w:tcPr>
          <w:p w:rsidR="00F439E3" w:rsidRPr="00F439E3" w:rsidRDefault="00F439E3" w:rsidP="00C6532D">
            <w:pP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F439E3">
              <w:rPr>
                <w:rStyle w:val="Strong"/>
                <w:rFonts w:ascii="Arial" w:hAnsi="Arial" w:cs="Arial"/>
                <w:sz w:val="18"/>
                <w:szCs w:val="18"/>
              </w:rPr>
              <w:t>Moderate</w:t>
            </w:r>
            <w:r w:rsidRPr="00F439E3">
              <w:rPr>
                <w:rFonts w:ascii="Arial" w:hAnsi="Arial" w:cs="Arial"/>
                <w:sz w:val="18"/>
                <w:szCs w:val="18"/>
              </w:rPr>
              <w:t xml:space="preserve"> – contaminated sediments and plumes transported along nearshore shelf (esp. toward Thai border)</w:t>
            </w:r>
          </w:p>
        </w:tc>
      </w:tr>
      <w:tr w:rsidR="00F439E3" w:rsidRPr="00F439E3" w:rsidTr="001E216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38" w:type="dxa"/>
            <w:hideMark/>
          </w:tcPr>
          <w:p w:rsidR="00F439E3" w:rsidRPr="00F439E3" w:rsidRDefault="00F439E3" w:rsidP="00C6532D">
            <w:pPr>
              <w:rPr>
                <w:rFonts w:ascii="Arial" w:hAnsi="Arial" w:cs="Arial"/>
                <w:sz w:val="18"/>
                <w:szCs w:val="18"/>
              </w:rPr>
            </w:pPr>
            <w:r w:rsidRPr="00F439E3">
              <w:rPr>
                <w:rFonts w:ascii="Arial" w:hAnsi="Arial" w:cs="Arial"/>
                <w:sz w:val="18"/>
                <w:szCs w:val="18"/>
              </w:rPr>
              <w:t>Oil spills &amp; hydrocarbon pollution</w:t>
            </w:r>
          </w:p>
        </w:tc>
        <w:tc>
          <w:tcPr>
            <w:tcW w:w="934" w:type="dxa"/>
            <w:hideMark/>
          </w:tcPr>
          <w:p w:rsidR="00F439E3" w:rsidRPr="00F439E3" w:rsidRDefault="00F439E3" w:rsidP="00C6532D">
            <w:pP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F439E3">
              <w:rPr>
                <w:rFonts w:ascii="Arial" w:hAnsi="Arial" w:cs="Arial"/>
                <w:sz w:val="18"/>
                <w:szCs w:val="18"/>
              </w:rPr>
              <w:t>Episodic spills, bilge water, ship repair and port operations</w:t>
            </w:r>
          </w:p>
        </w:tc>
        <w:tc>
          <w:tcPr>
            <w:tcW w:w="1336" w:type="dxa"/>
            <w:hideMark/>
          </w:tcPr>
          <w:p w:rsidR="00F439E3" w:rsidRPr="00F439E3" w:rsidRDefault="00F439E3" w:rsidP="00C6532D">
            <w:pP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F439E3">
              <w:rPr>
                <w:rStyle w:val="Strong"/>
                <w:rFonts w:ascii="Arial" w:hAnsi="Arial" w:cs="Arial"/>
                <w:sz w:val="18"/>
                <w:szCs w:val="18"/>
              </w:rPr>
              <w:t>Low–moderate</w:t>
            </w:r>
            <w:r w:rsidRPr="00F439E3">
              <w:rPr>
                <w:rFonts w:ascii="Arial" w:hAnsi="Arial" w:cs="Arial"/>
                <w:sz w:val="18"/>
                <w:szCs w:val="18"/>
              </w:rPr>
              <w:t xml:space="preserve"> (but high consequence)</w:t>
            </w:r>
          </w:p>
        </w:tc>
        <w:tc>
          <w:tcPr>
            <w:tcW w:w="2070" w:type="dxa"/>
            <w:hideMark/>
          </w:tcPr>
          <w:p w:rsidR="00F439E3" w:rsidRPr="00F439E3" w:rsidRDefault="00F439E3" w:rsidP="00C6532D">
            <w:pP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F439E3">
              <w:rPr>
                <w:rFonts w:ascii="Arial" w:hAnsi="Arial" w:cs="Arial"/>
                <w:sz w:val="18"/>
                <w:szCs w:val="18"/>
              </w:rPr>
              <w:t>Acute smothering of coral and seagrass, fish kills, beach closures, tourism disruption, residual hydrocarbons in sediments</w:t>
            </w:r>
          </w:p>
        </w:tc>
        <w:tc>
          <w:tcPr>
            <w:tcW w:w="1317" w:type="dxa"/>
            <w:hideMark/>
          </w:tcPr>
          <w:p w:rsidR="00F439E3" w:rsidRPr="00F439E3" w:rsidRDefault="00F439E3" w:rsidP="00C6532D">
            <w:pP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F439E3">
              <w:rPr>
                <w:rFonts w:ascii="Arial" w:hAnsi="Arial" w:cs="Arial"/>
                <w:sz w:val="18"/>
                <w:szCs w:val="18"/>
              </w:rPr>
              <w:t>Port-adjacent waters, shipping lanes near Sihanoukville, Prek Treng coastline</w:t>
            </w:r>
          </w:p>
        </w:tc>
        <w:tc>
          <w:tcPr>
            <w:tcW w:w="0" w:type="auto"/>
            <w:hideMark/>
          </w:tcPr>
          <w:p w:rsidR="00F439E3" w:rsidRPr="00F439E3" w:rsidRDefault="00F439E3" w:rsidP="00C6532D">
            <w:pP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F439E3">
              <w:rPr>
                <w:rStyle w:val="Strong"/>
                <w:rFonts w:ascii="Arial" w:hAnsi="Arial" w:cs="Arial"/>
                <w:sz w:val="18"/>
                <w:szCs w:val="18"/>
              </w:rPr>
              <w:t>High</w:t>
            </w:r>
            <w:r w:rsidRPr="00F439E3">
              <w:rPr>
                <w:rFonts w:ascii="Arial" w:hAnsi="Arial" w:cs="Arial"/>
                <w:sz w:val="18"/>
                <w:szCs w:val="18"/>
              </w:rPr>
              <w:t xml:space="preserve"> – strong currents can move slicks across borders within days</w:t>
            </w:r>
          </w:p>
        </w:tc>
      </w:tr>
      <w:tr w:rsidR="00F439E3" w:rsidRPr="00F439E3" w:rsidTr="001E2162">
        <w:tc>
          <w:tcPr>
            <w:cnfStyle w:val="001000000000" w:firstRow="0" w:lastRow="0" w:firstColumn="1" w:lastColumn="0" w:oddVBand="0" w:evenVBand="0" w:oddHBand="0" w:evenHBand="0" w:firstRowFirstColumn="0" w:firstRowLastColumn="0" w:lastRowFirstColumn="0" w:lastRowLastColumn="0"/>
            <w:tcW w:w="1838" w:type="dxa"/>
            <w:hideMark/>
          </w:tcPr>
          <w:p w:rsidR="00F439E3" w:rsidRPr="00F439E3" w:rsidRDefault="00F439E3" w:rsidP="00C6532D">
            <w:pPr>
              <w:rPr>
                <w:rFonts w:ascii="Arial" w:hAnsi="Arial" w:cs="Arial"/>
                <w:sz w:val="18"/>
                <w:szCs w:val="18"/>
              </w:rPr>
            </w:pPr>
            <w:r w:rsidRPr="00F439E3">
              <w:rPr>
                <w:rFonts w:ascii="Arial" w:hAnsi="Arial" w:cs="Arial"/>
                <w:sz w:val="18"/>
                <w:szCs w:val="18"/>
              </w:rPr>
              <w:t>Hazardous waste mismanagement</w:t>
            </w:r>
          </w:p>
        </w:tc>
        <w:tc>
          <w:tcPr>
            <w:tcW w:w="934" w:type="dxa"/>
            <w:hideMark/>
          </w:tcPr>
          <w:p w:rsidR="00F439E3" w:rsidRPr="00F439E3" w:rsidRDefault="00F439E3" w:rsidP="00C6532D">
            <w:pP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F439E3">
              <w:rPr>
                <w:rFonts w:ascii="Arial" w:hAnsi="Arial" w:cs="Arial"/>
                <w:sz w:val="18"/>
                <w:szCs w:val="18"/>
              </w:rPr>
              <w:t>Poorly tracked industrial, medical and hazardous wastes; limited treatment capacity</w:t>
            </w:r>
          </w:p>
        </w:tc>
        <w:tc>
          <w:tcPr>
            <w:tcW w:w="1336" w:type="dxa"/>
            <w:hideMark/>
          </w:tcPr>
          <w:p w:rsidR="00F439E3" w:rsidRPr="00F439E3" w:rsidRDefault="00F439E3" w:rsidP="00C6532D">
            <w:pP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F439E3">
              <w:rPr>
                <w:rStyle w:val="Strong"/>
                <w:rFonts w:ascii="Arial" w:hAnsi="Arial" w:cs="Arial"/>
                <w:sz w:val="18"/>
                <w:szCs w:val="18"/>
              </w:rPr>
              <w:t>Moderate</w:t>
            </w:r>
          </w:p>
        </w:tc>
        <w:tc>
          <w:tcPr>
            <w:tcW w:w="2070" w:type="dxa"/>
            <w:hideMark/>
          </w:tcPr>
          <w:p w:rsidR="00F439E3" w:rsidRPr="00F439E3" w:rsidRDefault="00F439E3" w:rsidP="00C6532D">
            <w:pP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F439E3">
              <w:rPr>
                <w:rFonts w:ascii="Arial" w:hAnsi="Arial" w:cs="Arial"/>
                <w:sz w:val="18"/>
                <w:szCs w:val="18"/>
              </w:rPr>
              <w:t>Soil and groundwater contamination, toxic residues entering rivers/estuaries, long-term human-health risks</w:t>
            </w:r>
          </w:p>
        </w:tc>
        <w:tc>
          <w:tcPr>
            <w:tcW w:w="1317" w:type="dxa"/>
            <w:hideMark/>
          </w:tcPr>
          <w:p w:rsidR="00F439E3" w:rsidRPr="00F439E3" w:rsidRDefault="00F439E3" w:rsidP="00C6532D">
            <w:pP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F439E3">
              <w:rPr>
                <w:rFonts w:ascii="Arial" w:hAnsi="Arial" w:cs="Arial"/>
                <w:sz w:val="18"/>
                <w:szCs w:val="18"/>
              </w:rPr>
              <w:t>Industrial corridors, urban disposal sites, facilities lacking secure treatment</w:t>
            </w:r>
          </w:p>
        </w:tc>
        <w:tc>
          <w:tcPr>
            <w:tcW w:w="0" w:type="auto"/>
            <w:hideMark/>
          </w:tcPr>
          <w:p w:rsidR="00F439E3" w:rsidRPr="00F439E3" w:rsidRDefault="00F439E3" w:rsidP="00C6532D">
            <w:pP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F439E3">
              <w:rPr>
                <w:rStyle w:val="Strong"/>
                <w:rFonts w:ascii="Arial" w:hAnsi="Arial" w:cs="Arial"/>
                <w:sz w:val="18"/>
                <w:szCs w:val="18"/>
              </w:rPr>
              <w:t>Moderate</w:t>
            </w:r>
            <w:r w:rsidRPr="00F439E3">
              <w:rPr>
                <w:rFonts w:ascii="Arial" w:hAnsi="Arial" w:cs="Arial"/>
                <w:sz w:val="18"/>
                <w:szCs w:val="18"/>
              </w:rPr>
              <w:t xml:space="preserve"> – mainly via Mekong–Bassac and coastal runoff pathways</w:t>
            </w:r>
          </w:p>
        </w:tc>
      </w:tr>
    </w:tbl>
    <w:p w:rsidR="00F439E3" w:rsidRPr="00F439E3" w:rsidRDefault="00F439E3" w:rsidP="00F439E3">
      <w:pPr>
        <w:pStyle w:val="NormalWeb"/>
        <w:adjustRightInd w:val="0"/>
        <w:snapToGrid w:val="0"/>
        <w:spacing w:before="240" w:beforeAutospacing="0" w:after="240" w:afterAutospacing="0"/>
        <w:jc w:val="both"/>
        <w:rPr>
          <w:rFonts w:ascii="Arial" w:hAnsi="Arial" w:cs="Arial"/>
          <w:i/>
          <w:iCs/>
          <w:sz w:val="21"/>
          <w:szCs w:val="21"/>
        </w:rPr>
      </w:pPr>
    </w:p>
    <w:sectPr w:rsidR="00F439E3" w:rsidRPr="00F439E3" w:rsidSect="00AE2C90">
      <w:footerReference w:type="default" r:id="rId32"/>
      <w:pgSz w:w="11900" w:h="16840"/>
      <w:pgMar w:top="1440" w:right="1440" w:bottom="1440" w:left="1440" w:header="720" w:footer="1134"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C51EBC" w:rsidRDefault="00C51EBC" w:rsidP="00AE2C90">
      <w:r>
        <w:separator/>
      </w:r>
    </w:p>
  </w:endnote>
  <w:endnote w:type="continuationSeparator" w:id="0">
    <w:p w:rsidR="00C51EBC" w:rsidRDefault="00C51EBC" w:rsidP="00AE2C9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Helvetica">
    <w:panose1 w:val="00000000000000000000"/>
    <w:charset w:val="00"/>
    <w:family w:val="auto"/>
    <w:pitch w:val="variable"/>
    <w:sig w:usb0="E00002FF" w:usb1="5000785B" w:usb2="00000000" w:usb3="00000000" w:csb0="0000019F" w:csb1="00000000"/>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Pr>
      <w:id w:val="1875121486"/>
      <w:docPartObj>
        <w:docPartGallery w:val="Page Numbers (Bottom of Page)"/>
        <w:docPartUnique/>
      </w:docPartObj>
    </w:sdtPr>
    <w:sdtContent>
      <w:p w:rsidR="00AE2C90" w:rsidRDefault="00AE2C90" w:rsidP="00AD39FE">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rsidR="00AE2C90" w:rsidRDefault="00AE2C90" w:rsidP="00AE2C90">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AE2C90" w:rsidRDefault="00AE2C90" w:rsidP="00AE2C90">
    <w:pPr>
      <w:pStyle w:val="Footer"/>
      <w:ind w:right="360"/>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Fonts w:ascii="Arial" w:hAnsi="Arial" w:cs="Arial"/>
        <w:sz w:val="22"/>
        <w:szCs w:val="22"/>
      </w:rPr>
      <w:id w:val="-142663797"/>
      <w:docPartObj>
        <w:docPartGallery w:val="Page Numbers (Bottom of Page)"/>
        <w:docPartUnique/>
      </w:docPartObj>
    </w:sdtPr>
    <w:sdtContent>
      <w:p w:rsidR="00AE2C90" w:rsidRPr="00C766A1" w:rsidRDefault="00AE2C90" w:rsidP="00AD39FE">
        <w:pPr>
          <w:pStyle w:val="Footer"/>
          <w:framePr w:wrap="none" w:vAnchor="text" w:hAnchor="margin" w:xAlign="right" w:y="1"/>
          <w:rPr>
            <w:rStyle w:val="PageNumber"/>
            <w:rFonts w:ascii="Arial" w:hAnsi="Arial" w:cs="Arial"/>
            <w:sz w:val="22"/>
            <w:szCs w:val="22"/>
          </w:rPr>
        </w:pPr>
        <w:r w:rsidRPr="00C766A1">
          <w:rPr>
            <w:rStyle w:val="PageNumber"/>
            <w:rFonts w:ascii="Arial" w:hAnsi="Arial" w:cs="Arial"/>
            <w:sz w:val="22"/>
            <w:szCs w:val="22"/>
          </w:rPr>
          <w:fldChar w:fldCharType="begin"/>
        </w:r>
        <w:r w:rsidRPr="00C766A1">
          <w:rPr>
            <w:rStyle w:val="PageNumber"/>
            <w:rFonts w:ascii="Arial" w:hAnsi="Arial" w:cs="Arial"/>
            <w:sz w:val="22"/>
            <w:szCs w:val="22"/>
          </w:rPr>
          <w:instrText xml:space="preserve"> PAGE </w:instrText>
        </w:r>
        <w:r w:rsidRPr="00C766A1">
          <w:rPr>
            <w:rStyle w:val="PageNumber"/>
            <w:rFonts w:ascii="Arial" w:hAnsi="Arial" w:cs="Arial"/>
            <w:sz w:val="22"/>
            <w:szCs w:val="22"/>
          </w:rPr>
          <w:fldChar w:fldCharType="separate"/>
        </w:r>
        <w:r w:rsidRPr="00C766A1">
          <w:rPr>
            <w:rStyle w:val="PageNumber"/>
            <w:rFonts w:ascii="Arial" w:hAnsi="Arial" w:cs="Arial"/>
            <w:noProof/>
            <w:sz w:val="22"/>
            <w:szCs w:val="22"/>
          </w:rPr>
          <w:t>20</w:t>
        </w:r>
        <w:r w:rsidRPr="00C766A1">
          <w:rPr>
            <w:rStyle w:val="PageNumber"/>
            <w:rFonts w:ascii="Arial" w:hAnsi="Arial" w:cs="Arial"/>
            <w:sz w:val="22"/>
            <w:szCs w:val="22"/>
          </w:rPr>
          <w:fldChar w:fldCharType="end"/>
        </w:r>
      </w:p>
    </w:sdtContent>
  </w:sdt>
  <w:p w:rsidR="00AE2C90" w:rsidRDefault="00AE2C90" w:rsidP="00AE2C90">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C51EBC" w:rsidRDefault="00C51EBC" w:rsidP="00AE2C90">
      <w:r>
        <w:separator/>
      </w:r>
    </w:p>
  </w:footnote>
  <w:footnote w:type="continuationSeparator" w:id="0">
    <w:p w:rsidR="00C51EBC" w:rsidRDefault="00C51EBC" w:rsidP="00AE2C90">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315AAF"/>
    <w:multiLevelType w:val="multilevel"/>
    <w:tmpl w:val="5E84487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32F6056"/>
    <w:multiLevelType w:val="multilevel"/>
    <w:tmpl w:val="07C8E8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5CB6163"/>
    <w:multiLevelType w:val="hybridMultilevel"/>
    <w:tmpl w:val="F48AF2B2"/>
    <w:lvl w:ilvl="0" w:tplc="CCFC9028">
      <w:start w:val="3"/>
      <w:numFmt w:val="decimal"/>
      <w:lvlText w:val="%1)"/>
      <w:lvlJc w:val="left"/>
      <w:pPr>
        <w:ind w:left="720" w:hanging="360"/>
      </w:pPr>
      <w:rPr>
        <w:rFonts w:eastAsiaTheme="majorEastAsia" w:hint="default"/>
        <w:i w:val="0"/>
        <w:color w:val="2F5496" w:themeColor="accent1" w:themeShade="BF"/>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65B6E97"/>
    <w:multiLevelType w:val="multilevel"/>
    <w:tmpl w:val="E6945E5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088D316B"/>
    <w:multiLevelType w:val="multilevel"/>
    <w:tmpl w:val="401A8CE4"/>
    <w:lvl w:ilvl="0">
      <w:start w:val="3"/>
      <w:numFmt w:val="decimal"/>
      <w:lvlText w:val="%1"/>
      <w:lvlJc w:val="left"/>
      <w:pPr>
        <w:ind w:left="680" w:hanging="680"/>
      </w:pPr>
      <w:rPr>
        <w:rFonts w:hint="default"/>
      </w:rPr>
    </w:lvl>
    <w:lvl w:ilvl="1">
      <w:start w:val="3"/>
      <w:numFmt w:val="decimal"/>
      <w:lvlText w:val="%1.%2"/>
      <w:lvlJc w:val="left"/>
      <w:pPr>
        <w:ind w:left="680" w:hanging="680"/>
      </w:pPr>
      <w:rPr>
        <w:rFonts w:hint="default"/>
      </w:rPr>
    </w:lvl>
    <w:lvl w:ilvl="2">
      <w:start w:val="3"/>
      <w:numFmt w:val="decimal"/>
      <w:lvlText w:val="%1.%2.%3"/>
      <w:lvlJc w:val="left"/>
      <w:pPr>
        <w:ind w:left="720" w:hanging="720"/>
      </w:pPr>
      <w:rPr>
        <w:rFonts w:hint="default"/>
      </w:rPr>
    </w:lvl>
    <w:lvl w:ilvl="3">
      <w:start w:val="2"/>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 w15:restartNumberingAfterBreak="0">
    <w:nsid w:val="089F7113"/>
    <w:multiLevelType w:val="multilevel"/>
    <w:tmpl w:val="5060F43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0C373EF8"/>
    <w:multiLevelType w:val="multilevel"/>
    <w:tmpl w:val="E8C67C8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0C9D10DE"/>
    <w:multiLevelType w:val="multilevel"/>
    <w:tmpl w:val="7EECBEF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165F6E2C"/>
    <w:multiLevelType w:val="multilevel"/>
    <w:tmpl w:val="9852F93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1937038B"/>
    <w:multiLevelType w:val="multilevel"/>
    <w:tmpl w:val="3AF63A8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20772BC2"/>
    <w:multiLevelType w:val="multilevel"/>
    <w:tmpl w:val="DEB42D5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250162CD"/>
    <w:multiLevelType w:val="multilevel"/>
    <w:tmpl w:val="4064C34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28A33633"/>
    <w:multiLevelType w:val="multilevel"/>
    <w:tmpl w:val="FBE880E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2BF91811"/>
    <w:multiLevelType w:val="multilevel"/>
    <w:tmpl w:val="14F8EFE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2CDB112C"/>
    <w:multiLevelType w:val="multilevel"/>
    <w:tmpl w:val="158851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311D6E0B"/>
    <w:multiLevelType w:val="multilevel"/>
    <w:tmpl w:val="CC986C2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34B245ED"/>
    <w:multiLevelType w:val="multilevel"/>
    <w:tmpl w:val="C4FED40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36D66E4B"/>
    <w:multiLevelType w:val="hybridMultilevel"/>
    <w:tmpl w:val="1D0A5224"/>
    <w:lvl w:ilvl="0" w:tplc="47DE689C">
      <w:start w:val="1"/>
      <w:numFmt w:val="bullet"/>
      <w:lvlText w:val=""/>
      <w:lvlJc w:val="left"/>
      <w:pPr>
        <w:ind w:left="720" w:hanging="360"/>
      </w:pPr>
      <w:rPr>
        <w:rFonts w:ascii="Symbol" w:hAnsi="Symbol" w:hint="default"/>
        <w:sz w:val="18"/>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38EE443D"/>
    <w:multiLevelType w:val="multilevel"/>
    <w:tmpl w:val="32E6245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3A6D2D70"/>
    <w:multiLevelType w:val="multilevel"/>
    <w:tmpl w:val="C1D0CFD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3C2C1DFF"/>
    <w:multiLevelType w:val="multilevel"/>
    <w:tmpl w:val="D08C0EA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3E9063E0"/>
    <w:multiLevelType w:val="multilevel"/>
    <w:tmpl w:val="B40A51C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3EDB0EB0"/>
    <w:multiLevelType w:val="multilevel"/>
    <w:tmpl w:val="769E0E8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4025192D"/>
    <w:multiLevelType w:val="multilevel"/>
    <w:tmpl w:val="28A2345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49B15F4C"/>
    <w:multiLevelType w:val="multilevel"/>
    <w:tmpl w:val="3CEA3A0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4B566E15"/>
    <w:multiLevelType w:val="multilevel"/>
    <w:tmpl w:val="CCD81306"/>
    <w:lvl w:ilvl="0">
      <w:start w:val="3"/>
      <w:numFmt w:val="decimal"/>
      <w:lvlText w:val="%1"/>
      <w:lvlJc w:val="left"/>
      <w:pPr>
        <w:ind w:left="540" w:hanging="540"/>
      </w:pPr>
      <w:rPr>
        <w:rFonts w:hint="default"/>
      </w:rPr>
    </w:lvl>
    <w:lvl w:ilvl="1">
      <w:start w:val="4"/>
      <w:numFmt w:val="decimal"/>
      <w:lvlText w:val="%1.%2"/>
      <w:lvlJc w:val="left"/>
      <w:pPr>
        <w:ind w:left="540" w:hanging="540"/>
      </w:pPr>
      <w:rPr>
        <w:rFonts w:hint="default"/>
      </w:rPr>
    </w:lvl>
    <w:lvl w:ilvl="2">
      <w:start w:val="7"/>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6" w15:restartNumberingAfterBreak="0">
    <w:nsid w:val="4BE25BE7"/>
    <w:multiLevelType w:val="multilevel"/>
    <w:tmpl w:val="05D2817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4D5463DE"/>
    <w:multiLevelType w:val="multilevel"/>
    <w:tmpl w:val="EC90F50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15:restartNumberingAfterBreak="0">
    <w:nsid w:val="4D5F7957"/>
    <w:multiLevelType w:val="multilevel"/>
    <w:tmpl w:val="84182CB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15:restartNumberingAfterBreak="0">
    <w:nsid w:val="4DB30E51"/>
    <w:multiLevelType w:val="multilevel"/>
    <w:tmpl w:val="BE706EC6"/>
    <w:lvl w:ilvl="0">
      <w:start w:val="3"/>
      <w:numFmt w:val="decimal"/>
      <w:lvlText w:val="%1"/>
      <w:lvlJc w:val="left"/>
      <w:pPr>
        <w:ind w:left="540" w:hanging="540"/>
      </w:pPr>
      <w:rPr>
        <w:rFonts w:hint="default"/>
      </w:rPr>
    </w:lvl>
    <w:lvl w:ilvl="1">
      <w:start w:val="4"/>
      <w:numFmt w:val="decimal"/>
      <w:lvlText w:val="%1.%2"/>
      <w:lvlJc w:val="left"/>
      <w:pPr>
        <w:ind w:left="540" w:hanging="54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0" w15:restartNumberingAfterBreak="0">
    <w:nsid w:val="556B2A5F"/>
    <w:multiLevelType w:val="hybridMultilevel"/>
    <w:tmpl w:val="79460B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15:restartNumberingAfterBreak="0">
    <w:nsid w:val="5AEA7F45"/>
    <w:multiLevelType w:val="multilevel"/>
    <w:tmpl w:val="80BE7C3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 w15:restartNumberingAfterBreak="0">
    <w:nsid w:val="5C2963AD"/>
    <w:multiLevelType w:val="multilevel"/>
    <w:tmpl w:val="84DC55C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3" w15:restartNumberingAfterBreak="0">
    <w:nsid w:val="60EE5A47"/>
    <w:multiLevelType w:val="multilevel"/>
    <w:tmpl w:val="618820A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4" w15:restartNumberingAfterBreak="0">
    <w:nsid w:val="64D32CC7"/>
    <w:multiLevelType w:val="multilevel"/>
    <w:tmpl w:val="0826127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5" w15:restartNumberingAfterBreak="0">
    <w:nsid w:val="651F24C0"/>
    <w:multiLevelType w:val="multilevel"/>
    <w:tmpl w:val="0C2A11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6" w15:restartNumberingAfterBreak="0">
    <w:nsid w:val="65E13F32"/>
    <w:multiLevelType w:val="multilevel"/>
    <w:tmpl w:val="31305CC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7" w15:restartNumberingAfterBreak="0">
    <w:nsid w:val="67771327"/>
    <w:multiLevelType w:val="hybridMultilevel"/>
    <w:tmpl w:val="DBFAC844"/>
    <w:lvl w:ilvl="0" w:tplc="04090001">
      <w:numFmt w:val="bullet"/>
      <w:lvlText w:val=""/>
      <w:lvlJc w:val="left"/>
      <w:pPr>
        <w:ind w:left="720" w:hanging="360"/>
      </w:pPr>
      <w:rPr>
        <w:rFonts w:ascii="Symbol" w:eastAsia="Times New Roman" w:hAnsi="Symbol" w:cs="Times New Roman"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15:restartNumberingAfterBreak="0">
    <w:nsid w:val="678535D8"/>
    <w:multiLevelType w:val="multilevel"/>
    <w:tmpl w:val="A9361B3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9" w15:restartNumberingAfterBreak="0">
    <w:nsid w:val="6A1E4973"/>
    <w:multiLevelType w:val="multilevel"/>
    <w:tmpl w:val="1226A65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0" w15:restartNumberingAfterBreak="0">
    <w:nsid w:val="6AB5695C"/>
    <w:multiLevelType w:val="multilevel"/>
    <w:tmpl w:val="858A75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1" w15:restartNumberingAfterBreak="0">
    <w:nsid w:val="705E0662"/>
    <w:multiLevelType w:val="multilevel"/>
    <w:tmpl w:val="21340A5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2" w15:restartNumberingAfterBreak="0">
    <w:nsid w:val="766E212E"/>
    <w:multiLevelType w:val="multilevel"/>
    <w:tmpl w:val="4592542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3" w15:restartNumberingAfterBreak="0">
    <w:nsid w:val="76D77329"/>
    <w:multiLevelType w:val="multilevel"/>
    <w:tmpl w:val="9D10D84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4" w15:restartNumberingAfterBreak="0">
    <w:nsid w:val="79C01ADE"/>
    <w:multiLevelType w:val="multilevel"/>
    <w:tmpl w:val="FF9810C8"/>
    <w:lvl w:ilvl="0">
      <w:start w:val="3"/>
      <w:numFmt w:val="decimal"/>
      <w:lvlText w:val="%1"/>
      <w:lvlJc w:val="left"/>
      <w:pPr>
        <w:ind w:left="540" w:hanging="540"/>
      </w:pPr>
      <w:rPr>
        <w:rFonts w:hint="default"/>
      </w:rPr>
    </w:lvl>
    <w:lvl w:ilvl="1">
      <w:start w:val="4"/>
      <w:numFmt w:val="decimal"/>
      <w:lvlText w:val="%1.%2"/>
      <w:lvlJc w:val="left"/>
      <w:pPr>
        <w:ind w:left="540" w:hanging="540"/>
      </w:pPr>
      <w:rPr>
        <w:rFonts w:hint="default"/>
      </w:rPr>
    </w:lvl>
    <w:lvl w:ilvl="2">
      <w:start w:val="6"/>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num w:numId="1" w16cid:durableId="1330793032">
    <w:abstractNumId w:val="9"/>
  </w:num>
  <w:num w:numId="2" w16cid:durableId="633219303">
    <w:abstractNumId w:val="32"/>
  </w:num>
  <w:num w:numId="3" w16cid:durableId="796489243">
    <w:abstractNumId w:val="14"/>
  </w:num>
  <w:num w:numId="4" w16cid:durableId="1810978411">
    <w:abstractNumId w:val="31"/>
  </w:num>
  <w:num w:numId="5" w16cid:durableId="909657345">
    <w:abstractNumId w:val="4"/>
  </w:num>
  <w:num w:numId="6" w16cid:durableId="453597432">
    <w:abstractNumId w:val="6"/>
  </w:num>
  <w:num w:numId="7" w16cid:durableId="1767339990">
    <w:abstractNumId w:val="22"/>
  </w:num>
  <w:num w:numId="8" w16cid:durableId="581648149">
    <w:abstractNumId w:val="7"/>
  </w:num>
  <w:num w:numId="9" w16cid:durableId="841316629">
    <w:abstractNumId w:val="20"/>
  </w:num>
  <w:num w:numId="10" w16cid:durableId="878203462">
    <w:abstractNumId w:val="39"/>
  </w:num>
  <w:num w:numId="11" w16cid:durableId="807010556">
    <w:abstractNumId w:val="10"/>
  </w:num>
  <w:num w:numId="12" w16cid:durableId="1944799017">
    <w:abstractNumId w:val="43"/>
  </w:num>
  <w:num w:numId="13" w16cid:durableId="901990346">
    <w:abstractNumId w:val="11"/>
  </w:num>
  <w:num w:numId="14" w16cid:durableId="1397243089">
    <w:abstractNumId w:val="27"/>
  </w:num>
  <w:num w:numId="15" w16cid:durableId="1662732834">
    <w:abstractNumId w:val="35"/>
  </w:num>
  <w:num w:numId="16" w16cid:durableId="1635137659">
    <w:abstractNumId w:val="15"/>
  </w:num>
  <w:num w:numId="17" w16cid:durableId="724450234">
    <w:abstractNumId w:val="5"/>
  </w:num>
  <w:num w:numId="18" w16cid:durableId="210309595">
    <w:abstractNumId w:val="3"/>
  </w:num>
  <w:num w:numId="19" w16cid:durableId="1545678872">
    <w:abstractNumId w:val="38"/>
  </w:num>
  <w:num w:numId="20" w16cid:durableId="350225097">
    <w:abstractNumId w:val="28"/>
  </w:num>
  <w:num w:numId="21" w16cid:durableId="391197088">
    <w:abstractNumId w:val="8"/>
  </w:num>
  <w:num w:numId="22" w16cid:durableId="1728917198">
    <w:abstractNumId w:val="1"/>
  </w:num>
  <w:num w:numId="23" w16cid:durableId="219559927">
    <w:abstractNumId w:val="24"/>
  </w:num>
  <w:num w:numId="24" w16cid:durableId="319773970">
    <w:abstractNumId w:val="21"/>
  </w:num>
  <w:num w:numId="25" w16cid:durableId="1416511694">
    <w:abstractNumId w:val="16"/>
  </w:num>
  <w:num w:numId="26" w16cid:durableId="928271987">
    <w:abstractNumId w:val="40"/>
  </w:num>
  <w:num w:numId="27" w16cid:durableId="612135588">
    <w:abstractNumId w:val="34"/>
  </w:num>
  <w:num w:numId="28" w16cid:durableId="1964341157">
    <w:abstractNumId w:val="33"/>
  </w:num>
  <w:num w:numId="29" w16cid:durableId="257912575">
    <w:abstractNumId w:val="23"/>
  </w:num>
  <w:num w:numId="30" w16cid:durableId="1626890193">
    <w:abstractNumId w:val="42"/>
  </w:num>
  <w:num w:numId="31" w16cid:durableId="283266848">
    <w:abstractNumId w:val="12"/>
  </w:num>
  <w:num w:numId="32" w16cid:durableId="1320114072">
    <w:abstractNumId w:val="26"/>
  </w:num>
  <w:num w:numId="33" w16cid:durableId="1795253602">
    <w:abstractNumId w:val="13"/>
  </w:num>
  <w:num w:numId="34" w16cid:durableId="94981885">
    <w:abstractNumId w:val="19"/>
  </w:num>
  <w:num w:numId="35" w16cid:durableId="1418557533">
    <w:abstractNumId w:val="0"/>
  </w:num>
  <w:num w:numId="36" w16cid:durableId="1659185053">
    <w:abstractNumId w:val="37"/>
  </w:num>
  <w:num w:numId="37" w16cid:durableId="1419129884">
    <w:abstractNumId w:val="2"/>
  </w:num>
  <w:num w:numId="38" w16cid:durableId="1902280438">
    <w:abstractNumId w:val="36"/>
  </w:num>
  <w:num w:numId="39" w16cid:durableId="723138825">
    <w:abstractNumId w:val="18"/>
  </w:num>
  <w:num w:numId="40" w16cid:durableId="2059236295">
    <w:abstractNumId w:val="41"/>
  </w:num>
  <w:num w:numId="41" w16cid:durableId="2032221102">
    <w:abstractNumId w:val="17"/>
  </w:num>
  <w:num w:numId="42" w16cid:durableId="1239169933">
    <w:abstractNumId w:val="30"/>
  </w:num>
  <w:num w:numId="43" w16cid:durableId="222718668">
    <w:abstractNumId w:val="44"/>
  </w:num>
  <w:num w:numId="44" w16cid:durableId="141964792">
    <w:abstractNumId w:val="29"/>
  </w:num>
  <w:num w:numId="45" w16cid:durableId="290675525">
    <w:abstractNumId w:val="25"/>
  </w:num>
  <w:numIdMacAtCleanup w:val="3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9"/>
  <w:defaultTabStop w:val="720"/>
  <w:drawingGridHorizontalSpacing w:val="120"/>
  <w:displayHorizontalDrawingGridEvery w:val="2"/>
  <w:displayVerticalDrawingGridEvery w:val="2"/>
  <w:characterSpacingControl w:val="doNotCompress"/>
  <w:savePreviewPicture/>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464F6"/>
    <w:rsid w:val="00025362"/>
    <w:rsid w:val="00027876"/>
    <w:rsid w:val="00033A5B"/>
    <w:rsid w:val="00035E8B"/>
    <w:rsid w:val="0004207C"/>
    <w:rsid w:val="00067F30"/>
    <w:rsid w:val="0008303A"/>
    <w:rsid w:val="000B7B9A"/>
    <w:rsid w:val="000C2E26"/>
    <w:rsid w:val="000D63B8"/>
    <w:rsid w:val="000F5008"/>
    <w:rsid w:val="00102B9C"/>
    <w:rsid w:val="00130FEA"/>
    <w:rsid w:val="001413D2"/>
    <w:rsid w:val="00146746"/>
    <w:rsid w:val="001635A6"/>
    <w:rsid w:val="001804DB"/>
    <w:rsid w:val="00185157"/>
    <w:rsid w:val="001A2593"/>
    <w:rsid w:val="001B2018"/>
    <w:rsid w:val="001B2549"/>
    <w:rsid w:val="001D0099"/>
    <w:rsid w:val="001D36CB"/>
    <w:rsid w:val="001D4219"/>
    <w:rsid w:val="001D4B8D"/>
    <w:rsid w:val="001D4F20"/>
    <w:rsid w:val="001E2162"/>
    <w:rsid w:val="001F57DB"/>
    <w:rsid w:val="002133A7"/>
    <w:rsid w:val="0021379C"/>
    <w:rsid w:val="0023243F"/>
    <w:rsid w:val="002457E2"/>
    <w:rsid w:val="00262A4F"/>
    <w:rsid w:val="002712B4"/>
    <w:rsid w:val="00274763"/>
    <w:rsid w:val="00290C22"/>
    <w:rsid w:val="00290EB4"/>
    <w:rsid w:val="002947AD"/>
    <w:rsid w:val="002B627D"/>
    <w:rsid w:val="002D79A4"/>
    <w:rsid w:val="002E2486"/>
    <w:rsid w:val="002F35DF"/>
    <w:rsid w:val="00302B88"/>
    <w:rsid w:val="00306F63"/>
    <w:rsid w:val="003454E2"/>
    <w:rsid w:val="003518C4"/>
    <w:rsid w:val="003608B0"/>
    <w:rsid w:val="00370CC1"/>
    <w:rsid w:val="00381804"/>
    <w:rsid w:val="00391BA7"/>
    <w:rsid w:val="003B0C6D"/>
    <w:rsid w:val="003C2F7A"/>
    <w:rsid w:val="003D13CD"/>
    <w:rsid w:val="003F112C"/>
    <w:rsid w:val="00412E43"/>
    <w:rsid w:val="0041430D"/>
    <w:rsid w:val="00421EB3"/>
    <w:rsid w:val="0042339F"/>
    <w:rsid w:val="004444F0"/>
    <w:rsid w:val="0045219E"/>
    <w:rsid w:val="00452A45"/>
    <w:rsid w:val="004620AB"/>
    <w:rsid w:val="00475C4A"/>
    <w:rsid w:val="00482E22"/>
    <w:rsid w:val="0048321F"/>
    <w:rsid w:val="0048456E"/>
    <w:rsid w:val="00493D09"/>
    <w:rsid w:val="004B5264"/>
    <w:rsid w:val="004F2C2C"/>
    <w:rsid w:val="004F3ACA"/>
    <w:rsid w:val="004F5811"/>
    <w:rsid w:val="004F75B1"/>
    <w:rsid w:val="00571D57"/>
    <w:rsid w:val="00581D7A"/>
    <w:rsid w:val="0058400F"/>
    <w:rsid w:val="005B3D05"/>
    <w:rsid w:val="005C5DB7"/>
    <w:rsid w:val="00603807"/>
    <w:rsid w:val="006104D4"/>
    <w:rsid w:val="00623399"/>
    <w:rsid w:val="006766C7"/>
    <w:rsid w:val="006832DA"/>
    <w:rsid w:val="006C2D54"/>
    <w:rsid w:val="006D1C44"/>
    <w:rsid w:val="006E2B55"/>
    <w:rsid w:val="006E75D0"/>
    <w:rsid w:val="00705653"/>
    <w:rsid w:val="00740143"/>
    <w:rsid w:val="007520E0"/>
    <w:rsid w:val="00785C0E"/>
    <w:rsid w:val="007A4544"/>
    <w:rsid w:val="007B1033"/>
    <w:rsid w:val="007D07DA"/>
    <w:rsid w:val="007D4877"/>
    <w:rsid w:val="007E128D"/>
    <w:rsid w:val="0082177A"/>
    <w:rsid w:val="00830E01"/>
    <w:rsid w:val="0083598E"/>
    <w:rsid w:val="0086056C"/>
    <w:rsid w:val="008636B1"/>
    <w:rsid w:val="00887B49"/>
    <w:rsid w:val="008931B0"/>
    <w:rsid w:val="008A6E92"/>
    <w:rsid w:val="008C220C"/>
    <w:rsid w:val="008C5C82"/>
    <w:rsid w:val="008D441E"/>
    <w:rsid w:val="008F2864"/>
    <w:rsid w:val="009019E9"/>
    <w:rsid w:val="00907495"/>
    <w:rsid w:val="00907C6B"/>
    <w:rsid w:val="00922862"/>
    <w:rsid w:val="00932A6D"/>
    <w:rsid w:val="00956510"/>
    <w:rsid w:val="00971F8D"/>
    <w:rsid w:val="00990FC8"/>
    <w:rsid w:val="00994361"/>
    <w:rsid w:val="009D44E9"/>
    <w:rsid w:val="009E6B4E"/>
    <w:rsid w:val="009F750B"/>
    <w:rsid w:val="00A026AC"/>
    <w:rsid w:val="00A07876"/>
    <w:rsid w:val="00A25477"/>
    <w:rsid w:val="00A464F6"/>
    <w:rsid w:val="00A56655"/>
    <w:rsid w:val="00A71061"/>
    <w:rsid w:val="00A730BF"/>
    <w:rsid w:val="00A74302"/>
    <w:rsid w:val="00A925C8"/>
    <w:rsid w:val="00AA5700"/>
    <w:rsid w:val="00AB2A61"/>
    <w:rsid w:val="00AB2ACF"/>
    <w:rsid w:val="00AC1240"/>
    <w:rsid w:val="00AD33CA"/>
    <w:rsid w:val="00AE2C90"/>
    <w:rsid w:val="00AE5345"/>
    <w:rsid w:val="00AF63BB"/>
    <w:rsid w:val="00B0338F"/>
    <w:rsid w:val="00B15FE7"/>
    <w:rsid w:val="00B356F2"/>
    <w:rsid w:val="00B76C4C"/>
    <w:rsid w:val="00B77C8F"/>
    <w:rsid w:val="00B94585"/>
    <w:rsid w:val="00BE3759"/>
    <w:rsid w:val="00BE3A16"/>
    <w:rsid w:val="00BE664B"/>
    <w:rsid w:val="00BF0F75"/>
    <w:rsid w:val="00BF61B4"/>
    <w:rsid w:val="00BF79A7"/>
    <w:rsid w:val="00C01FBE"/>
    <w:rsid w:val="00C15CD0"/>
    <w:rsid w:val="00C1682C"/>
    <w:rsid w:val="00C51EBC"/>
    <w:rsid w:val="00C61DC2"/>
    <w:rsid w:val="00C766A1"/>
    <w:rsid w:val="00CB1931"/>
    <w:rsid w:val="00CC21FC"/>
    <w:rsid w:val="00CC4671"/>
    <w:rsid w:val="00CD2D9E"/>
    <w:rsid w:val="00CD48E0"/>
    <w:rsid w:val="00CD5518"/>
    <w:rsid w:val="00CF1B3C"/>
    <w:rsid w:val="00D14DBA"/>
    <w:rsid w:val="00D27362"/>
    <w:rsid w:val="00D30055"/>
    <w:rsid w:val="00D35426"/>
    <w:rsid w:val="00D62A02"/>
    <w:rsid w:val="00D75DFF"/>
    <w:rsid w:val="00D81553"/>
    <w:rsid w:val="00DC7400"/>
    <w:rsid w:val="00DF2422"/>
    <w:rsid w:val="00E03835"/>
    <w:rsid w:val="00E06BEC"/>
    <w:rsid w:val="00E22658"/>
    <w:rsid w:val="00E34412"/>
    <w:rsid w:val="00E54221"/>
    <w:rsid w:val="00E55815"/>
    <w:rsid w:val="00E57E03"/>
    <w:rsid w:val="00E81AEE"/>
    <w:rsid w:val="00EA0880"/>
    <w:rsid w:val="00EA2566"/>
    <w:rsid w:val="00ED31DA"/>
    <w:rsid w:val="00EF4FCE"/>
    <w:rsid w:val="00EF55CD"/>
    <w:rsid w:val="00F0100C"/>
    <w:rsid w:val="00F02A0D"/>
    <w:rsid w:val="00F439E3"/>
    <w:rsid w:val="00F63707"/>
    <w:rsid w:val="00F67343"/>
    <w:rsid w:val="00F73D02"/>
    <w:rsid w:val="00F93F20"/>
    <w:rsid w:val="00F953C9"/>
    <w:rsid w:val="00FC238F"/>
    <w:rsid w:val="00FD5BA1"/>
    <w:rsid w:val="00FD6207"/>
    <w:rsid w:val="00FE2697"/>
    <w:rsid w:val="00FF235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D269CB7"/>
  <w14:defaultImageDpi w14:val="32767"/>
  <w15:chartTrackingRefBased/>
  <w15:docId w15:val="{04DB00E2-AB55-214F-BDA0-161B56E641E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4"/>
        <w:szCs w:val="24"/>
        <w:lang w:val="en-US"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qFormat/>
    <w:rsid w:val="00A56655"/>
    <w:rPr>
      <w:rFonts w:ascii="Times New Roman" w:eastAsia="Times New Roman" w:hAnsi="Times New Roman" w:cs="Times New Roman"/>
      <w:kern w:val="0"/>
      <w14:ligatures w14:val="none"/>
    </w:rPr>
  </w:style>
  <w:style w:type="paragraph" w:styleId="Heading1">
    <w:name w:val="heading 1"/>
    <w:basedOn w:val="Normal"/>
    <w:next w:val="Normal"/>
    <w:link w:val="Heading1Char"/>
    <w:autoRedefine/>
    <w:uiPriority w:val="9"/>
    <w:qFormat/>
    <w:rsid w:val="0021379C"/>
    <w:pPr>
      <w:keepNext/>
      <w:outlineLvl w:val="0"/>
    </w:pPr>
    <w:rPr>
      <w:rFonts w:ascii="Arial" w:eastAsiaTheme="majorEastAsia" w:hAnsi="Arial" w:cs="Arial"/>
      <w:b/>
      <w:bCs/>
      <w:sz w:val="32"/>
      <w:szCs w:val="32"/>
    </w:rPr>
  </w:style>
  <w:style w:type="paragraph" w:styleId="Heading2">
    <w:name w:val="heading 2"/>
    <w:basedOn w:val="Normal"/>
    <w:link w:val="Heading2Char"/>
    <w:uiPriority w:val="9"/>
    <w:qFormat/>
    <w:rsid w:val="00A464F6"/>
    <w:pPr>
      <w:spacing w:before="100" w:beforeAutospacing="1" w:after="100" w:afterAutospacing="1"/>
      <w:outlineLvl w:val="1"/>
    </w:pPr>
    <w:rPr>
      <w:b/>
      <w:bCs/>
      <w:sz w:val="36"/>
      <w:szCs w:val="36"/>
    </w:rPr>
  </w:style>
  <w:style w:type="paragraph" w:styleId="Heading3">
    <w:name w:val="heading 3"/>
    <w:basedOn w:val="Normal"/>
    <w:next w:val="Normal"/>
    <w:link w:val="Heading3Char"/>
    <w:uiPriority w:val="9"/>
    <w:unhideWhenUsed/>
    <w:qFormat/>
    <w:rsid w:val="00A464F6"/>
    <w:pPr>
      <w:keepNext/>
      <w:keepLines/>
      <w:spacing w:before="40"/>
      <w:outlineLvl w:val="2"/>
    </w:pPr>
    <w:rPr>
      <w:rFonts w:asciiTheme="majorHAnsi" w:eastAsiaTheme="majorEastAsia" w:hAnsiTheme="majorHAnsi" w:cstheme="majorBidi"/>
      <w:color w:val="1F3763" w:themeColor="accent1" w:themeShade="7F"/>
    </w:rPr>
  </w:style>
  <w:style w:type="paragraph" w:styleId="Heading4">
    <w:name w:val="heading 4"/>
    <w:basedOn w:val="Normal"/>
    <w:next w:val="Normal"/>
    <w:link w:val="Heading4Char"/>
    <w:uiPriority w:val="9"/>
    <w:unhideWhenUsed/>
    <w:qFormat/>
    <w:rsid w:val="00A464F6"/>
    <w:pPr>
      <w:keepNext/>
      <w:keepLines/>
      <w:spacing w:before="40"/>
      <w:outlineLvl w:val="3"/>
    </w:pPr>
    <w:rPr>
      <w:rFonts w:asciiTheme="majorHAnsi" w:eastAsiaTheme="majorEastAsia" w:hAnsiTheme="majorHAnsi" w:cstheme="majorBidi"/>
      <w:i/>
      <w:iCs/>
      <w:color w:val="2F5496" w:themeColor="accent1" w:themeShade="BF"/>
    </w:rPr>
  </w:style>
  <w:style w:type="paragraph" w:styleId="Heading5">
    <w:name w:val="heading 5"/>
    <w:basedOn w:val="Normal"/>
    <w:next w:val="Normal"/>
    <w:link w:val="Heading5Char"/>
    <w:uiPriority w:val="9"/>
    <w:unhideWhenUsed/>
    <w:qFormat/>
    <w:rsid w:val="00A464F6"/>
    <w:pPr>
      <w:keepNext/>
      <w:keepLines/>
      <w:spacing w:before="40"/>
      <w:outlineLvl w:val="4"/>
    </w:pPr>
    <w:rPr>
      <w:rFonts w:asciiTheme="majorHAnsi" w:eastAsiaTheme="majorEastAsia" w:hAnsiTheme="majorHAnsi" w:cstheme="majorBidi"/>
      <w:color w:val="2F5496"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21379C"/>
    <w:rPr>
      <w:rFonts w:ascii="Arial" w:eastAsiaTheme="majorEastAsia" w:hAnsi="Arial" w:cs="Arial"/>
      <w:b/>
      <w:bCs/>
      <w:kern w:val="0"/>
      <w:sz w:val="32"/>
      <w:szCs w:val="32"/>
      <w14:ligatures w14:val="none"/>
    </w:rPr>
  </w:style>
  <w:style w:type="character" w:customStyle="1" w:styleId="Heading2Char">
    <w:name w:val="Heading 2 Char"/>
    <w:basedOn w:val="DefaultParagraphFont"/>
    <w:link w:val="Heading2"/>
    <w:uiPriority w:val="9"/>
    <w:rsid w:val="00A464F6"/>
    <w:rPr>
      <w:rFonts w:ascii="Times New Roman" w:eastAsia="Times New Roman" w:hAnsi="Times New Roman" w:cs="Times New Roman"/>
      <w:b/>
      <w:bCs/>
      <w:kern w:val="0"/>
      <w:sz w:val="36"/>
      <w:szCs w:val="36"/>
      <w14:ligatures w14:val="none"/>
    </w:rPr>
  </w:style>
  <w:style w:type="character" w:styleId="Strong">
    <w:name w:val="Strong"/>
    <w:basedOn w:val="DefaultParagraphFont"/>
    <w:uiPriority w:val="22"/>
    <w:qFormat/>
    <w:rsid w:val="00A464F6"/>
    <w:rPr>
      <w:b/>
      <w:bCs/>
    </w:rPr>
  </w:style>
  <w:style w:type="character" w:customStyle="1" w:styleId="Heading3Char">
    <w:name w:val="Heading 3 Char"/>
    <w:basedOn w:val="DefaultParagraphFont"/>
    <w:link w:val="Heading3"/>
    <w:uiPriority w:val="9"/>
    <w:rsid w:val="00A464F6"/>
    <w:rPr>
      <w:rFonts w:asciiTheme="majorHAnsi" w:eastAsiaTheme="majorEastAsia" w:hAnsiTheme="majorHAnsi" w:cstheme="majorBidi"/>
      <w:color w:val="1F3763" w:themeColor="accent1" w:themeShade="7F"/>
    </w:rPr>
  </w:style>
  <w:style w:type="character" w:customStyle="1" w:styleId="Heading4Char">
    <w:name w:val="Heading 4 Char"/>
    <w:basedOn w:val="DefaultParagraphFont"/>
    <w:link w:val="Heading4"/>
    <w:uiPriority w:val="9"/>
    <w:rsid w:val="00A464F6"/>
    <w:rPr>
      <w:rFonts w:asciiTheme="majorHAnsi" w:eastAsiaTheme="majorEastAsia" w:hAnsiTheme="majorHAnsi" w:cstheme="majorBidi"/>
      <w:i/>
      <w:iCs/>
      <w:color w:val="2F5496" w:themeColor="accent1" w:themeShade="BF"/>
    </w:rPr>
  </w:style>
  <w:style w:type="character" w:customStyle="1" w:styleId="Heading5Char">
    <w:name w:val="Heading 5 Char"/>
    <w:basedOn w:val="DefaultParagraphFont"/>
    <w:link w:val="Heading5"/>
    <w:uiPriority w:val="9"/>
    <w:rsid w:val="00A464F6"/>
    <w:rPr>
      <w:rFonts w:asciiTheme="majorHAnsi" w:eastAsiaTheme="majorEastAsia" w:hAnsiTheme="majorHAnsi" w:cstheme="majorBidi"/>
      <w:color w:val="2F5496" w:themeColor="accent1" w:themeShade="BF"/>
    </w:rPr>
  </w:style>
  <w:style w:type="paragraph" w:styleId="NormalWeb">
    <w:name w:val="Normal (Web)"/>
    <w:basedOn w:val="Normal"/>
    <w:uiPriority w:val="99"/>
    <w:unhideWhenUsed/>
    <w:rsid w:val="00A464F6"/>
    <w:pPr>
      <w:spacing w:before="100" w:beforeAutospacing="1" w:after="100" w:afterAutospacing="1"/>
    </w:pPr>
  </w:style>
  <w:style w:type="character" w:styleId="Emphasis">
    <w:name w:val="Emphasis"/>
    <w:basedOn w:val="DefaultParagraphFont"/>
    <w:uiPriority w:val="20"/>
    <w:qFormat/>
    <w:rsid w:val="00A464F6"/>
    <w:rPr>
      <w:i/>
      <w:iCs/>
    </w:rPr>
  </w:style>
  <w:style w:type="table" w:styleId="GridTable4-Accent5">
    <w:name w:val="Grid Table 4 Accent 5"/>
    <w:basedOn w:val="TableNormal"/>
    <w:uiPriority w:val="49"/>
    <w:rsid w:val="00C01FBE"/>
    <w:tblPr>
      <w:tblStyleRowBandSize w:val="1"/>
      <w:tblStyleColBandSize w:val="1"/>
      <w:tblBorders>
        <w:top w:val="single" w:sz="4" w:space="0" w:color="9CC2E5" w:themeColor="accent5" w:themeTint="99"/>
        <w:left w:val="single" w:sz="4" w:space="0" w:color="9CC2E5" w:themeColor="accent5" w:themeTint="99"/>
        <w:bottom w:val="single" w:sz="4" w:space="0" w:color="9CC2E5" w:themeColor="accent5" w:themeTint="99"/>
        <w:right w:val="single" w:sz="4" w:space="0" w:color="9CC2E5" w:themeColor="accent5" w:themeTint="99"/>
        <w:insideH w:val="single" w:sz="4" w:space="0" w:color="9CC2E5" w:themeColor="accent5" w:themeTint="99"/>
        <w:insideV w:val="single" w:sz="4" w:space="0" w:color="9CC2E5" w:themeColor="accent5" w:themeTint="99"/>
      </w:tblBorders>
    </w:tblPr>
    <w:tblStylePr w:type="firstRow">
      <w:rPr>
        <w:b/>
        <w:bCs/>
        <w:color w:val="FFFFFF" w:themeColor="background1"/>
      </w:rPr>
      <w:tblPr/>
      <w:tcPr>
        <w:tcBorders>
          <w:top w:val="single" w:sz="4" w:space="0" w:color="5B9BD5" w:themeColor="accent5"/>
          <w:left w:val="single" w:sz="4" w:space="0" w:color="5B9BD5" w:themeColor="accent5"/>
          <w:bottom w:val="single" w:sz="4" w:space="0" w:color="5B9BD5" w:themeColor="accent5"/>
          <w:right w:val="single" w:sz="4" w:space="0" w:color="5B9BD5" w:themeColor="accent5"/>
          <w:insideH w:val="nil"/>
          <w:insideV w:val="nil"/>
        </w:tcBorders>
        <w:shd w:val="clear" w:color="auto" w:fill="5B9BD5" w:themeFill="accent5"/>
      </w:tcPr>
    </w:tblStylePr>
    <w:tblStylePr w:type="lastRow">
      <w:rPr>
        <w:b/>
        <w:bCs/>
      </w:rPr>
      <w:tblPr/>
      <w:tcPr>
        <w:tcBorders>
          <w:top w:val="double" w:sz="4" w:space="0" w:color="5B9BD5" w:themeColor="accent5"/>
        </w:tcBorders>
      </w:tcPr>
    </w:tblStylePr>
    <w:tblStylePr w:type="firstCol">
      <w:rPr>
        <w:b/>
        <w:bCs/>
      </w:rPr>
    </w:tblStylePr>
    <w:tblStylePr w:type="lastCol">
      <w:rPr>
        <w:b/>
        <w:bCs/>
      </w:rPr>
    </w:tblStylePr>
    <w:tblStylePr w:type="band1Vert">
      <w:tblPr/>
      <w:tcPr>
        <w:shd w:val="clear" w:color="auto" w:fill="DEEAF6" w:themeFill="accent5" w:themeFillTint="33"/>
      </w:tcPr>
    </w:tblStylePr>
    <w:tblStylePr w:type="band1Horz">
      <w:tblPr/>
      <w:tcPr>
        <w:shd w:val="clear" w:color="auto" w:fill="DEEAF6" w:themeFill="accent5" w:themeFillTint="33"/>
      </w:tcPr>
    </w:tblStylePr>
  </w:style>
  <w:style w:type="table" w:styleId="TableGrid">
    <w:name w:val="Table Grid"/>
    <w:basedOn w:val="TableNormal"/>
    <w:uiPriority w:val="39"/>
    <w:rsid w:val="007E128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Caption">
    <w:name w:val="caption"/>
    <w:basedOn w:val="Normal"/>
    <w:next w:val="Normal"/>
    <w:uiPriority w:val="35"/>
    <w:unhideWhenUsed/>
    <w:qFormat/>
    <w:rsid w:val="005C5DB7"/>
    <w:pPr>
      <w:spacing w:after="200"/>
    </w:pPr>
    <w:rPr>
      <w:rFonts w:asciiTheme="minorHAnsi" w:eastAsiaTheme="minorHAnsi" w:hAnsiTheme="minorHAnsi" w:cstheme="minorBidi"/>
      <w:i/>
      <w:iCs/>
      <w:color w:val="44546A" w:themeColor="text2"/>
      <w:kern w:val="2"/>
      <w:sz w:val="18"/>
      <w:szCs w:val="18"/>
      <w14:ligatures w14:val="standardContextual"/>
    </w:rPr>
  </w:style>
  <w:style w:type="paragraph" w:styleId="Header">
    <w:name w:val="header"/>
    <w:basedOn w:val="Normal"/>
    <w:link w:val="HeaderChar"/>
    <w:uiPriority w:val="99"/>
    <w:unhideWhenUsed/>
    <w:rsid w:val="00AE2C90"/>
    <w:pPr>
      <w:tabs>
        <w:tab w:val="center" w:pos="4680"/>
        <w:tab w:val="right" w:pos="9360"/>
      </w:tabs>
    </w:pPr>
  </w:style>
  <w:style w:type="character" w:customStyle="1" w:styleId="HeaderChar">
    <w:name w:val="Header Char"/>
    <w:basedOn w:val="DefaultParagraphFont"/>
    <w:link w:val="Header"/>
    <w:uiPriority w:val="99"/>
    <w:rsid w:val="00AE2C90"/>
    <w:rPr>
      <w:rFonts w:ascii="Times New Roman" w:eastAsia="Times New Roman" w:hAnsi="Times New Roman" w:cs="Times New Roman"/>
      <w:kern w:val="0"/>
      <w14:ligatures w14:val="none"/>
    </w:rPr>
  </w:style>
  <w:style w:type="paragraph" w:styleId="Footer">
    <w:name w:val="footer"/>
    <w:basedOn w:val="Normal"/>
    <w:link w:val="FooterChar"/>
    <w:uiPriority w:val="99"/>
    <w:unhideWhenUsed/>
    <w:rsid w:val="00AE2C90"/>
    <w:pPr>
      <w:tabs>
        <w:tab w:val="center" w:pos="4680"/>
        <w:tab w:val="right" w:pos="9360"/>
      </w:tabs>
    </w:pPr>
  </w:style>
  <w:style w:type="character" w:customStyle="1" w:styleId="FooterChar">
    <w:name w:val="Footer Char"/>
    <w:basedOn w:val="DefaultParagraphFont"/>
    <w:link w:val="Footer"/>
    <w:uiPriority w:val="99"/>
    <w:rsid w:val="00AE2C90"/>
    <w:rPr>
      <w:rFonts w:ascii="Times New Roman" w:eastAsia="Times New Roman" w:hAnsi="Times New Roman" w:cs="Times New Roman"/>
      <w:kern w:val="0"/>
      <w14:ligatures w14:val="none"/>
    </w:rPr>
  </w:style>
  <w:style w:type="character" w:styleId="PageNumber">
    <w:name w:val="page number"/>
    <w:basedOn w:val="DefaultParagraphFont"/>
    <w:uiPriority w:val="99"/>
    <w:semiHidden/>
    <w:unhideWhenUsed/>
    <w:rsid w:val="00AE2C90"/>
  </w:style>
  <w:style w:type="character" w:styleId="Hyperlink">
    <w:name w:val="Hyperlink"/>
    <w:basedOn w:val="DefaultParagraphFont"/>
    <w:uiPriority w:val="99"/>
    <w:unhideWhenUsed/>
    <w:rsid w:val="00830E01"/>
    <w:rPr>
      <w:color w:val="0000FF"/>
      <w:u w:val="single"/>
    </w:rPr>
  </w:style>
  <w:style w:type="character" w:customStyle="1" w:styleId="ms-1">
    <w:name w:val="ms-1"/>
    <w:basedOn w:val="DefaultParagraphFont"/>
    <w:rsid w:val="00830E01"/>
  </w:style>
  <w:style w:type="character" w:customStyle="1" w:styleId="max-w-15ch">
    <w:name w:val="max-w-[15ch]"/>
    <w:basedOn w:val="DefaultParagraphFont"/>
    <w:rsid w:val="00830E01"/>
  </w:style>
  <w:style w:type="character" w:styleId="FollowedHyperlink">
    <w:name w:val="FollowedHyperlink"/>
    <w:basedOn w:val="DefaultParagraphFont"/>
    <w:uiPriority w:val="99"/>
    <w:semiHidden/>
    <w:unhideWhenUsed/>
    <w:rsid w:val="00830E01"/>
    <w:rPr>
      <w:color w:val="954F72" w:themeColor="followedHyperlink"/>
      <w:u w:val="single"/>
    </w:rPr>
  </w:style>
  <w:style w:type="character" w:styleId="UnresolvedMention">
    <w:name w:val="Unresolved Mention"/>
    <w:basedOn w:val="DefaultParagraphFont"/>
    <w:uiPriority w:val="99"/>
    <w:rsid w:val="00581D7A"/>
    <w:rPr>
      <w:color w:val="605E5C"/>
      <w:shd w:val="clear" w:color="auto" w:fill="E1DFDD"/>
    </w:rPr>
  </w:style>
  <w:style w:type="paragraph" w:styleId="ListParagraph">
    <w:name w:val="List Paragraph"/>
    <w:basedOn w:val="Normal"/>
    <w:uiPriority w:val="34"/>
    <w:qFormat/>
    <w:rsid w:val="00C15CD0"/>
    <w:pPr>
      <w:ind w:left="720"/>
      <w:contextualSpacing/>
    </w:pPr>
  </w:style>
  <w:style w:type="paragraph" w:styleId="TOCHeading">
    <w:name w:val="TOC Heading"/>
    <w:basedOn w:val="Heading1"/>
    <w:next w:val="Normal"/>
    <w:uiPriority w:val="39"/>
    <w:unhideWhenUsed/>
    <w:qFormat/>
    <w:rsid w:val="00AB2ACF"/>
    <w:pPr>
      <w:keepLines/>
      <w:spacing w:before="480" w:line="276" w:lineRule="auto"/>
      <w:outlineLvl w:val="9"/>
    </w:pPr>
    <w:rPr>
      <w:rFonts w:asciiTheme="majorHAnsi" w:hAnsiTheme="majorHAnsi" w:cstheme="majorBidi"/>
      <w:color w:val="2F5496" w:themeColor="accent1" w:themeShade="BF"/>
    </w:rPr>
  </w:style>
  <w:style w:type="paragraph" w:styleId="TOC1">
    <w:name w:val="toc 1"/>
    <w:basedOn w:val="Normal"/>
    <w:next w:val="Normal"/>
    <w:autoRedefine/>
    <w:uiPriority w:val="39"/>
    <w:unhideWhenUsed/>
    <w:rsid w:val="00C766A1"/>
    <w:pPr>
      <w:tabs>
        <w:tab w:val="right" w:leader="dot" w:pos="9010"/>
      </w:tabs>
      <w:spacing w:before="120"/>
    </w:pPr>
    <w:rPr>
      <w:rFonts w:asciiTheme="minorHAnsi" w:hAnsiTheme="minorHAnsi" w:cstheme="minorHAnsi"/>
      <w:b/>
      <w:bCs/>
      <w:i/>
      <w:iCs/>
    </w:rPr>
  </w:style>
  <w:style w:type="paragraph" w:styleId="TOC2">
    <w:name w:val="toc 2"/>
    <w:basedOn w:val="Normal"/>
    <w:next w:val="Normal"/>
    <w:autoRedefine/>
    <w:uiPriority w:val="39"/>
    <w:unhideWhenUsed/>
    <w:rsid w:val="00AB2ACF"/>
    <w:pPr>
      <w:spacing w:before="120"/>
      <w:ind w:left="240"/>
    </w:pPr>
    <w:rPr>
      <w:rFonts w:asciiTheme="minorHAnsi" w:hAnsiTheme="minorHAnsi" w:cstheme="minorHAnsi"/>
      <w:b/>
      <w:bCs/>
      <w:sz w:val="22"/>
      <w:szCs w:val="22"/>
    </w:rPr>
  </w:style>
  <w:style w:type="paragraph" w:styleId="TOC3">
    <w:name w:val="toc 3"/>
    <w:basedOn w:val="Normal"/>
    <w:next w:val="Normal"/>
    <w:autoRedefine/>
    <w:uiPriority w:val="39"/>
    <w:unhideWhenUsed/>
    <w:rsid w:val="00AB2ACF"/>
    <w:pPr>
      <w:ind w:left="480"/>
    </w:pPr>
    <w:rPr>
      <w:rFonts w:asciiTheme="minorHAnsi" w:hAnsiTheme="minorHAnsi" w:cstheme="minorHAnsi"/>
      <w:sz w:val="20"/>
      <w:szCs w:val="20"/>
    </w:rPr>
  </w:style>
  <w:style w:type="paragraph" w:styleId="TOC4">
    <w:name w:val="toc 4"/>
    <w:basedOn w:val="Normal"/>
    <w:next w:val="Normal"/>
    <w:autoRedefine/>
    <w:uiPriority w:val="39"/>
    <w:semiHidden/>
    <w:unhideWhenUsed/>
    <w:rsid w:val="00AB2ACF"/>
    <w:pPr>
      <w:ind w:left="720"/>
    </w:pPr>
    <w:rPr>
      <w:rFonts w:asciiTheme="minorHAnsi" w:hAnsiTheme="minorHAnsi" w:cstheme="minorHAnsi"/>
      <w:sz w:val="20"/>
      <w:szCs w:val="20"/>
    </w:rPr>
  </w:style>
  <w:style w:type="paragraph" w:styleId="TOC5">
    <w:name w:val="toc 5"/>
    <w:basedOn w:val="Normal"/>
    <w:next w:val="Normal"/>
    <w:autoRedefine/>
    <w:uiPriority w:val="39"/>
    <w:semiHidden/>
    <w:unhideWhenUsed/>
    <w:rsid w:val="00AB2ACF"/>
    <w:pPr>
      <w:ind w:left="960"/>
    </w:pPr>
    <w:rPr>
      <w:rFonts w:asciiTheme="minorHAnsi" w:hAnsiTheme="minorHAnsi" w:cstheme="minorHAnsi"/>
      <w:sz w:val="20"/>
      <w:szCs w:val="20"/>
    </w:rPr>
  </w:style>
  <w:style w:type="paragraph" w:styleId="TOC6">
    <w:name w:val="toc 6"/>
    <w:basedOn w:val="Normal"/>
    <w:next w:val="Normal"/>
    <w:autoRedefine/>
    <w:uiPriority w:val="39"/>
    <w:semiHidden/>
    <w:unhideWhenUsed/>
    <w:rsid w:val="00AB2ACF"/>
    <w:pPr>
      <w:ind w:left="1200"/>
    </w:pPr>
    <w:rPr>
      <w:rFonts w:asciiTheme="minorHAnsi" w:hAnsiTheme="minorHAnsi" w:cstheme="minorHAnsi"/>
      <w:sz w:val="20"/>
      <w:szCs w:val="20"/>
    </w:rPr>
  </w:style>
  <w:style w:type="paragraph" w:styleId="TOC7">
    <w:name w:val="toc 7"/>
    <w:basedOn w:val="Normal"/>
    <w:next w:val="Normal"/>
    <w:autoRedefine/>
    <w:uiPriority w:val="39"/>
    <w:semiHidden/>
    <w:unhideWhenUsed/>
    <w:rsid w:val="00AB2ACF"/>
    <w:pPr>
      <w:ind w:left="1440"/>
    </w:pPr>
    <w:rPr>
      <w:rFonts w:asciiTheme="minorHAnsi" w:hAnsiTheme="minorHAnsi" w:cstheme="minorHAnsi"/>
      <w:sz w:val="20"/>
      <w:szCs w:val="20"/>
    </w:rPr>
  </w:style>
  <w:style w:type="paragraph" w:styleId="TOC8">
    <w:name w:val="toc 8"/>
    <w:basedOn w:val="Normal"/>
    <w:next w:val="Normal"/>
    <w:autoRedefine/>
    <w:uiPriority w:val="39"/>
    <w:semiHidden/>
    <w:unhideWhenUsed/>
    <w:rsid w:val="00AB2ACF"/>
    <w:pPr>
      <w:ind w:left="1680"/>
    </w:pPr>
    <w:rPr>
      <w:rFonts w:asciiTheme="minorHAnsi" w:hAnsiTheme="minorHAnsi" w:cstheme="minorHAnsi"/>
      <w:sz w:val="20"/>
      <w:szCs w:val="20"/>
    </w:rPr>
  </w:style>
  <w:style w:type="paragraph" w:styleId="TOC9">
    <w:name w:val="toc 9"/>
    <w:basedOn w:val="Normal"/>
    <w:next w:val="Normal"/>
    <w:autoRedefine/>
    <w:uiPriority w:val="39"/>
    <w:semiHidden/>
    <w:unhideWhenUsed/>
    <w:rsid w:val="00AB2ACF"/>
    <w:pPr>
      <w:ind w:left="1920"/>
    </w:pPr>
    <w:rPr>
      <w:rFonts w:asciiTheme="minorHAnsi" w:hAnsiTheme="minorHAnsi" w:cstheme="minorHAnsi"/>
      <w:sz w:val="20"/>
      <w:szCs w:val="20"/>
    </w:rPr>
  </w:style>
  <w:style w:type="paragraph" w:styleId="TableofFigures">
    <w:name w:val="table of figures"/>
    <w:basedOn w:val="Normal"/>
    <w:next w:val="Normal"/>
    <w:uiPriority w:val="99"/>
    <w:unhideWhenUsed/>
    <w:rsid w:val="003454E2"/>
  </w:style>
  <w:style w:type="character" w:customStyle="1" w:styleId="relative">
    <w:name w:val="relative"/>
    <w:basedOn w:val="DefaultParagraphFont"/>
    <w:rsid w:val="00DF2422"/>
  </w:style>
  <w:style w:type="paragraph" w:customStyle="1" w:styleId="not-prose">
    <w:name w:val="not-prose"/>
    <w:basedOn w:val="Normal"/>
    <w:rsid w:val="00DF2422"/>
    <w:pPr>
      <w:spacing w:before="100" w:beforeAutospacing="1" w:after="100" w:afterAutospacing="1"/>
    </w:pPr>
  </w:style>
  <w:style w:type="paragraph" w:customStyle="1" w:styleId="p1">
    <w:name w:val="p1"/>
    <w:basedOn w:val="Normal"/>
    <w:rsid w:val="00412E43"/>
    <w:rPr>
      <w:rFonts w:ascii="Helvetica" w:hAnsi="Helvetica"/>
      <w:color w:val="000000"/>
      <w:sz w:val="11"/>
      <w:szCs w:val="1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7218865">
      <w:bodyDiv w:val="1"/>
      <w:marLeft w:val="0"/>
      <w:marRight w:val="0"/>
      <w:marTop w:val="0"/>
      <w:marBottom w:val="0"/>
      <w:divBdr>
        <w:top w:val="none" w:sz="0" w:space="0" w:color="auto"/>
        <w:left w:val="none" w:sz="0" w:space="0" w:color="auto"/>
        <w:bottom w:val="none" w:sz="0" w:space="0" w:color="auto"/>
        <w:right w:val="none" w:sz="0" w:space="0" w:color="auto"/>
      </w:divBdr>
    </w:div>
    <w:div w:id="32313274">
      <w:bodyDiv w:val="1"/>
      <w:marLeft w:val="0"/>
      <w:marRight w:val="0"/>
      <w:marTop w:val="0"/>
      <w:marBottom w:val="0"/>
      <w:divBdr>
        <w:top w:val="none" w:sz="0" w:space="0" w:color="auto"/>
        <w:left w:val="none" w:sz="0" w:space="0" w:color="auto"/>
        <w:bottom w:val="none" w:sz="0" w:space="0" w:color="auto"/>
        <w:right w:val="none" w:sz="0" w:space="0" w:color="auto"/>
      </w:divBdr>
    </w:div>
    <w:div w:id="64424143">
      <w:bodyDiv w:val="1"/>
      <w:marLeft w:val="0"/>
      <w:marRight w:val="0"/>
      <w:marTop w:val="0"/>
      <w:marBottom w:val="0"/>
      <w:divBdr>
        <w:top w:val="none" w:sz="0" w:space="0" w:color="auto"/>
        <w:left w:val="none" w:sz="0" w:space="0" w:color="auto"/>
        <w:bottom w:val="none" w:sz="0" w:space="0" w:color="auto"/>
        <w:right w:val="none" w:sz="0" w:space="0" w:color="auto"/>
      </w:divBdr>
    </w:div>
    <w:div w:id="86393311">
      <w:bodyDiv w:val="1"/>
      <w:marLeft w:val="0"/>
      <w:marRight w:val="0"/>
      <w:marTop w:val="0"/>
      <w:marBottom w:val="0"/>
      <w:divBdr>
        <w:top w:val="none" w:sz="0" w:space="0" w:color="auto"/>
        <w:left w:val="none" w:sz="0" w:space="0" w:color="auto"/>
        <w:bottom w:val="none" w:sz="0" w:space="0" w:color="auto"/>
        <w:right w:val="none" w:sz="0" w:space="0" w:color="auto"/>
      </w:divBdr>
    </w:div>
    <w:div w:id="112792622">
      <w:bodyDiv w:val="1"/>
      <w:marLeft w:val="0"/>
      <w:marRight w:val="0"/>
      <w:marTop w:val="0"/>
      <w:marBottom w:val="0"/>
      <w:divBdr>
        <w:top w:val="none" w:sz="0" w:space="0" w:color="auto"/>
        <w:left w:val="none" w:sz="0" w:space="0" w:color="auto"/>
        <w:bottom w:val="none" w:sz="0" w:space="0" w:color="auto"/>
        <w:right w:val="none" w:sz="0" w:space="0" w:color="auto"/>
      </w:divBdr>
    </w:div>
    <w:div w:id="160899020">
      <w:bodyDiv w:val="1"/>
      <w:marLeft w:val="0"/>
      <w:marRight w:val="0"/>
      <w:marTop w:val="0"/>
      <w:marBottom w:val="0"/>
      <w:divBdr>
        <w:top w:val="none" w:sz="0" w:space="0" w:color="auto"/>
        <w:left w:val="none" w:sz="0" w:space="0" w:color="auto"/>
        <w:bottom w:val="none" w:sz="0" w:space="0" w:color="auto"/>
        <w:right w:val="none" w:sz="0" w:space="0" w:color="auto"/>
      </w:divBdr>
    </w:div>
    <w:div w:id="171461000">
      <w:bodyDiv w:val="1"/>
      <w:marLeft w:val="0"/>
      <w:marRight w:val="0"/>
      <w:marTop w:val="0"/>
      <w:marBottom w:val="0"/>
      <w:divBdr>
        <w:top w:val="none" w:sz="0" w:space="0" w:color="auto"/>
        <w:left w:val="none" w:sz="0" w:space="0" w:color="auto"/>
        <w:bottom w:val="none" w:sz="0" w:space="0" w:color="auto"/>
        <w:right w:val="none" w:sz="0" w:space="0" w:color="auto"/>
      </w:divBdr>
    </w:div>
    <w:div w:id="174539466">
      <w:bodyDiv w:val="1"/>
      <w:marLeft w:val="0"/>
      <w:marRight w:val="0"/>
      <w:marTop w:val="0"/>
      <w:marBottom w:val="0"/>
      <w:divBdr>
        <w:top w:val="none" w:sz="0" w:space="0" w:color="auto"/>
        <w:left w:val="none" w:sz="0" w:space="0" w:color="auto"/>
        <w:bottom w:val="none" w:sz="0" w:space="0" w:color="auto"/>
        <w:right w:val="none" w:sz="0" w:space="0" w:color="auto"/>
      </w:divBdr>
    </w:div>
    <w:div w:id="228082356">
      <w:bodyDiv w:val="1"/>
      <w:marLeft w:val="0"/>
      <w:marRight w:val="0"/>
      <w:marTop w:val="0"/>
      <w:marBottom w:val="0"/>
      <w:divBdr>
        <w:top w:val="none" w:sz="0" w:space="0" w:color="auto"/>
        <w:left w:val="none" w:sz="0" w:space="0" w:color="auto"/>
        <w:bottom w:val="none" w:sz="0" w:space="0" w:color="auto"/>
        <w:right w:val="none" w:sz="0" w:space="0" w:color="auto"/>
      </w:divBdr>
    </w:div>
    <w:div w:id="279990341">
      <w:bodyDiv w:val="1"/>
      <w:marLeft w:val="0"/>
      <w:marRight w:val="0"/>
      <w:marTop w:val="0"/>
      <w:marBottom w:val="0"/>
      <w:divBdr>
        <w:top w:val="none" w:sz="0" w:space="0" w:color="auto"/>
        <w:left w:val="none" w:sz="0" w:space="0" w:color="auto"/>
        <w:bottom w:val="none" w:sz="0" w:space="0" w:color="auto"/>
        <w:right w:val="none" w:sz="0" w:space="0" w:color="auto"/>
      </w:divBdr>
    </w:div>
    <w:div w:id="285476963">
      <w:bodyDiv w:val="1"/>
      <w:marLeft w:val="0"/>
      <w:marRight w:val="0"/>
      <w:marTop w:val="0"/>
      <w:marBottom w:val="0"/>
      <w:divBdr>
        <w:top w:val="none" w:sz="0" w:space="0" w:color="auto"/>
        <w:left w:val="none" w:sz="0" w:space="0" w:color="auto"/>
        <w:bottom w:val="none" w:sz="0" w:space="0" w:color="auto"/>
        <w:right w:val="none" w:sz="0" w:space="0" w:color="auto"/>
      </w:divBdr>
    </w:div>
    <w:div w:id="397485542">
      <w:bodyDiv w:val="1"/>
      <w:marLeft w:val="0"/>
      <w:marRight w:val="0"/>
      <w:marTop w:val="0"/>
      <w:marBottom w:val="0"/>
      <w:divBdr>
        <w:top w:val="none" w:sz="0" w:space="0" w:color="auto"/>
        <w:left w:val="none" w:sz="0" w:space="0" w:color="auto"/>
        <w:bottom w:val="none" w:sz="0" w:space="0" w:color="auto"/>
        <w:right w:val="none" w:sz="0" w:space="0" w:color="auto"/>
      </w:divBdr>
    </w:div>
    <w:div w:id="448360476">
      <w:bodyDiv w:val="1"/>
      <w:marLeft w:val="0"/>
      <w:marRight w:val="0"/>
      <w:marTop w:val="0"/>
      <w:marBottom w:val="0"/>
      <w:divBdr>
        <w:top w:val="none" w:sz="0" w:space="0" w:color="auto"/>
        <w:left w:val="none" w:sz="0" w:space="0" w:color="auto"/>
        <w:bottom w:val="none" w:sz="0" w:space="0" w:color="auto"/>
        <w:right w:val="none" w:sz="0" w:space="0" w:color="auto"/>
      </w:divBdr>
    </w:div>
    <w:div w:id="470252168">
      <w:bodyDiv w:val="1"/>
      <w:marLeft w:val="0"/>
      <w:marRight w:val="0"/>
      <w:marTop w:val="0"/>
      <w:marBottom w:val="0"/>
      <w:divBdr>
        <w:top w:val="none" w:sz="0" w:space="0" w:color="auto"/>
        <w:left w:val="none" w:sz="0" w:space="0" w:color="auto"/>
        <w:bottom w:val="none" w:sz="0" w:space="0" w:color="auto"/>
        <w:right w:val="none" w:sz="0" w:space="0" w:color="auto"/>
      </w:divBdr>
    </w:div>
    <w:div w:id="488329447">
      <w:bodyDiv w:val="1"/>
      <w:marLeft w:val="0"/>
      <w:marRight w:val="0"/>
      <w:marTop w:val="0"/>
      <w:marBottom w:val="0"/>
      <w:divBdr>
        <w:top w:val="none" w:sz="0" w:space="0" w:color="auto"/>
        <w:left w:val="none" w:sz="0" w:space="0" w:color="auto"/>
        <w:bottom w:val="none" w:sz="0" w:space="0" w:color="auto"/>
        <w:right w:val="none" w:sz="0" w:space="0" w:color="auto"/>
      </w:divBdr>
    </w:div>
    <w:div w:id="560217476">
      <w:bodyDiv w:val="1"/>
      <w:marLeft w:val="0"/>
      <w:marRight w:val="0"/>
      <w:marTop w:val="0"/>
      <w:marBottom w:val="0"/>
      <w:divBdr>
        <w:top w:val="none" w:sz="0" w:space="0" w:color="auto"/>
        <w:left w:val="none" w:sz="0" w:space="0" w:color="auto"/>
        <w:bottom w:val="none" w:sz="0" w:space="0" w:color="auto"/>
        <w:right w:val="none" w:sz="0" w:space="0" w:color="auto"/>
      </w:divBdr>
    </w:div>
    <w:div w:id="591624235">
      <w:bodyDiv w:val="1"/>
      <w:marLeft w:val="0"/>
      <w:marRight w:val="0"/>
      <w:marTop w:val="0"/>
      <w:marBottom w:val="0"/>
      <w:divBdr>
        <w:top w:val="none" w:sz="0" w:space="0" w:color="auto"/>
        <w:left w:val="none" w:sz="0" w:space="0" w:color="auto"/>
        <w:bottom w:val="none" w:sz="0" w:space="0" w:color="auto"/>
        <w:right w:val="none" w:sz="0" w:space="0" w:color="auto"/>
      </w:divBdr>
    </w:div>
    <w:div w:id="619069217">
      <w:bodyDiv w:val="1"/>
      <w:marLeft w:val="0"/>
      <w:marRight w:val="0"/>
      <w:marTop w:val="0"/>
      <w:marBottom w:val="0"/>
      <w:divBdr>
        <w:top w:val="none" w:sz="0" w:space="0" w:color="auto"/>
        <w:left w:val="none" w:sz="0" w:space="0" w:color="auto"/>
        <w:bottom w:val="none" w:sz="0" w:space="0" w:color="auto"/>
        <w:right w:val="none" w:sz="0" w:space="0" w:color="auto"/>
      </w:divBdr>
    </w:div>
    <w:div w:id="649166579">
      <w:bodyDiv w:val="1"/>
      <w:marLeft w:val="0"/>
      <w:marRight w:val="0"/>
      <w:marTop w:val="0"/>
      <w:marBottom w:val="0"/>
      <w:divBdr>
        <w:top w:val="none" w:sz="0" w:space="0" w:color="auto"/>
        <w:left w:val="none" w:sz="0" w:space="0" w:color="auto"/>
        <w:bottom w:val="none" w:sz="0" w:space="0" w:color="auto"/>
        <w:right w:val="none" w:sz="0" w:space="0" w:color="auto"/>
      </w:divBdr>
    </w:div>
    <w:div w:id="712846841">
      <w:bodyDiv w:val="1"/>
      <w:marLeft w:val="0"/>
      <w:marRight w:val="0"/>
      <w:marTop w:val="0"/>
      <w:marBottom w:val="0"/>
      <w:divBdr>
        <w:top w:val="none" w:sz="0" w:space="0" w:color="auto"/>
        <w:left w:val="none" w:sz="0" w:space="0" w:color="auto"/>
        <w:bottom w:val="none" w:sz="0" w:space="0" w:color="auto"/>
        <w:right w:val="none" w:sz="0" w:space="0" w:color="auto"/>
      </w:divBdr>
    </w:div>
    <w:div w:id="722141986">
      <w:bodyDiv w:val="1"/>
      <w:marLeft w:val="0"/>
      <w:marRight w:val="0"/>
      <w:marTop w:val="0"/>
      <w:marBottom w:val="0"/>
      <w:divBdr>
        <w:top w:val="none" w:sz="0" w:space="0" w:color="auto"/>
        <w:left w:val="none" w:sz="0" w:space="0" w:color="auto"/>
        <w:bottom w:val="none" w:sz="0" w:space="0" w:color="auto"/>
        <w:right w:val="none" w:sz="0" w:space="0" w:color="auto"/>
      </w:divBdr>
    </w:div>
    <w:div w:id="742677592">
      <w:bodyDiv w:val="1"/>
      <w:marLeft w:val="0"/>
      <w:marRight w:val="0"/>
      <w:marTop w:val="0"/>
      <w:marBottom w:val="0"/>
      <w:divBdr>
        <w:top w:val="none" w:sz="0" w:space="0" w:color="auto"/>
        <w:left w:val="none" w:sz="0" w:space="0" w:color="auto"/>
        <w:bottom w:val="none" w:sz="0" w:space="0" w:color="auto"/>
        <w:right w:val="none" w:sz="0" w:space="0" w:color="auto"/>
      </w:divBdr>
    </w:div>
    <w:div w:id="790318317">
      <w:bodyDiv w:val="1"/>
      <w:marLeft w:val="0"/>
      <w:marRight w:val="0"/>
      <w:marTop w:val="0"/>
      <w:marBottom w:val="0"/>
      <w:divBdr>
        <w:top w:val="none" w:sz="0" w:space="0" w:color="auto"/>
        <w:left w:val="none" w:sz="0" w:space="0" w:color="auto"/>
        <w:bottom w:val="none" w:sz="0" w:space="0" w:color="auto"/>
        <w:right w:val="none" w:sz="0" w:space="0" w:color="auto"/>
      </w:divBdr>
    </w:div>
    <w:div w:id="868642053">
      <w:bodyDiv w:val="1"/>
      <w:marLeft w:val="0"/>
      <w:marRight w:val="0"/>
      <w:marTop w:val="0"/>
      <w:marBottom w:val="0"/>
      <w:divBdr>
        <w:top w:val="none" w:sz="0" w:space="0" w:color="auto"/>
        <w:left w:val="none" w:sz="0" w:space="0" w:color="auto"/>
        <w:bottom w:val="none" w:sz="0" w:space="0" w:color="auto"/>
        <w:right w:val="none" w:sz="0" w:space="0" w:color="auto"/>
      </w:divBdr>
    </w:div>
    <w:div w:id="884102050">
      <w:bodyDiv w:val="1"/>
      <w:marLeft w:val="0"/>
      <w:marRight w:val="0"/>
      <w:marTop w:val="0"/>
      <w:marBottom w:val="0"/>
      <w:divBdr>
        <w:top w:val="none" w:sz="0" w:space="0" w:color="auto"/>
        <w:left w:val="none" w:sz="0" w:space="0" w:color="auto"/>
        <w:bottom w:val="none" w:sz="0" w:space="0" w:color="auto"/>
        <w:right w:val="none" w:sz="0" w:space="0" w:color="auto"/>
      </w:divBdr>
    </w:div>
    <w:div w:id="915699837">
      <w:bodyDiv w:val="1"/>
      <w:marLeft w:val="0"/>
      <w:marRight w:val="0"/>
      <w:marTop w:val="0"/>
      <w:marBottom w:val="0"/>
      <w:divBdr>
        <w:top w:val="none" w:sz="0" w:space="0" w:color="auto"/>
        <w:left w:val="none" w:sz="0" w:space="0" w:color="auto"/>
        <w:bottom w:val="none" w:sz="0" w:space="0" w:color="auto"/>
        <w:right w:val="none" w:sz="0" w:space="0" w:color="auto"/>
      </w:divBdr>
    </w:div>
    <w:div w:id="975137237">
      <w:bodyDiv w:val="1"/>
      <w:marLeft w:val="0"/>
      <w:marRight w:val="0"/>
      <w:marTop w:val="0"/>
      <w:marBottom w:val="0"/>
      <w:divBdr>
        <w:top w:val="none" w:sz="0" w:space="0" w:color="auto"/>
        <w:left w:val="none" w:sz="0" w:space="0" w:color="auto"/>
        <w:bottom w:val="none" w:sz="0" w:space="0" w:color="auto"/>
        <w:right w:val="none" w:sz="0" w:space="0" w:color="auto"/>
      </w:divBdr>
    </w:div>
    <w:div w:id="995499676">
      <w:bodyDiv w:val="1"/>
      <w:marLeft w:val="0"/>
      <w:marRight w:val="0"/>
      <w:marTop w:val="0"/>
      <w:marBottom w:val="0"/>
      <w:divBdr>
        <w:top w:val="none" w:sz="0" w:space="0" w:color="auto"/>
        <w:left w:val="none" w:sz="0" w:space="0" w:color="auto"/>
        <w:bottom w:val="none" w:sz="0" w:space="0" w:color="auto"/>
        <w:right w:val="none" w:sz="0" w:space="0" w:color="auto"/>
      </w:divBdr>
    </w:div>
    <w:div w:id="1007907433">
      <w:bodyDiv w:val="1"/>
      <w:marLeft w:val="0"/>
      <w:marRight w:val="0"/>
      <w:marTop w:val="0"/>
      <w:marBottom w:val="0"/>
      <w:divBdr>
        <w:top w:val="none" w:sz="0" w:space="0" w:color="auto"/>
        <w:left w:val="none" w:sz="0" w:space="0" w:color="auto"/>
        <w:bottom w:val="none" w:sz="0" w:space="0" w:color="auto"/>
        <w:right w:val="none" w:sz="0" w:space="0" w:color="auto"/>
      </w:divBdr>
    </w:div>
    <w:div w:id="1064256717">
      <w:bodyDiv w:val="1"/>
      <w:marLeft w:val="0"/>
      <w:marRight w:val="0"/>
      <w:marTop w:val="0"/>
      <w:marBottom w:val="0"/>
      <w:divBdr>
        <w:top w:val="none" w:sz="0" w:space="0" w:color="auto"/>
        <w:left w:val="none" w:sz="0" w:space="0" w:color="auto"/>
        <w:bottom w:val="none" w:sz="0" w:space="0" w:color="auto"/>
        <w:right w:val="none" w:sz="0" w:space="0" w:color="auto"/>
      </w:divBdr>
    </w:div>
    <w:div w:id="1068648308">
      <w:bodyDiv w:val="1"/>
      <w:marLeft w:val="0"/>
      <w:marRight w:val="0"/>
      <w:marTop w:val="0"/>
      <w:marBottom w:val="0"/>
      <w:divBdr>
        <w:top w:val="none" w:sz="0" w:space="0" w:color="auto"/>
        <w:left w:val="none" w:sz="0" w:space="0" w:color="auto"/>
        <w:bottom w:val="none" w:sz="0" w:space="0" w:color="auto"/>
        <w:right w:val="none" w:sz="0" w:space="0" w:color="auto"/>
      </w:divBdr>
    </w:div>
    <w:div w:id="1075322908">
      <w:bodyDiv w:val="1"/>
      <w:marLeft w:val="0"/>
      <w:marRight w:val="0"/>
      <w:marTop w:val="0"/>
      <w:marBottom w:val="0"/>
      <w:divBdr>
        <w:top w:val="none" w:sz="0" w:space="0" w:color="auto"/>
        <w:left w:val="none" w:sz="0" w:space="0" w:color="auto"/>
        <w:bottom w:val="none" w:sz="0" w:space="0" w:color="auto"/>
        <w:right w:val="none" w:sz="0" w:space="0" w:color="auto"/>
      </w:divBdr>
    </w:div>
    <w:div w:id="1078795619">
      <w:bodyDiv w:val="1"/>
      <w:marLeft w:val="0"/>
      <w:marRight w:val="0"/>
      <w:marTop w:val="0"/>
      <w:marBottom w:val="0"/>
      <w:divBdr>
        <w:top w:val="none" w:sz="0" w:space="0" w:color="auto"/>
        <w:left w:val="none" w:sz="0" w:space="0" w:color="auto"/>
        <w:bottom w:val="none" w:sz="0" w:space="0" w:color="auto"/>
        <w:right w:val="none" w:sz="0" w:space="0" w:color="auto"/>
      </w:divBdr>
    </w:div>
    <w:div w:id="1079132595">
      <w:bodyDiv w:val="1"/>
      <w:marLeft w:val="0"/>
      <w:marRight w:val="0"/>
      <w:marTop w:val="0"/>
      <w:marBottom w:val="0"/>
      <w:divBdr>
        <w:top w:val="none" w:sz="0" w:space="0" w:color="auto"/>
        <w:left w:val="none" w:sz="0" w:space="0" w:color="auto"/>
        <w:bottom w:val="none" w:sz="0" w:space="0" w:color="auto"/>
        <w:right w:val="none" w:sz="0" w:space="0" w:color="auto"/>
      </w:divBdr>
    </w:div>
    <w:div w:id="1130905023">
      <w:bodyDiv w:val="1"/>
      <w:marLeft w:val="0"/>
      <w:marRight w:val="0"/>
      <w:marTop w:val="0"/>
      <w:marBottom w:val="0"/>
      <w:divBdr>
        <w:top w:val="none" w:sz="0" w:space="0" w:color="auto"/>
        <w:left w:val="none" w:sz="0" w:space="0" w:color="auto"/>
        <w:bottom w:val="none" w:sz="0" w:space="0" w:color="auto"/>
        <w:right w:val="none" w:sz="0" w:space="0" w:color="auto"/>
      </w:divBdr>
    </w:div>
    <w:div w:id="1140994817">
      <w:bodyDiv w:val="1"/>
      <w:marLeft w:val="0"/>
      <w:marRight w:val="0"/>
      <w:marTop w:val="0"/>
      <w:marBottom w:val="0"/>
      <w:divBdr>
        <w:top w:val="none" w:sz="0" w:space="0" w:color="auto"/>
        <w:left w:val="none" w:sz="0" w:space="0" w:color="auto"/>
        <w:bottom w:val="none" w:sz="0" w:space="0" w:color="auto"/>
        <w:right w:val="none" w:sz="0" w:space="0" w:color="auto"/>
      </w:divBdr>
    </w:div>
    <w:div w:id="1158308888">
      <w:bodyDiv w:val="1"/>
      <w:marLeft w:val="0"/>
      <w:marRight w:val="0"/>
      <w:marTop w:val="0"/>
      <w:marBottom w:val="0"/>
      <w:divBdr>
        <w:top w:val="none" w:sz="0" w:space="0" w:color="auto"/>
        <w:left w:val="none" w:sz="0" w:space="0" w:color="auto"/>
        <w:bottom w:val="none" w:sz="0" w:space="0" w:color="auto"/>
        <w:right w:val="none" w:sz="0" w:space="0" w:color="auto"/>
      </w:divBdr>
    </w:div>
    <w:div w:id="1164390480">
      <w:bodyDiv w:val="1"/>
      <w:marLeft w:val="0"/>
      <w:marRight w:val="0"/>
      <w:marTop w:val="0"/>
      <w:marBottom w:val="0"/>
      <w:divBdr>
        <w:top w:val="none" w:sz="0" w:space="0" w:color="auto"/>
        <w:left w:val="none" w:sz="0" w:space="0" w:color="auto"/>
        <w:bottom w:val="none" w:sz="0" w:space="0" w:color="auto"/>
        <w:right w:val="none" w:sz="0" w:space="0" w:color="auto"/>
      </w:divBdr>
      <w:divsChild>
        <w:div w:id="23479209">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204711665">
      <w:bodyDiv w:val="1"/>
      <w:marLeft w:val="0"/>
      <w:marRight w:val="0"/>
      <w:marTop w:val="0"/>
      <w:marBottom w:val="0"/>
      <w:divBdr>
        <w:top w:val="none" w:sz="0" w:space="0" w:color="auto"/>
        <w:left w:val="none" w:sz="0" w:space="0" w:color="auto"/>
        <w:bottom w:val="none" w:sz="0" w:space="0" w:color="auto"/>
        <w:right w:val="none" w:sz="0" w:space="0" w:color="auto"/>
      </w:divBdr>
    </w:div>
    <w:div w:id="1205100102">
      <w:bodyDiv w:val="1"/>
      <w:marLeft w:val="0"/>
      <w:marRight w:val="0"/>
      <w:marTop w:val="0"/>
      <w:marBottom w:val="0"/>
      <w:divBdr>
        <w:top w:val="none" w:sz="0" w:space="0" w:color="auto"/>
        <w:left w:val="none" w:sz="0" w:space="0" w:color="auto"/>
        <w:bottom w:val="none" w:sz="0" w:space="0" w:color="auto"/>
        <w:right w:val="none" w:sz="0" w:space="0" w:color="auto"/>
      </w:divBdr>
    </w:div>
    <w:div w:id="1221474589">
      <w:bodyDiv w:val="1"/>
      <w:marLeft w:val="0"/>
      <w:marRight w:val="0"/>
      <w:marTop w:val="0"/>
      <w:marBottom w:val="0"/>
      <w:divBdr>
        <w:top w:val="none" w:sz="0" w:space="0" w:color="auto"/>
        <w:left w:val="none" w:sz="0" w:space="0" w:color="auto"/>
        <w:bottom w:val="none" w:sz="0" w:space="0" w:color="auto"/>
        <w:right w:val="none" w:sz="0" w:space="0" w:color="auto"/>
      </w:divBdr>
    </w:div>
    <w:div w:id="1231891298">
      <w:bodyDiv w:val="1"/>
      <w:marLeft w:val="0"/>
      <w:marRight w:val="0"/>
      <w:marTop w:val="0"/>
      <w:marBottom w:val="0"/>
      <w:divBdr>
        <w:top w:val="none" w:sz="0" w:space="0" w:color="auto"/>
        <w:left w:val="none" w:sz="0" w:space="0" w:color="auto"/>
        <w:bottom w:val="none" w:sz="0" w:space="0" w:color="auto"/>
        <w:right w:val="none" w:sz="0" w:space="0" w:color="auto"/>
      </w:divBdr>
    </w:div>
    <w:div w:id="1245919678">
      <w:bodyDiv w:val="1"/>
      <w:marLeft w:val="0"/>
      <w:marRight w:val="0"/>
      <w:marTop w:val="0"/>
      <w:marBottom w:val="0"/>
      <w:divBdr>
        <w:top w:val="none" w:sz="0" w:space="0" w:color="auto"/>
        <w:left w:val="none" w:sz="0" w:space="0" w:color="auto"/>
        <w:bottom w:val="none" w:sz="0" w:space="0" w:color="auto"/>
        <w:right w:val="none" w:sz="0" w:space="0" w:color="auto"/>
      </w:divBdr>
    </w:div>
    <w:div w:id="1251351082">
      <w:bodyDiv w:val="1"/>
      <w:marLeft w:val="0"/>
      <w:marRight w:val="0"/>
      <w:marTop w:val="0"/>
      <w:marBottom w:val="0"/>
      <w:divBdr>
        <w:top w:val="none" w:sz="0" w:space="0" w:color="auto"/>
        <w:left w:val="none" w:sz="0" w:space="0" w:color="auto"/>
        <w:bottom w:val="none" w:sz="0" w:space="0" w:color="auto"/>
        <w:right w:val="none" w:sz="0" w:space="0" w:color="auto"/>
      </w:divBdr>
    </w:div>
    <w:div w:id="1288197092">
      <w:bodyDiv w:val="1"/>
      <w:marLeft w:val="0"/>
      <w:marRight w:val="0"/>
      <w:marTop w:val="0"/>
      <w:marBottom w:val="0"/>
      <w:divBdr>
        <w:top w:val="none" w:sz="0" w:space="0" w:color="auto"/>
        <w:left w:val="none" w:sz="0" w:space="0" w:color="auto"/>
        <w:bottom w:val="none" w:sz="0" w:space="0" w:color="auto"/>
        <w:right w:val="none" w:sz="0" w:space="0" w:color="auto"/>
      </w:divBdr>
    </w:div>
    <w:div w:id="1304892981">
      <w:bodyDiv w:val="1"/>
      <w:marLeft w:val="0"/>
      <w:marRight w:val="0"/>
      <w:marTop w:val="0"/>
      <w:marBottom w:val="0"/>
      <w:divBdr>
        <w:top w:val="none" w:sz="0" w:space="0" w:color="auto"/>
        <w:left w:val="none" w:sz="0" w:space="0" w:color="auto"/>
        <w:bottom w:val="none" w:sz="0" w:space="0" w:color="auto"/>
        <w:right w:val="none" w:sz="0" w:space="0" w:color="auto"/>
      </w:divBdr>
    </w:div>
    <w:div w:id="1311252719">
      <w:bodyDiv w:val="1"/>
      <w:marLeft w:val="0"/>
      <w:marRight w:val="0"/>
      <w:marTop w:val="0"/>
      <w:marBottom w:val="0"/>
      <w:divBdr>
        <w:top w:val="none" w:sz="0" w:space="0" w:color="auto"/>
        <w:left w:val="none" w:sz="0" w:space="0" w:color="auto"/>
        <w:bottom w:val="none" w:sz="0" w:space="0" w:color="auto"/>
        <w:right w:val="none" w:sz="0" w:space="0" w:color="auto"/>
      </w:divBdr>
    </w:div>
    <w:div w:id="1330056395">
      <w:bodyDiv w:val="1"/>
      <w:marLeft w:val="0"/>
      <w:marRight w:val="0"/>
      <w:marTop w:val="0"/>
      <w:marBottom w:val="0"/>
      <w:divBdr>
        <w:top w:val="none" w:sz="0" w:space="0" w:color="auto"/>
        <w:left w:val="none" w:sz="0" w:space="0" w:color="auto"/>
        <w:bottom w:val="none" w:sz="0" w:space="0" w:color="auto"/>
        <w:right w:val="none" w:sz="0" w:space="0" w:color="auto"/>
      </w:divBdr>
    </w:div>
    <w:div w:id="1355305689">
      <w:bodyDiv w:val="1"/>
      <w:marLeft w:val="0"/>
      <w:marRight w:val="0"/>
      <w:marTop w:val="0"/>
      <w:marBottom w:val="0"/>
      <w:divBdr>
        <w:top w:val="none" w:sz="0" w:space="0" w:color="auto"/>
        <w:left w:val="none" w:sz="0" w:space="0" w:color="auto"/>
        <w:bottom w:val="none" w:sz="0" w:space="0" w:color="auto"/>
        <w:right w:val="none" w:sz="0" w:space="0" w:color="auto"/>
      </w:divBdr>
      <w:divsChild>
        <w:div w:id="23210934">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403136758">
      <w:bodyDiv w:val="1"/>
      <w:marLeft w:val="0"/>
      <w:marRight w:val="0"/>
      <w:marTop w:val="0"/>
      <w:marBottom w:val="0"/>
      <w:divBdr>
        <w:top w:val="none" w:sz="0" w:space="0" w:color="auto"/>
        <w:left w:val="none" w:sz="0" w:space="0" w:color="auto"/>
        <w:bottom w:val="none" w:sz="0" w:space="0" w:color="auto"/>
        <w:right w:val="none" w:sz="0" w:space="0" w:color="auto"/>
      </w:divBdr>
    </w:div>
    <w:div w:id="1473281046">
      <w:bodyDiv w:val="1"/>
      <w:marLeft w:val="0"/>
      <w:marRight w:val="0"/>
      <w:marTop w:val="0"/>
      <w:marBottom w:val="0"/>
      <w:divBdr>
        <w:top w:val="none" w:sz="0" w:space="0" w:color="auto"/>
        <w:left w:val="none" w:sz="0" w:space="0" w:color="auto"/>
        <w:bottom w:val="none" w:sz="0" w:space="0" w:color="auto"/>
        <w:right w:val="none" w:sz="0" w:space="0" w:color="auto"/>
      </w:divBdr>
    </w:div>
    <w:div w:id="1493595285">
      <w:bodyDiv w:val="1"/>
      <w:marLeft w:val="0"/>
      <w:marRight w:val="0"/>
      <w:marTop w:val="0"/>
      <w:marBottom w:val="0"/>
      <w:divBdr>
        <w:top w:val="none" w:sz="0" w:space="0" w:color="auto"/>
        <w:left w:val="none" w:sz="0" w:space="0" w:color="auto"/>
        <w:bottom w:val="none" w:sz="0" w:space="0" w:color="auto"/>
        <w:right w:val="none" w:sz="0" w:space="0" w:color="auto"/>
      </w:divBdr>
    </w:div>
    <w:div w:id="1525023771">
      <w:bodyDiv w:val="1"/>
      <w:marLeft w:val="0"/>
      <w:marRight w:val="0"/>
      <w:marTop w:val="0"/>
      <w:marBottom w:val="0"/>
      <w:divBdr>
        <w:top w:val="none" w:sz="0" w:space="0" w:color="auto"/>
        <w:left w:val="none" w:sz="0" w:space="0" w:color="auto"/>
        <w:bottom w:val="none" w:sz="0" w:space="0" w:color="auto"/>
        <w:right w:val="none" w:sz="0" w:space="0" w:color="auto"/>
      </w:divBdr>
    </w:div>
    <w:div w:id="1528715795">
      <w:bodyDiv w:val="1"/>
      <w:marLeft w:val="0"/>
      <w:marRight w:val="0"/>
      <w:marTop w:val="0"/>
      <w:marBottom w:val="0"/>
      <w:divBdr>
        <w:top w:val="none" w:sz="0" w:space="0" w:color="auto"/>
        <w:left w:val="none" w:sz="0" w:space="0" w:color="auto"/>
        <w:bottom w:val="none" w:sz="0" w:space="0" w:color="auto"/>
        <w:right w:val="none" w:sz="0" w:space="0" w:color="auto"/>
      </w:divBdr>
    </w:div>
    <w:div w:id="1537232969">
      <w:bodyDiv w:val="1"/>
      <w:marLeft w:val="0"/>
      <w:marRight w:val="0"/>
      <w:marTop w:val="0"/>
      <w:marBottom w:val="0"/>
      <w:divBdr>
        <w:top w:val="none" w:sz="0" w:space="0" w:color="auto"/>
        <w:left w:val="none" w:sz="0" w:space="0" w:color="auto"/>
        <w:bottom w:val="none" w:sz="0" w:space="0" w:color="auto"/>
        <w:right w:val="none" w:sz="0" w:space="0" w:color="auto"/>
      </w:divBdr>
    </w:div>
    <w:div w:id="1552840618">
      <w:bodyDiv w:val="1"/>
      <w:marLeft w:val="0"/>
      <w:marRight w:val="0"/>
      <w:marTop w:val="0"/>
      <w:marBottom w:val="0"/>
      <w:divBdr>
        <w:top w:val="none" w:sz="0" w:space="0" w:color="auto"/>
        <w:left w:val="none" w:sz="0" w:space="0" w:color="auto"/>
        <w:bottom w:val="none" w:sz="0" w:space="0" w:color="auto"/>
        <w:right w:val="none" w:sz="0" w:space="0" w:color="auto"/>
      </w:divBdr>
    </w:div>
    <w:div w:id="1592860769">
      <w:bodyDiv w:val="1"/>
      <w:marLeft w:val="0"/>
      <w:marRight w:val="0"/>
      <w:marTop w:val="0"/>
      <w:marBottom w:val="0"/>
      <w:divBdr>
        <w:top w:val="none" w:sz="0" w:space="0" w:color="auto"/>
        <w:left w:val="none" w:sz="0" w:space="0" w:color="auto"/>
        <w:bottom w:val="none" w:sz="0" w:space="0" w:color="auto"/>
        <w:right w:val="none" w:sz="0" w:space="0" w:color="auto"/>
      </w:divBdr>
    </w:div>
    <w:div w:id="1603106605">
      <w:bodyDiv w:val="1"/>
      <w:marLeft w:val="0"/>
      <w:marRight w:val="0"/>
      <w:marTop w:val="0"/>
      <w:marBottom w:val="0"/>
      <w:divBdr>
        <w:top w:val="none" w:sz="0" w:space="0" w:color="auto"/>
        <w:left w:val="none" w:sz="0" w:space="0" w:color="auto"/>
        <w:bottom w:val="none" w:sz="0" w:space="0" w:color="auto"/>
        <w:right w:val="none" w:sz="0" w:space="0" w:color="auto"/>
      </w:divBdr>
    </w:div>
    <w:div w:id="1612859817">
      <w:bodyDiv w:val="1"/>
      <w:marLeft w:val="0"/>
      <w:marRight w:val="0"/>
      <w:marTop w:val="0"/>
      <w:marBottom w:val="0"/>
      <w:divBdr>
        <w:top w:val="none" w:sz="0" w:space="0" w:color="auto"/>
        <w:left w:val="none" w:sz="0" w:space="0" w:color="auto"/>
        <w:bottom w:val="none" w:sz="0" w:space="0" w:color="auto"/>
        <w:right w:val="none" w:sz="0" w:space="0" w:color="auto"/>
      </w:divBdr>
    </w:div>
    <w:div w:id="1633055148">
      <w:bodyDiv w:val="1"/>
      <w:marLeft w:val="0"/>
      <w:marRight w:val="0"/>
      <w:marTop w:val="0"/>
      <w:marBottom w:val="0"/>
      <w:divBdr>
        <w:top w:val="none" w:sz="0" w:space="0" w:color="auto"/>
        <w:left w:val="none" w:sz="0" w:space="0" w:color="auto"/>
        <w:bottom w:val="none" w:sz="0" w:space="0" w:color="auto"/>
        <w:right w:val="none" w:sz="0" w:space="0" w:color="auto"/>
      </w:divBdr>
    </w:div>
    <w:div w:id="1703360416">
      <w:bodyDiv w:val="1"/>
      <w:marLeft w:val="0"/>
      <w:marRight w:val="0"/>
      <w:marTop w:val="0"/>
      <w:marBottom w:val="0"/>
      <w:divBdr>
        <w:top w:val="none" w:sz="0" w:space="0" w:color="auto"/>
        <w:left w:val="none" w:sz="0" w:space="0" w:color="auto"/>
        <w:bottom w:val="none" w:sz="0" w:space="0" w:color="auto"/>
        <w:right w:val="none" w:sz="0" w:space="0" w:color="auto"/>
      </w:divBdr>
    </w:div>
    <w:div w:id="1772121089">
      <w:bodyDiv w:val="1"/>
      <w:marLeft w:val="0"/>
      <w:marRight w:val="0"/>
      <w:marTop w:val="0"/>
      <w:marBottom w:val="0"/>
      <w:divBdr>
        <w:top w:val="none" w:sz="0" w:space="0" w:color="auto"/>
        <w:left w:val="none" w:sz="0" w:space="0" w:color="auto"/>
        <w:bottom w:val="none" w:sz="0" w:space="0" w:color="auto"/>
        <w:right w:val="none" w:sz="0" w:space="0" w:color="auto"/>
      </w:divBdr>
    </w:div>
    <w:div w:id="1775174628">
      <w:bodyDiv w:val="1"/>
      <w:marLeft w:val="0"/>
      <w:marRight w:val="0"/>
      <w:marTop w:val="0"/>
      <w:marBottom w:val="0"/>
      <w:divBdr>
        <w:top w:val="none" w:sz="0" w:space="0" w:color="auto"/>
        <w:left w:val="none" w:sz="0" w:space="0" w:color="auto"/>
        <w:bottom w:val="none" w:sz="0" w:space="0" w:color="auto"/>
        <w:right w:val="none" w:sz="0" w:space="0" w:color="auto"/>
      </w:divBdr>
    </w:div>
    <w:div w:id="1794446929">
      <w:bodyDiv w:val="1"/>
      <w:marLeft w:val="0"/>
      <w:marRight w:val="0"/>
      <w:marTop w:val="0"/>
      <w:marBottom w:val="0"/>
      <w:divBdr>
        <w:top w:val="none" w:sz="0" w:space="0" w:color="auto"/>
        <w:left w:val="none" w:sz="0" w:space="0" w:color="auto"/>
        <w:bottom w:val="none" w:sz="0" w:space="0" w:color="auto"/>
        <w:right w:val="none" w:sz="0" w:space="0" w:color="auto"/>
      </w:divBdr>
    </w:div>
    <w:div w:id="1812478145">
      <w:bodyDiv w:val="1"/>
      <w:marLeft w:val="0"/>
      <w:marRight w:val="0"/>
      <w:marTop w:val="0"/>
      <w:marBottom w:val="0"/>
      <w:divBdr>
        <w:top w:val="none" w:sz="0" w:space="0" w:color="auto"/>
        <w:left w:val="none" w:sz="0" w:space="0" w:color="auto"/>
        <w:bottom w:val="none" w:sz="0" w:space="0" w:color="auto"/>
        <w:right w:val="none" w:sz="0" w:space="0" w:color="auto"/>
      </w:divBdr>
    </w:div>
    <w:div w:id="1815950630">
      <w:bodyDiv w:val="1"/>
      <w:marLeft w:val="0"/>
      <w:marRight w:val="0"/>
      <w:marTop w:val="0"/>
      <w:marBottom w:val="0"/>
      <w:divBdr>
        <w:top w:val="none" w:sz="0" w:space="0" w:color="auto"/>
        <w:left w:val="none" w:sz="0" w:space="0" w:color="auto"/>
        <w:bottom w:val="none" w:sz="0" w:space="0" w:color="auto"/>
        <w:right w:val="none" w:sz="0" w:space="0" w:color="auto"/>
      </w:divBdr>
    </w:div>
    <w:div w:id="1823083216">
      <w:bodyDiv w:val="1"/>
      <w:marLeft w:val="0"/>
      <w:marRight w:val="0"/>
      <w:marTop w:val="0"/>
      <w:marBottom w:val="0"/>
      <w:divBdr>
        <w:top w:val="none" w:sz="0" w:space="0" w:color="auto"/>
        <w:left w:val="none" w:sz="0" w:space="0" w:color="auto"/>
        <w:bottom w:val="none" w:sz="0" w:space="0" w:color="auto"/>
        <w:right w:val="none" w:sz="0" w:space="0" w:color="auto"/>
      </w:divBdr>
    </w:div>
    <w:div w:id="1848330181">
      <w:bodyDiv w:val="1"/>
      <w:marLeft w:val="0"/>
      <w:marRight w:val="0"/>
      <w:marTop w:val="0"/>
      <w:marBottom w:val="0"/>
      <w:divBdr>
        <w:top w:val="none" w:sz="0" w:space="0" w:color="auto"/>
        <w:left w:val="none" w:sz="0" w:space="0" w:color="auto"/>
        <w:bottom w:val="none" w:sz="0" w:space="0" w:color="auto"/>
        <w:right w:val="none" w:sz="0" w:space="0" w:color="auto"/>
      </w:divBdr>
    </w:div>
    <w:div w:id="1879004133">
      <w:bodyDiv w:val="1"/>
      <w:marLeft w:val="0"/>
      <w:marRight w:val="0"/>
      <w:marTop w:val="0"/>
      <w:marBottom w:val="0"/>
      <w:divBdr>
        <w:top w:val="none" w:sz="0" w:space="0" w:color="auto"/>
        <w:left w:val="none" w:sz="0" w:space="0" w:color="auto"/>
        <w:bottom w:val="none" w:sz="0" w:space="0" w:color="auto"/>
        <w:right w:val="none" w:sz="0" w:space="0" w:color="auto"/>
      </w:divBdr>
    </w:div>
    <w:div w:id="1918123791">
      <w:bodyDiv w:val="1"/>
      <w:marLeft w:val="0"/>
      <w:marRight w:val="0"/>
      <w:marTop w:val="0"/>
      <w:marBottom w:val="0"/>
      <w:divBdr>
        <w:top w:val="none" w:sz="0" w:space="0" w:color="auto"/>
        <w:left w:val="none" w:sz="0" w:space="0" w:color="auto"/>
        <w:bottom w:val="none" w:sz="0" w:space="0" w:color="auto"/>
        <w:right w:val="none" w:sz="0" w:space="0" w:color="auto"/>
      </w:divBdr>
    </w:div>
    <w:div w:id="1991055192">
      <w:bodyDiv w:val="1"/>
      <w:marLeft w:val="0"/>
      <w:marRight w:val="0"/>
      <w:marTop w:val="0"/>
      <w:marBottom w:val="0"/>
      <w:divBdr>
        <w:top w:val="none" w:sz="0" w:space="0" w:color="auto"/>
        <w:left w:val="none" w:sz="0" w:space="0" w:color="auto"/>
        <w:bottom w:val="none" w:sz="0" w:space="0" w:color="auto"/>
        <w:right w:val="none" w:sz="0" w:space="0" w:color="auto"/>
      </w:divBdr>
    </w:div>
    <w:div w:id="1996293974">
      <w:bodyDiv w:val="1"/>
      <w:marLeft w:val="0"/>
      <w:marRight w:val="0"/>
      <w:marTop w:val="0"/>
      <w:marBottom w:val="0"/>
      <w:divBdr>
        <w:top w:val="none" w:sz="0" w:space="0" w:color="auto"/>
        <w:left w:val="none" w:sz="0" w:space="0" w:color="auto"/>
        <w:bottom w:val="none" w:sz="0" w:space="0" w:color="auto"/>
        <w:right w:val="none" w:sz="0" w:space="0" w:color="auto"/>
      </w:divBdr>
      <w:divsChild>
        <w:div w:id="1042098599">
          <w:marLeft w:val="0"/>
          <w:marRight w:val="0"/>
          <w:marTop w:val="0"/>
          <w:marBottom w:val="0"/>
          <w:divBdr>
            <w:top w:val="none" w:sz="0" w:space="0" w:color="auto"/>
            <w:left w:val="none" w:sz="0" w:space="0" w:color="auto"/>
            <w:bottom w:val="none" w:sz="0" w:space="0" w:color="auto"/>
            <w:right w:val="none" w:sz="0" w:space="0" w:color="auto"/>
          </w:divBdr>
          <w:divsChild>
            <w:div w:id="349991522">
              <w:marLeft w:val="0"/>
              <w:marRight w:val="0"/>
              <w:marTop w:val="0"/>
              <w:marBottom w:val="0"/>
              <w:divBdr>
                <w:top w:val="none" w:sz="0" w:space="0" w:color="auto"/>
                <w:left w:val="none" w:sz="0" w:space="0" w:color="auto"/>
                <w:bottom w:val="none" w:sz="0" w:space="0" w:color="auto"/>
                <w:right w:val="none" w:sz="0" w:space="0" w:color="auto"/>
              </w:divBdr>
              <w:divsChild>
                <w:div w:id="852888350">
                  <w:marLeft w:val="0"/>
                  <w:marRight w:val="0"/>
                  <w:marTop w:val="0"/>
                  <w:marBottom w:val="0"/>
                  <w:divBdr>
                    <w:top w:val="none" w:sz="0" w:space="0" w:color="auto"/>
                    <w:left w:val="none" w:sz="0" w:space="0" w:color="auto"/>
                    <w:bottom w:val="none" w:sz="0" w:space="0" w:color="auto"/>
                    <w:right w:val="none" w:sz="0" w:space="0" w:color="auto"/>
                  </w:divBdr>
                  <w:divsChild>
                    <w:div w:id="1952201346">
                      <w:marLeft w:val="0"/>
                      <w:marRight w:val="0"/>
                      <w:marTop w:val="0"/>
                      <w:marBottom w:val="0"/>
                      <w:divBdr>
                        <w:top w:val="none" w:sz="0" w:space="0" w:color="auto"/>
                        <w:left w:val="none" w:sz="0" w:space="0" w:color="auto"/>
                        <w:bottom w:val="none" w:sz="0" w:space="0" w:color="auto"/>
                        <w:right w:val="none" w:sz="0" w:space="0" w:color="auto"/>
                      </w:divBdr>
                      <w:divsChild>
                        <w:div w:id="2094693771">
                          <w:marLeft w:val="0"/>
                          <w:marRight w:val="0"/>
                          <w:marTop w:val="0"/>
                          <w:marBottom w:val="0"/>
                          <w:divBdr>
                            <w:top w:val="none" w:sz="0" w:space="0" w:color="auto"/>
                            <w:left w:val="none" w:sz="0" w:space="0" w:color="auto"/>
                            <w:bottom w:val="none" w:sz="0" w:space="0" w:color="auto"/>
                            <w:right w:val="none" w:sz="0" w:space="0" w:color="auto"/>
                          </w:divBdr>
                          <w:divsChild>
                            <w:div w:id="2906747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2022985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asean.org/wp-content/uploads/2021/01/3.-ASEAN-Framework-of-Action-on-Marine-Debris-FINAL.pdf" TargetMode="External"/><Relationship Id="rId18" Type="http://schemas.openxmlformats.org/officeDocument/2006/relationships/hyperlink" Target="https://www.khmertimeskh.com/24078/algae-bloom-was-natural-says-ministry/" TargetMode="External"/><Relationship Id="rId26" Type="http://schemas.openxmlformats.org/officeDocument/2006/relationships/hyperlink" Target="https://doi.org/10.3390/ijerph192315919" TargetMode="External"/><Relationship Id="rId3" Type="http://schemas.openxmlformats.org/officeDocument/2006/relationships/styles" Target="styles.xml"/><Relationship Id="rId21" Type="http://schemas.openxmlformats.org/officeDocument/2006/relationships/hyperlink" Target="https://www.mrcmekong.org/wp-content/uploads/2024/09/2019-Lower-Mekong-Water-Quality-Monitoring-Report.pdf" TargetMode="External"/><Relationship Id="rId34"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chart" Target="charts/chart3.xml"/><Relationship Id="rId17" Type="http://schemas.openxmlformats.org/officeDocument/2006/relationships/hyperlink" Target="https://openjicareport.jica.go.jp/pdf/12270294_01.pdf" TargetMode="External"/><Relationship Id="rId25" Type="http://schemas.openxmlformats.org/officeDocument/2006/relationships/hyperlink" Target="https://www.pemsea.org/sites/default/files/2023-12/NSOC%20Cambodia%202018%20%28FINAL%29%2009092020.pdf" TargetMode="External"/><Relationship Id="rId33"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https://www.fao.org/faostat/en/" TargetMode="External"/><Relationship Id="rId20" Type="http://schemas.openxmlformats.org/officeDocument/2006/relationships/hyperlink" Target="https://www.mrcmekong.org/?download_document=1&amp;document_id=01KW62YKQ67C25OEWE7FBKPYAIB4UQ6H5F&amp;name=2018-Lower-Mekong-Water-Quality-Monitoring-Report.pdf" TargetMode="External"/><Relationship Id="rId29" Type="http://schemas.openxmlformats.org/officeDocument/2006/relationships/hyperlink" Target="https://wepa-db.net/policies/state/kh/cambodia/state-of-wastewater-treatment-management/"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2.xml"/><Relationship Id="rId24" Type="http://schemas.openxmlformats.org/officeDocument/2006/relationships/hyperlink" Target="https://www.nis.gov.kh/nis/CAS/2022/CAS2022_Report_1_Methodological_Reference_Document_ENG.pdf" TargetMode="External"/><Relationship Id="rId32" Type="http://schemas.openxmlformats.org/officeDocument/2006/relationships/footer" Target="footer3.xml"/><Relationship Id="rId5" Type="http://schemas.openxmlformats.org/officeDocument/2006/relationships/webSettings" Target="webSettings.xml"/><Relationship Id="rId15" Type="http://schemas.openxmlformats.org/officeDocument/2006/relationships/hyperlink" Target="https://gb-cambodia.com/wp-content/uploads/2021/04/BSfD_SectorBrief_Cambodia_WasteManagement_WEB-1.pdf" TargetMode="External"/><Relationship Id="rId23" Type="http://schemas.openxmlformats.org/officeDocument/2006/relationships/hyperlink" Target="https://wepa-db.net/wp-content/uploads/2023/02/1_State-of-water-environment_Cambodia.pdf" TargetMode="External"/><Relationship Id="rId28" Type="http://schemas.openxmlformats.org/officeDocument/2006/relationships/hyperlink" Target="https://unfccc.int/sites/default/files/resource/20220921_Third%20National%20Communication_Cambodia.pdf" TargetMode="External"/><Relationship Id="rId10" Type="http://schemas.openxmlformats.org/officeDocument/2006/relationships/chart" Target="charts/chart1.xml"/><Relationship Id="rId19" Type="http://schemas.openxmlformats.org/officeDocument/2006/relationships/hyperlink" Target="https://kiripost.com/stories/prek-treng-beach-covered-in-2000-litres-of-leaked-oil" TargetMode="External"/><Relationship Id="rId31" Type="http://schemas.openxmlformats.org/officeDocument/2006/relationships/hyperlink" Target="https://www.witpress.com/Secure/elibrary/papers/SDP07/SDP07086FU2.pdf" TargetMode="External"/><Relationship Id="rId4" Type="http://schemas.openxmlformats.org/officeDocument/2006/relationships/settings" Target="settings.xml"/><Relationship Id="rId9" Type="http://schemas.openxmlformats.org/officeDocument/2006/relationships/footer" Target="footer2.xml"/><Relationship Id="rId14" Type="http://schemas.openxmlformats.org/officeDocument/2006/relationships/hyperlink" Target="https://www.adb.org/projects/42285-012/main" TargetMode="External"/><Relationship Id="rId22" Type="http://schemas.openxmlformats.org/officeDocument/2006/relationships/hyperlink" Target="https://www.mrcmekong.org/wp-content/uploads/2024/11/2021-Water-Quality-Report.pdf" TargetMode="External"/><Relationship Id="rId27" Type="http://schemas.openxmlformats.org/officeDocument/2006/relationships/hyperlink" Target="https://cambojanews.com/polluted-kampot-city-creek-threatens-the-environment/" TargetMode="External"/><Relationship Id="rId30" Type="http://schemas.openxmlformats.org/officeDocument/2006/relationships/hyperlink" Target="https://data.worldbank.org/indicator/AG.CON.FERT.ZS?locations=KH" TargetMode="External"/><Relationship Id="rId8" Type="http://schemas.openxmlformats.org/officeDocument/2006/relationships/footer" Target="footer1.xml"/></Relationships>
</file>

<file path=word/charts/_rels/chart1.xml.rels><?xml version="1.0" encoding="UTF-8" standalone="yes"?>
<Relationships xmlns="http://schemas.openxmlformats.org/package/2006/relationships"><Relationship Id="rId3" Type="http://schemas.openxmlformats.org/officeDocument/2006/relationships/oleObject" Target="file:////Users/chhunvireak/Documents/1.%20Consultantcy/2025/%20TDA/Cambodia/100-40%20N-TDA%20Pollution/TDA-Pollution%20Indicator-KH-Agricultural%20Runoff.xlsx" TargetMode="External"/><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oleObject" Target="file:////Users/chhunvireak/Documents/1.%20Consultantcy/2025/%20TDA/Cambodia/100-40%20N-TDA%20Pollution/TDA-Pollution%20Indicator-KH-Agricultural%20Runoff.xlsx" TargetMode="External"/><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oleObject" Target="file:////Users/chhunvireak/Documents/1.%20Consultantcy/2025/%20TDA/Cambodia/100-40%20N-TDA%20Pollution/TDA-Pollution%20Indicator-KH-Agricultural%20Runoff.xlsx" TargetMode="External"/><Relationship Id="rId2" Type="http://schemas.microsoft.com/office/2011/relationships/chartColorStyle" Target="colors3.xml"/><Relationship Id="rId1" Type="http://schemas.microsoft.com/office/2011/relationships/chartStyle" Target="style3.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spPr>
            <a:ln w="28575" cap="rnd">
              <a:solidFill>
                <a:schemeClr val="accent1"/>
              </a:solidFill>
              <a:round/>
            </a:ln>
            <a:effectLst/>
          </c:spPr>
          <c:marker>
            <c:symbol val="circle"/>
            <c:size val="5"/>
            <c:spPr>
              <a:solidFill>
                <a:schemeClr val="accent1"/>
              </a:solidFill>
              <a:ln w="9525">
                <a:solidFill>
                  <a:schemeClr val="accent1"/>
                </a:solidFill>
              </a:ln>
              <a:effectLst/>
            </c:spPr>
          </c:marker>
          <c:cat>
            <c:strRef>
              <c:f>Sheet1!$E$8:$E$29</c:f>
              <c:strCache>
                <c:ptCount val="22"/>
                <c:pt idx="0">
                  <c:v>2002</c:v>
                </c:pt>
                <c:pt idx="1">
                  <c:v>2003</c:v>
                </c:pt>
                <c:pt idx="2">
                  <c:v>2004</c:v>
                </c:pt>
                <c:pt idx="3">
                  <c:v>2005</c:v>
                </c:pt>
                <c:pt idx="4">
                  <c:v>2006</c:v>
                </c:pt>
                <c:pt idx="5">
                  <c:v>2007</c:v>
                </c:pt>
                <c:pt idx="6">
                  <c:v>2008</c:v>
                </c:pt>
                <c:pt idx="7">
                  <c:v>2009</c:v>
                </c:pt>
                <c:pt idx="8">
                  <c:v>2010</c:v>
                </c:pt>
                <c:pt idx="9">
                  <c:v>2011</c:v>
                </c:pt>
                <c:pt idx="10">
                  <c:v>2012</c:v>
                </c:pt>
                <c:pt idx="11">
                  <c:v>2013</c:v>
                </c:pt>
                <c:pt idx="12">
                  <c:v>2014</c:v>
                </c:pt>
                <c:pt idx="13">
                  <c:v>2015</c:v>
                </c:pt>
                <c:pt idx="14">
                  <c:v>2016</c:v>
                </c:pt>
                <c:pt idx="15">
                  <c:v>2017</c:v>
                </c:pt>
                <c:pt idx="16">
                  <c:v>2018</c:v>
                </c:pt>
                <c:pt idx="17">
                  <c:v>2019</c:v>
                </c:pt>
                <c:pt idx="18">
                  <c:v>2020</c:v>
                </c:pt>
                <c:pt idx="19">
                  <c:v>2021</c:v>
                </c:pt>
                <c:pt idx="20">
                  <c:v>2022</c:v>
                </c:pt>
                <c:pt idx="21">
                  <c:v>2023</c:v>
                </c:pt>
              </c:strCache>
            </c:strRef>
          </c:cat>
          <c:val>
            <c:numRef>
              <c:f>Sheet1!$F$8:$F$29</c:f>
              <c:numCache>
                <c:formatCode>General</c:formatCode>
                <c:ptCount val="22"/>
                <c:pt idx="0">
                  <c:v>6.937297297297297</c:v>
                </c:pt>
                <c:pt idx="1">
                  <c:v>5.4837837837837835</c:v>
                </c:pt>
                <c:pt idx="2">
                  <c:v>6.8124324324324323</c:v>
                </c:pt>
                <c:pt idx="3">
                  <c:v>10.457837837837838</c:v>
                </c:pt>
                <c:pt idx="4">
                  <c:v>10.319459459459459</c:v>
                </c:pt>
                <c:pt idx="5">
                  <c:v>10.158378378378378</c:v>
                </c:pt>
                <c:pt idx="6">
                  <c:v>9.8697297297297304</c:v>
                </c:pt>
                <c:pt idx="7">
                  <c:v>13.253243243243244</c:v>
                </c:pt>
                <c:pt idx="8">
                  <c:v>15.627267876200641</c:v>
                </c:pt>
                <c:pt idx="9">
                  <c:v>20.087500208789233</c:v>
                </c:pt>
                <c:pt idx="10">
                  <c:v>26.884473935306666</c:v>
                </c:pt>
                <c:pt idx="11">
                  <c:v>24.230806422937214</c:v>
                </c:pt>
                <c:pt idx="12">
                  <c:v>26.936180315117852</c:v>
                </c:pt>
                <c:pt idx="13">
                  <c:v>29.667436906780651</c:v>
                </c:pt>
                <c:pt idx="14">
                  <c:v>21.294864757338757</c:v>
                </c:pt>
                <c:pt idx="15">
                  <c:v>39.775744458711799</c:v>
                </c:pt>
                <c:pt idx="16">
                  <c:v>42.19273202566643</c:v>
                </c:pt>
                <c:pt idx="17">
                  <c:v>42.763253971213082</c:v>
                </c:pt>
                <c:pt idx="18">
                  <c:v>44.241038569522395</c:v>
                </c:pt>
                <c:pt idx="19">
                  <c:v>49.583755618771853</c:v>
                </c:pt>
                <c:pt idx="20">
                  <c:v>32.930922220914013</c:v>
                </c:pt>
                <c:pt idx="21">
                  <c:v>51.090015224483771</c:v>
                </c:pt>
              </c:numCache>
            </c:numRef>
          </c:val>
          <c:smooth val="0"/>
          <c:extLst>
            <c:ext xmlns:c16="http://schemas.microsoft.com/office/drawing/2014/chart" uri="{C3380CC4-5D6E-409C-BE32-E72D297353CC}">
              <c16:uniqueId val="{00000000-17C6-2543-B55A-8716A45C135C}"/>
            </c:ext>
          </c:extLst>
        </c:ser>
        <c:dLbls>
          <c:showLegendKey val="0"/>
          <c:showVal val="0"/>
          <c:showCatName val="0"/>
          <c:showSerName val="0"/>
          <c:showPercent val="0"/>
          <c:showBubbleSize val="0"/>
        </c:dLbls>
        <c:marker val="1"/>
        <c:smooth val="0"/>
        <c:axId val="1515171935"/>
        <c:axId val="1514976943"/>
      </c:lineChart>
      <c:catAx>
        <c:axId val="1515171935"/>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n-US"/>
          </a:p>
        </c:txPr>
        <c:crossAx val="1514976943"/>
        <c:crosses val="autoZero"/>
        <c:auto val="1"/>
        <c:lblAlgn val="ctr"/>
        <c:lblOffset val="100"/>
        <c:noMultiLvlLbl val="0"/>
      </c:catAx>
      <c:valAx>
        <c:axId val="1514976943"/>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9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r>
                  <a:rPr lang="en-US" sz="900" b="0" i="0" u="none" strike="noStrike" kern="1200" baseline="0">
                    <a:solidFill>
                      <a:sysClr val="windowText" lastClr="000000">
                        <a:lumMod val="65000"/>
                        <a:lumOff val="35000"/>
                      </a:sysClr>
                    </a:solidFill>
                    <a:latin typeface="Arial" panose="020B0604020202020204" pitchFamily="34" charset="0"/>
                    <a:cs typeface="Arial" panose="020B0604020202020204" pitchFamily="34" charset="0"/>
                  </a:rPr>
                  <a:t>Fertilizer consumption (kg/ha) </a:t>
                </a:r>
              </a:p>
            </c:rich>
          </c:tx>
          <c:overlay val="0"/>
          <c:spPr>
            <a:noFill/>
            <a:ln>
              <a:noFill/>
            </a:ln>
            <a:effectLst/>
          </c:spPr>
          <c:txPr>
            <a:bodyPr rot="-5400000" spcFirstLastPara="1" vertOverflow="ellipsis" vert="horz" wrap="square" anchor="ctr" anchorCtr="1"/>
            <a:lstStyle/>
            <a:p>
              <a:pPr>
                <a:defRPr sz="9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n-US"/>
          </a:p>
        </c:txPr>
        <c:crossAx val="1515171935"/>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sz="900">
          <a:latin typeface="Arial" panose="020B0604020202020204" pitchFamily="34" charset="0"/>
          <a:cs typeface="Arial" panose="020B0604020202020204" pitchFamily="34" charset="0"/>
        </a:defRPr>
      </a:pPr>
      <a:endParaRPr lang="en-U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spPr>
            <a:ln w="28575" cap="rnd">
              <a:solidFill>
                <a:schemeClr val="accent1"/>
              </a:solidFill>
              <a:round/>
            </a:ln>
            <a:effectLst/>
          </c:spPr>
          <c:marker>
            <c:symbol val="circle"/>
            <c:size val="5"/>
            <c:spPr>
              <a:solidFill>
                <a:schemeClr val="accent1"/>
              </a:solidFill>
              <a:ln w="9525">
                <a:solidFill>
                  <a:schemeClr val="accent1"/>
                </a:solidFill>
              </a:ln>
              <a:effectLst/>
            </c:spPr>
          </c:marker>
          <c:cat>
            <c:strRef>
              <c:f>Sheet1!$J$34:$J$57</c:f>
              <c:strCache>
                <c:ptCount val="24"/>
                <c:pt idx="0">
                  <c:v>2000</c:v>
                </c:pt>
                <c:pt idx="1">
                  <c:v>2001</c:v>
                </c:pt>
                <c:pt idx="2">
                  <c:v>2002</c:v>
                </c:pt>
                <c:pt idx="3">
                  <c:v>2003</c:v>
                </c:pt>
                <c:pt idx="4">
                  <c:v>2004</c:v>
                </c:pt>
                <c:pt idx="5">
                  <c:v>2005</c:v>
                </c:pt>
                <c:pt idx="6">
                  <c:v>2006</c:v>
                </c:pt>
                <c:pt idx="7">
                  <c:v>2007</c:v>
                </c:pt>
                <c:pt idx="8">
                  <c:v>2008</c:v>
                </c:pt>
                <c:pt idx="9">
                  <c:v>2009</c:v>
                </c:pt>
                <c:pt idx="10">
                  <c:v>2010</c:v>
                </c:pt>
                <c:pt idx="11">
                  <c:v>2011</c:v>
                </c:pt>
                <c:pt idx="12">
                  <c:v>2012</c:v>
                </c:pt>
                <c:pt idx="13">
                  <c:v>2013</c:v>
                </c:pt>
                <c:pt idx="14">
                  <c:v>2014</c:v>
                </c:pt>
                <c:pt idx="15">
                  <c:v>2015</c:v>
                </c:pt>
                <c:pt idx="16">
                  <c:v>2016</c:v>
                </c:pt>
                <c:pt idx="17">
                  <c:v>2017</c:v>
                </c:pt>
                <c:pt idx="18">
                  <c:v>2018</c:v>
                </c:pt>
                <c:pt idx="19">
                  <c:v>2019</c:v>
                </c:pt>
                <c:pt idx="20">
                  <c:v>2020</c:v>
                </c:pt>
                <c:pt idx="21">
                  <c:v>2021</c:v>
                </c:pt>
                <c:pt idx="22">
                  <c:v>2022</c:v>
                </c:pt>
                <c:pt idx="23">
                  <c:v>2023</c:v>
                </c:pt>
              </c:strCache>
            </c:strRef>
          </c:cat>
          <c:val>
            <c:numRef>
              <c:f>Sheet1!$K$34:$K$57</c:f>
              <c:numCache>
                <c:formatCode>#,##0</c:formatCode>
                <c:ptCount val="24"/>
                <c:pt idx="0">
                  <c:v>445</c:v>
                </c:pt>
                <c:pt idx="1">
                  <c:v>428</c:v>
                </c:pt>
                <c:pt idx="2">
                  <c:v>412</c:v>
                </c:pt>
                <c:pt idx="3">
                  <c:v>421</c:v>
                </c:pt>
                <c:pt idx="4">
                  <c:v>405</c:v>
                </c:pt>
                <c:pt idx="5">
                  <c:v>444</c:v>
                </c:pt>
                <c:pt idx="6">
                  <c:v>533</c:v>
                </c:pt>
                <c:pt idx="7">
                  <c:v>733</c:v>
                </c:pt>
                <c:pt idx="8">
                  <c:v>774</c:v>
                </c:pt>
                <c:pt idx="9">
                  <c:v>939</c:v>
                </c:pt>
                <c:pt idx="10">
                  <c:v>1198</c:v>
                </c:pt>
                <c:pt idx="11">
                  <c:v>1673</c:v>
                </c:pt>
                <c:pt idx="12">
                  <c:v>2387</c:v>
                </c:pt>
                <c:pt idx="13">
                  <c:v>3288</c:v>
                </c:pt>
                <c:pt idx="14">
                  <c:v>4339</c:v>
                </c:pt>
                <c:pt idx="15">
                  <c:v>5091</c:v>
                </c:pt>
                <c:pt idx="16">
                  <c:v>4595</c:v>
                </c:pt>
                <c:pt idx="17">
                  <c:v>5331</c:v>
                </c:pt>
                <c:pt idx="18">
                  <c:v>7720</c:v>
                </c:pt>
                <c:pt idx="19">
                  <c:v>11820</c:v>
                </c:pt>
                <c:pt idx="20">
                  <c:v>15273</c:v>
                </c:pt>
                <c:pt idx="21">
                  <c:v>17264</c:v>
                </c:pt>
                <c:pt idx="22">
                  <c:v>18810</c:v>
                </c:pt>
                <c:pt idx="23">
                  <c:v>19305</c:v>
                </c:pt>
              </c:numCache>
            </c:numRef>
          </c:val>
          <c:smooth val="0"/>
          <c:extLst>
            <c:ext xmlns:c16="http://schemas.microsoft.com/office/drawing/2014/chart" uri="{C3380CC4-5D6E-409C-BE32-E72D297353CC}">
              <c16:uniqueId val="{00000000-BC18-2441-91E9-5A96892365D2}"/>
            </c:ext>
          </c:extLst>
        </c:ser>
        <c:dLbls>
          <c:showLegendKey val="0"/>
          <c:showVal val="0"/>
          <c:showCatName val="0"/>
          <c:showSerName val="0"/>
          <c:showPercent val="0"/>
          <c:showBubbleSize val="0"/>
        </c:dLbls>
        <c:marker val="1"/>
        <c:smooth val="0"/>
        <c:axId val="1052484943"/>
        <c:axId val="1073215023"/>
      </c:lineChart>
      <c:catAx>
        <c:axId val="1052484943"/>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6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n-US"/>
          </a:p>
        </c:txPr>
        <c:crossAx val="1073215023"/>
        <c:crosses val="autoZero"/>
        <c:auto val="1"/>
        <c:lblAlgn val="ctr"/>
        <c:lblOffset val="100"/>
        <c:noMultiLvlLbl val="0"/>
      </c:catAx>
      <c:valAx>
        <c:axId val="1073215023"/>
        <c:scaling>
          <c:orientation val="minMax"/>
          <c:max val="20000"/>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6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r>
                  <a:rPr lang="en-US"/>
                  <a:t>Agricultural</a:t>
                </a:r>
                <a:r>
                  <a:rPr lang="en-US" baseline="0"/>
                  <a:t> u</a:t>
                </a:r>
                <a:r>
                  <a:rPr lang="en-US"/>
                  <a:t>se (tonnes)</a:t>
                </a:r>
              </a:p>
            </c:rich>
          </c:tx>
          <c:overlay val="0"/>
          <c:spPr>
            <a:noFill/>
            <a:ln>
              <a:noFill/>
            </a:ln>
            <a:effectLst/>
          </c:spPr>
          <c:txPr>
            <a:bodyPr rot="-5400000" spcFirstLastPara="1" vertOverflow="ellipsis" vert="horz" wrap="square" anchor="ctr" anchorCtr="1"/>
            <a:lstStyle/>
            <a:p>
              <a:pPr>
                <a:defRPr sz="6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n-US"/>
            </a:p>
          </c:txPr>
        </c:title>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6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n-US"/>
          </a:p>
        </c:txPr>
        <c:crossAx val="1052484943"/>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sz="600">
          <a:latin typeface="Arial" panose="020B0604020202020204" pitchFamily="34" charset="0"/>
          <a:cs typeface="Arial" panose="020B0604020202020204" pitchFamily="34" charset="0"/>
        </a:defRPr>
      </a:pPr>
      <a:endParaRPr lang="en-US"/>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spPr>
            <a:ln w="28575" cap="rnd">
              <a:solidFill>
                <a:schemeClr val="accent1"/>
              </a:solidFill>
              <a:round/>
            </a:ln>
            <a:effectLst/>
          </c:spPr>
          <c:marker>
            <c:symbol val="circle"/>
            <c:size val="5"/>
            <c:spPr>
              <a:solidFill>
                <a:schemeClr val="accent1"/>
              </a:solidFill>
              <a:ln w="9525">
                <a:solidFill>
                  <a:schemeClr val="accent1"/>
                </a:solidFill>
              </a:ln>
              <a:effectLst/>
            </c:spPr>
          </c:marker>
          <c:cat>
            <c:strRef>
              <c:f>Sheet1!$E$34:$E$57</c:f>
              <c:strCache>
                <c:ptCount val="24"/>
                <c:pt idx="0">
                  <c:v>2000</c:v>
                </c:pt>
                <c:pt idx="1">
                  <c:v>2001</c:v>
                </c:pt>
                <c:pt idx="2">
                  <c:v>2002</c:v>
                </c:pt>
                <c:pt idx="3">
                  <c:v>2003</c:v>
                </c:pt>
                <c:pt idx="4">
                  <c:v>2004</c:v>
                </c:pt>
                <c:pt idx="5">
                  <c:v>2005</c:v>
                </c:pt>
                <c:pt idx="6">
                  <c:v>2006</c:v>
                </c:pt>
                <c:pt idx="7">
                  <c:v>2007</c:v>
                </c:pt>
                <c:pt idx="8">
                  <c:v>2008</c:v>
                </c:pt>
                <c:pt idx="9">
                  <c:v>2009</c:v>
                </c:pt>
                <c:pt idx="10">
                  <c:v>2010</c:v>
                </c:pt>
                <c:pt idx="11">
                  <c:v>2011</c:v>
                </c:pt>
                <c:pt idx="12">
                  <c:v>2012</c:v>
                </c:pt>
                <c:pt idx="13">
                  <c:v>2013</c:v>
                </c:pt>
                <c:pt idx="14">
                  <c:v>2014</c:v>
                </c:pt>
                <c:pt idx="15">
                  <c:v>2015</c:v>
                </c:pt>
                <c:pt idx="16">
                  <c:v>2016</c:v>
                </c:pt>
                <c:pt idx="17">
                  <c:v>2017</c:v>
                </c:pt>
                <c:pt idx="18">
                  <c:v>2018</c:v>
                </c:pt>
                <c:pt idx="19">
                  <c:v>2019</c:v>
                </c:pt>
                <c:pt idx="20">
                  <c:v>2020</c:v>
                </c:pt>
                <c:pt idx="21">
                  <c:v>2021</c:v>
                </c:pt>
                <c:pt idx="22">
                  <c:v>2022</c:v>
                </c:pt>
                <c:pt idx="23">
                  <c:v>2023</c:v>
                </c:pt>
              </c:strCache>
            </c:strRef>
          </c:cat>
          <c:val>
            <c:numRef>
              <c:f>Sheet1!$F$34:$F$57</c:f>
              <c:numCache>
                <c:formatCode>General</c:formatCode>
                <c:ptCount val="24"/>
                <c:pt idx="0">
                  <c:v>0.12</c:v>
                </c:pt>
                <c:pt idx="1">
                  <c:v>0.11</c:v>
                </c:pt>
                <c:pt idx="2">
                  <c:v>0.11</c:v>
                </c:pt>
                <c:pt idx="3">
                  <c:v>0.11</c:v>
                </c:pt>
                <c:pt idx="4">
                  <c:v>0.11</c:v>
                </c:pt>
                <c:pt idx="5">
                  <c:v>0.12</c:v>
                </c:pt>
                <c:pt idx="6">
                  <c:v>0.14000000000000001</c:v>
                </c:pt>
                <c:pt idx="7">
                  <c:v>0.19</c:v>
                </c:pt>
                <c:pt idx="8">
                  <c:v>0.2</c:v>
                </c:pt>
                <c:pt idx="9">
                  <c:v>0.25</c:v>
                </c:pt>
                <c:pt idx="10">
                  <c:v>0.31</c:v>
                </c:pt>
                <c:pt idx="11">
                  <c:v>0.43</c:v>
                </c:pt>
                <c:pt idx="12">
                  <c:v>0.6</c:v>
                </c:pt>
                <c:pt idx="13">
                  <c:v>0.81</c:v>
                </c:pt>
                <c:pt idx="14">
                  <c:v>1.06</c:v>
                </c:pt>
                <c:pt idx="15">
                  <c:v>1.23</c:v>
                </c:pt>
                <c:pt idx="16">
                  <c:v>1.0900000000000001</c:v>
                </c:pt>
                <c:pt idx="17">
                  <c:v>1.24</c:v>
                </c:pt>
                <c:pt idx="18">
                  <c:v>1.77</c:v>
                </c:pt>
                <c:pt idx="19">
                  <c:v>2.66</c:v>
                </c:pt>
                <c:pt idx="20">
                  <c:v>3.35</c:v>
                </c:pt>
                <c:pt idx="21">
                  <c:v>3.73</c:v>
                </c:pt>
                <c:pt idx="22">
                  <c:v>4.05</c:v>
                </c:pt>
                <c:pt idx="23">
                  <c:v>4.1500000000000004</c:v>
                </c:pt>
              </c:numCache>
            </c:numRef>
          </c:val>
          <c:smooth val="0"/>
          <c:extLst>
            <c:ext xmlns:c16="http://schemas.microsoft.com/office/drawing/2014/chart" uri="{C3380CC4-5D6E-409C-BE32-E72D297353CC}">
              <c16:uniqueId val="{00000000-DB85-4B4E-9B8B-24A514F08D02}"/>
            </c:ext>
          </c:extLst>
        </c:ser>
        <c:dLbls>
          <c:showLegendKey val="0"/>
          <c:showVal val="0"/>
          <c:showCatName val="0"/>
          <c:showSerName val="0"/>
          <c:showPercent val="0"/>
          <c:showBubbleSize val="0"/>
        </c:dLbls>
        <c:marker val="1"/>
        <c:smooth val="0"/>
        <c:axId val="1485217663"/>
        <c:axId val="1577231375"/>
      </c:lineChart>
      <c:catAx>
        <c:axId val="1485217663"/>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6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n-US"/>
          </a:p>
        </c:txPr>
        <c:crossAx val="1577231375"/>
        <c:crosses val="autoZero"/>
        <c:auto val="1"/>
        <c:lblAlgn val="ctr"/>
        <c:lblOffset val="100"/>
        <c:noMultiLvlLbl val="0"/>
      </c:catAx>
      <c:valAx>
        <c:axId val="1577231375"/>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6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r>
                  <a:rPr lang="en-US"/>
                  <a:t>Use per area of cropland (kg/ha)</a:t>
                </a:r>
              </a:p>
            </c:rich>
          </c:tx>
          <c:overlay val="0"/>
          <c:spPr>
            <a:noFill/>
            <a:ln>
              <a:noFill/>
            </a:ln>
            <a:effectLst/>
          </c:spPr>
          <c:txPr>
            <a:bodyPr rot="-5400000" spcFirstLastPara="1" vertOverflow="ellipsis" vert="horz" wrap="square" anchor="ctr" anchorCtr="1"/>
            <a:lstStyle/>
            <a:p>
              <a:pPr>
                <a:defRPr sz="6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6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n-US"/>
          </a:p>
        </c:txPr>
        <c:crossAx val="1485217663"/>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sz="600">
          <a:latin typeface="Arial" panose="020B0604020202020204" pitchFamily="34" charset="0"/>
          <a:cs typeface="Arial" panose="020B0604020202020204" pitchFamily="34" charset="0"/>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DAA0E7B-5B39-5944-8586-7B7F5A565C0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33</Pages>
  <Words>12008</Words>
  <Characters>75773</Characters>
  <Application>Microsoft Office Word</Application>
  <DocSecurity>0</DocSecurity>
  <Lines>2367</Lines>
  <Paragraphs>1111</Paragraphs>
  <ScaleCrop>false</ScaleCrop>
  <HeadingPairs>
    <vt:vector size="4" baseType="variant">
      <vt:variant>
        <vt:lpstr>Title</vt:lpstr>
      </vt:variant>
      <vt:variant>
        <vt:i4>1</vt:i4>
      </vt:variant>
      <vt:variant>
        <vt:lpstr>Headings</vt:lpstr>
      </vt:variant>
      <vt:variant>
        <vt:i4>23</vt:i4>
      </vt:variant>
    </vt:vector>
  </HeadingPairs>
  <TitlesOfParts>
    <vt:vector size="24" baseType="lpstr">
      <vt:lpstr/>
      <vt:lpstr>3. Pollution</vt:lpstr>
      <vt:lpstr>    3.1. Key Findings, Key Pollution Concerns, and Significance in National and Regi</vt:lpstr>
      <vt:lpstr>    3.2 Current Status</vt:lpstr>
      <vt:lpstr>        3.2.1 Pollution sources and magnitude</vt:lpstr>
      <vt:lpstr>        3.2.2 Pollution hotspots and sensitive areas</vt:lpstr>
      <vt:lpstr>    3.3. Discussion and Conclusions</vt:lpstr>
      <vt:lpstr>        3.3.1 Priority Transboundary Pollution Issues</vt:lpstr>
      <vt:lpstr>        3.3.2 Interactions: Impacts on Environment and Society</vt:lpstr>
      <vt:lpstr>        3.3.3 Risk Assessment</vt:lpstr>
      <vt:lpstr>        3.3.4. Interactions: Current Management and Institutions</vt:lpstr>
      <vt:lpstr>        3.3.5 Gaps and Priority Challenges</vt:lpstr>
      <vt:lpstr>        3.3.6 Recommended Priority Actions</vt:lpstr>
      <vt:lpstr>    3.4 Methodology and Analysis</vt:lpstr>
      <vt:lpstr>        3.4.1 Overall Approach</vt:lpstr>
      <vt:lpstr>        3.4.2 Data Compilation and Validation</vt:lpstr>
      <vt:lpstr>        3.4.3 Indicator Selection and Scoring</vt:lpstr>
      <vt:lpstr>        3.4.4 Risk Quotient (RQ) Analysis</vt:lpstr>
      <vt:lpstr>        3.4.5 Water Quality Index (WQI) Screening</vt:lpstr>
      <vt:lpstr>        3.4.6 Spatial and Transboundary Analysis</vt:lpstr>
      <vt:lpstr>        3.4.7 Limitations</vt:lpstr>
      <vt:lpstr>Glossary </vt:lpstr>
      <vt:lpstr>Reference</vt:lpstr>
      <vt:lpstr>Annex 3</vt:lpstr>
    </vt:vector>
  </TitlesOfParts>
  <Company/>
  <LinksUpToDate>false</LinksUpToDate>
  <CharactersWithSpaces>86670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Chhun Vireak</dc:creator>
  <cp:keywords/>
  <dc:description/>
  <cp:lastModifiedBy>Chhun Vireak</cp:lastModifiedBy>
  <cp:revision>3</cp:revision>
  <cp:lastPrinted>2025-12-21T10:51:00Z</cp:lastPrinted>
  <dcterms:created xsi:type="dcterms:W3CDTF">2025-12-21T10:51:00Z</dcterms:created>
  <dcterms:modified xsi:type="dcterms:W3CDTF">2025-12-21T10:51:00Z</dcterms:modified>
</cp:coreProperties>
</file>