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F2E282" w14:textId="77777777" w:rsidR="00642707" w:rsidRPr="003B66BF" w:rsidRDefault="00642707" w:rsidP="00642707">
      <w:pPr>
        <w:rPr>
          <w:rFonts w:ascii="Arial" w:hAnsi="Arial" w:cs="Arial"/>
          <w:b/>
          <w:bCs/>
          <w:sz w:val="40"/>
          <w:szCs w:val="40"/>
        </w:rPr>
      </w:pPr>
      <w:r w:rsidRPr="00E62D7D">
        <w:rPr>
          <w:rFonts w:ascii="Arial" w:hAnsi="Arial" w:cs="Arial"/>
          <w:b/>
          <w:bCs/>
          <w:sz w:val="40"/>
          <w:szCs w:val="40"/>
        </w:rPr>
        <w:t xml:space="preserve">Chapter 4 </w:t>
      </w:r>
      <w:r w:rsidRPr="003B66BF">
        <w:rPr>
          <w:rFonts w:ascii="Arial" w:hAnsi="Arial" w:cs="Arial"/>
          <w:b/>
          <w:bCs/>
          <w:color w:val="002060"/>
          <w:sz w:val="40"/>
          <w:szCs w:val="40"/>
        </w:rPr>
        <w:t>Ecosystem</w:t>
      </w:r>
    </w:p>
    <w:p w14:paraId="2D8B6562" w14:textId="77777777" w:rsidR="00E62D7D" w:rsidRDefault="00E62D7D" w:rsidP="00E62D7D">
      <w:pPr>
        <w:rPr>
          <w:rFonts w:ascii="Arial" w:hAnsi="Arial" w:cs="Arial"/>
          <w:b/>
          <w:bCs/>
          <w:color w:val="002060"/>
          <w:sz w:val="40"/>
          <w:szCs w:val="40"/>
        </w:rPr>
      </w:pPr>
    </w:p>
    <w:p w14:paraId="57BD3040" w14:textId="77777777" w:rsidR="00E62D7D" w:rsidRDefault="00E62D7D" w:rsidP="00E62D7D">
      <w:pPr>
        <w:rPr>
          <w:rFonts w:ascii="Arial" w:hAnsi="Arial" w:cs="Arial"/>
          <w:b/>
          <w:bCs/>
          <w:color w:val="002060"/>
          <w:sz w:val="40"/>
          <w:szCs w:val="40"/>
        </w:rPr>
      </w:pPr>
    </w:p>
    <w:p w14:paraId="0FF0E450" w14:textId="77777777" w:rsidR="00E62D7D" w:rsidRDefault="00E62D7D" w:rsidP="00E62D7D">
      <w:pPr>
        <w:rPr>
          <w:rFonts w:ascii="Arial" w:hAnsi="Arial" w:cs="Arial"/>
          <w:b/>
          <w:bCs/>
          <w:color w:val="002060"/>
          <w:sz w:val="40"/>
          <w:szCs w:val="40"/>
        </w:rPr>
      </w:pPr>
    </w:p>
    <w:p w14:paraId="27739B78" w14:textId="77777777" w:rsidR="00E62D7D" w:rsidRDefault="00E62D7D" w:rsidP="00E62D7D">
      <w:pPr>
        <w:rPr>
          <w:rFonts w:ascii="Arial" w:hAnsi="Arial" w:cs="Arial"/>
          <w:b/>
          <w:bCs/>
          <w:color w:val="002060"/>
          <w:sz w:val="40"/>
          <w:szCs w:val="40"/>
        </w:rPr>
      </w:pPr>
    </w:p>
    <w:p w14:paraId="4A400E38" w14:textId="77777777" w:rsidR="004C51A7" w:rsidRDefault="004C51A7" w:rsidP="00E62D7D">
      <w:pPr>
        <w:jc w:val="center"/>
        <w:rPr>
          <w:rFonts w:ascii="Arial" w:hAnsi="Arial" w:cs="Arial"/>
          <w:b/>
          <w:bCs/>
          <w:color w:val="000000" w:themeColor="text1"/>
          <w:sz w:val="28"/>
        </w:rPr>
      </w:pPr>
    </w:p>
    <w:p w14:paraId="19200C3C" w14:textId="30E7DE18" w:rsidR="00E62D7D" w:rsidRPr="00F43B5D" w:rsidRDefault="00E62D7D" w:rsidP="00E62D7D">
      <w:pPr>
        <w:jc w:val="center"/>
        <w:rPr>
          <w:rFonts w:ascii="Arial" w:hAnsi="Arial" w:cs="Arial"/>
          <w:b/>
          <w:bCs/>
          <w:color w:val="000000" w:themeColor="text1"/>
          <w:sz w:val="28"/>
        </w:rPr>
      </w:pPr>
      <w:r w:rsidRPr="00F43B5D">
        <w:rPr>
          <w:rFonts w:ascii="Arial" w:hAnsi="Arial" w:cs="Arial"/>
          <w:b/>
          <w:bCs/>
          <w:color w:val="000000" w:themeColor="text1"/>
          <w:sz w:val="28"/>
        </w:rPr>
        <w:t>“Implementing the Strategic Action Programme for the South China Sea and Gulf of Thailand (SCS SAP Project)”</w:t>
      </w:r>
    </w:p>
    <w:p w14:paraId="7D8211C4" w14:textId="77777777" w:rsidR="00E62D7D" w:rsidRPr="00150993" w:rsidRDefault="00E62D7D" w:rsidP="00E62D7D">
      <w:pPr>
        <w:rPr>
          <w:rFonts w:ascii="Arial" w:hAnsi="Arial" w:cs="Arial"/>
          <w:b/>
          <w:bCs/>
          <w:sz w:val="40"/>
          <w:szCs w:val="40"/>
        </w:rPr>
      </w:pPr>
    </w:p>
    <w:p w14:paraId="01F08059" w14:textId="77777777" w:rsidR="00E62D7D" w:rsidRPr="00150993" w:rsidRDefault="00E62D7D" w:rsidP="00E62D7D">
      <w:pPr>
        <w:rPr>
          <w:rFonts w:ascii="Arial" w:hAnsi="Arial" w:cs="Arial"/>
          <w:b/>
          <w:bCs/>
          <w:sz w:val="32"/>
          <w:szCs w:val="32"/>
        </w:rPr>
      </w:pPr>
    </w:p>
    <w:p w14:paraId="0278786E" w14:textId="77777777" w:rsidR="00E62D7D" w:rsidRPr="00150993" w:rsidRDefault="00E62D7D" w:rsidP="00E62D7D">
      <w:pPr>
        <w:rPr>
          <w:rFonts w:ascii="Arial" w:hAnsi="Arial" w:cs="Arial"/>
          <w:b/>
          <w:bCs/>
        </w:rPr>
      </w:pPr>
    </w:p>
    <w:p w14:paraId="62B0B9E0" w14:textId="77777777" w:rsidR="00E62D7D" w:rsidRPr="00150993" w:rsidRDefault="00E62D7D" w:rsidP="00E62D7D">
      <w:pPr>
        <w:rPr>
          <w:rFonts w:ascii="Arial" w:hAnsi="Arial" w:cs="Arial"/>
          <w:b/>
          <w:bCs/>
        </w:rPr>
      </w:pPr>
    </w:p>
    <w:p w14:paraId="30D7B3C4" w14:textId="77777777" w:rsidR="00E62D7D" w:rsidRPr="00150993" w:rsidRDefault="00E62D7D" w:rsidP="00E62D7D">
      <w:pPr>
        <w:rPr>
          <w:rFonts w:ascii="Arial" w:hAnsi="Arial" w:cs="Arial"/>
          <w:b/>
          <w:bCs/>
        </w:rPr>
      </w:pPr>
    </w:p>
    <w:p w14:paraId="5E183FE4" w14:textId="77777777" w:rsidR="00E62D7D" w:rsidRPr="00150993" w:rsidRDefault="00E62D7D" w:rsidP="00E62D7D">
      <w:pPr>
        <w:rPr>
          <w:rFonts w:ascii="Arial" w:hAnsi="Arial" w:cs="Arial"/>
          <w:b/>
          <w:bCs/>
        </w:rPr>
      </w:pPr>
    </w:p>
    <w:p w14:paraId="6357F7ED" w14:textId="77777777" w:rsidR="00E62D7D" w:rsidRPr="00150993" w:rsidRDefault="00E62D7D" w:rsidP="00E62D7D">
      <w:pPr>
        <w:rPr>
          <w:rFonts w:ascii="Arial" w:hAnsi="Arial" w:cs="Arial"/>
          <w:b/>
          <w:bCs/>
        </w:rPr>
      </w:pPr>
    </w:p>
    <w:p w14:paraId="40CF20BB" w14:textId="77777777" w:rsidR="00E62D7D" w:rsidRPr="00150993" w:rsidRDefault="00E62D7D" w:rsidP="00E62D7D">
      <w:pPr>
        <w:rPr>
          <w:rFonts w:ascii="Arial" w:hAnsi="Arial" w:cs="Arial"/>
          <w:b/>
          <w:bCs/>
        </w:rPr>
      </w:pPr>
    </w:p>
    <w:p w14:paraId="65277368" w14:textId="77777777" w:rsidR="00E62D7D" w:rsidRPr="00150993" w:rsidRDefault="00E62D7D" w:rsidP="00E62D7D">
      <w:pPr>
        <w:rPr>
          <w:rFonts w:ascii="Arial" w:hAnsi="Arial" w:cs="Arial"/>
          <w:b/>
          <w:bCs/>
        </w:rPr>
      </w:pPr>
    </w:p>
    <w:p w14:paraId="3F830F21" w14:textId="663CD659" w:rsidR="00642707" w:rsidRPr="003B66BF" w:rsidRDefault="00642707" w:rsidP="00642707">
      <w:pPr>
        <w:spacing w:line="276" w:lineRule="auto"/>
        <w:rPr>
          <w:rFonts w:ascii="Arial" w:hAnsi="Arial" w:cs="Arial"/>
          <w:b/>
          <w:bCs/>
        </w:rPr>
      </w:pPr>
      <w:r w:rsidRPr="003B66BF">
        <w:rPr>
          <w:rFonts w:ascii="Arial" w:hAnsi="Arial" w:cs="Arial"/>
          <w:b/>
          <w:bCs/>
        </w:rPr>
        <w:t xml:space="preserve">Version: </w:t>
      </w:r>
      <w:r w:rsidR="00F84F33">
        <w:rPr>
          <w:rFonts w:ascii="Arial" w:hAnsi="Arial" w:cs="Arial"/>
        </w:rPr>
        <w:t>Fourth</w:t>
      </w:r>
      <w:r w:rsidRPr="003B66BF">
        <w:rPr>
          <w:rFonts w:ascii="Arial" w:hAnsi="Arial" w:cs="Arial"/>
        </w:rPr>
        <w:t xml:space="preserve"> Draft</w:t>
      </w:r>
    </w:p>
    <w:p w14:paraId="21E83FCE" w14:textId="440A33BF" w:rsidR="00642707" w:rsidRPr="003B66BF" w:rsidRDefault="00642707" w:rsidP="00642707">
      <w:pPr>
        <w:spacing w:line="276" w:lineRule="auto"/>
        <w:rPr>
          <w:rFonts w:ascii="Arial" w:hAnsi="Arial" w:cs="Arial"/>
          <w:b/>
          <w:bCs/>
        </w:rPr>
      </w:pPr>
      <w:r w:rsidRPr="003B66BF">
        <w:rPr>
          <w:rFonts w:ascii="Arial" w:hAnsi="Arial" w:cs="Arial"/>
          <w:b/>
          <w:bCs/>
        </w:rPr>
        <w:t xml:space="preserve">Date: </w:t>
      </w:r>
      <w:r w:rsidR="00762FA8">
        <w:rPr>
          <w:rFonts w:ascii="Arial" w:hAnsi="Arial" w:cs="Arial"/>
        </w:rPr>
        <w:t>21</w:t>
      </w:r>
      <w:r w:rsidR="00762FA8" w:rsidRPr="00762FA8">
        <w:rPr>
          <w:rFonts w:ascii="Arial" w:hAnsi="Arial" w:cs="Arial"/>
          <w:vertAlign w:val="superscript"/>
        </w:rPr>
        <w:t>st</w:t>
      </w:r>
      <w:r w:rsidR="00762FA8">
        <w:rPr>
          <w:rFonts w:ascii="Arial" w:hAnsi="Arial" w:cs="Arial"/>
        </w:rPr>
        <w:t xml:space="preserve"> </w:t>
      </w:r>
      <w:r w:rsidR="00615357">
        <w:rPr>
          <w:rFonts w:ascii="Arial" w:hAnsi="Arial" w:cs="Arial"/>
        </w:rPr>
        <w:t>Dec</w:t>
      </w:r>
      <w:r w:rsidRPr="003B66BF">
        <w:rPr>
          <w:rFonts w:ascii="Arial" w:hAnsi="Arial" w:cs="Arial"/>
        </w:rPr>
        <w:t>ember 2025</w:t>
      </w:r>
    </w:p>
    <w:p w14:paraId="65E47B01" w14:textId="2962FCEC" w:rsidR="00E62D7D" w:rsidRDefault="00642707" w:rsidP="00642707">
      <w:pPr>
        <w:spacing w:line="276" w:lineRule="auto"/>
        <w:rPr>
          <w:rFonts w:ascii="Arial" w:hAnsi="Arial" w:cs="Arial"/>
        </w:rPr>
      </w:pPr>
      <w:r w:rsidRPr="003B66BF">
        <w:rPr>
          <w:rFonts w:ascii="Arial" w:hAnsi="Arial" w:cs="Arial"/>
          <w:b/>
          <w:bCs/>
        </w:rPr>
        <w:t xml:space="preserve">Country: </w:t>
      </w:r>
      <w:r w:rsidRPr="003B66BF">
        <w:rPr>
          <w:rFonts w:ascii="Arial" w:hAnsi="Arial" w:cs="Arial"/>
        </w:rPr>
        <w:t>Cambodia [KHM]</w:t>
      </w:r>
    </w:p>
    <w:p w14:paraId="4633EF6B" w14:textId="77777777" w:rsidR="00E62D7D" w:rsidRDefault="00E62D7D" w:rsidP="00E62D7D">
      <w:pPr>
        <w:rPr>
          <w:rFonts w:ascii="Arial" w:hAnsi="Arial" w:cs="Arial"/>
          <w:b/>
          <w:bCs/>
          <w:i/>
          <w:iCs/>
        </w:rPr>
      </w:pPr>
      <w:r>
        <w:rPr>
          <w:rFonts w:ascii="Arial" w:hAnsi="Arial" w:cs="Arial"/>
        </w:rPr>
        <w:br w:type="column"/>
      </w:r>
      <w:r w:rsidRPr="006D1C44">
        <w:rPr>
          <w:rFonts w:ascii="Arial" w:hAnsi="Arial" w:cs="Arial"/>
          <w:b/>
          <w:bCs/>
          <w:i/>
          <w:iCs/>
        </w:rPr>
        <w:lastRenderedPageBreak/>
        <w:t>Abstract</w:t>
      </w:r>
    </w:p>
    <w:p w14:paraId="5174A3CD" w14:textId="6A784C74" w:rsidR="00E62D7D" w:rsidRPr="003F4897" w:rsidRDefault="003F4897" w:rsidP="003F4897">
      <w:pPr>
        <w:spacing w:before="240" w:after="240"/>
        <w:jc w:val="both"/>
        <w:rPr>
          <w:rStyle w:val="relative"/>
          <w:rFonts w:ascii="Arial" w:hAnsi="Arial" w:cs="Arial"/>
          <w:b/>
          <w:bCs/>
          <w:i/>
          <w:iCs/>
          <w:sz w:val="22"/>
          <w:szCs w:val="22"/>
        </w:rPr>
      </w:pPr>
      <w:r w:rsidRPr="003F4897">
        <w:rPr>
          <w:rFonts w:ascii="Arial" w:hAnsi="Arial" w:cs="Arial"/>
          <w:sz w:val="22"/>
          <w:szCs w:val="22"/>
        </w:rPr>
        <w:t>Cambodia’s coastal and marine ecosystems—mangroves and wetlands, coral reefs, and seagrass meadows—remain high-value natural infrastructure that underpins coastal protection, fisheries nurseries, blue-carbon storage, and tourism, but they are under accelerating cumulative pressure. Recent national mapping indicates mangroves are declining overall (≈58,866 ha in 2014 to ≈55,355 ha in 2025; ~−6%), with losses concentrated in Koh Kong and peri-urban Preah Sihanouk, while dataset differences (≈45,000–63,000 ha) underscore the need for harmonized baselines and consistent monitoring. A globally rare sensitivity hotspot is the Botum Sakor peat-forming mangrove complex (~4,768 ha), where hydrologic disruption (roads/culverts, drainage, reclamation) risks irreversible peat oxidation, carbon loss, and weakened storm buffering. Wetland connectivity is equally critical in the Peam Krasop–Koh Kapik landscape, where exceptionally high livelihood dependence (&gt;65% of households deriving 70–90% of income from wetland resources) means small ecological changes can translate quickly into welfare losses. Coral reefs are generally “fair” but structurally simplified by sedimentation, turbidity and fishing pressure (e.g., ~30% mean live cover in Koh Rong), while Cambodia’s extensive seagrass—especially the Kep–Kampot corridor—remains highly vulnerable to bottom-contact fishing and turbidity. Management is improving through a mixed system of protected areas, MFMAs, Ramsar sites and community co-management, but persistent gaps in monitoring, enforcement capacity, financing, and cross-agency zoning coherence constrain outcomes. Priority, high-return actions include “hydrology-first” safeguards for peat mangroves, anti-trawl exclusion and sustained patrol support for community fisheries, targeted bycatch-risk measures for megafauna, and basic wastewater/runoff controls in growth nodes—scaled through stronger transboundary cooperation across the Gulf of Thailand.</w:t>
      </w:r>
    </w:p>
    <w:p w14:paraId="02BCD7B4" w14:textId="4DA14D36" w:rsidR="00E62D7D" w:rsidRPr="008764B6" w:rsidRDefault="00E62D7D" w:rsidP="00E62D7D">
      <w:pPr>
        <w:jc w:val="both"/>
        <w:rPr>
          <w:rFonts w:ascii="Arial" w:hAnsi="Arial" w:cs="Arial"/>
          <w:i/>
          <w:iCs/>
          <w:sz w:val="22"/>
          <w:szCs w:val="22"/>
        </w:rPr>
        <w:sectPr w:rsidR="00E62D7D" w:rsidRPr="008764B6" w:rsidSect="00394091">
          <w:footerReference w:type="default" r:id="rId8"/>
          <w:pgSz w:w="11900" w:h="16840"/>
          <w:pgMar w:top="1701" w:right="1440" w:bottom="1440" w:left="1440" w:header="720" w:footer="720" w:gutter="0"/>
          <w:pgNumType w:fmt="lowerRoman" w:start="1"/>
          <w:cols w:space="720"/>
          <w:docGrid w:linePitch="360"/>
        </w:sectPr>
      </w:pPr>
      <w:r w:rsidRPr="00CD2D9E">
        <w:rPr>
          <w:rFonts w:ascii="Arial" w:hAnsi="Arial" w:cs="Arial"/>
          <w:b/>
          <w:bCs/>
          <w:i/>
          <w:iCs/>
        </w:rPr>
        <w:t>Keywords:</w:t>
      </w:r>
      <w:r w:rsidR="003F4897">
        <w:rPr>
          <w:rFonts w:ascii="Arial" w:hAnsi="Arial" w:cs="Arial"/>
          <w:b/>
          <w:bCs/>
          <w:i/>
          <w:iCs/>
        </w:rPr>
        <w:t xml:space="preserve"> </w:t>
      </w:r>
      <w:r w:rsidR="003F4897" w:rsidRPr="003F4897">
        <w:rPr>
          <w:rFonts w:ascii="Arial" w:hAnsi="Arial" w:cs="Arial"/>
          <w:i/>
          <w:iCs/>
          <w:sz w:val="22"/>
          <w:szCs w:val="22"/>
        </w:rPr>
        <w:t>Cambodia; coastal ecosystems; mangroves; peat-forming mangroves; wetlands; Ramsar; coral reefs; seagrass; blue carbon; biodiversity hotspots; ecosystem services; fisheries nursery; coastal protection; turbidity; bottom trawling; IUU fishing; marine protected areas; OECMs; MFMAs; community co-management; transboundary cooperation.</w:t>
      </w:r>
    </w:p>
    <w:p w14:paraId="3AE1D593" w14:textId="77777777" w:rsidR="003867DE" w:rsidRPr="003B66BF" w:rsidRDefault="003867DE" w:rsidP="00F42612">
      <w:pPr>
        <w:pStyle w:val="Heading1"/>
        <w:tabs>
          <w:tab w:val="left" w:pos="3225"/>
        </w:tabs>
      </w:pPr>
      <w:bookmarkStart w:id="0" w:name="_Toc217231945"/>
      <w:r w:rsidRPr="003B66BF">
        <w:t>4. Ecosystems</w:t>
      </w:r>
      <w:bookmarkEnd w:id="0"/>
    </w:p>
    <w:p w14:paraId="04CB350F" w14:textId="77777777" w:rsidR="002E2CAB" w:rsidRPr="003B66BF" w:rsidRDefault="002E2CAB" w:rsidP="003867DE">
      <w:pPr>
        <w:pStyle w:val="Heading2"/>
        <w:spacing w:before="240" w:after="240"/>
        <w:jc w:val="both"/>
        <w:rPr>
          <w:rFonts w:ascii="Arial" w:hAnsi="Arial" w:cs="Arial"/>
          <w:b/>
          <w:bCs/>
          <w:sz w:val="28"/>
          <w:szCs w:val="28"/>
        </w:rPr>
      </w:pPr>
      <w:bookmarkStart w:id="1" w:name="_Toc217231946"/>
      <w:r w:rsidRPr="003B66BF">
        <w:rPr>
          <w:rFonts w:ascii="Arial" w:hAnsi="Arial" w:cs="Arial"/>
          <w:b/>
          <w:bCs/>
          <w:sz w:val="28"/>
          <w:szCs w:val="28"/>
        </w:rPr>
        <w:t>4.1</w:t>
      </w:r>
      <w:r w:rsidR="00FC0C12" w:rsidRPr="003B66BF">
        <w:rPr>
          <w:rFonts w:ascii="Arial" w:hAnsi="Arial" w:cs="Arial"/>
          <w:b/>
          <w:bCs/>
          <w:sz w:val="28"/>
          <w:szCs w:val="28"/>
        </w:rPr>
        <w:t xml:space="preserve"> </w:t>
      </w:r>
      <w:r w:rsidRPr="003B66BF">
        <w:rPr>
          <w:rFonts w:ascii="Arial" w:hAnsi="Arial" w:cs="Arial"/>
          <w:b/>
          <w:bCs/>
          <w:sz w:val="28"/>
          <w:szCs w:val="28"/>
        </w:rPr>
        <w:t>Key Findings</w:t>
      </w:r>
      <w:bookmarkEnd w:id="1"/>
    </w:p>
    <w:p w14:paraId="02BF2CF6" w14:textId="77777777" w:rsidR="00097DD4" w:rsidRPr="003B66BF" w:rsidRDefault="00097DD4" w:rsidP="00097DD4">
      <w:pPr>
        <w:pStyle w:val="NormalWeb"/>
        <w:numPr>
          <w:ilvl w:val="0"/>
          <w:numId w:val="41"/>
        </w:numPr>
        <w:spacing w:before="120" w:beforeAutospacing="0" w:after="120" w:afterAutospacing="0"/>
        <w:ind w:left="714" w:hanging="357"/>
        <w:jc w:val="both"/>
        <w:rPr>
          <w:rFonts w:ascii="Arial" w:hAnsi="Arial" w:cs="Arial"/>
          <w:sz w:val="22"/>
          <w:szCs w:val="22"/>
        </w:rPr>
      </w:pPr>
      <w:r w:rsidRPr="003B66BF">
        <w:rPr>
          <w:rStyle w:val="Strong"/>
          <w:rFonts w:ascii="Arial" w:eastAsiaTheme="majorEastAsia" w:hAnsi="Arial" w:cs="Arial"/>
          <w:sz w:val="22"/>
          <w:szCs w:val="22"/>
        </w:rPr>
        <w:t>Mangroves</w:t>
      </w:r>
      <w:r w:rsidRPr="003B66BF">
        <w:rPr>
          <w:rFonts w:ascii="Arial" w:hAnsi="Arial" w:cs="Arial"/>
          <w:sz w:val="22"/>
          <w:szCs w:val="22"/>
        </w:rPr>
        <w:t xml:space="preserve"> remain strategic natural infrastructure but are shrinking: from ~58,866 ha (2014) to ~55,355 ha (2025) (≈−6%; ~319 ha/year), with main losses in Koh Kong and peri-urban Preah Sihanouk.</w:t>
      </w:r>
    </w:p>
    <w:p w14:paraId="7B2C88CB" w14:textId="77777777" w:rsidR="00097DD4" w:rsidRPr="003B66BF" w:rsidRDefault="00097DD4" w:rsidP="00097DD4">
      <w:pPr>
        <w:pStyle w:val="NormalWeb"/>
        <w:numPr>
          <w:ilvl w:val="0"/>
          <w:numId w:val="41"/>
        </w:numPr>
        <w:spacing w:before="120" w:beforeAutospacing="0" w:after="120" w:afterAutospacing="0"/>
        <w:ind w:left="714" w:hanging="357"/>
        <w:jc w:val="both"/>
        <w:rPr>
          <w:rFonts w:ascii="Arial" w:hAnsi="Arial" w:cs="Arial"/>
          <w:sz w:val="22"/>
          <w:szCs w:val="22"/>
        </w:rPr>
      </w:pPr>
      <w:r w:rsidRPr="003B66BF">
        <w:rPr>
          <w:rStyle w:val="Strong"/>
          <w:rFonts w:ascii="Arial" w:eastAsiaTheme="majorEastAsia" w:hAnsi="Arial" w:cs="Arial"/>
          <w:sz w:val="22"/>
          <w:szCs w:val="22"/>
        </w:rPr>
        <w:t>Botum Sakor peat-mangroves</w:t>
      </w:r>
      <w:r w:rsidRPr="003B66BF">
        <w:rPr>
          <w:rFonts w:ascii="Arial" w:hAnsi="Arial" w:cs="Arial"/>
          <w:sz w:val="22"/>
          <w:szCs w:val="22"/>
        </w:rPr>
        <w:t xml:space="preserve"> (~4,768 ha; peat 0.5–1.0 m, max ~1.35 m; ≥26 plant species) are a rare blue-carbon asset, requiring “hydrology-first” protection to avoid irreversible carbon loss and weaker coastal defence.</w:t>
      </w:r>
    </w:p>
    <w:p w14:paraId="7688D320" w14:textId="77777777" w:rsidR="00097DD4" w:rsidRPr="003B66BF" w:rsidRDefault="00097DD4" w:rsidP="00097DD4">
      <w:pPr>
        <w:pStyle w:val="NormalWeb"/>
        <w:numPr>
          <w:ilvl w:val="0"/>
          <w:numId w:val="41"/>
        </w:numPr>
        <w:spacing w:before="120" w:beforeAutospacing="0" w:after="120" w:afterAutospacing="0"/>
        <w:ind w:left="714" w:hanging="357"/>
        <w:jc w:val="both"/>
        <w:rPr>
          <w:rFonts w:ascii="Arial" w:hAnsi="Arial" w:cs="Arial"/>
          <w:sz w:val="22"/>
          <w:szCs w:val="22"/>
        </w:rPr>
      </w:pPr>
      <w:r w:rsidRPr="003B66BF">
        <w:rPr>
          <w:rStyle w:val="Strong"/>
          <w:rFonts w:ascii="Arial" w:eastAsiaTheme="majorEastAsia" w:hAnsi="Arial" w:cs="Arial"/>
          <w:sz w:val="22"/>
          <w:szCs w:val="22"/>
        </w:rPr>
        <w:t>Peam Krasop–Koh Kapik</w:t>
      </w:r>
      <w:r w:rsidRPr="003B66BF">
        <w:rPr>
          <w:rFonts w:ascii="Arial" w:hAnsi="Arial" w:cs="Arial"/>
          <w:sz w:val="22"/>
          <w:szCs w:val="22"/>
        </w:rPr>
        <w:t xml:space="preserve"> is one of mainland SE Asia’s largest mangrove–intertidal systems and a key livelihood base; &gt;65% of nearby households derive 70–90% of income from wetland resources, so nursery loss or salinity/channel change has immediate welfare impacts.</w:t>
      </w:r>
    </w:p>
    <w:p w14:paraId="7A185B72" w14:textId="77777777" w:rsidR="00097DD4" w:rsidRPr="003B66BF" w:rsidRDefault="00097DD4" w:rsidP="00097DD4">
      <w:pPr>
        <w:pStyle w:val="NormalWeb"/>
        <w:numPr>
          <w:ilvl w:val="0"/>
          <w:numId w:val="41"/>
        </w:numPr>
        <w:spacing w:before="120" w:beforeAutospacing="0" w:after="120" w:afterAutospacing="0"/>
        <w:ind w:left="714" w:hanging="357"/>
        <w:jc w:val="both"/>
        <w:rPr>
          <w:rFonts w:ascii="Arial" w:hAnsi="Arial" w:cs="Arial"/>
          <w:sz w:val="22"/>
          <w:szCs w:val="22"/>
        </w:rPr>
      </w:pPr>
      <w:r w:rsidRPr="003B66BF">
        <w:rPr>
          <w:rStyle w:val="Strong"/>
          <w:rFonts w:ascii="Arial" w:eastAsiaTheme="majorEastAsia" w:hAnsi="Arial" w:cs="Arial"/>
          <w:sz w:val="22"/>
          <w:szCs w:val="22"/>
        </w:rPr>
        <w:t>Coral reefs</w:t>
      </w:r>
      <w:r w:rsidRPr="003B66BF">
        <w:rPr>
          <w:rFonts w:ascii="Arial" w:hAnsi="Arial" w:cs="Arial"/>
          <w:sz w:val="22"/>
          <w:szCs w:val="22"/>
        </w:rPr>
        <w:t xml:space="preserve"> are generally in “fair” condition but under cumulative pressure: Koh Rong reefs dominated by sediment-tolerant massive corals (~30% mean live cover); Kep retains high-cover pockets (e.g., Koh Seh ~64%). Overfishing, turbidity and bleaching drive structural simplification and losses for fisheries/tourism.</w:t>
      </w:r>
    </w:p>
    <w:p w14:paraId="1379291D" w14:textId="77777777" w:rsidR="00097DD4" w:rsidRPr="003B66BF" w:rsidRDefault="00097DD4" w:rsidP="00097DD4">
      <w:pPr>
        <w:pStyle w:val="NormalWeb"/>
        <w:numPr>
          <w:ilvl w:val="0"/>
          <w:numId w:val="41"/>
        </w:numPr>
        <w:spacing w:before="120" w:beforeAutospacing="0" w:after="120" w:afterAutospacing="0"/>
        <w:ind w:left="714" w:hanging="357"/>
        <w:jc w:val="both"/>
        <w:rPr>
          <w:rFonts w:ascii="Arial" w:hAnsi="Arial" w:cs="Arial"/>
          <w:sz w:val="22"/>
          <w:szCs w:val="22"/>
        </w:rPr>
      </w:pPr>
      <w:r w:rsidRPr="003B66BF">
        <w:rPr>
          <w:rStyle w:val="Strong"/>
          <w:rFonts w:ascii="Arial" w:eastAsiaTheme="majorEastAsia" w:hAnsi="Arial" w:cs="Arial"/>
          <w:sz w:val="22"/>
          <w:szCs w:val="22"/>
        </w:rPr>
        <w:t>Seagrass meadows</w:t>
      </w:r>
      <w:r w:rsidRPr="003B66BF">
        <w:rPr>
          <w:rFonts w:ascii="Arial" w:hAnsi="Arial" w:cs="Arial"/>
          <w:sz w:val="22"/>
          <w:szCs w:val="22"/>
        </w:rPr>
        <w:t xml:space="preserve"> (~11,500 ha in Kep–Kampot, plus major beds off Peam Krasop and Prey Nob/Steung Hav) are extensive but highly sensitive to trawling and turbidity—recovering where trawl controls hold, declining where dredging, shoreline works and runoff limit light.</w:t>
      </w:r>
    </w:p>
    <w:p w14:paraId="2A2B0B63" w14:textId="77777777" w:rsidR="00097DD4" w:rsidRPr="003B66BF" w:rsidRDefault="00097DD4" w:rsidP="00097DD4">
      <w:pPr>
        <w:pStyle w:val="NormalWeb"/>
        <w:numPr>
          <w:ilvl w:val="0"/>
          <w:numId w:val="41"/>
        </w:numPr>
        <w:spacing w:before="120" w:beforeAutospacing="0" w:after="120" w:afterAutospacing="0"/>
        <w:ind w:left="714" w:hanging="357"/>
        <w:jc w:val="both"/>
        <w:rPr>
          <w:rFonts w:ascii="Arial" w:hAnsi="Arial" w:cs="Arial"/>
          <w:sz w:val="22"/>
          <w:szCs w:val="22"/>
        </w:rPr>
      </w:pPr>
      <w:r w:rsidRPr="003B66BF">
        <w:rPr>
          <w:rStyle w:val="Strong"/>
          <w:rFonts w:ascii="Arial" w:eastAsiaTheme="majorEastAsia" w:hAnsi="Arial" w:cs="Arial"/>
          <w:sz w:val="22"/>
          <w:szCs w:val="22"/>
        </w:rPr>
        <w:t>Globally significant fauna</w:t>
      </w:r>
      <w:r w:rsidRPr="003B66BF">
        <w:rPr>
          <w:rFonts w:ascii="Arial" w:hAnsi="Arial" w:cs="Arial"/>
          <w:sz w:val="22"/>
          <w:szCs w:val="22"/>
        </w:rPr>
        <w:t xml:space="preserve"> persist at low abundance: Irrawaddy dolphins (EN) in Kep, dugongs and marine turtles along the coast, fishing cat and smooth-coated otter in mangroves—all facing bycatch and habitat-fragmentation risks.</w:t>
      </w:r>
    </w:p>
    <w:p w14:paraId="5060A43D" w14:textId="77777777" w:rsidR="00097DD4" w:rsidRPr="003B66BF" w:rsidRDefault="00097DD4" w:rsidP="00097DD4">
      <w:pPr>
        <w:pStyle w:val="NormalWeb"/>
        <w:numPr>
          <w:ilvl w:val="0"/>
          <w:numId w:val="41"/>
        </w:numPr>
        <w:spacing w:before="120" w:beforeAutospacing="0" w:after="120" w:afterAutospacing="0"/>
        <w:ind w:left="714" w:hanging="357"/>
        <w:jc w:val="both"/>
        <w:rPr>
          <w:rFonts w:ascii="Arial" w:hAnsi="Arial" w:cs="Arial"/>
          <w:sz w:val="22"/>
          <w:szCs w:val="22"/>
        </w:rPr>
      </w:pPr>
      <w:r w:rsidRPr="003B66BF">
        <w:rPr>
          <w:rStyle w:val="Strong"/>
          <w:rFonts w:ascii="Arial" w:eastAsiaTheme="majorEastAsia" w:hAnsi="Arial" w:cs="Arial"/>
          <w:sz w:val="22"/>
          <w:szCs w:val="22"/>
        </w:rPr>
        <w:t>Three sensitivity hotspots</w:t>
      </w:r>
      <w:r w:rsidRPr="003B66BF">
        <w:rPr>
          <w:rFonts w:ascii="Arial" w:hAnsi="Arial" w:cs="Arial"/>
          <w:sz w:val="22"/>
          <w:szCs w:val="22"/>
        </w:rPr>
        <w:t xml:space="preserve"> stand out: (i) Botum Sakor peat-mangroves; (ii) Peam Krasop–Koh Kapik connectivity complex; (iii) Kep–Kampot seagrass corridor (blue-carbon and nursery values but strong trawl/light pressures).</w:t>
      </w:r>
    </w:p>
    <w:p w14:paraId="268998BF" w14:textId="77777777" w:rsidR="00097DD4" w:rsidRPr="003B66BF" w:rsidRDefault="00097DD4" w:rsidP="00097DD4">
      <w:pPr>
        <w:pStyle w:val="NormalWeb"/>
        <w:numPr>
          <w:ilvl w:val="0"/>
          <w:numId w:val="41"/>
        </w:numPr>
        <w:spacing w:before="120" w:beforeAutospacing="0" w:after="120" w:afterAutospacing="0"/>
        <w:ind w:left="714" w:hanging="357"/>
        <w:jc w:val="both"/>
        <w:rPr>
          <w:rFonts w:ascii="Arial" w:hAnsi="Arial" w:cs="Arial"/>
          <w:sz w:val="22"/>
          <w:szCs w:val="22"/>
        </w:rPr>
      </w:pPr>
      <w:r w:rsidRPr="003B66BF">
        <w:rPr>
          <w:rStyle w:val="Strong"/>
          <w:rFonts w:ascii="Arial" w:eastAsiaTheme="majorEastAsia" w:hAnsi="Arial" w:cs="Arial"/>
          <w:sz w:val="22"/>
          <w:szCs w:val="22"/>
        </w:rPr>
        <w:t>Low-cost, high-return actions</w:t>
      </w:r>
      <w:r w:rsidRPr="003B66BF">
        <w:rPr>
          <w:rFonts w:ascii="Arial" w:hAnsi="Arial" w:cs="Arial"/>
          <w:sz w:val="22"/>
          <w:szCs w:val="22"/>
        </w:rPr>
        <w:t xml:space="preserve"> include hydrologic safeguards in peat-mangroves, anti-trawl networks and patrol fuel for CFis, targeted closures around megafauna bycatch areas, and basic wastewater controls in growth nodes to prevent major income and asset losses while enabling blue-carbon/tourism gains.</w:t>
      </w:r>
    </w:p>
    <w:p w14:paraId="07B59009" w14:textId="77777777" w:rsidR="00097DD4" w:rsidRPr="003B66BF" w:rsidRDefault="00097DD4" w:rsidP="00097DD4">
      <w:pPr>
        <w:pStyle w:val="NormalWeb"/>
        <w:numPr>
          <w:ilvl w:val="0"/>
          <w:numId w:val="41"/>
        </w:numPr>
        <w:spacing w:before="120" w:beforeAutospacing="0" w:after="120" w:afterAutospacing="0"/>
        <w:ind w:left="714" w:hanging="357"/>
        <w:jc w:val="both"/>
        <w:rPr>
          <w:rFonts w:ascii="Arial" w:hAnsi="Arial" w:cs="Arial"/>
          <w:sz w:val="22"/>
          <w:szCs w:val="22"/>
        </w:rPr>
      </w:pPr>
      <w:r w:rsidRPr="003B66BF">
        <w:rPr>
          <w:rStyle w:val="Strong"/>
          <w:rFonts w:ascii="Arial" w:eastAsiaTheme="majorEastAsia" w:hAnsi="Arial" w:cs="Arial"/>
          <w:sz w:val="22"/>
          <w:szCs w:val="22"/>
        </w:rPr>
        <w:t>Transboundary stakes</w:t>
      </w:r>
      <w:r w:rsidRPr="003B66BF">
        <w:rPr>
          <w:rFonts w:ascii="Arial" w:hAnsi="Arial" w:cs="Arial"/>
          <w:sz w:val="22"/>
          <w:szCs w:val="22"/>
        </w:rPr>
        <w:t xml:space="preserve"> are significant: reef and seagrass health affects migratory stocks and tourism across the Gulf of Thailand; aligned standards on water quality, IUU control and spill/emergency readiness with Thailand and Viet Nam can magnify benefits.</w:t>
      </w:r>
    </w:p>
    <w:p w14:paraId="5B636908" w14:textId="77777777" w:rsidR="00097DD4" w:rsidRPr="003B66BF" w:rsidRDefault="00097DD4" w:rsidP="00097DD4">
      <w:pPr>
        <w:pStyle w:val="NormalWeb"/>
        <w:numPr>
          <w:ilvl w:val="0"/>
          <w:numId w:val="41"/>
        </w:numPr>
        <w:spacing w:before="120" w:beforeAutospacing="0" w:after="120" w:afterAutospacing="0"/>
        <w:ind w:left="714" w:hanging="357"/>
        <w:jc w:val="both"/>
        <w:rPr>
          <w:rFonts w:ascii="Arial" w:hAnsi="Arial" w:cs="Arial"/>
          <w:sz w:val="22"/>
          <w:szCs w:val="22"/>
        </w:rPr>
      </w:pPr>
      <w:r w:rsidRPr="003B66BF">
        <w:rPr>
          <w:rStyle w:val="Strong"/>
          <w:rFonts w:ascii="Arial" w:eastAsiaTheme="majorEastAsia" w:hAnsi="Arial" w:cs="Arial"/>
          <w:sz w:val="22"/>
          <w:szCs w:val="22"/>
        </w:rPr>
        <w:t>Management is improving but needs scaling:</w:t>
      </w:r>
      <w:r w:rsidRPr="003B66BF">
        <w:rPr>
          <w:rFonts w:ascii="Arial" w:hAnsi="Arial" w:cs="Arial"/>
          <w:sz w:val="22"/>
          <w:szCs w:val="22"/>
        </w:rPr>
        <w:t xml:space="preserve"> the mixed MNP–MFMA–CFi/CPA model works where zoning, enforcement and monitoring are funded; priorities are harmonising MoE–FiA rules (notably Koh Rong), fast-tracking Kampot MFMA, embedding joint habitat/water-quality monitoring, and securing sustained finance (user fees, fines, blue-carbon/seagrass credits).</w:t>
      </w:r>
    </w:p>
    <w:p w14:paraId="0FC147DA" w14:textId="77777777" w:rsidR="003867DE" w:rsidRPr="003B66BF" w:rsidRDefault="00FC0C12" w:rsidP="00FC0C12">
      <w:pPr>
        <w:pStyle w:val="Heading2"/>
        <w:spacing w:before="240" w:after="240"/>
        <w:jc w:val="both"/>
        <w:rPr>
          <w:rFonts w:ascii="Arial" w:hAnsi="Arial" w:cs="Arial"/>
          <w:b/>
          <w:bCs/>
          <w:sz w:val="28"/>
          <w:szCs w:val="28"/>
        </w:rPr>
      </w:pPr>
      <w:bookmarkStart w:id="2" w:name="_Toc217231947"/>
      <w:r w:rsidRPr="003B66BF">
        <w:rPr>
          <w:rFonts w:ascii="Arial" w:hAnsi="Arial" w:cs="Arial"/>
          <w:b/>
          <w:bCs/>
          <w:sz w:val="28"/>
          <w:szCs w:val="28"/>
        </w:rPr>
        <w:t xml:space="preserve">4.2 </w:t>
      </w:r>
      <w:r w:rsidR="003867DE" w:rsidRPr="003B66BF">
        <w:rPr>
          <w:rFonts w:ascii="Arial" w:hAnsi="Arial" w:cs="Arial"/>
          <w:b/>
          <w:bCs/>
          <w:sz w:val="28"/>
          <w:szCs w:val="28"/>
        </w:rPr>
        <w:t xml:space="preserve">Current </w:t>
      </w:r>
      <w:r w:rsidR="00003968" w:rsidRPr="003B66BF">
        <w:rPr>
          <w:rFonts w:ascii="Arial" w:hAnsi="Arial" w:cs="Arial"/>
          <w:b/>
          <w:bCs/>
          <w:sz w:val="28"/>
          <w:szCs w:val="28"/>
        </w:rPr>
        <w:t>S</w:t>
      </w:r>
      <w:r w:rsidR="003867DE" w:rsidRPr="003B66BF">
        <w:rPr>
          <w:rFonts w:ascii="Arial" w:hAnsi="Arial" w:cs="Arial"/>
          <w:b/>
          <w:bCs/>
          <w:sz w:val="28"/>
          <w:szCs w:val="28"/>
        </w:rPr>
        <w:t>tatus</w:t>
      </w:r>
      <w:bookmarkEnd w:id="2"/>
    </w:p>
    <w:p w14:paraId="04EE37E9" w14:textId="77777777" w:rsidR="003867DE" w:rsidRDefault="00601E87" w:rsidP="00601E87">
      <w:pPr>
        <w:pStyle w:val="Heading3"/>
        <w:spacing w:before="240" w:after="240"/>
        <w:jc w:val="both"/>
        <w:rPr>
          <w:rFonts w:ascii="Arial" w:hAnsi="Arial" w:cs="Arial"/>
          <w:b/>
          <w:bCs/>
          <w:color w:val="000000" w:themeColor="text1"/>
        </w:rPr>
      </w:pPr>
      <w:bookmarkStart w:id="3" w:name="_Toc217231948"/>
      <w:r w:rsidRPr="003B66BF">
        <w:rPr>
          <w:rFonts w:ascii="Arial" w:hAnsi="Arial" w:cs="Arial"/>
          <w:b/>
          <w:bCs/>
          <w:color w:val="000000" w:themeColor="text1"/>
        </w:rPr>
        <w:t xml:space="preserve">4.2.1 </w:t>
      </w:r>
      <w:r w:rsidR="003867DE" w:rsidRPr="003B66BF">
        <w:rPr>
          <w:rFonts w:ascii="Arial" w:hAnsi="Arial" w:cs="Arial"/>
          <w:b/>
          <w:bCs/>
          <w:color w:val="000000" w:themeColor="text1"/>
        </w:rPr>
        <w:t xml:space="preserve">Mangroves and </w:t>
      </w:r>
      <w:r w:rsidR="005332D8" w:rsidRPr="003B66BF">
        <w:rPr>
          <w:rFonts w:ascii="Arial" w:hAnsi="Arial" w:cs="Arial"/>
          <w:b/>
          <w:bCs/>
          <w:color w:val="000000" w:themeColor="text1"/>
        </w:rPr>
        <w:t>W</w:t>
      </w:r>
      <w:r w:rsidR="003867DE" w:rsidRPr="003B66BF">
        <w:rPr>
          <w:rFonts w:ascii="Arial" w:hAnsi="Arial" w:cs="Arial"/>
          <w:b/>
          <w:bCs/>
          <w:color w:val="000000" w:themeColor="text1"/>
        </w:rPr>
        <w:t>etlands</w:t>
      </w:r>
      <w:bookmarkEnd w:id="3"/>
    </w:p>
    <w:p w14:paraId="712C5491" w14:textId="41CF9420" w:rsidR="001C028F" w:rsidRPr="001C028F" w:rsidRDefault="001C028F" w:rsidP="001C028F">
      <w:pPr>
        <w:jc w:val="both"/>
        <w:rPr>
          <w:rFonts w:ascii="Arial" w:hAnsi="Arial" w:cs="Arial"/>
          <w:sz w:val="22"/>
          <w:szCs w:val="22"/>
        </w:rPr>
      </w:pPr>
      <w:r w:rsidRPr="001C028F">
        <w:rPr>
          <w:rFonts w:ascii="Arial" w:hAnsi="Arial" w:cs="Arial"/>
          <w:sz w:val="22"/>
          <w:szCs w:val="22"/>
        </w:rPr>
        <w:t xml:space="preserve">See </w:t>
      </w:r>
      <w:r w:rsidRPr="00CA1A5A">
        <w:rPr>
          <w:rFonts w:ascii="Arial" w:hAnsi="Arial" w:cs="Arial"/>
          <w:sz w:val="22"/>
          <w:szCs w:val="22"/>
        </w:rPr>
        <w:fldChar w:fldCharType="begin"/>
      </w:r>
      <w:r w:rsidRPr="00CA1A5A">
        <w:rPr>
          <w:rFonts w:ascii="Arial" w:hAnsi="Arial" w:cs="Arial"/>
          <w:sz w:val="22"/>
          <w:szCs w:val="22"/>
        </w:rPr>
        <w:instrText xml:space="preserve"> REF _Ref216612174 \h  \* MERGEFORMAT </w:instrText>
      </w:r>
      <w:r w:rsidRPr="00CA1A5A">
        <w:rPr>
          <w:rFonts w:ascii="Arial" w:hAnsi="Arial" w:cs="Arial"/>
          <w:sz w:val="22"/>
          <w:szCs w:val="22"/>
        </w:rPr>
      </w:r>
      <w:r w:rsidRPr="00CA1A5A">
        <w:rPr>
          <w:rFonts w:ascii="Arial" w:hAnsi="Arial" w:cs="Arial"/>
          <w:sz w:val="22"/>
          <w:szCs w:val="22"/>
        </w:rPr>
        <w:fldChar w:fldCharType="separate"/>
      </w:r>
      <w:r w:rsidR="00802509" w:rsidRPr="00802509">
        <w:rPr>
          <w:rFonts w:ascii="Arial" w:hAnsi="Arial" w:cs="Arial"/>
          <w:color w:val="0070C0"/>
          <w:sz w:val="22"/>
          <w:szCs w:val="22"/>
        </w:rPr>
        <w:t>Annex 4-5</w:t>
      </w:r>
      <w:r w:rsidRPr="00CA1A5A">
        <w:rPr>
          <w:rFonts w:ascii="Arial" w:hAnsi="Arial" w:cs="Arial"/>
          <w:sz w:val="22"/>
          <w:szCs w:val="22"/>
        </w:rPr>
        <w:fldChar w:fldCharType="end"/>
      </w:r>
      <w:r>
        <w:rPr>
          <w:rFonts w:ascii="Arial" w:hAnsi="Arial" w:cs="Arial"/>
          <w:sz w:val="22"/>
          <w:szCs w:val="22"/>
        </w:rPr>
        <w:t xml:space="preserve"> </w:t>
      </w:r>
      <w:r w:rsidRPr="001C028F">
        <w:rPr>
          <w:rFonts w:ascii="Arial" w:hAnsi="Arial" w:cs="Arial"/>
          <w:sz w:val="22"/>
          <w:szCs w:val="22"/>
        </w:rPr>
        <w:t xml:space="preserve">for the extended explanatory note on mangrove datasets, historical trends, and Ramsar wetland system connectivity relevant to the site-specific information presented in </w:t>
      </w:r>
      <w:r w:rsidRPr="00CA1A5A">
        <w:rPr>
          <w:rFonts w:ascii="Arial" w:hAnsi="Arial" w:cs="Arial"/>
          <w:b/>
          <w:bCs/>
          <w:sz w:val="22"/>
          <w:szCs w:val="22"/>
        </w:rPr>
        <w:t>Sections 4.2.1.1–4.2.1.2</w:t>
      </w:r>
      <w:r>
        <w:rPr>
          <w:rFonts w:ascii="Arial" w:hAnsi="Arial" w:cs="Arial"/>
          <w:sz w:val="22"/>
          <w:szCs w:val="22"/>
        </w:rPr>
        <w:t xml:space="preserve"> below</w:t>
      </w:r>
      <w:r w:rsidRPr="001C028F">
        <w:rPr>
          <w:rFonts w:ascii="Arial" w:hAnsi="Arial" w:cs="Arial"/>
          <w:sz w:val="22"/>
          <w:szCs w:val="22"/>
        </w:rPr>
        <w:t>.</w:t>
      </w:r>
    </w:p>
    <w:p w14:paraId="41E3A496" w14:textId="77777777" w:rsidR="00D379A8" w:rsidRPr="00E62D7D" w:rsidRDefault="00D379A8" w:rsidP="00D379A8">
      <w:pPr>
        <w:pStyle w:val="Heading4"/>
        <w:rPr>
          <w:rFonts w:ascii="Arial" w:hAnsi="Arial" w:cs="Arial"/>
          <w:b/>
          <w:bCs/>
          <w:i w:val="0"/>
          <w:iCs w:val="0"/>
          <w:color w:val="0070C0"/>
          <w:sz w:val="22"/>
          <w:szCs w:val="22"/>
        </w:rPr>
      </w:pPr>
      <w:r w:rsidRPr="00E62D7D">
        <w:rPr>
          <w:rFonts w:ascii="Arial" w:hAnsi="Arial" w:cs="Arial"/>
          <w:b/>
          <w:bCs/>
          <w:i w:val="0"/>
          <w:iCs w:val="0"/>
          <w:color w:val="0070C0"/>
          <w:sz w:val="22"/>
          <w:szCs w:val="22"/>
        </w:rPr>
        <w:t xml:space="preserve">4.2.1.1 </w:t>
      </w:r>
      <w:r w:rsidR="004166AF" w:rsidRPr="00E62D7D">
        <w:rPr>
          <w:rFonts w:ascii="Arial" w:hAnsi="Arial" w:cs="Arial"/>
          <w:b/>
          <w:bCs/>
          <w:i w:val="0"/>
          <w:iCs w:val="0"/>
          <w:color w:val="0070C0"/>
          <w:sz w:val="22"/>
          <w:szCs w:val="22"/>
        </w:rPr>
        <w:t>Status</w:t>
      </w:r>
      <w:r w:rsidRPr="00E62D7D">
        <w:rPr>
          <w:rFonts w:ascii="Arial" w:hAnsi="Arial" w:cs="Arial"/>
          <w:b/>
          <w:bCs/>
          <w:i w:val="0"/>
          <w:iCs w:val="0"/>
          <w:color w:val="0070C0"/>
          <w:sz w:val="22"/>
          <w:szCs w:val="22"/>
        </w:rPr>
        <w:t xml:space="preserve"> and distribution</w:t>
      </w:r>
    </w:p>
    <w:p w14:paraId="5DCC6B4D" w14:textId="32F97A78" w:rsidR="009C30D3" w:rsidRPr="003B66BF" w:rsidRDefault="009C30D3" w:rsidP="00182836">
      <w:pPr>
        <w:spacing w:before="240" w:after="240"/>
        <w:jc w:val="both"/>
        <w:rPr>
          <w:rFonts w:ascii="Arial" w:hAnsi="Arial" w:cs="Arial"/>
          <w:sz w:val="21"/>
          <w:szCs w:val="21"/>
        </w:rPr>
      </w:pPr>
      <w:r w:rsidRPr="003B66BF">
        <w:rPr>
          <w:rFonts w:ascii="Arial" w:hAnsi="Arial" w:cs="Arial"/>
          <w:b/>
          <w:bCs/>
          <w:sz w:val="22"/>
          <w:szCs w:val="22"/>
        </w:rPr>
        <w:t>Mangrove:</w:t>
      </w:r>
      <w:r w:rsidRPr="003B66BF">
        <w:rPr>
          <w:rFonts w:ascii="Arial" w:hAnsi="Arial" w:cs="Arial"/>
          <w:sz w:val="22"/>
          <w:szCs w:val="22"/>
        </w:rPr>
        <w:t xml:space="preserve"> National mangrove extent varies widely by dataset (≈45,000–63,000 ha) and is concentrated in Koh Kong with smaller estuarine belts in Kampot–Preah Sihanouk (Bunting et al., 2022; PEMSEA &amp; MoE, 2019; MoE, 2025a). Historic statistics indicate substantial losses in the 1990s–2000s, but recent MoE mapping (Sentinel-2, 10 m) shows (</w:t>
      </w:r>
      <w:r w:rsidRPr="003B66BF">
        <w:rPr>
          <w:rFonts w:ascii="Arial" w:hAnsi="Arial" w:cs="Arial"/>
          <w:sz w:val="22"/>
          <w:szCs w:val="22"/>
        </w:rPr>
        <w:fldChar w:fldCharType="begin"/>
      </w:r>
      <w:r w:rsidRPr="003B66BF">
        <w:rPr>
          <w:rFonts w:ascii="Arial" w:hAnsi="Arial" w:cs="Arial"/>
          <w:sz w:val="22"/>
          <w:szCs w:val="22"/>
        </w:rPr>
        <w:instrText xml:space="preserve"> REF _Ref216609298 \h </w:instrText>
      </w:r>
      <w:r w:rsidR="003B66BF">
        <w:rPr>
          <w:rFonts w:ascii="Arial" w:hAnsi="Arial" w:cs="Arial"/>
          <w:sz w:val="22"/>
          <w:szCs w:val="22"/>
        </w:rPr>
        <w:instrText xml:space="preserve"> \* MERGEFORMAT </w:instrText>
      </w:r>
      <w:r w:rsidRPr="003B66BF">
        <w:rPr>
          <w:rFonts w:ascii="Arial" w:hAnsi="Arial" w:cs="Arial"/>
          <w:sz w:val="22"/>
          <w:szCs w:val="22"/>
        </w:rPr>
      </w:r>
      <w:r w:rsidRPr="003B66BF">
        <w:rPr>
          <w:rFonts w:ascii="Arial" w:hAnsi="Arial" w:cs="Arial"/>
          <w:sz w:val="22"/>
          <w:szCs w:val="22"/>
        </w:rPr>
        <w:fldChar w:fldCharType="separate"/>
      </w:r>
      <w:r w:rsidR="00802509" w:rsidRPr="003B66BF">
        <w:rPr>
          <w:rFonts w:ascii="Arial" w:hAnsi="Arial" w:cs="Arial"/>
          <w:color w:val="002060"/>
          <w:sz w:val="22"/>
          <w:szCs w:val="22"/>
        </w:rPr>
        <w:t>Figure 4-</w:t>
      </w:r>
      <w:r w:rsidR="00802509">
        <w:rPr>
          <w:rFonts w:ascii="Arial" w:hAnsi="Arial" w:cs="Arial"/>
          <w:color w:val="002060"/>
          <w:sz w:val="22"/>
          <w:szCs w:val="22"/>
        </w:rPr>
        <w:t>1</w:t>
      </w:r>
      <w:r w:rsidRPr="003B66BF">
        <w:rPr>
          <w:rFonts w:ascii="Arial" w:hAnsi="Arial" w:cs="Arial"/>
          <w:sz w:val="22"/>
          <w:szCs w:val="22"/>
        </w:rPr>
        <w:fldChar w:fldCharType="end"/>
      </w:r>
      <w:r w:rsidRPr="003B66BF">
        <w:rPr>
          <w:rFonts w:ascii="Arial" w:hAnsi="Arial" w:cs="Arial"/>
          <w:sz w:val="22"/>
          <w:szCs w:val="22"/>
        </w:rPr>
        <w:t xml:space="preserve">) a slower decline from </w:t>
      </w:r>
      <w:r w:rsidRPr="003B66BF">
        <w:rPr>
          <w:rStyle w:val="Strong"/>
          <w:rFonts w:ascii="Arial" w:hAnsi="Arial" w:cs="Arial"/>
          <w:sz w:val="22"/>
          <w:szCs w:val="22"/>
        </w:rPr>
        <w:t>58,866 ha (2014)</w:t>
      </w:r>
      <w:r w:rsidRPr="003B66BF">
        <w:rPr>
          <w:rFonts w:ascii="Arial" w:hAnsi="Arial" w:cs="Arial"/>
          <w:sz w:val="22"/>
          <w:szCs w:val="22"/>
        </w:rPr>
        <w:t xml:space="preserve"> to </w:t>
      </w:r>
      <w:r w:rsidRPr="003B66BF">
        <w:rPr>
          <w:rStyle w:val="Strong"/>
          <w:rFonts w:ascii="Arial" w:hAnsi="Arial" w:cs="Arial"/>
          <w:sz w:val="22"/>
          <w:szCs w:val="22"/>
        </w:rPr>
        <w:t>55,355 ha (2025)</w:t>
      </w:r>
      <w:r w:rsidRPr="003B66BF">
        <w:rPr>
          <w:rFonts w:ascii="Arial" w:hAnsi="Arial" w:cs="Arial"/>
          <w:sz w:val="22"/>
          <w:szCs w:val="22"/>
        </w:rPr>
        <w:t xml:space="preserve"> (−3,510 ha; ≈−319 ha/year; −6%). Losses are uneven: </w:t>
      </w:r>
      <w:r w:rsidRPr="003B66BF">
        <w:rPr>
          <w:rStyle w:val="Strong"/>
          <w:rFonts w:ascii="Arial" w:hAnsi="Arial" w:cs="Arial"/>
          <w:sz w:val="22"/>
          <w:szCs w:val="22"/>
        </w:rPr>
        <w:t>Koh Kong accounts for ~64%</w:t>
      </w:r>
      <w:r w:rsidRPr="003B66BF">
        <w:rPr>
          <w:rFonts w:ascii="Arial" w:hAnsi="Arial" w:cs="Arial"/>
          <w:sz w:val="22"/>
          <w:szCs w:val="22"/>
        </w:rPr>
        <w:t xml:space="preserve"> of the 2014–2025 loss, with smaller losses in Preah Sihanouk and fragmented parcels in Kampot and Kep.</w:t>
      </w:r>
    </w:p>
    <w:p w14:paraId="1068603B" w14:textId="77777777" w:rsidR="00C75903" w:rsidRPr="003B66BF" w:rsidRDefault="00C75903" w:rsidP="00097DD4">
      <w:pPr>
        <w:adjustRightInd w:val="0"/>
        <w:snapToGrid w:val="0"/>
        <w:jc w:val="center"/>
        <w:rPr>
          <w:rFonts w:ascii="Arial" w:hAnsi="Arial" w:cs="Arial"/>
          <w:sz w:val="22"/>
          <w:szCs w:val="22"/>
        </w:rPr>
      </w:pPr>
      <w:r w:rsidRPr="003B66BF">
        <w:rPr>
          <w:rFonts w:ascii="Arial" w:hAnsi="Arial" w:cs="Arial"/>
          <w:noProof/>
        </w:rPr>
        <w:drawing>
          <wp:inline distT="0" distB="0" distL="0" distR="0" wp14:anchorId="02AFE901" wp14:editId="0550849D">
            <wp:extent cx="5581396" cy="4016704"/>
            <wp:effectExtent l="12700" t="12700" r="6985" b="9525"/>
            <wp:docPr id="271127619" name="Picture 3" descr="A map of the se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127619" name="Picture 3" descr="A map of the sea&#10;&#10;AI-generated content may be incorrect."/>
                    <pic:cNvPicPr/>
                  </pic:nvPicPr>
                  <pic:blipFill rotWithShape="1">
                    <a:blip r:embed="rId9">
                      <a:extLst>
                        <a:ext uri="{28A0092B-C50C-407E-A947-70E740481C1C}">
                          <a14:useLocalDpi xmlns:a14="http://schemas.microsoft.com/office/drawing/2010/main" val="0"/>
                        </a:ext>
                      </a:extLst>
                    </a:blip>
                    <a:srcRect l="658"/>
                    <a:stretch>
                      <a:fillRect/>
                    </a:stretch>
                  </pic:blipFill>
                  <pic:spPr bwMode="auto">
                    <a:xfrm>
                      <a:off x="0" y="0"/>
                      <a:ext cx="5620126" cy="4044576"/>
                    </a:xfrm>
                    <a:prstGeom prst="rect">
                      <a:avLst/>
                    </a:prstGeom>
                    <a:ln>
                      <a:solidFill>
                        <a:schemeClr val="accent1"/>
                      </a:solidFill>
                    </a:ln>
                    <a:extLst>
                      <a:ext uri="{53640926-AAD7-44D8-BBD7-CCE9431645EC}">
                        <a14:shadowObscured xmlns:a14="http://schemas.microsoft.com/office/drawing/2010/main"/>
                      </a:ext>
                    </a:extLst>
                  </pic:spPr>
                </pic:pic>
              </a:graphicData>
            </a:graphic>
          </wp:inline>
        </w:drawing>
      </w:r>
    </w:p>
    <w:p w14:paraId="0F408177" w14:textId="7339E428" w:rsidR="00C75903" w:rsidRPr="003B66BF" w:rsidRDefault="00C75903" w:rsidP="00097DD4">
      <w:pPr>
        <w:pStyle w:val="Caption"/>
        <w:adjustRightInd w:val="0"/>
        <w:snapToGrid w:val="0"/>
        <w:spacing w:after="0"/>
        <w:rPr>
          <w:rFonts w:ascii="Arial" w:hAnsi="Arial" w:cs="Arial"/>
          <w:color w:val="002060"/>
          <w:sz w:val="22"/>
          <w:szCs w:val="22"/>
        </w:rPr>
      </w:pPr>
      <w:bookmarkStart w:id="4" w:name="_Ref216609298"/>
      <w:bookmarkStart w:id="5" w:name="_Toc216612617"/>
      <w:r w:rsidRPr="003B66BF">
        <w:rPr>
          <w:rFonts w:ascii="Arial" w:hAnsi="Arial" w:cs="Arial"/>
          <w:color w:val="002060"/>
          <w:sz w:val="22"/>
          <w:szCs w:val="22"/>
        </w:rPr>
        <w:t>Figure 4-</w:t>
      </w:r>
      <w:r w:rsidRPr="003B66BF">
        <w:rPr>
          <w:rFonts w:ascii="Arial" w:hAnsi="Arial" w:cs="Arial"/>
          <w:color w:val="002060"/>
          <w:sz w:val="22"/>
          <w:szCs w:val="22"/>
        </w:rPr>
        <w:fldChar w:fldCharType="begin"/>
      </w:r>
      <w:r w:rsidRPr="003B66BF">
        <w:rPr>
          <w:rFonts w:ascii="Arial" w:hAnsi="Arial" w:cs="Arial"/>
          <w:color w:val="002060"/>
          <w:sz w:val="22"/>
          <w:szCs w:val="22"/>
        </w:rPr>
        <w:instrText xml:space="preserve"> SEQ Figure_4- \* ARABIC </w:instrText>
      </w:r>
      <w:r w:rsidRPr="003B66BF">
        <w:rPr>
          <w:rFonts w:ascii="Arial" w:hAnsi="Arial" w:cs="Arial"/>
          <w:color w:val="002060"/>
          <w:sz w:val="22"/>
          <w:szCs w:val="22"/>
        </w:rPr>
        <w:fldChar w:fldCharType="separate"/>
      </w:r>
      <w:r w:rsidR="00802509">
        <w:rPr>
          <w:rFonts w:ascii="Arial" w:hAnsi="Arial" w:cs="Arial"/>
          <w:noProof/>
          <w:color w:val="002060"/>
          <w:sz w:val="22"/>
          <w:szCs w:val="22"/>
        </w:rPr>
        <w:t>1</w:t>
      </w:r>
      <w:r w:rsidRPr="003B66BF">
        <w:rPr>
          <w:rFonts w:ascii="Arial" w:hAnsi="Arial" w:cs="Arial"/>
          <w:color w:val="002060"/>
          <w:sz w:val="22"/>
          <w:szCs w:val="22"/>
        </w:rPr>
        <w:fldChar w:fldCharType="end"/>
      </w:r>
      <w:bookmarkEnd w:id="4"/>
      <w:r w:rsidRPr="003B66BF">
        <w:rPr>
          <w:rFonts w:ascii="Arial" w:hAnsi="Arial" w:cs="Arial"/>
          <w:color w:val="002060"/>
          <w:sz w:val="22"/>
          <w:szCs w:val="22"/>
        </w:rPr>
        <w:t xml:space="preserve"> Maps of mangrove changes from 2014-2025</w:t>
      </w:r>
      <w:bookmarkEnd w:id="5"/>
    </w:p>
    <w:p w14:paraId="38B37764" w14:textId="77777777" w:rsidR="00D379A8" w:rsidRPr="003B66BF" w:rsidRDefault="00C75903" w:rsidP="00097DD4">
      <w:pPr>
        <w:adjustRightInd w:val="0"/>
        <w:snapToGrid w:val="0"/>
        <w:rPr>
          <w:rFonts w:ascii="Arial" w:hAnsi="Arial" w:cs="Arial"/>
          <w:i/>
          <w:iCs/>
          <w:sz w:val="20"/>
          <w:szCs w:val="20"/>
        </w:rPr>
      </w:pPr>
      <w:r w:rsidRPr="003B66BF">
        <w:rPr>
          <w:rFonts w:ascii="Arial" w:hAnsi="Arial" w:cs="Arial"/>
          <w:b/>
          <w:bCs/>
          <w:i/>
          <w:iCs/>
          <w:sz w:val="18"/>
          <w:szCs w:val="18"/>
        </w:rPr>
        <w:t>Source:</w:t>
      </w:r>
      <w:r w:rsidRPr="003B66BF">
        <w:rPr>
          <w:rFonts w:ascii="Arial" w:hAnsi="Arial" w:cs="Arial"/>
          <w:i/>
          <w:iCs/>
          <w:sz w:val="18"/>
          <w:szCs w:val="18"/>
        </w:rPr>
        <w:t xml:space="preserve"> MoE,</w:t>
      </w:r>
      <w:r w:rsidR="00D379A8" w:rsidRPr="003B66BF">
        <w:rPr>
          <w:rFonts w:ascii="Arial" w:hAnsi="Arial" w:cs="Arial"/>
          <w:i/>
          <w:iCs/>
          <w:sz w:val="18"/>
          <w:szCs w:val="18"/>
        </w:rPr>
        <w:t xml:space="preserve"> </w:t>
      </w:r>
      <w:r w:rsidRPr="003B66BF">
        <w:rPr>
          <w:rFonts w:ascii="Arial" w:hAnsi="Arial" w:cs="Arial"/>
          <w:i/>
          <w:iCs/>
          <w:sz w:val="18"/>
          <w:szCs w:val="18"/>
        </w:rPr>
        <w:t>2025</w:t>
      </w:r>
      <w:r w:rsidR="00D379A8" w:rsidRPr="003B66BF">
        <w:rPr>
          <w:rFonts w:ascii="Arial" w:hAnsi="Arial" w:cs="Arial"/>
          <w:i/>
          <w:iCs/>
          <w:sz w:val="18"/>
          <w:szCs w:val="18"/>
        </w:rPr>
        <w:t xml:space="preserve">. </w:t>
      </w:r>
      <w:r w:rsidR="005A37D4" w:rsidRPr="003B66BF">
        <w:rPr>
          <w:rFonts w:ascii="Arial" w:hAnsi="Arial" w:cs="Arial"/>
          <w:i/>
          <w:iCs/>
          <w:sz w:val="18"/>
          <w:szCs w:val="18"/>
        </w:rPr>
        <w:t>Mangrove Assessment (</w:t>
      </w:r>
      <w:r w:rsidR="00573B0D" w:rsidRPr="003B66BF">
        <w:rPr>
          <w:rFonts w:ascii="Arial" w:hAnsi="Arial" w:cs="Arial"/>
          <w:i/>
          <w:iCs/>
          <w:sz w:val="18"/>
          <w:szCs w:val="18"/>
        </w:rPr>
        <w:t>o</w:t>
      </w:r>
      <w:r w:rsidR="00D379A8" w:rsidRPr="003B66BF">
        <w:rPr>
          <w:rFonts w:ascii="Arial" w:hAnsi="Arial" w:cs="Arial"/>
          <w:i/>
          <w:iCs/>
          <w:sz w:val="18"/>
          <w:szCs w:val="18"/>
        </w:rPr>
        <w:t>n going project</w:t>
      </w:r>
      <w:r w:rsidR="005A37D4" w:rsidRPr="003B66BF">
        <w:rPr>
          <w:rFonts w:ascii="Arial" w:hAnsi="Arial" w:cs="Arial"/>
          <w:i/>
          <w:iCs/>
          <w:sz w:val="18"/>
          <w:szCs w:val="18"/>
        </w:rPr>
        <w:t>)</w:t>
      </w:r>
    </w:p>
    <w:p w14:paraId="57F803E7" w14:textId="77777777" w:rsidR="005A37D4" w:rsidRPr="003B66BF" w:rsidRDefault="005A37D4" w:rsidP="005A37D4">
      <w:pPr>
        <w:rPr>
          <w:rFonts w:ascii="Arial" w:hAnsi="Arial" w:cs="Arial"/>
        </w:rPr>
      </w:pPr>
    </w:p>
    <w:p w14:paraId="60BAA72F" w14:textId="77777777" w:rsidR="00F26DBD" w:rsidRPr="003B66BF" w:rsidRDefault="00F4423B" w:rsidP="00182836">
      <w:pPr>
        <w:spacing w:after="160" w:line="278" w:lineRule="auto"/>
        <w:jc w:val="both"/>
        <w:rPr>
          <w:rFonts w:ascii="Arial" w:hAnsi="Arial" w:cs="Arial"/>
          <w:sz w:val="22"/>
          <w:szCs w:val="22"/>
        </w:rPr>
      </w:pPr>
      <w:r w:rsidRPr="003B66BF">
        <w:rPr>
          <w:rFonts w:ascii="Arial" w:hAnsi="Arial" w:cs="Arial"/>
          <w:b/>
          <w:bCs/>
          <w:sz w:val="22"/>
          <w:szCs w:val="22"/>
        </w:rPr>
        <w:t>Coastal wetlands:</w:t>
      </w:r>
      <w:r w:rsidRPr="003B66BF">
        <w:rPr>
          <w:rFonts w:ascii="Arial" w:hAnsi="Arial" w:cs="Arial"/>
          <w:sz w:val="22"/>
          <w:szCs w:val="22"/>
        </w:rPr>
        <w:t xml:space="preserve"> </w:t>
      </w:r>
      <w:r w:rsidR="00F26DBD" w:rsidRPr="003B66BF">
        <w:rPr>
          <w:rFonts w:ascii="Arial" w:hAnsi="Arial" w:cs="Arial"/>
          <w:sz w:val="22"/>
          <w:szCs w:val="22"/>
        </w:rPr>
        <w:t xml:space="preserve">Cambodia’s coastal wetlands and estuarine systems include the </w:t>
      </w:r>
      <w:r w:rsidR="00F26DBD" w:rsidRPr="003B66BF">
        <w:rPr>
          <w:rFonts w:ascii="Arial" w:hAnsi="Arial" w:cs="Arial"/>
          <w:b/>
          <w:bCs/>
          <w:sz w:val="22"/>
          <w:szCs w:val="22"/>
        </w:rPr>
        <w:t>Peam Krasaop Wildlife Sanctuary</w:t>
      </w:r>
      <w:r w:rsidR="00F26DBD" w:rsidRPr="003B66BF">
        <w:rPr>
          <w:rFonts w:ascii="Arial" w:hAnsi="Arial" w:cs="Arial"/>
          <w:sz w:val="22"/>
          <w:szCs w:val="22"/>
        </w:rPr>
        <w:t xml:space="preserve">, an extensive wetland complex recognized for its international importance under the Ramsar Convention. </w:t>
      </w:r>
      <w:r w:rsidR="00D379A8" w:rsidRPr="003B66BF">
        <w:rPr>
          <w:rFonts w:ascii="Arial" w:hAnsi="Arial" w:cs="Arial"/>
          <w:sz w:val="22"/>
          <w:szCs w:val="22"/>
        </w:rPr>
        <w:t xml:space="preserve">Peam Krasop complex and Koh Kapik &amp; Associated Islets Ramsar Site—filter nutrients and sediments, support East Asian–Australasian Flyway migrants, and underpin small-scale fisheries (Ramsar Secretariat, 2012; Fauna &amp; Flora, 2024). </w:t>
      </w:r>
      <w:r w:rsidR="00F26DBD" w:rsidRPr="003B66BF">
        <w:rPr>
          <w:rFonts w:ascii="Arial" w:hAnsi="Arial" w:cs="Arial"/>
          <w:sz w:val="22"/>
          <w:szCs w:val="22"/>
        </w:rPr>
        <w:t>The Peam Krasaop wetland also hosts community fisheries (CFi) that engage in participatory management. MoE’s efforts to develop management plans under the SCS SAP highlight the need for integrated wetland management at both local and regional levels.</w:t>
      </w:r>
    </w:p>
    <w:p w14:paraId="73AC8FFC" w14:textId="474D2321" w:rsidR="00D379A8" w:rsidRPr="00E62D7D" w:rsidRDefault="00D379A8" w:rsidP="00857A1E">
      <w:pPr>
        <w:pStyle w:val="Heading4"/>
        <w:keepLines w:val="0"/>
        <w:rPr>
          <w:rFonts w:ascii="Arial" w:hAnsi="Arial" w:cs="Arial"/>
          <w:b/>
          <w:bCs/>
          <w:i w:val="0"/>
          <w:iCs w:val="0"/>
          <w:color w:val="0070C0"/>
          <w:sz w:val="22"/>
          <w:szCs w:val="22"/>
        </w:rPr>
      </w:pPr>
      <w:r w:rsidRPr="00E62D7D">
        <w:rPr>
          <w:rFonts w:ascii="Arial" w:hAnsi="Arial" w:cs="Arial"/>
          <w:b/>
          <w:bCs/>
          <w:i w:val="0"/>
          <w:iCs w:val="0"/>
          <w:color w:val="0070C0"/>
          <w:sz w:val="22"/>
          <w:szCs w:val="22"/>
        </w:rPr>
        <w:t>4.2.1.</w:t>
      </w:r>
      <w:r w:rsidR="00C3497F" w:rsidRPr="00E62D7D">
        <w:rPr>
          <w:rFonts w:ascii="Arial" w:hAnsi="Arial" w:cs="Arial"/>
          <w:b/>
          <w:bCs/>
          <w:i w:val="0"/>
          <w:iCs w:val="0"/>
          <w:color w:val="0070C0"/>
          <w:sz w:val="22"/>
          <w:szCs w:val="22"/>
        </w:rPr>
        <w:t>2</w:t>
      </w:r>
      <w:r w:rsidRPr="00E62D7D">
        <w:rPr>
          <w:rFonts w:ascii="Arial" w:hAnsi="Arial" w:cs="Arial"/>
          <w:b/>
          <w:bCs/>
          <w:i w:val="0"/>
          <w:iCs w:val="0"/>
          <w:color w:val="0070C0"/>
          <w:sz w:val="22"/>
          <w:szCs w:val="22"/>
        </w:rPr>
        <w:t xml:space="preserve"> </w:t>
      </w:r>
      <w:r w:rsidR="00D159D0" w:rsidRPr="00E62D7D">
        <w:rPr>
          <w:rFonts w:ascii="Arial" w:hAnsi="Arial" w:cs="Arial"/>
          <w:b/>
          <w:bCs/>
          <w:i w:val="0"/>
          <w:iCs w:val="0"/>
          <w:color w:val="0070C0"/>
          <w:sz w:val="22"/>
          <w:szCs w:val="22"/>
        </w:rPr>
        <w:t>Selected s</w:t>
      </w:r>
      <w:r w:rsidRPr="00E62D7D">
        <w:rPr>
          <w:rFonts w:ascii="Arial" w:hAnsi="Arial" w:cs="Arial"/>
          <w:b/>
          <w:bCs/>
          <w:i w:val="0"/>
          <w:iCs w:val="0"/>
          <w:color w:val="0070C0"/>
          <w:sz w:val="22"/>
          <w:szCs w:val="22"/>
        </w:rPr>
        <w:t>ite-specific status and pressures</w:t>
      </w:r>
    </w:p>
    <w:p w14:paraId="3E1CB58D" w14:textId="77777777" w:rsidR="003867DE" w:rsidRPr="003B66BF" w:rsidRDefault="00857A1E" w:rsidP="00857A1E">
      <w:pPr>
        <w:pStyle w:val="NormalWeb"/>
        <w:keepNext/>
        <w:spacing w:before="240" w:beforeAutospacing="0" w:after="240" w:afterAutospacing="0"/>
        <w:jc w:val="both"/>
        <w:rPr>
          <w:rFonts w:ascii="Arial" w:hAnsi="Arial" w:cs="Arial"/>
          <w:i/>
          <w:iCs/>
          <w:color w:val="0070C0"/>
          <w:sz w:val="22"/>
          <w:szCs w:val="22"/>
        </w:rPr>
      </w:pPr>
      <w:r w:rsidRPr="003B66BF">
        <w:rPr>
          <w:rStyle w:val="Strong"/>
          <w:rFonts w:ascii="Arial" w:hAnsi="Arial" w:cs="Arial"/>
          <w:i/>
          <w:iCs/>
          <w:color w:val="0070C0"/>
          <w:sz w:val="22"/>
          <w:szCs w:val="22"/>
        </w:rPr>
        <w:t>Site 1.</w:t>
      </w:r>
      <w:r w:rsidR="00D379A8" w:rsidRPr="003B66BF">
        <w:rPr>
          <w:rStyle w:val="Strong"/>
          <w:rFonts w:ascii="Arial" w:hAnsi="Arial" w:cs="Arial"/>
          <w:i/>
          <w:iCs/>
          <w:color w:val="0070C0"/>
          <w:sz w:val="22"/>
          <w:szCs w:val="22"/>
        </w:rPr>
        <w:t xml:space="preserve"> </w:t>
      </w:r>
      <w:r w:rsidR="003867DE" w:rsidRPr="003B66BF">
        <w:rPr>
          <w:rStyle w:val="Strong"/>
          <w:rFonts w:ascii="Arial" w:hAnsi="Arial" w:cs="Arial"/>
          <w:i/>
          <w:iCs/>
          <w:color w:val="0070C0"/>
          <w:sz w:val="22"/>
          <w:szCs w:val="22"/>
        </w:rPr>
        <w:t>Botum Sakor National Park (Koh Kong)</w:t>
      </w:r>
    </w:p>
    <w:p w14:paraId="3B222CDE" w14:textId="646EBFCA" w:rsidR="00A968A6" w:rsidRPr="003B66BF" w:rsidRDefault="00A968A6" w:rsidP="003867DE">
      <w:pPr>
        <w:pStyle w:val="NormalWeb"/>
        <w:spacing w:before="240" w:beforeAutospacing="0" w:after="240" w:afterAutospacing="0"/>
        <w:jc w:val="both"/>
        <w:rPr>
          <w:rFonts w:ascii="Arial" w:hAnsi="Arial" w:cs="Arial"/>
          <w:sz w:val="21"/>
          <w:szCs w:val="21"/>
        </w:rPr>
      </w:pPr>
      <w:r w:rsidRPr="003B66BF">
        <w:rPr>
          <w:rFonts w:ascii="Arial" w:hAnsi="Arial" w:cs="Arial"/>
          <w:sz w:val="22"/>
          <w:szCs w:val="22"/>
        </w:rPr>
        <w:t xml:space="preserve">Following the 2023 reclassification, </w:t>
      </w:r>
      <w:r w:rsidRPr="003B66BF">
        <w:rPr>
          <w:rStyle w:val="Strong"/>
          <w:rFonts w:ascii="Arial" w:hAnsi="Arial" w:cs="Arial"/>
          <w:sz w:val="22"/>
          <w:szCs w:val="22"/>
        </w:rPr>
        <w:t xml:space="preserve">Botum Sakor NP is 143,895 ha </w:t>
      </w:r>
      <w:r w:rsidRPr="003B66BF">
        <w:rPr>
          <w:rStyle w:val="Strong"/>
          <w:rFonts w:ascii="Arial" w:hAnsi="Arial" w:cs="Arial"/>
          <w:b w:val="0"/>
          <w:bCs w:val="0"/>
          <w:sz w:val="22"/>
          <w:szCs w:val="22"/>
        </w:rPr>
        <w:t>(RGC, 2023)</w:t>
      </w:r>
      <w:r w:rsidRPr="003B66BF">
        <w:rPr>
          <w:rFonts w:ascii="Arial" w:hAnsi="Arial" w:cs="Arial"/>
          <w:sz w:val="22"/>
          <w:szCs w:val="22"/>
        </w:rPr>
        <w:t xml:space="preserve">. It includes </w:t>
      </w:r>
      <w:r w:rsidRPr="003B66BF">
        <w:rPr>
          <w:rStyle w:val="Strong"/>
          <w:rFonts w:ascii="Arial" w:hAnsi="Arial" w:cs="Arial"/>
          <w:sz w:val="22"/>
          <w:szCs w:val="22"/>
        </w:rPr>
        <w:t>peat-forming mangroves (~4,768 ha; subset)</w:t>
      </w:r>
      <w:r w:rsidRPr="003B66BF">
        <w:rPr>
          <w:rFonts w:ascii="Arial" w:hAnsi="Arial" w:cs="Arial"/>
          <w:sz w:val="22"/>
          <w:szCs w:val="22"/>
        </w:rPr>
        <w:t xml:space="preserve"> that are highly carbon-dense and sensitive to hydrologic disruption. Key pressures include infrastructure and concession-linked development that can restrict tidal exchange, plus legacy charcoal production and poaching. Management priority is “hydrology-first” protection (avoid drainage, maintain tidal connectivity, protect core peat zones (Girkin et al., 2022, UN-Habitat, 2019).</w:t>
      </w:r>
    </w:p>
    <w:p w14:paraId="02280B3F" w14:textId="77777777" w:rsidR="003867DE" w:rsidRPr="003B66BF" w:rsidRDefault="00857A1E" w:rsidP="003867DE">
      <w:pPr>
        <w:pStyle w:val="NormalWeb"/>
        <w:spacing w:before="240" w:beforeAutospacing="0" w:after="240" w:afterAutospacing="0"/>
        <w:jc w:val="both"/>
        <w:rPr>
          <w:rStyle w:val="Strong"/>
          <w:rFonts w:ascii="Arial" w:hAnsi="Arial" w:cs="Arial"/>
          <w:i/>
          <w:iCs/>
          <w:color w:val="0070C0"/>
        </w:rPr>
      </w:pPr>
      <w:r w:rsidRPr="003B66BF">
        <w:rPr>
          <w:rStyle w:val="Strong"/>
          <w:rFonts w:ascii="Arial" w:hAnsi="Arial" w:cs="Arial"/>
          <w:i/>
          <w:iCs/>
          <w:color w:val="0070C0"/>
          <w:sz w:val="22"/>
          <w:szCs w:val="22"/>
        </w:rPr>
        <w:t xml:space="preserve">Site 2. </w:t>
      </w:r>
      <w:r w:rsidR="003867DE" w:rsidRPr="003B66BF">
        <w:rPr>
          <w:rStyle w:val="Strong"/>
          <w:rFonts w:ascii="Arial" w:hAnsi="Arial" w:cs="Arial"/>
          <w:i/>
          <w:iCs/>
          <w:color w:val="0070C0"/>
          <w:sz w:val="22"/>
          <w:szCs w:val="22"/>
        </w:rPr>
        <w:t>Peam Krasop Wildlife Sanctuary (Koh Kong)</w:t>
      </w:r>
    </w:p>
    <w:p w14:paraId="0E10DBE5" w14:textId="5EB77734" w:rsidR="00A968A6" w:rsidRPr="003B66BF" w:rsidRDefault="00A968A6" w:rsidP="00A968A6">
      <w:pPr>
        <w:pStyle w:val="NormalWeb"/>
        <w:jc w:val="both"/>
        <w:rPr>
          <w:rFonts w:ascii="Arial" w:hAnsi="Arial" w:cs="Arial"/>
          <w:sz w:val="22"/>
          <w:szCs w:val="22"/>
        </w:rPr>
      </w:pPr>
      <w:r w:rsidRPr="003B66BF">
        <w:rPr>
          <w:rFonts w:ascii="Arial" w:hAnsi="Arial" w:cs="Arial"/>
          <w:sz w:val="22"/>
          <w:szCs w:val="22"/>
        </w:rPr>
        <w:t xml:space="preserve">NSOC 2018 characterizes Peam Krasop as a </w:t>
      </w:r>
      <w:r w:rsidRPr="003B66BF">
        <w:rPr>
          <w:rStyle w:val="Strong"/>
          <w:rFonts w:ascii="Arial" w:hAnsi="Arial" w:cs="Arial"/>
          <w:sz w:val="22"/>
          <w:szCs w:val="22"/>
        </w:rPr>
        <w:t>mangrove-dominated archipelago</w:t>
      </w:r>
      <w:r w:rsidRPr="003B66BF">
        <w:rPr>
          <w:rFonts w:ascii="Arial" w:hAnsi="Arial" w:cs="Arial"/>
          <w:sz w:val="22"/>
          <w:szCs w:val="22"/>
        </w:rPr>
        <w:t xml:space="preserve"> of bays and islands with strong </w:t>
      </w:r>
      <w:r w:rsidRPr="003B66BF">
        <w:rPr>
          <w:rStyle w:val="Strong"/>
          <w:rFonts w:ascii="Arial" w:hAnsi="Arial" w:cs="Arial"/>
          <w:sz w:val="22"/>
          <w:szCs w:val="22"/>
        </w:rPr>
        <w:t>inter-tidal</w:t>
      </w:r>
      <w:r w:rsidRPr="003B66BF">
        <w:rPr>
          <w:rFonts w:ascii="Arial" w:hAnsi="Arial" w:cs="Arial"/>
          <w:sz w:val="22"/>
          <w:szCs w:val="22"/>
        </w:rPr>
        <w:t xml:space="preserve"> and </w:t>
      </w:r>
      <w:r w:rsidRPr="003B66BF">
        <w:rPr>
          <w:rStyle w:val="Strong"/>
          <w:rFonts w:ascii="Arial" w:hAnsi="Arial" w:cs="Arial"/>
          <w:sz w:val="22"/>
          <w:szCs w:val="22"/>
        </w:rPr>
        <w:t>upstream freshwater</w:t>
      </w:r>
      <w:r w:rsidRPr="003B66BF">
        <w:rPr>
          <w:rFonts w:ascii="Arial" w:hAnsi="Arial" w:cs="Arial"/>
          <w:sz w:val="22"/>
          <w:szCs w:val="22"/>
        </w:rPr>
        <w:t xml:space="preserve"> influence, supporting fisheries and ~</w:t>
      </w:r>
      <w:r w:rsidRPr="003B66BF">
        <w:rPr>
          <w:rStyle w:val="Strong"/>
          <w:rFonts w:ascii="Arial" w:hAnsi="Arial" w:cs="Arial"/>
          <w:sz w:val="22"/>
          <w:szCs w:val="22"/>
        </w:rPr>
        <w:t>10,000 residents</w:t>
      </w:r>
      <w:r w:rsidRPr="003B66BF">
        <w:rPr>
          <w:rFonts w:ascii="Arial" w:hAnsi="Arial" w:cs="Arial"/>
          <w:sz w:val="22"/>
          <w:szCs w:val="22"/>
        </w:rPr>
        <w:t xml:space="preserve"> dependent on aquatic resources and mangroves for fuelwood, and livelihoods (PEMSEA &amp; MoE, 2019). </w:t>
      </w:r>
      <w:r w:rsidRPr="003B66BF">
        <w:rPr>
          <w:rStyle w:val="Strong"/>
          <w:rFonts w:ascii="Arial" w:eastAsiaTheme="majorEastAsia" w:hAnsi="Arial" w:cs="Arial"/>
          <w:sz w:val="22"/>
          <w:szCs w:val="22"/>
        </w:rPr>
        <w:t>Peam Krasaop WS totals 16,982 ha</w:t>
      </w:r>
      <w:r w:rsidRPr="003B66BF">
        <w:rPr>
          <w:rFonts w:ascii="Arial" w:hAnsi="Arial" w:cs="Arial"/>
          <w:sz w:val="22"/>
          <w:szCs w:val="22"/>
        </w:rPr>
        <w:t xml:space="preserve"> and is a mangrove–estuarine complex with strong livelihood dependence (Fauna &amp; Flora, 2024). It is functionally connected to the </w:t>
      </w:r>
      <w:r w:rsidRPr="003B66BF">
        <w:rPr>
          <w:rStyle w:val="Strong"/>
          <w:rFonts w:ascii="Arial" w:eastAsiaTheme="majorEastAsia" w:hAnsi="Arial" w:cs="Arial"/>
          <w:sz w:val="22"/>
          <w:szCs w:val="22"/>
        </w:rPr>
        <w:t>Koh Kapik Ramsar system</w:t>
      </w:r>
      <w:r w:rsidRPr="003B66BF">
        <w:rPr>
          <w:rFonts w:ascii="Arial" w:hAnsi="Arial" w:cs="Arial"/>
          <w:sz w:val="22"/>
          <w:szCs w:val="22"/>
        </w:rPr>
        <w:t>, forming one of Cambodia’s most important mangrove–intertidal landscapes for fisheries and coastal protection (Fauna &amp; Flora, 2024; Ramsar Secretariat, 2012). Main pressures are changes in hydrology and water quality linked to surrounding development, aquaculture expansion, and transport infrastructure (IUCN, 2017).</w:t>
      </w:r>
    </w:p>
    <w:p w14:paraId="34915B7E" w14:textId="77777777" w:rsidR="003867DE" w:rsidRPr="003B66BF" w:rsidRDefault="00857A1E" w:rsidP="003867DE">
      <w:pPr>
        <w:pStyle w:val="NormalWeb"/>
        <w:spacing w:before="240" w:beforeAutospacing="0" w:after="240" w:afterAutospacing="0"/>
        <w:jc w:val="both"/>
        <w:rPr>
          <w:rStyle w:val="Strong"/>
          <w:rFonts w:ascii="Arial" w:hAnsi="Arial" w:cs="Arial"/>
          <w:i/>
          <w:iCs/>
          <w:color w:val="0070C0"/>
        </w:rPr>
      </w:pPr>
      <w:r w:rsidRPr="003B66BF">
        <w:rPr>
          <w:rStyle w:val="Strong"/>
          <w:rFonts w:ascii="Arial" w:hAnsi="Arial" w:cs="Arial"/>
          <w:i/>
          <w:iCs/>
          <w:color w:val="0070C0"/>
          <w:sz w:val="22"/>
          <w:szCs w:val="22"/>
        </w:rPr>
        <w:t xml:space="preserve">Site </w:t>
      </w:r>
      <w:r w:rsidR="00F4423B" w:rsidRPr="003B66BF">
        <w:rPr>
          <w:rStyle w:val="Strong"/>
          <w:rFonts w:ascii="Arial" w:hAnsi="Arial" w:cs="Arial"/>
          <w:i/>
          <w:iCs/>
          <w:color w:val="0070C0"/>
          <w:sz w:val="22"/>
          <w:szCs w:val="22"/>
        </w:rPr>
        <w:t>3</w:t>
      </w:r>
      <w:r w:rsidRPr="003B66BF">
        <w:rPr>
          <w:rStyle w:val="Strong"/>
          <w:rFonts w:ascii="Arial" w:hAnsi="Arial" w:cs="Arial"/>
          <w:i/>
          <w:iCs/>
          <w:color w:val="0070C0"/>
          <w:sz w:val="22"/>
          <w:szCs w:val="22"/>
        </w:rPr>
        <w:t xml:space="preserve">. </w:t>
      </w:r>
      <w:r w:rsidR="003867DE" w:rsidRPr="003B66BF">
        <w:rPr>
          <w:rStyle w:val="Strong"/>
          <w:rFonts w:ascii="Arial" w:hAnsi="Arial" w:cs="Arial"/>
          <w:i/>
          <w:iCs/>
          <w:color w:val="0070C0"/>
          <w:sz w:val="22"/>
          <w:szCs w:val="22"/>
        </w:rPr>
        <w:t>Koh Kapik &amp; Associated Islets (Ramsar Site 998)</w:t>
      </w:r>
      <w:r w:rsidRPr="003B66BF">
        <w:rPr>
          <w:rStyle w:val="Strong"/>
          <w:rFonts w:ascii="Arial" w:hAnsi="Arial" w:cs="Arial"/>
          <w:i/>
          <w:iCs/>
          <w:color w:val="0070C0"/>
          <w:sz w:val="22"/>
          <w:szCs w:val="22"/>
        </w:rPr>
        <w:t xml:space="preserve"> (Koh Kong)</w:t>
      </w:r>
    </w:p>
    <w:p w14:paraId="476FB868" w14:textId="77777777" w:rsidR="003867DE" w:rsidRPr="003B66BF" w:rsidRDefault="00336592" w:rsidP="00336592">
      <w:pPr>
        <w:pStyle w:val="NormalWeb"/>
        <w:spacing w:before="240" w:beforeAutospacing="0" w:after="240" w:afterAutospacing="0"/>
        <w:jc w:val="both"/>
        <w:rPr>
          <w:rFonts w:ascii="Arial" w:hAnsi="Arial" w:cs="Arial"/>
          <w:sz w:val="21"/>
          <w:szCs w:val="21"/>
        </w:rPr>
      </w:pPr>
      <w:r w:rsidRPr="003B66BF">
        <w:rPr>
          <w:rFonts w:ascii="Arial" w:hAnsi="Arial" w:cs="Arial"/>
          <w:sz w:val="22"/>
          <w:szCs w:val="22"/>
        </w:rPr>
        <w:t xml:space="preserve">The Koh Kapik–Peam Krasop Ramsar site (~12,000 ha) consists of low-lying alluvial islands, mangroves and intertidal flats, with ~60% inside Peam Krasop WS and ~40% outside. Freshwater from Prek Koh Pao and Prek Khlang Yai/Stung Kep maintains the brackish regime and the plankton–fish base supporting fisheries and waterbirds. The site hosts globally threatened species—e.g., </w:t>
      </w:r>
      <w:r w:rsidRPr="003B66BF">
        <w:rPr>
          <w:rStyle w:val="Strong"/>
          <w:rFonts w:ascii="Arial" w:hAnsi="Arial" w:cs="Arial"/>
          <w:sz w:val="22"/>
          <w:szCs w:val="22"/>
        </w:rPr>
        <w:t>Nordmann’s greenshank</w:t>
      </w:r>
      <w:r w:rsidRPr="003B66BF">
        <w:rPr>
          <w:rFonts w:ascii="Arial" w:hAnsi="Arial" w:cs="Arial"/>
          <w:sz w:val="22"/>
          <w:szCs w:val="22"/>
        </w:rPr>
        <w:t xml:space="preserve"> and </w:t>
      </w:r>
      <w:r w:rsidRPr="003B66BF">
        <w:rPr>
          <w:rStyle w:val="Strong"/>
          <w:rFonts w:ascii="Arial" w:hAnsi="Arial" w:cs="Arial"/>
          <w:sz w:val="22"/>
          <w:szCs w:val="22"/>
        </w:rPr>
        <w:t>Irrawaddy dolphin</w:t>
      </w:r>
      <w:r w:rsidRPr="003B66BF">
        <w:rPr>
          <w:rFonts w:ascii="Arial" w:hAnsi="Arial" w:cs="Arial"/>
          <w:sz w:val="22"/>
          <w:szCs w:val="22"/>
        </w:rPr>
        <w:t xml:space="preserve">—and underpins local livelihoods, with </w:t>
      </w:r>
      <w:r w:rsidRPr="003B66BF">
        <w:rPr>
          <w:rStyle w:val="Strong"/>
          <w:rFonts w:ascii="Arial" w:hAnsi="Arial" w:cs="Arial"/>
          <w:sz w:val="22"/>
          <w:szCs w:val="22"/>
        </w:rPr>
        <w:t>&gt;65% of households deriving 70–90% of income</w:t>
      </w:r>
      <w:r w:rsidRPr="003B66BF">
        <w:rPr>
          <w:rFonts w:ascii="Arial" w:hAnsi="Arial" w:cs="Arial"/>
          <w:sz w:val="22"/>
          <w:szCs w:val="22"/>
        </w:rPr>
        <w:t xml:space="preserve"> from wetland resources (Ramsar Secretariat, 2012; Ly et al., 2023). Because Koh Kapik is tightly linked to Peam Krasop and Chrouy Pros seagrass, changes in freshwater inflow, channel infill, or mangrove fragmentation quickly affect fisheries and shorebird habitat, underscoring the need to maintain tidal prism and protect inter-islet flats.</w:t>
      </w:r>
    </w:p>
    <w:p w14:paraId="24023A23" w14:textId="77777777" w:rsidR="00F4423B" w:rsidRPr="003B66BF" w:rsidRDefault="00F4423B" w:rsidP="00336592">
      <w:pPr>
        <w:pStyle w:val="NormalWeb"/>
        <w:keepNext/>
        <w:spacing w:before="240" w:beforeAutospacing="0" w:after="240" w:afterAutospacing="0"/>
        <w:jc w:val="both"/>
        <w:rPr>
          <w:rStyle w:val="Strong"/>
          <w:rFonts w:ascii="Arial" w:hAnsi="Arial" w:cs="Arial"/>
          <w:i/>
          <w:iCs/>
          <w:color w:val="0070C0"/>
        </w:rPr>
      </w:pPr>
      <w:r w:rsidRPr="003B66BF">
        <w:rPr>
          <w:rStyle w:val="Strong"/>
          <w:rFonts w:ascii="Arial" w:hAnsi="Arial" w:cs="Arial"/>
          <w:i/>
          <w:iCs/>
          <w:color w:val="0070C0"/>
          <w:sz w:val="22"/>
          <w:szCs w:val="22"/>
        </w:rPr>
        <w:t>Site 4. Prey Nob District / Ream NP context (Preah Sihanouk)</w:t>
      </w:r>
    </w:p>
    <w:p w14:paraId="047D07B7" w14:textId="77777777" w:rsidR="00F4423B" w:rsidRPr="003B66BF" w:rsidRDefault="00F4423B" w:rsidP="00F4423B">
      <w:pPr>
        <w:pStyle w:val="NormalWeb"/>
        <w:spacing w:before="240" w:beforeAutospacing="0" w:after="240" w:afterAutospacing="0"/>
        <w:jc w:val="both"/>
        <w:rPr>
          <w:rFonts w:ascii="Arial" w:hAnsi="Arial" w:cs="Arial"/>
          <w:sz w:val="22"/>
          <w:szCs w:val="22"/>
        </w:rPr>
      </w:pPr>
      <w:r w:rsidRPr="003B66BF">
        <w:rPr>
          <w:rStyle w:val="Strong"/>
          <w:rFonts w:ascii="Arial" w:hAnsi="Arial" w:cs="Arial"/>
          <w:sz w:val="22"/>
          <w:szCs w:val="22"/>
        </w:rPr>
        <w:t>Ream National Park</w:t>
      </w:r>
      <w:r w:rsidRPr="003B66BF">
        <w:rPr>
          <w:rFonts w:ascii="Arial" w:hAnsi="Arial" w:cs="Arial"/>
          <w:sz w:val="22"/>
          <w:szCs w:val="22"/>
        </w:rPr>
        <w:t xml:space="preserve"> covers </w:t>
      </w:r>
      <w:r w:rsidRPr="003B66BF">
        <w:rPr>
          <w:rStyle w:val="Strong"/>
          <w:rFonts w:ascii="Arial" w:hAnsi="Arial" w:cs="Arial"/>
          <w:sz w:val="22"/>
          <w:szCs w:val="22"/>
        </w:rPr>
        <w:t>~21,000 ha</w:t>
      </w:r>
      <w:r w:rsidRPr="003B66BF">
        <w:rPr>
          <w:rFonts w:ascii="Arial" w:hAnsi="Arial" w:cs="Arial"/>
          <w:sz w:val="22"/>
          <w:szCs w:val="22"/>
        </w:rPr>
        <w:t xml:space="preserve"> (≈</w:t>
      </w:r>
      <w:r w:rsidRPr="003B66BF">
        <w:rPr>
          <w:rStyle w:val="Strong"/>
          <w:rFonts w:ascii="Arial" w:hAnsi="Arial" w:cs="Arial"/>
          <w:sz w:val="22"/>
          <w:szCs w:val="22"/>
        </w:rPr>
        <w:t>6,000 ha marine</w:t>
      </w:r>
      <w:r w:rsidRPr="003B66BF">
        <w:rPr>
          <w:rFonts w:ascii="Arial" w:hAnsi="Arial" w:cs="Arial"/>
          <w:sz w:val="22"/>
          <w:szCs w:val="22"/>
        </w:rPr>
        <w:t xml:space="preserve">), containing a </w:t>
      </w:r>
      <w:r w:rsidRPr="003B66BF">
        <w:rPr>
          <w:rStyle w:val="Strong"/>
          <w:rFonts w:ascii="Arial" w:hAnsi="Arial" w:cs="Arial"/>
          <w:sz w:val="22"/>
          <w:szCs w:val="22"/>
        </w:rPr>
        <w:t>mosaic</w:t>
      </w:r>
      <w:r w:rsidRPr="003B66BF">
        <w:rPr>
          <w:rFonts w:ascii="Arial" w:hAnsi="Arial" w:cs="Arial"/>
          <w:sz w:val="22"/>
          <w:szCs w:val="22"/>
        </w:rPr>
        <w:t xml:space="preserve"> of mangroves, wetlands, </w:t>
      </w:r>
      <w:r w:rsidRPr="003B66BF">
        <w:rPr>
          <w:rStyle w:val="Strong"/>
          <w:rFonts w:ascii="Arial" w:hAnsi="Arial" w:cs="Arial"/>
          <w:b w:val="0"/>
          <w:bCs w:val="0"/>
          <w:sz w:val="22"/>
          <w:szCs w:val="22"/>
        </w:rPr>
        <w:t>seagrass</w:t>
      </w:r>
      <w:r w:rsidRPr="003B66BF">
        <w:rPr>
          <w:rFonts w:ascii="Arial" w:hAnsi="Arial" w:cs="Arial"/>
          <w:b/>
          <w:bCs/>
          <w:sz w:val="22"/>
          <w:szCs w:val="22"/>
        </w:rPr>
        <w:t>,</w:t>
      </w:r>
      <w:r w:rsidRPr="003B66BF">
        <w:rPr>
          <w:rFonts w:ascii="Arial" w:hAnsi="Arial" w:cs="Arial"/>
          <w:sz w:val="22"/>
          <w:szCs w:val="22"/>
        </w:rPr>
        <w:t xml:space="preserve"> and coral reefs; multiple communes (around </w:t>
      </w:r>
      <w:r w:rsidRPr="003B66BF">
        <w:rPr>
          <w:rStyle w:val="Strong"/>
          <w:rFonts w:ascii="Arial" w:hAnsi="Arial" w:cs="Arial"/>
          <w:sz w:val="22"/>
          <w:szCs w:val="22"/>
        </w:rPr>
        <w:t>30,000 people</w:t>
      </w:r>
      <w:r w:rsidRPr="003B66BF">
        <w:rPr>
          <w:rFonts w:ascii="Arial" w:hAnsi="Arial" w:cs="Arial"/>
          <w:sz w:val="22"/>
          <w:szCs w:val="22"/>
        </w:rPr>
        <w:t xml:space="preserve">) overlap/border the park, indicating high human–ecosystem interaction. Seagrass mapping recorded </w:t>
      </w:r>
      <w:r w:rsidRPr="003B66BF">
        <w:rPr>
          <w:rStyle w:val="Strong"/>
          <w:rFonts w:ascii="Arial" w:hAnsi="Arial" w:cs="Arial"/>
          <w:sz w:val="22"/>
          <w:szCs w:val="22"/>
        </w:rPr>
        <w:t>≈98 ha</w:t>
      </w:r>
      <w:r w:rsidRPr="003B66BF">
        <w:rPr>
          <w:rFonts w:ascii="Arial" w:hAnsi="Arial" w:cs="Arial"/>
          <w:sz w:val="22"/>
          <w:szCs w:val="22"/>
        </w:rPr>
        <w:t xml:space="preserve"> of meadows in Prey Nob (2021–2022), complementing historical estimates of </w:t>
      </w:r>
      <w:r w:rsidRPr="003B66BF">
        <w:rPr>
          <w:rStyle w:val="Strong"/>
          <w:rFonts w:ascii="Arial" w:hAnsi="Arial" w:cs="Arial"/>
          <w:sz w:val="22"/>
          <w:szCs w:val="22"/>
        </w:rPr>
        <w:t>~1,800 ha</w:t>
      </w:r>
      <w:r w:rsidRPr="003B66BF">
        <w:rPr>
          <w:rFonts w:ascii="Arial" w:hAnsi="Arial" w:cs="Arial"/>
          <w:sz w:val="22"/>
          <w:szCs w:val="22"/>
        </w:rPr>
        <w:t xml:space="preserve"> of mangroves in nearby Ream National Park (FiA/FAO, 2023). Forest change analyses reported </w:t>
      </w:r>
      <w:r w:rsidRPr="003B66BF">
        <w:rPr>
          <w:rStyle w:val="Strong"/>
          <w:rFonts w:ascii="Arial" w:hAnsi="Arial" w:cs="Arial"/>
          <w:sz w:val="22"/>
          <w:szCs w:val="22"/>
        </w:rPr>
        <w:t>~5,490 ha</w:t>
      </w:r>
      <w:r w:rsidRPr="003B66BF">
        <w:rPr>
          <w:rFonts w:ascii="Arial" w:hAnsi="Arial" w:cs="Arial"/>
          <w:sz w:val="22"/>
          <w:szCs w:val="22"/>
        </w:rPr>
        <w:t xml:space="preserve"> of forest loss in Ream NP between 2001 and 2021, signaling persistent pressure on coastal habitats and nursery connectivity (Dialogue Earth, 2023). Rapid urbanization and port/tourism growth have increased pollution and sedimentation risks, amplifying vulnerability to coastal storms and saline intrusion (JICA, 2010; UN-Habitat, 2019).</w:t>
      </w:r>
    </w:p>
    <w:p w14:paraId="4B9DB765" w14:textId="77777777" w:rsidR="003867DE" w:rsidRPr="003B66BF" w:rsidRDefault="00F4423B" w:rsidP="003867DE">
      <w:pPr>
        <w:pStyle w:val="NormalWeb"/>
        <w:spacing w:before="240" w:beforeAutospacing="0" w:after="240" w:afterAutospacing="0"/>
        <w:jc w:val="both"/>
        <w:rPr>
          <w:rStyle w:val="Strong"/>
          <w:rFonts w:ascii="Arial" w:hAnsi="Arial" w:cs="Arial"/>
          <w:i/>
          <w:iCs/>
          <w:color w:val="0070C0"/>
        </w:rPr>
      </w:pPr>
      <w:r w:rsidRPr="003B66BF">
        <w:rPr>
          <w:rStyle w:val="Strong"/>
          <w:rFonts w:ascii="Arial" w:hAnsi="Arial" w:cs="Arial"/>
          <w:i/>
          <w:iCs/>
          <w:color w:val="0070C0"/>
          <w:sz w:val="22"/>
          <w:szCs w:val="22"/>
        </w:rPr>
        <w:t xml:space="preserve">Site 5. </w:t>
      </w:r>
      <w:r w:rsidR="00436D7A" w:rsidRPr="003B66BF">
        <w:rPr>
          <w:rStyle w:val="Strong"/>
          <w:rFonts w:ascii="Arial" w:hAnsi="Arial" w:cs="Arial"/>
          <w:i/>
          <w:iCs/>
          <w:color w:val="0070C0"/>
          <w:sz w:val="22"/>
          <w:szCs w:val="22"/>
        </w:rPr>
        <w:t>Kampong Trach wetlands &amp; Anlung Pring Protected Landscape (Kampot)</w:t>
      </w:r>
      <w:r w:rsidR="003867DE" w:rsidRPr="003B66BF">
        <w:rPr>
          <w:rStyle w:val="Strong"/>
          <w:rFonts w:ascii="Arial" w:hAnsi="Arial" w:cs="Arial"/>
          <w:i/>
          <w:iCs/>
          <w:color w:val="0070C0"/>
        </w:rPr>
        <w:t xml:space="preserve"> </w:t>
      </w:r>
    </w:p>
    <w:p w14:paraId="7C917534" w14:textId="77777777" w:rsidR="003867DE" w:rsidRPr="003B66BF" w:rsidRDefault="00436D7A" w:rsidP="003867DE">
      <w:pPr>
        <w:pStyle w:val="NormalWeb"/>
        <w:spacing w:before="240" w:beforeAutospacing="0" w:after="240" w:afterAutospacing="0"/>
        <w:jc w:val="both"/>
        <w:rPr>
          <w:rFonts w:ascii="Arial" w:hAnsi="Arial" w:cs="Arial"/>
          <w:sz w:val="22"/>
          <w:szCs w:val="22"/>
        </w:rPr>
      </w:pPr>
      <w:r w:rsidRPr="003B66BF">
        <w:rPr>
          <w:rFonts w:ascii="Arial" w:hAnsi="Arial" w:cs="Arial"/>
          <w:b/>
          <w:bCs/>
          <w:sz w:val="22"/>
          <w:szCs w:val="22"/>
        </w:rPr>
        <w:t>Anlung Pring Protected Landscape</w:t>
      </w:r>
      <w:r w:rsidR="00F4423B" w:rsidRPr="003B66BF">
        <w:rPr>
          <w:rFonts w:ascii="Arial" w:hAnsi="Arial" w:cs="Arial"/>
          <w:b/>
          <w:bCs/>
          <w:sz w:val="22"/>
          <w:szCs w:val="22"/>
        </w:rPr>
        <w:t xml:space="preserve"> </w:t>
      </w:r>
      <w:r w:rsidRPr="003B66BF">
        <w:rPr>
          <w:rFonts w:ascii="Arial" w:hAnsi="Arial" w:cs="Arial"/>
          <w:sz w:val="22"/>
          <w:szCs w:val="22"/>
        </w:rPr>
        <w:t>(</w:t>
      </w:r>
      <w:r w:rsidRPr="003B66BF">
        <w:rPr>
          <w:rStyle w:val="Strong"/>
          <w:rFonts w:ascii="Arial" w:hAnsi="Arial" w:cs="Arial"/>
          <w:sz w:val="22"/>
          <w:szCs w:val="22"/>
        </w:rPr>
        <w:t>~219 ha</w:t>
      </w:r>
      <w:r w:rsidRPr="003B66BF">
        <w:rPr>
          <w:rFonts w:ascii="Arial" w:hAnsi="Arial" w:cs="Arial"/>
          <w:sz w:val="22"/>
          <w:szCs w:val="22"/>
        </w:rPr>
        <w:t xml:space="preserve">) is embedded within seasonal wetlands, shallow floodplains and rice mosaics; it is a </w:t>
      </w:r>
      <w:r w:rsidRPr="003B66BF">
        <w:rPr>
          <w:rStyle w:val="Strong"/>
          <w:rFonts w:ascii="Arial" w:hAnsi="Arial" w:cs="Arial"/>
          <w:sz w:val="22"/>
          <w:szCs w:val="22"/>
        </w:rPr>
        <w:t>dry-season stronghold</w:t>
      </w:r>
      <w:r w:rsidRPr="003B66BF">
        <w:rPr>
          <w:rFonts w:ascii="Arial" w:hAnsi="Arial" w:cs="Arial"/>
          <w:sz w:val="22"/>
          <w:szCs w:val="22"/>
        </w:rPr>
        <w:t xml:space="preserve"> for </w:t>
      </w:r>
      <w:r w:rsidRPr="003B66BF">
        <w:rPr>
          <w:rStyle w:val="Strong"/>
          <w:rFonts w:ascii="Arial" w:hAnsi="Arial" w:cs="Arial"/>
          <w:sz w:val="22"/>
          <w:szCs w:val="22"/>
        </w:rPr>
        <w:t>Sarus Crane</w:t>
      </w:r>
      <w:r w:rsidRPr="003B66BF">
        <w:rPr>
          <w:rFonts w:ascii="Arial" w:hAnsi="Arial" w:cs="Arial"/>
          <w:sz w:val="22"/>
          <w:szCs w:val="22"/>
        </w:rPr>
        <w:t xml:space="preserve"> and part of the </w:t>
      </w:r>
      <w:r w:rsidRPr="003B66BF">
        <w:rPr>
          <w:rStyle w:val="Strong"/>
          <w:rFonts w:ascii="Arial" w:hAnsi="Arial" w:cs="Arial"/>
          <w:sz w:val="22"/>
          <w:szCs w:val="22"/>
        </w:rPr>
        <w:t>Kampong Trach</w:t>
      </w:r>
      <w:r w:rsidRPr="003B66BF">
        <w:rPr>
          <w:rFonts w:ascii="Arial" w:hAnsi="Arial" w:cs="Arial"/>
          <w:sz w:val="22"/>
          <w:szCs w:val="22"/>
        </w:rPr>
        <w:t xml:space="preserve"> wetland complex</w:t>
      </w:r>
      <w:r w:rsidR="003867DE" w:rsidRPr="003B66BF">
        <w:rPr>
          <w:rFonts w:ascii="Arial" w:hAnsi="Arial" w:cs="Arial"/>
          <w:sz w:val="22"/>
          <w:szCs w:val="22"/>
        </w:rPr>
        <w:t>), embedded in a wider mosaic of seasonal wetlands, rice fields, and shallow floodplains (Royal Government of Cambodia, 2023; EAAFP, 2019). Hydrologic modifications (e.g., small reservoirs, canals) and saline intrusion can disrupt seasonal inundation regimes essential for waterbirds and fisheries (ActionAid, 2021).</w:t>
      </w:r>
      <w:r w:rsidRPr="003B66BF">
        <w:rPr>
          <w:rFonts w:ascii="Arial" w:hAnsi="Arial" w:cs="Arial"/>
          <w:sz w:val="22"/>
          <w:szCs w:val="22"/>
        </w:rPr>
        <w:t xml:space="preserve"> NSOC also notes that </w:t>
      </w:r>
      <w:r w:rsidRPr="003B66BF">
        <w:rPr>
          <w:rStyle w:val="Strong"/>
          <w:rFonts w:ascii="Arial" w:hAnsi="Arial" w:cs="Arial"/>
          <w:sz w:val="22"/>
          <w:szCs w:val="22"/>
        </w:rPr>
        <w:t>estuaries and tidal flats</w:t>
      </w:r>
      <w:r w:rsidRPr="003B66BF">
        <w:rPr>
          <w:rFonts w:ascii="Arial" w:hAnsi="Arial" w:cs="Arial"/>
          <w:sz w:val="22"/>
          <w:szCs w:val="22"/>
        </w:rPr>
        <w:t xml:space="preserve"> across the coast are concentrated within protected areas (including </w:t>
      </w:r>
      <w:r w:rsidRPr="003B66BF">
        <w:rPr>
          <w:rStyle w:val="Strong"/>
          <w:rFonts w:ascii="Arial" w:hAnsi="Arial" w:cs="Arial"/>
          <w:sz w:val="22"/>
          <w:szCs w:val="22"/>
        </w:rPr>
        <w:t>Botum Sakor, Ream, D</w:t>
      </w:r>
      <w:r w:rsidR="005A37D4" w:rsidRPr="003B66BF">
        <w:rPr>
          <w:rStyle w:val="Strong"/>
          <w:rFonts w:ascii="Arial" w:hAnsi="Arial" w:cs="Arial"/>
          <w:sz w:val="22"/>
          <w:szCs w:val="22"/>
        </w:rPr>
        <w:t>o</w:t>
      </w:r>
      <w:r w:rsidRPr="003B66BF">
        <w:rPr>
          <w:rStyle w:val="Strong"/>
          <w:rFonts w:ascii="Arial" w:hAnsi="Arial" w:cs="Arial"/>
          <w:sz w:val="22"/>
          <w:szCs w:val="22"/>
        </w:rPr>
        <w:t>ng Peng, Peam Krasop, Koh Kapik</w:t>
      </w:r>
      <w:r w:rsidRPr="003B66BF">
        <w:rPr>
          <w:rFonts w:ascii="Arial" w:hAnsi="Arial" w:cs="Arial"/>
          <w:sz w:val="22"/>
          <w:szCs w:val="22"/>
        </w:rPr>
        <w:t>), underlining the regional coherence of these wetlands (PEMSEA &amp; MoE, 2019).</w:t>
      </w:r>
    </w:p>
    <w:p w14:paraId="734A5216" w14:textId="77777777" w:rsidR="00F26DBD" w:rsidRPr="003B66BF" w:rsidRDefault="00F4423B" w:rsidP="003867DE">
      <w:pPr>
        <w:pStyle w:val="NormalWeb"/>
        <w:spacing w:before="240" w:beforeAutospacing="0" w:after="240" w:afterAutospacing="0"/>
        <w:jc w:val="both"/>
        <w:rPr>
          <w:rStyle w:val="Strong"/>
          <w:rFonts w:ascii="Arial" w:hAnsi="Arial" w:cs="Arial"/>
          <w:i/>
          <w:iCs/>
          <w:color w:val="0070C0"/>
        </w:rPr>
      </w:pPr>
      <w:r w:rsidRPr="003B66BF">
        <w:rPr>
          <w:rStyle w:val="Strong"/>
          <w:rFonts w:ascii="Arial" w:hAnsi="Arial" w:cs="Arial"/>
          <w:i/>
          <w:iCs/>
          <w:color w:val="0070C0"/>
          <w:sz w:val="22"/>
          <w:szCs w:val="22"/>
        </w:rPr>
        <w:t xml:space="preserve">Site 6. </w:t>
      </w:r>
      <w:r w:rsidR="003867DE" w:rsidRPr="003B66BF">
        <w:rPr>
          <w:rStyle w:val="Strong"/>
          <w:rFonts w:ascii="Arial" w:hAnsi="Arial" w:cs="Arial"/>
          <w:i/>
          <w:iCs/>
          <w:color w:val="0070C0"/>
          <w:sz w:val="22"/>
          <w:szCs w:val="22"/>
        </w:rPr>
        <w:t>Chumpu Khmao (Prey Nup)</w:t>
      </w:r>
    </w:p>
    <w:p w14:paraId="053BFC20" w14:textId="77777777" w:rsidR="003867DE" w:rsidRDefault="00F4423B" w:rsidP="003867DE">
      <w:pPr>
        <w:pStyle w:val="NormalWeb"/>
        <w:spacing w:before="240" w:beforeAutospacing="0" w:after="240" w:afterAutospacing="0"/>
        <w:jc w:val="both"/>
        <w:rPr>
          <w:rFonts w:ascii="Arial" w:hAnsi="Arial" w:cs="Arial"/>
          <w:sz w:val="22"/>
          <w:szCs w:val="22"/>
        </w:rPr>
      </w:pPr>
      <w:r w:rsidRPr="003B66BF">
        <w:rPr>
          <w:rFonts w:ascii="Arial" w:hAnsi="Arial" w:cs="Arial"/>
          <w:b/>
          <w:bCs/>
          <w:sz w:val="22"/>
          <w:szCs w:val="22"/>
        </w:rPr>
        <w:t>Chumpu Khmao</w:t>
      </w:r>
      <w:r w:rsidRPr="003B66BF">
        <w:rPr>
          <w:rFonts w:ascii="Arial" w:hAnsi="Arial" w:cs="Arial"/>
          <w:sz w:val="22"/>
          <w:szCs w:val="22"/>
        </w:rPr>
        <w:t xml:space="preserve"> </w:t>
      </w:r>
      <w:r w:rsidR="003867DE" w:rsidRPr="003B66BF">
        <w:rPr>
          <w:rFonts w:ascii="Arial" w:hAnsi="Arial" w:cs="Arial"/>
          <w:sz w:val="22"/>
          <w:szCs w:val="22"/>
        </w:rPr>
        <w:t>community fishery</w:t>
      </w:r>
      <w:r w:rsidRPr="003B66BF">
        <w:rPr>
          <w:rFonts w:ascii="Arial" w:hAnsi="Arial" w:cs="Arial"/>
          <w:sz w:val="22"/>
          <w:szCs w:val="22"/>
        </w:rPr>
        <w:t xml:space="preserve"> (CFi)</w:t>
      </w:r>
      <w:r w:rsidR="003867DE" w:rsidRPr="003B66BF">
        <w:rPr>
          <w:rFonts w:ascii="Arial" w:hAnsi="Arial" w:cs="Arial"/>
          <w:sz w:val="22"/>
          <w:szCs w:val="22"/>
        </w:rPr>
        <w:t xml:space="preserve"> landscape is part of a larger coastal wetland complex; recent restoration planted </w:t>
      </w:r>
      <w:r w:rsidR="003867DE" w:rsidRPr="003B66BF">
        <w:rPr>
          <w:rStyle w:val="Strong"/>
          <w:rFonts w:ascii="Arial" w:hAnsi="Arial" w:cs="Arial"/>
          <w:sz w:val="22"/>
          <w:szCs w:val="22"/>
        </w:rPr>
        <w:t>12,500</w:t>
      </w:r>
      <w:r w:rsidR="003867DE" w:rsidRPr="003B66BF">
        <w:rPr>
          <w:rFonts w:ascii="Arial" w:hAnsi="Arial" w:cs="Arial"/>
          <w:sz w:val="22"/>
          <w:szCs w:val="22"/>
        </w:rPr>
        <w:t xml:space="preserve"> mangrove saplings (April 2025) and complements broader protection under the Prek Kampong Smach MFMA (Khmer Times, 2025; Mangrove Alliance, 2025). Regional records document </w:t>
      </w:r>
      <w:r w:rsidR="003867DE" w:rsidRPr="003B66BF">
        <w:rPr>
          <w:rStyle w:val="Strong"/>
          <w:rFonts w:ascii="Arial" w:hAnsi="Arial" w:cs="Arial"/>
          <w:sz w:val="22"/>
          <w:szCs w:val="22"/>
        </w:rPr>
        <w:t>Fishing Cat</w:t>
      </w:r>
      <w:r w:rsidR="003867DE" w:rsidRPr="003B66BF">
        <w:rPr>
          <w:rFonts w:ascii="Arial" w:hAnsi="Arial" w:cs="Arial"/>
          <w:sz w:val="22"/>
          <w:szCs w:val="22"/>
        </w:rPr>
        <w:t xml:space="preserve"> (Vulnerable) in coastal mangroves, highlighting the area’s wildlife value (Mukherjee et al., 2018).</w:t>
      </w:r>
      <w:r w:rsidR="00436D7A" w:rsidRPr="003B66BF">
        <w:rPr>
          <w:rFonts w:ascii="Arial" w:hAnsi="Arial" w:cs="Arial"/>
          <w:sz w:val="22"/>
          <w:szCs w:val="22"/>
        </w:rPr>
        <w:t xml:space="preserve"> The Prey Nup cell lies between </w:t>
      </w:r>
      <w:r w:rsidR="00436D7A" w:rsidRPr="003B66BF">
        <w:rPr>
          <w:rStyle w:val="Strong"/>
          <w:rFonts w:ascii="Arial" w:hAnsi="Arial" w:cs="Arial"/>
          <w:sz w:val="22"/>
          <w:szCs w:val="22"/>
        </w:rPr>
        <w:t>Steung Hav</w:t>
      </w:r>
      <w:r w:rsidR="00436D7A" w:rsidRPr="003B66BF">
        <w:rPr>
          <w:rFonts w:ascii="Arial" w:hAnsi="Arial" w:cs="Arial"/>
          <w:sz w:val="22"/>
          <w:szCs w:val="22"/>
        </w:rPr>
        <w:t xml:space="preserve"> (610 ha seagrass) and </w:t>
      </w:r>
      <w:r w:rsidR="00436D7A" w:rsidRPr="003B66BF">
        <w:rPr>
          <w:rStyle w:val="Strong"/>
          <w:rFonts w:ascii="Arial" w:hAnsi="Arial" w:cs="Arial"/>
          <w:sz w:val="22"/>
          <w:szCs w:val="22"/>
        </w:rPr>
        <w:t>Kampot</w:t>
      </w:r>
      <w:r w:rsidR="00436D7A" w:rsidRPr="003B66BF">
        <w:rPr>
          <w:rFonts w:ascii="Arial" w:hAnsi="Arial" w:cs="Arial"/>
          <w:sz w:val="22"/>
          <w:szCs w:val="22"/>
        </w:rPr>
        <w:t xml:space="preserve"> meadows; </w:t>
      </w:r>
      <w:r w:rsidR="00436D7A" w:rsidRPr="003B66BF">
        <w:rPr>
          <w:rStyle w:val="Strong"/>
          <w:rFonts w:ascii="Arial" w:hAnsi="Arial" w:cs="Arial"/>
          <w:sz w:val="22"/>
          <w:szCs w:val="22"/>
        </w:rPr>
        <w:t>Prey Nup</w:t>
      </w:r>
      <w:r w:rsidR="00436D7A" w:rsidRPr="003B66BF">
        <w:rPr>
          <w:rFonts w:ascii="Arial" w:hAnsi="Arial" w:cs="Arial"/>
          <w:sz w:val="22"/>
          <w:szCs w:val="22"/>
        </w:rPr>
        <w:t xml:space="preserve"> itself holds </w:t>
      </w:r>
      <w:r w:rsidR="00436D7A" w:rsidRPr="003B66BF">
        <w:rPr>
          <w:rStyle w:val="Strong"/>
          <w:rFonts w:ascii="Arial" w:hAnsi="Arial" w:cs="Arial"/>
          <w:sz w:val="22"/>
          <w:szCs w:val="22"/>
        </w:rPr>
        <w:t>~98 ha</w:t>
      </w:r>
      <w:r w:rsidR="00436D7A" w:rsidRPr="003B66BF">
        <w:rPr>
          <w:rFonts w:ascii="Arial" w:hAnsi="Arial" w:cs="Arial"/>
          <w:sz w:val="22"/>
          <w:szCs w:val="22"/>
        </w:rPr>
        <w:t xml:space="preserve"> of mapped seagrass</w:t>
      </w:r>
      <w:r w:rsidRPr="003B66BF">
        <w:rPr>
          <w:rFonts w:ascii="Arial" w:hAnsi="Arial" w:cs="Arial"/>
          <w:sz w:val="22"/>
          <w:szCs w:val="22"/>
        </w:rPr>
        <w:t xml:space="preserve">, </w:t>
      </w:r>
      <w:r w:rsidR="00436D7A" w:rsidRPr="003B66BF">
        <w:rPr>
          <w:rFonts w:ascii="Arial" w:hAnsi="Arial" w:cs="Arial"/>
          <w:sz w:val="22"/>
          <w:szCs w:val="22"/>
        </w:rPr>
        <w:t>useful for community monitoring of trawl exclusion and anchor management</w:t>
      </w:r>
      <w:r w:rsidRPr="003B66BF">
        <w:rPr>
          <w:rFonts w:ascii="Arial" w:hAnsi="Arial" w:cs="Arial"/>
          <w:sz w:val="22"/>
          <w:szCs w:val="22"/>
        </w:rPr>
        <w:t xml:space="preserve"> </w:t>
      </w:r>
      <w:r w:rsidR="00436D7A" w:rsidRPr="003B66BF">
        <w:rPr>
          <w:rFonts w:ascii="Arial" w:hAnsi="Arial" w:cs="Arial"/>
          <w:sz w:val="22"/>
          <w:szCs w:val="22"/>
        </w:rPr>
        <w:t>(FiA, 2023).</w:t>
      </w:r>
    </w:p>
    <w:p w14:paraId="6943FAEA" w14:textId="77777777" w:rsidR="003867DE" w:rsidRDefault="003867DE" w:rsidP="00601E87">
      <w:pPr>
        <w:pStyle w:val="Heading3"/>
        <w:spacing w:before="240" w:after="240"/>
        <w:jc w:val="both"/>
        <w:rPr>
          <w:rFonts w:ascii="Arial" w:hAnsi="Arial" w:cs="Arial"/>
          <w:b/>
          <w:bCs/>
          <w:color w:val="000000" w:themeColor="text1"/>
        </w:rPr>
      </w:pPr>
      <w:bookmarkStart w:id="6" w:name="_Toc217231949"/>
      <w:r w:rsidRPr="003B66BF">
        <w:rPr>
          <w:rFonts w:ascii="Arial" w:hAnsi="Arial" w:cs="Arial"/>
          <w:b/>
          <w:bCs/>
          <w:color w:val="000000" w:themeColor="text1"/>
        </w:rPr>
        <w:t xml:space="preserve">4.2.2 Coral </w:t>
      </w:r>
      <w:r w:rsidR="00E82883" w:rsidRPr="003B66BF">
        <w:rPr>
          <w:rFonts w:ascii="Arial" w:hAnsi="Arial" w:cs="Arial"/>
          <w:b/>
          <w:bCs/>
          <w:color w:val="000000" w:themeColor="text1"/>
        </w:rPr>
        <w:t>R</w:t>
      </w:r>
      <w:r w:rsidRPr="003B66BF">
        <w:rPr>
          <w:rFonts w:ascii="Arial" w:hAnsi="Arial" w:cs="Arial"/>
          <w:b/>
          <w:bCs/>
          <w:color w:val="000000" w:themeColor="text1"/>
        </w:rPr>
        <w:t xml:space="preserve">eefs and </w:t>
      </w:r>
      <w:r w:rsidR="00E82883" w:rsidRPr="003B66BF">
        <w:rPr>
          <w:rFonts w:ascii="Arial" w:hAnsi="Arial" w:cs="Arial"/>
          <w:b/>
          <w:bCs/>
          <w:color w:val="000000" w:themeColor="text1"/>
        </w:rPr>
        <w:t>S</w:t>
      </w:r>
      <w:r w:rsidRPr="003B66BF">
        <w:rPr>
          <w:rFonts w:ascii="Arial" w:hAnsi="Arial" w:cs="Arial"/>
          <w:b/>
          <w:bCs/>
          <w:color w:val="000000" w:themeColor="text1"/>
        </w:rPr>
        <w:t>eagrasses</w:t>
      </w:r>
      <w:bookmarkEnd w:id="6"/>
    </w:p>
    <w:p w14:paraId="39E1429B" w14:textId="75FDD0E7" w:rsidR="001C028F" w:rsidRPr="001C028F" w:rsidRDefault="001C028F" w:rsidP="001C028F">
      <w:pPr>
        <w:spacing w:before="240" w:after="240"/>
        <w:jc w:val="both"/>
        <w:rPr>
          <w:rFonts w:ascii="Arial" w:hAnsi="Arial" w:cs="Arial"/>
          <w:sz w:val="22"/>
          <w:szCs w:val="22"/>
        </w:rPr>
      </w:pPr>
      <w:r w:rsidRPr="001C028F">
        <w:rPr>
          <w:rFonts w:ascii="Arial" w:hAnsi="Arial" w:cs="Arial"/>
          <w:sz w:val="22"/>
          <w:szCs w:val="22"/>
        </w:rPr>
        <w:t xml:space="preserve">See </w:t>
      </w:r>
      <w:r w:rsidR="00CA1A5A" w:rsidRPr="00CA1A5A">
        <w:rPr>
          <w:rFonts w:ascii="Arial" w:hAnsi="Arial" w:cs="Arial"/>
          <w:sz w:val="22"/>
          <w:szCs w:val="22"/>
        </w:rPr>
        <w:fldChar w:fldCharType="begin"/>
      </w:r>
      <w:r w:rsidR="00CA1A5A" w:rsidRPr="00CA1A5A">
        <w:rPr>
          <w:rFonts w:ascii="Arial" w:hAnsi="Arial" w:cs="Arial"/>
          <w:sz w:val="22"/>
          <w:szCs w:val="22"/>
        </w:rPr>
        <w:instrText xml:space="preserve"> REF _Ref216612442 \h  \* MERGEFORMAT </w:instrText>
      </w:r>
      <w:r w:rsidR="00CA1A5A" w:rsidRPr="00CA1A5A">
        <w:rPr>
          <w:rFonts w:ascii="Arial" w:hAnsi="Arial" w:cs="Arial"/>
          <w:sz w:val="22"/>
          <w:szCs w:val="22"/>
        </w:rPr>
      </w:r>
      <w:r w:rsidR="00CA1A5A" w:rsidRPr="00CA1A5A">
        <w:rPr>
          <w:rFonts w:ascii="Arial" w:hAnsi="Arial" w:cs="Arial"/>
          <w:sz w:val="22"/>
          <w:szCs w:val="22"/>
        </w:rPr>
        <w:fldChar w:fldCharType="separate"/>
      </w:r>
      <w:r w:rsidR="00802509" w:rsidRPr="00802509">
        <w:rPr>
          <w:rFonts w:ascii="Arial" w:hAnsi="Arial" w:cs="Arial"/>
          <w:color w:val="0070C0"/>
          <w:sz w:val="22"/>
          <w:szCs w:val="22"/>
        </w:rPr>
        <w:t>Annex 4-6</w:t>
      </w:r>
      <w:r w:rsidR="00CA1A5A" w:rsidRPr="00CA1A5A">
        <w:rPr>
          <w:rFonts w:ascii="Arial" w:hAnsi="Arial" w:cs="Arial"/>
          <w:sz w:val="22"/>
          <w:szCs w:val="22"/>
        </w:rPr>
        <w:fldChar w:fldCharType="end"/>
      </w:r>
      <w:r w:rsidR="00CA1A5A">
        <w:rPr>
          <w:rFonts w:ascii="Arial" w:hAnsi="Arial" w:cs="Arial"/>
          <w:sz w:val="22"/>
          <w:szCs w:val="22"/>
        </w:rPr>
        <w:t xml:space="preserve"> </w:t>
      </w:r>
      <w:r w:rsidRPr="001C028F">
        <w:rPr>
          <w:rFonts w:ascii="Arial" w:hAnsi="Arial" w:cs="Arial"/>
          <w:sz w:val="22"/>
          <w:szCs w:val="22"/>
        </w:rPr>
        <w:t xml:space="preserve">for the extended explanatory note on coral reef and seagrass status/distribution, mapping and monitoring considerations, and extended site-specific pressures and management implications relevant to </w:t>
      </w:r>
      <w:r w:rsidRPr="00CA1A5A">
        <w:rPr>
          <w:rFonts w:ascii="Arial" w:hAnsi="Arial" w:cs="Arial"/>
          <w:b/>
          <w:bCs/>
          <w:sz w:val="22"/>
          <w:szCs w:val="22"/>
        </w:rPr>
        <w:t>Sections 4.2.2.1–4.2.2.2</w:t>
      </w:r>
      <w:r>
        <w:rPr>
          <w:rFonts w:ascii="Arial" w:hAnsi="Arial" w:cs="Arial"/>
          <w:sz w:val="22"/>
          <w:szCs w:val="22"/>
        </w:rPr>
        <w:t xml:space="preserve"> below</w:t>
      </w:r>
      <w:r w:rsidRPr="001C028F">
        <w:rPr>
          <w:rFonts w:ascii="Arial" w:hAnsi="Arial" w:cs="Arial"/>
          <w:sz w:val="22"/>
          <w:szCs w:val="22"/>
        </w:rPr>
        <w:t>.</w:t>
      </w:r>
    </w:p>
    <w:p w14:paraId="6FFDD20D" w14:textId="77777777" w:rsidR="004166AF" w:rsidRPr="00E62D7D" w:rsidRDefault="004166AF" w:rsidP="001C028F">
      <w:pPr>
        <w:pStyle w:val="Heading4"/>
        <w:rPr>
          <w:rFonts w:ascii="Arial" w:hAnsi="Arial" w:cs="Arial"/>
          <w:b/>
          <w:bCs/>
          <w:i w:val="0"/>
          <w:iCs w:val="0"/>
          <w:color w:val="0070C0"/>
          <w:sz w:val="22"/>
          <w:szCs w:val="22"/>
        </w:rPr>
      </w:pPr>
      <w:r w:rsidRPr="00E62D7D">
        <w:rPr>
          <w:rFonts w:ascii="Arial" w:hAnsi="Arial" w:cs="Arial"/>
          <w:b/>
          <w:bCs/>
          <w:i w:val="0"/>
          <w:iCs w:val="0"/>
          <w:color w:val="0070C0"/>
          <w:sz w:val="22"/>
          <w:szCs w:val="22"/>
        </w:rPr>
        <w:t>4.2.2.1 Status and distribution</w:t>
      </w:r>
    </w:p>
    <w:p w14:paraId="77701DE7" w14:textId="77777777" w:rsidR="00E82883" w:rsidRPr="003B66BF" w:rsidRDefault="00097DD4" w:rsidP="00E82883">
      <w:pPr>
        <w:pStyle w:val="NormalWeb"/>
        <w:spacing w:before="240" w:beforeAutospacing="0" w:after="240" w:afterAutospacing="0"/>
        <w:jc w:val="both"/>
        <w:rPr>
          <w:rStyle w:val="Strong"/>
          <w:rFonts w:ascii="Arial" w:hAnsi="Arial" w:cs="Arial"/>
          <w:i/>
          <w:iCs/>
          <w:color w:val="0070C0"/>
          <w:sz w:val="22"/>
          <w:szCs w:val="22"/>
        </w:rPr>
      </w:pPr>
      <w:r w:rsidRPr="003B66BF">
        <w:rPr>
          <w:rStyle w:val="Strong"/>
          <w:rFonts w:ascii="Arial" w:hAnsi="Arial" w:cs="Arial"/>
          <w:i/>
          <w:iCs/>
          <w:color w:val="0070C0"/>
          <w:sz w:val="22"/>
          <w:szCs w:val="22"/>
        </w:rPr>
        <w:t xml:space="preserve">a) </w:t>
      </w:r>
      <w:r w:rsidR="00E82883" w:rsidRPr="003B66BF">
        <w:rPr>
          <w:rStyle w:val="Strong"/>
          <w:rFonts w:ascii="Arial" w:hAnsi="Arial" w:cs="Arial"/>
          <w:i/>
          <w:iCs/>
          <w:color w:val="0070C0"/>
          <w:sz w:val="22"/>
          <w:szCs w:val="22"/>
        </w:rPr>
        <w:t xml:space="preserve">Coral Reef </w:t>
      </w:r>
    </w:p>
    <w:p w14:paraId="06AEA30C" w14:textId="77777777" w:rsidR="00795321" w:rsidRPr="003B66BF" w:rsidRDefault="00795321" w:rsidP="00795321">
      <w:pPr>
        <w:pStyle w:val="NormalWeb"/>
        <w:jc w:val="both"/>
        <w:rPr>
          <w:rFonts w:ascii="Arial" w:hAnsi="Arial" w:cs="Arial"/>
          <w:sz w:val="22"/>
          <w:szCs w:val="22"/>
        </w:rPr>
      </w:pPr>
      <w:r w:rsidRPr="003B66BF">
        <w:rPr>
          <w:rFonts w:ascii="Arial" w:hAnsi="Arial" w:cs="Arial"/>
          <w:sz w:val="22"/>
          <w:szCs w:val="22"/>
        </w:rPr>
        <w:t xml:space="preserve">Cambodia’s coral reefs are mainly </w:t>
      </w:r>
      <w:r w:rsidRPr="003B66BF">
        <w:rPr>
          <w:rStyle w:val="Strong"/>
          <w:rFonts w:ascii="Arial" w:eastAsiaTheme="majorEastAsia" w:hAnsi="Arial" w:cs="Arial"/>
          <w:sz w:val="22"/>
          <w:szCs w:val="22"/>
        </w:rPr>
        <w:t>fringing reefs</w:t>
      </w:r>
      <w:r w:rsidRPr="003B66BF">
        <w:rPr>
          <w:rFonts w:ascii="Arial" w:hAnsi="Arial" w:cs="Arial"/>
          <w:sz w:val="22"/>
          <w:szCs w:val="22"/>
        </w:rPr>
        <w:t xml:space="preserve"> around the islands of </w:t>
      </w:r>
      <w:r w:rsidRPr="003B66BF">
        <w:rPr>
          <w:rStyle w:val="Strong"/>
          <w:rFonts w:ascii="Arial" w:eastAsiaTheme="majorEastAsia" w:hAnsi="Arial" w:cs="Arial"/>
          <w:sz w:val="22"/>
          <w:szCs w:val="22"/>
        </w:rPr>
        <w:t>Koh Kong and Preah Sihanouk</w:t>
      </w:r>
      <w:r w:rsidRPr="003B66BF">
        <w:rPr>
          <w:rFonts w:ascii="Arial" w:hAnsi="Arial" w:cs="Arial"/>
          <w:sz w:val="22"/>
          <w:szCs w:val="22"/>
        </w:rPr>
        <w:t xml:space="preserve"> (especially </w:t>
      </w:r>
      <w:r w:rsidRPr="003B66BF">
        <w:rPr>
          <w:rStyle w:val="Strong"/>
          <w:rFonts w:ascii="Arial" w:eastAsiaTheme="majorEastAsia" w:hAnsi="Arial" w:cs="Arial"/>
          <w:sz w:val="22"/>
          <w:szCs w:val="22"/>
        </w:rPr>
        <w:t>Koh Rong</w:t>
      </w:r>
      <w:r w:rsidRPr="003B66BF">
        <w:rPr>
          <w:rFonts w:ascii="Arial" w:hAnsi="Arial" w:cs="Arial"/>
          <w:sz w:val="22"/>
          <w:szCs w:val="22"/>
        </w:rPr>
        <w:t xml:space="preserve">), with smaller turbidity-tolerant patches in </w:t>
      </w:r>
      <w:r w:rsidRPr="003B66BF">
        <w:rPr>
          <w:rStyle w:val="Strong"/>
          <w:rFonts w:ascii="Arial" w:eastAsiaTheme="majorEastAsia" w:hAnsi="Arial" w:cs="Arial"/>
          <w:sz w:val="22"/>
          <w:szCs w:val="22"/>
        </w:rPr>
        <w:t>Kampot and Kep</w:t>
      </w:r>
      <w:r w:rsidRPr="003B66BF">
        <w:rPr>
          <w:rFonts w:ascii="Arial" w:hAnsi="Arial" w:cs="Arial"/>
          <w:sz w:val="22"/>
          <w:szCs w:val="22"/>
        </w:rPr>
        <w:t xml:space="preserve">. They support small-scale fisheries, dive tourism and shoreline protection. Early assessments estimated </w:t>
      </w:r>
      <w:r w:rsidRPr="003B66BF">
        <w:rPr>
          <w:rStyle w:val="Strong"/>
          <w:rFonts w:ascii="Arial" w:eastAsiaTheme="majorEastAsia" w:hAnsi="Arial" w:cs="Arial"/>
          <w:sz w:val="22"/>
          <w:szCs w:val="22"/>
        </w:rPr>
        <w:t>~2,700 ha</w:t>
      </w:r>
      <w:r w:rsidRPr="003B66BF">
        <w:rPr>
          <w:rFonts w:ascii="Arial" w:hAnsi="Arial" w:cs="Arial"/>
          <w:sz w:val="22"/>
          <w:szCs w:val="22"/>
        </w:rPr>
        <w:t xml:space="preserve"> of reef habitat, and condition in the 2000s was </w:t>
      </w:r>
      <w:r w:rsidRPr="003B66BF">
        <w:rPr>
          <w:rStyle w:val="Strong"/>
          <w:rFonts w:ascii="Arial" w:eastAsiaTheme="majorEastAsia" w:hAnsi="Arial" w:cs="Arial"/>
          <w:sz w:val="22"/>
          <w:szCs w:val="22"/>
        </w:rPr>
        <w:t>fair–good</w:t>
      </w:r>
      <w:r w:rsidRPr="003B66BF">
        <w:rPr>
          <w:rFonts w:ascii="Arial" w:hAnsi="Arial" w:cs="Arial"/>
          <w:sz w:val="22"/>
          <w:szCs w:val="22"/>
        </w:rPr>
        <w:t xml:space="preserve"> (≈23–58% live cover) but already affected by overfishing, illegal gears and declining water quality (UNEP/GEF; NSOC 2018). Long-term monitoring in Koh Rong (since 2010, later extended to Koh Sdach and Kep) shows sediment-influenced communities dominated by massive/encrusting corals (e.g., </w:t>
      </w:r>
      <w:r w:rsidRPr="003B66BF">
        <w:rPr>
          <w:rStyle w:val="Emphasis"/>
          <w:rFonts w:ascii="Arial" w:eastAsiaTheme="majorEastAsia" w:hAnsi="Arial" w:cs="Arial"/>
          <w:sz w:val="22"/>
          <w:szCs w:val="22"/>
        </w:rPr>
        <w:t>Porites</w:t>
      </w:r>
      <w:r w:rsidRPr="003B66BF">
        <w:rPr>
          <w:rFonts w:ascii="Arial" w:hAnsi="Arial" w:cs="Arial"/>
          <w:sz w:val="22"/>
          <w:szCs w:val="22"/>
        </w:rPr>
        <w:t xml:space="preserve">, </w:t>
      </w:r>
      <w:r w:rsidRPr="003B66BF">
        <w:rPr>
          <w:rStyle w:val="Emphasis"/>
          <w:rFonts w:ascii="Arial" w:eastAsiaTheme="majorEastAsia" w:hAnsi="Arial" w:cs="Arial"/>
          <w:sz w:val="22"/>
          <w:szCs w:val="22"/>
        </w:rPr>
        <w:t>Diploastrea</w:t>
      </w:r>
      <w:r w:rsidRPr="003B66BF">
        <w:rPr>
          <w:rFonts w:ascii="Arial" w:hAnsi="Arial" w:cs="Arial"/>
          <w:sz w:val="22"/>
          <w:szCs w:val="22"/>
        </w:rPr>
        <w:t xml:space="preserve">), and since 2019 the </w:t>
      </w:r>
      <w:r w:rsidRPr="003B66BF">
        <w:rPr>
          <w:rStyle w:val="Strong"/>
          <w:rFonts w:ascii="Arial" w:eastAsiaTheme="majorEastAsia" w:hAnsi="Arial" w:cs="Arial"/>
          <w:sz w:val="22"/>
          <w:szCs w:val="22"/>
        </w:rPr>
        <w:t>Cambodian Coral Reef Monitoring Network (CCRMN)</w:t>
      </w:r>
      <w:r w:rsidRPr="003B66BF">
        <w:rPr>
          <w:rFonts w:ascii="Arial" w:hAnsi="Arial" w:cs="Arial"/>
          <w:sz w:val="22"/>
          <w:szCs w:val="22"/>
        </w:rPr>
        <w:t xml:space="preserve"> has standardized protocols for fish biomass and benthic condition (FiA, 2023).</w:t>
      </w:r>
    </w:p>
    <w:p w14:paraId="472E2A0C" w14:textId="77777777" w:rsidR="00971ED2" w:rsidRPr="003B66BF" w:rsidRDefault="00971ED2" w:rsidP="00971ED2">
      <w:pPr>
        <w:adjustRightInd w:val="0"/>
        <w:snapToGrid w:val="0"/>
        <w:jc w:val="center"/>
        <w:rPr>
          <w:rFonts w:ascii="Arial" w:hAnsi="Arial" w:cs="Arial"/>
          <w:sz w:val="22"/>
          <w:szCs w:val="22"/>
        </w:rPr>
      </w:pPr>
      <w:r w:rsidRPr="003B66BF">
        <w:rPr>
          <w:rFonts w:ascii="Arial" w:hAnsi="Arial" w:cs="Arial"/>
          <w:noProof/>
        </w:rPr>
        <w:drawing>
          <wp:inline distT="0" distB="0" distL="0" distR="0" wp14:anchorId="26930DEA" wp14:editId="72899528">
            <wp:extent cx="5486400" cy="3955241"/>
            <wp:effectExtent l="0" t="0" r="0" b="7620"/>
            <wp:docPr id="402847103"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87894" cy="3956318"/>
                    </a:xfrm>
                    <a:prstGeom prst="rect">
                      <a:avLst/>
                    </a:prstGeom>
                    <a:noFill/>
                    <a:ln>
                      <a:noFill/>
                    </a:ln>
                  </pic:spPr>
                </pic:pic>
              </a:graphicData>
            </a:graphic>
          </wp:inline>
        </w:drawing>
      </w:r>
    </w:p>
    <w:p w14:paraId="510FD684" w14:textId="087011D0" w:rsidR="00971ED2" w:rsidRPr="003B66BF" w:rsidRDefault="00971ED2" w:rsidP="00971ED2">
      <w:pPr>
        <w:pStyle w:val="Caption"/>
        <w:adjustRightInd w:val="0"/>
        <w:snapToGrid w:val="0"/>
        <w:spacing w:after="0"/>
        <w:rPr>
          <w:rFonts w:ascii="Arial" w:hAnsi="Arial" w:cs="Arial"/>
        </w:rPr>
      </w:pPr>
      <w:bookmarkStart w:id="7" w:name="_Toc189647698"/>
      <w:bookmarkStart w:id="8" w:name="_Toc206753048"/>
      <w:bookmarkStart w:id="9" w:name="_Toc216612618"/>
      <w:r w:rsidRPr="003B66BF">
        <w:rPr>
          <w:rFonts w:ascii="Arial" w:hAnsi="Arial" w:cs="Arial"/>
          <w:color w:val="002060"/>
          <w:sz w:val="22"/>
          <w:szCs w:val="22"/>
        </w:rPr>
        <w:t>Figure 4-</w:t>
      </w:r>
      <w:r w:rsidRPr="003B66BF">
        <w:rPr>
          <w:rFonts w:ascii="Arial" w:hAnsi="Arial" w:cs="Arial"/>
          <w:color w:val="002060"/>
          <w:sz w:val="22"/>
          <w:szCs w:val="22"/>
        </w:rPr>
        <w:fldChar w:fldCharType="begin"/>
      </w:r>
      <w:r w:rsidRPr="003B66BF">
        <w:rPr>
          <w:rFonts w:ascii="Arial" w:hAnsi="Arial" w:cs="Arial"/>
          <w:color w:val="002060"/>
          <w:sz w:val="22"/>
          <w:szCs w:val="22"/>
        </w:rPr>
        <w:instrText xml:space="preserve"> SEQ Figure_4- \* ARABIC </w:instrText>
      </w:r>
      <w:r w:rsidRPr="003B66BF">
        <w:rPr>
          <w:rFonts w:ascii="Arial" w:hAnsi="Arial" w:cs="Arial"/>
          <w:color w:val="002060"/>
          <w:sz w:val="22"/>
          <w:szCs w:val="22"/>
        </w:rPr>
        <w:fldChar w:fldCharType="separate"/>
      </w:r>
      <w:r w:rsidR="00802509">
        <w:rPr>
          <w:rFonts w:ascii="Arial" w:hAnsi="Arial" w:cs="Arial"/>
          <w:noProof/>
          <w:color w:val="002060"/>
          <w:sz w:val="22"/>
          <w:szCs w:val="22"/>
        </w:rPr>
        <w:t>2</w:t>
      </w:r>
      <w:r w:rsidRPr="003B66BF">
        <w:rPr>
          <w:rFonts w:ascii="Arial" w:hAnsi="Arial" w:cs="Arial"/>
          <w:color w:val="002060"/>
          <w:sz w:val="22"/>
          <w:szCs w:val="22"/>
        </w:rPr>
        <w:fldChar w:fldCharType="end"/>
      </w:r>
      <w:r w:rsidRPr="003B66BF">
        <w:rPr>
          <w:rFonts w:ascii="Arial" w:hAnsi="Arial" w:cs="Arial"/>
          <w:color w:val="002060"/>
          <w:sz w:val="22"/>
          <w:szCs w:val="22"/>
        </w:rPr>
        <w:t xml:space="preserve"> </w:t>
      </w:r>
      <w:bookmarkEnd w:id="7"/>
      <w:bookmarkEnd w:id="8"/>
      <w:r w:rsidRPr="003B66BF">
        <w:rPr>
          <w:rFonts w:ascii="Arial" w:hAnsi="Arial" w:cs="Arial"/>
          <w:color w:val="002060"/>
          <w:sz w:val="22"/>
          <w:szCs w:val="22"/>
        </w:rPr>
        <w:t>Location of coral reef distribution in Cambodia</w:t>
      </w:r>
      <w:bookmarkEnd w:id="9"/>
    </w:p>
    <w:p w14:paraId="67A55CB8" w14:textId="77777777" w:rsidR="00971ED2" w:rsidRPr="003B66BF" w:rsidRDefault="00971ED2" w:rsidP="00971ED2">
      <w:pPr>
        <w:pStyle w:val="Caption"/>
        <w:spacing w:before="120" w:after="120"/>
        <w:rPr>
          <w:rFonts w:ascii="Arial" w:hAnsi="Arial" w:cs="Arial"/>
          <w:color w:val="auto"/>
        </w:rPr>
      </w:pPr>
      <w:r w:rsidRPr="003B66BF">
        <w:rPr>
          <w:rFonts w:ascii="Arial" w:hAnsi="Arial" w:cs="Arial"/>
          <w:b/>
          <w:bCs/>
          <w:color w:val="auto"/>
        </w:rPr>
        <w:t>Source:</w:t>
      </w:r>
      <w:r w:rsidRPr="003B66BF">
        <w:rPr>
          <w:rFonts w:ascii="Arial" w:hAnsi="Arial" w:cs="Arial"/>
          <w:color w:val="auto"/>
        </w:rPr>
        <w:t xml:space="preserve"> FAO CAPFish, 2022.</w:t>
      </w:r>
    </w:p>
    <w:p w14:paraId="1493ACBF" w14:textId="31459C69" w:rsidR="00F31DC8" w:rsidRPr="003B66BF" w:rsidRDefault="00795321" w:rsidP="00795321">
      <w:pPr>
        <w:pStyle w:val="NormalWeb"/>
        <w:jc w:val="both"/>
        <w:rPr>
          <w:rFonts w:ascii="Arial" w:hAnsi="Arial" w:cs="Arial"/>
          <w:sz w:val="22"/>
          <w:szCs w:val="22"/>
        </w:rPr>
      </w:pPr>
      <w:r w:rsidRPr="003B66BF">
        <w:rPr>
          <w:rFonts w:ascii="Arial" w:hAnsi="Arial" w:cs="Arial"/>
          <w:sz w:val="22"/>
          <w:szCs w:val="22"/>
        </w:rPr>
        <w:t xml:space="preserve">Cambodia likely hosts </w:t>
      </w:r>
      <w:r w:rsidRPr="003B66BF">
        <w:rPr>
          <w:rStyle w:val="Strong"/>
          <w:rFonts w:ascii="Arial" w:eastAsiaTheme="majorEastAsia" w:hAnsi="Arial" w:cs="Arial"/>
          <w:sz w:val="22"/>
          <w:szCs w:val="22"/>
        </w:rPr>
        <w:t>~70 coral species</w:t>
      </w:r>
      <w:r w:rsidRPr="003B66BF">
        <w:rPr>
          <w:rFonts w:ascii="Arial" w:hAnsi="Arial" w:cs="Arial"/>
          <w:sz w:val="22"/>
          <w:szCs w:val="22"/>
        </w:rPr>
        <w:t xml:space="preserve">, but distribution data remain incomplete, particularly offshore. Recent mapping (2014 vs. 2025) indicates reefs remain concentrated in </w:t>
      </w:r>
      <w:r w:rsidRPr="003B66BF">
        <w:rPr>
          <w:rStyle w:val="Strong"/>
          <w:rFonts w:ascii="Arial" w:eastAsiaTheme="majorEastAsia" w:hAnsi="Arial" w:cs="Arial"/>
          <w:sz w:val="22"/>
          <w:szCs w:val="22"/>
        </w:rPr>
        <w:t>Preah Sihanouk and Koh Kong (&gt;85% of national cover)</w:t>
      </w:r>
      <w:r w:rsidRPr="003B66BF">
        <w:rPr>
          <w:rFonts w:ascii="Arial" w:hAnsi="Arial" w:cs="Arial"/>
          <w:sz w:val="22"/>
          <w:szCs w:val="22"/>
        </w:rPr>
        <w:t xml:space="preserve"> with modest, method-bounded changes; restoration priorities include </w:t>
      </w:r>
      <w:r w:rsidRPr="003B66BF">
        <w:rPr>
          <w:rStyle w:val="Strong"/>
          <w:rFonts w:ascii="Arial" w:eastAsiaTheme="majorEastAsia" w:hAnsi="Arial" w:cs="Arial"/>
          <w:sz w:val="22"/>
          <w:szCs w:val="22"/>
        </w:rPr>
        <w:t>Koh Rong Sanloem/Prek Svay</w:t>
      </w:r>
      <w:r w:rsidRPr="003B66BF">
        <w:rPr>
          <w:rFonts w:ascii="Arial" w:hAnsi="Arial" w:cs="Arial"/>
          <w:sz w:val="22"/>
          <w:szCs w:val="22"/>
        </w:rPr>
        <w:t xml:space="preserve"> and larger Koh Kong reef complexes (MoE, 2025b).</w:t>
      </w:r>
    </w:p>
    <w:p w14:paraId="0056DA41" w14:textId="77777777" w:rsidR="00E82883" w:rsidRPr="003B66BF" w:rsidRDefault="00097DD4" w:rsidP="00E82883">
      <w:pPr>
        <w:pStyle w:val="NormalWeb"/>
        <w:spacing w:before="240" w:beforeAutospacing="0" w:after="240" w:afterAutospacing="0"/>
        <w:jc w:val="both"/>
        <w:rPr>
          <w:rFonts w:ascii="Arial" w:hAnsi="Arial" w:cs="Arial"/>
          <w:b/>
          <w:bCs/>
          <w:i/>
          <w:iCs/>
          <w:color w:val="0070C0"/>
          <w:sz w:val="22"/>
          <w:szCs w:val="22"/>
        </w:rPr>
      </w:pPr>
      <w:r w:rsidRPr="003B66BF">
        <w:rPr>
          <w:rStyle w:val="Strong"/>
          <w:rFonts w:ascii="Arial" w:hAnsi="Arial" w:cs="Arial"/>
          <w:i/>
          <w:iCs/>
          <w:color w:val="0070C0"/>
          <w:sz w:val="22"/>
          <w:szCs w:val="22"/>
        </w:rPr>
        <w:t xml:space="preserve">b) </w:t>
      </w:r>
      <w:r w:rsidR="00E82883" w:rsidRPr="003B66BF">
        <w:rPr>
          <w:rStyle w:val="Strong"/>
          <w:rFonts w:ascii="Arial" w:hAnsi="Arial" w:cs="Arial"/>
          <w:i/>
          <w:iCs/>
          <w:color w:val="0070C0"/>
          <w:sz w:val="22"/>
          <w:szCs w:val="22"/>
        </w:rPr>
        <w:t>Seagrass</w:t>
      </w:r>
    </w:p>
    <w:p w14:paraId="366649AB" w14:textId="39073F71" w:rsidR="00795321" w:rsidRPr="003B66BF" w:rsidRDefault="00795321" w:rsidP="00097DD4">
      <w:pPr>
        <w:pStyle w:val="NormalWeb"/>
        <w:jc w:val="both"/>
        <w:rPr>
          <w:rFonts w:ascii="Arial" w:hAnsi="Arial" w:cs="Arial"/>
          <w:sz w:val="22"/>
          <w:szCs w:val="22"/>
        </w:rPr>
      </w:pPr>
      <w:r w:rsidRPr="003B66BF">
        <w:rPr>
          <w:rFonts w:ascii="Arial" w:hAnsi="Arial" w:cs="Arial"/>
          <w:sz w:val="22"/>
          <w:szCs w:val="22"/>
        </w:rPr>
        <w:t xml:space="preserve">Cambodia has extensive seagrass meadows, particularly in </w:t>
      </w:r>
      <w:r w:rsidRPr="003B66BF">
        <w:rPr>
          <w:rStyle w:val="Strong"/>
          <w:rFonts w:ascii="Arial" w:eastAsiaTheme="majorEastAsia" w:hAnsi="Arial" w:cs="Arial"/>
          <w:sz w:val="22"/>
          <w:szCs w:val="22"/>
        </w:rPr>
        <w:t>Kampot and Koh Kong</w:t>
      </w:r>
      <w:r w:rsidRPr="003B66BF">
        <w:rPr>
          <w:rFonts w:ascii="Arial" w:hAnsi="Arial" w:cs="Arial"/>
          <w:sz w:val="22"/>
          <w:szCs w:val="22"/>
        </w:rPr>
        <w:t xml:space="preserve">, dominated by </w:t>
      </w:r>
      <w:r w:rsidRPr="003B66BF">
        <w:rPr>
          <w:rStyle w:val="Emphasis"/>
          <w:rFonts w:ascii="Arial" w:eastAsiaTheme="majorEastAsia" w:hAnsi="Arial" w:cs="Arial"/>
          <w:sz w:val="22"/>
          <w:szCs w:val="22"/>
        </w:rPr>
        <w:t>Thalassia hemprichii</w:t>
      </w:r>
      <w:r w:rsidRPr="003B66BF">
        <w:rPr>
          <w:rFonts w:ascii="Arial" w:hAnsi="Arial" w:cs="Arial"/>
          <w:sz w:val="22"/>
          <w:szCs w:val="22"/>
        </w:rPr>
        <w:t xml:space="preserve">, </w:t>
      </w:r>
      <w:r w:rsidRPr="003B66BF">
        <w:rPr>
          <w:rStyle w:val="Emphasis"/>
          <w:rFonts w:ascii="Arial" w:eastAsiaTheme="majorEastAsia" w:hAnsi="Arial" w:cs="Arial"/>
          <w:sz w:val="22"/>
          <w:szCs w:val="22"/>
        </w:rPr>
        <w:t>Halodule uninervis</w:t>
      </w:r>
      <w:r w:rsidRPr="003B66BF">
        <w:rPr>
          <w:rFonts w:ascii="Arial" w:hAnsi="Arial" w:cs="Arial"/>
          <w:sz w:val="22"/>
          <w:szCs w:val="22"/>
        </w:rPr>
        <w:t xml:space="preserve"> and </w:t>
      </w:r>
      <w:r w:rsidRPr="003B66BF">
        <w:rPr>
          <w:rStyle w:val="Emphasis"/>
          <w:rFonts w:ascii="Arial" w:eastAsiaTheme="majorEastAsia" w:hAnsi="Arial" w:cs="Arial"/>
          <w:sz w:val="22"/>
          <w:szCs w:val="22"/>
        </w:rPr>
        <w:t>Enhalus acoroides</w:t>
      </w:r>
      <w:r w:rsidRPr="003B66BF">
        <w:rPr>
          <w:rFonts w:ascii="Arial" w:hAnsi="Arial" w:cs="Arial"/>
          <w:sz w:val="22"/>
          <w:szCs w:val="22"/>
        </w:rPr>
        <w:t xml:space="preserve">. These meadows are key feeding grounds for dugongs and green turtles and provide major services—nursery habitat for coastal fisheries, sediment stabilization and blue-carbon storage. Recent surveys (2021–2023) distinguish </w:t>
      </w:r>
      <w:r w:rsidRPr="003B66BF">
        <w:rPr>
          <w:rStyle w:val="Strong"/>
          <w:rFonts w:ascii="Arial" w:eastAsiaTheme="majorEastAsia" w:hAnsi="Arial" w:cs="Arial"/>
          <w:sz w:val="22"/>
          <w:szCs w:val="22"/>
        </w:rPr>
        <w:t>large mainland-adjacent meadows</w:t>
      </w:r>
      <w:r w:rsidRPr="003B66BF">
        <w:rPr>
          <w:rFonts w:ascii="Arial" w:hAnsi="Arial" w:cs="Arial"/>
          <w:sz w:val="22"/>
          <w:szCs w:val="22"/>
        </w:rPr>
        <w:t xml:space="preserve"> and </w:t>
      </w:r>
      <w:r w:rsidRPr="003B66BF">
        <w:rPr>
          <w:rStyle w:val="Strong"/>
          <w:rFonts w:ascii="Arial" w:eastAsiaTheme="majorEastAsia" w:hAnsi="Arial" w:cs="Arial"/>
          <w:sz w:val="22"/>
          <w:szCs w:val="22"/>
        </w:rPr>
        <w:t>smaller island/bay patches</w:t>
      </w:r>
      <w:r w:rsidRPr="003B66BF">
        <w:rPr>
          <w:rFonts w:ascii="Arial" w:hAnsi="Arial" w:cs="Arial"/>
          <w:sz w:val="22"/>
          <w:szCs w:val="22"/>
        </w:rPr>
        <w:t xml:space="preserve">. Mapped examples (~2,333 ha across 11 sites) include </w:t>
      </w:r>
      <w:r w:rsidRPr="003B66BF">
        <w:rPr>
          <w:rStyle w:val="Strong"/>
          <w:rFonts w:ascii="Arial" w:eastAsiaTheme="majorEastAsia" w:hAnsi="Arial" w:cs="Arial"/>
          <w:sz w:val="22"/>
          <w:szCs w:val="22"/>
        </w:rPr>
        <w:t>Chrouy Pros Bay (~1,485 ha)</w:t>
      </w:r>
      <w:r w:rsidRPr="003B66BF">
        <w:rPr>
          <w:rFonts w:ascii="Arial" w:hAnsi="Arial" w:cs="Arial"/>
          <w:sz w:val="22"/>
          <w:szCs w:val="22"/>
        </w:rPr>
        <w:t xml:space="preserve">, </w:t>
      </w:r>
      <w:r w:rsidRPr="003B66BF">
        <w:rPr>
          <w:rStyle w:val="Strong"/>
          <w:rFonts w:ascii="Arial" w:eastAsiaTheme="majorEastAsia" w:hAnsi="Arial" w:cs="Arial"/>
          <w:sz w:val="22"/>
          <w:szCs w:val="22"/>
        </w:rPr>
        <w:t>Steung Hav (610 ha)</w:t>
      </w:r>
      <w:r w:rsidRPr="003B66BF">
        <w:rPr>
          <w:rFonts w:ascii="Arial" w:hAnsi="Arial" w:cs="Arial"/>
          <w:sz w:val="22"/>
          <w:szCs w:val="22"/>
        </w:rPr>
        <w:t xml:space="preserve"> and </w:t>
      </w:r>
      <w:r w:rsidRPr="003B66BF">
        <w:rPr>
          <w:rStyle w:val="Strong"/>
          <w:rFonts w:ascii="Arial" w:eastAsiaTheme="majorEastAsia" w:hAnsi="Arial" w:cs="Arial"/>
          <w:sz w:val="22"/>
          <w:szCs w:val="22"/>
        </w:rPr>
        <w:t>Prey Nob (98 ha)</w:t>
      </w:r>
      <w:r w:rsidRPr="003B66BF">
        <w:rPr>
          <w:rFonts w:ascii="Arial" w:hAnsi="Arial" w:cs="Arial"/>
          <w:sz w:val="22"/>
          <w:szCs w:val="22"/>
        </w:rPr>
        <w:t>, plus smaller island patches (e.g., Koh Ta Kiev, Koh Bong, Koh Tang) (FiA, 2023). Key pressures are bottom-contact fishing (trawls/push-nets), dredging/shoreline works and land-based eutrophication; because many meadows lie within or near MFMAs and high-use corridors, improved gear control, dredging management and wastewater/runoff reductions are the most direct levers to stabilize seagrass extent and nursery function.</w:t>
      </w:r>
    </w:p>
    <w:p w14:paraId="526800C6" w14:textId="77777777" w:rsidR="00971ED2" w:rsidRPr="003B66BF" w:rsidRDefault="00971ED2" w:rsidP="00336592">
      <w:pPr>
        <w:adjustRightInd w:val="0"/>
        <w:snapToGrid w:val="0"/>
        <w:jc w:val="both"/>
        <w:rPr>
          <w:rStyle w:val="relative"/>
          <w:rFonts w:ascii="Arial" w:hAnsi="Arial" w:cs="Arial"/>
          <w:sz w:val="22"/>
          <w:szCs w:val="22"/>
        </w:rPr>
      </w:pPr>
      <w:r w:rsidRPr="003B66BF">
        <w:rPr>
          <w:rFonts w:ascii="Arial" w:hAnsi="Arial" w:cs="Arial"/>
          <w:i/>
          <w:iCs/>
          <w:noProof/>
        </w:rPr>
        <w:drawing>
          <wp:inline distT="0" distB="0" distL="0" distR="0" wp14:anchorId="232C26DB" wp14:editId="6FDB54D4">
            <wp:extent cx="5518113" cy="3989705"/>
            <wp:effectExtent l="0" t="0" r="6985" b="0"/>
            <wp:docPr id="909575912"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 r="643"/>
                    <a:stretch/>
                  </pic:blipFill>
                  <pic:spPr bwMode="auto">
                    <a:xfrm>
                      <a:off x="0" y="0"/>
                      <a:ext cx="5518910" cy="3990281"/>
                    </a:xfrm>
                    <a:prstGeom prst="rect">
                      <a:avLst/>
                    </a:prstGeom>
                    <a:noFill/>
                    <a:ln>
                      <a:noFill/>
                    </a:ln>
                    <a:extLst>
                      <a:ext uri="{53640926-AAD7-44D8-BBD7-CCE9431645EC}">
                        <a14:shadowObscured xmlns:a14="http://schemas.microsoft.com/office/drawing/2010/main"/>
                      </a:ext>
                    </a:extLst>
                  </pic:spPr>
                </pic:pic>
              </a:graphicData>
            </a:graphic>
          </wp:inline>
        </w:drawing>
      </w:r>
    </w:p>
    <w:p w14:paraId="7AF29B1F" w14:textId="3D28C22D" w:rsidR="00971ED2" w:rsidRPr="003B66BF" w:rsidRDefault="00971ED2" w:rsidP="00336592">
      <w:pPr>
        <w:pStyle w:val="Caption"/>
        <w:adjustRightInd w:val="0"/>
        <w:snapToGrid w:val="0"/>
        <w:spacing w:after="0"/>
        <w:rPr>
          <w:rFonts w:ascii="Arial" w:hAnsi="Arial" w:cs="Arial"/>
          <w:color w:val="002060"/>
          <w:sz w:val="22"/>
          <w:szCs w:val="22"/>
        </w:rPr>
      </w:pPr>
      <w:bookmarkStart w:id="10" w:name="_Toc216612619"/>
      <w:bookmarkStart w:id="11" w:name="_Toc189647697"/>
      <w:bookmarkStart w:id="12" w:name="_Toc206753047"/>
      <w:r w:rsidRPr="003B66BF">
        <w:rPr>
          <w:rFonts w:ascii="Arial" w:hAnsi="Arial" w:cs="Arial"/>
          <w:color w:val="002060"/>
          <w:sz w:val="22"/>
          <w:szCs w:val="22"/>
        </w:rPr>
        <w:t>Figure 4-</w:t>
      </w:r>
      <w:r w:rsidRPr="003B66BF">
        <w:rPr>
          <w:rFonts w:ascii="Arial" w:hAnsi="Arial" w:cs="Arial"/>
          <w:color w:val="002060"/>
          <w:sz w:val="22"/>
          <w:szCs w:val="22"/>
        </w:rPr>
        <w:fldChar w:fldCharType="begin"/>
      </w:r>
      <w:r w:rsidRPr="003B66BF">
        <w:rPr>
          <w:rFonts w:ascii="Arial" w:hAnsi="Arial" w:cs="Arial"/>
          <w:color w:val="002060"/>
          <w:sz w:val="22"/>
          <w:szCs w:val="22"/>
        </w:rPr>
        <w:instrText xml:space="preserve"> SEQ Figure_4- \* ARABIC </w:instrText>
      </w:r>
      <w:r w:rsidRPr="003B66BF">
        <w:rPr>
          <w:rFonts w:ascii="Arial" w:hAnsi="Arial" w:cs="Arial"/>
          <w:color w:val="002060"/>
          <w:sz w:val="22"/>
          <w:szCs w:val="22"/>
        </w:rPr>
        <w:fldChar w:fldCharType="separate"/>
      </w:r>
      <w:r w:rsidR="00802509">
        <w:rPr>
          <w:rFonts w:ascii="Arial" w:hAnsi="Arial" w:cs="Arial"/>
          <w:noProof/>
          <w:color w:val="002060"/>
          <w:sz w:val="22"/>
          <w:szCs w:val="22"/>
        </w:rPr>
        <w:t>3</w:t>
      </w:r>
      <w:r w:rsidRPr="003B66BF">
        <w:rPr>
          <w:rFonts w:ascii="Arial" w:hAnsi="Arial" w:cs="Arial"/>
          <w:color w:val="002060"/>
          <w:sz w:val="22"/>
          <w:szCs w:val="22"/>
        </w:rPr>
        <w:fldChar w:fldCharType="end"/>
      </w:r>
      <w:r w:rsidRPr="003B66BF">
        <w:rPr>
          <w:rFonts w:ascii="Arial" w:hAnsi="Arial" w:cs="Arial"/>
        </w:rPr>
        <w:t xml:space="preserve"> </w:t>
      </w:r>
      <w:r w:rsidRPr="003B66BF">
        <w:rPr>
          <w:rFonts w:ascii="Arial" w:hAnsi="Arial" w:cs="Arial"/>
          <w:color w:val="002060"/>
          <w:sz w:val="22"/>
          <w:szCs w:val="22"/>
        </w:rPr>
        <w:t>Location of Seagrass Distribution in Cambodia</w:t>
      </w:r>
      <w:bookmarkEnd w:id="10"/>
      <w:r w:rsidRPr="003B66BF">
        <w:rPr>
          <w:rFonts w:ascii="Arial" w:hAnsi="Arial" w:cs="Arial"/>
          <w:color w:val="002060"/>
          <w:sz w:val="22"/>
          <w:szCs w:val="22"/>
        </w:rPr>
        <w:t xml:space="preserve"> </w:t>
      </w:r>
      <w:bookmarkEnd w:id="11"/>
      <w:bookmarkEnd w:id="12"/>
    </w:p>
    <w:p w14:paraId="4835E361" w14:textId="77777777" w:rsidR="00971ED2" w:rsidRPr="003B66BF" w:rsidRDefault="00971ED2" w:rsidP="00336592">
      <w:pPr>
        <w:pStyle w:val="Caption"/>
        <w:adjustRightInd w:val="0"/>
        <w:snapToGrid w:val="0"/>
        <w:spacing w:after="0"/>
        <w:rPr>
          <w:rFonts w:ascii="Arial" w:hAnsi="Arial" w:cs="Arial"/>
          <w:color w:val="auto"/>
        </w:rPr>
      </w:pPr>
      <w:r w:rsidRPr="003B66BF">
        <w:rPr>
          <w:rFonts w:ascii="Arial" w:hAnsi="Arial" w:cs="Arial"/>
          <w:b/>
          <w:bCs/>
          <w:color w:val="auto"/>
        </w:rPr>
        <w:t>Source:</w:t>
      </w:r>
      <w:r w:rsidRPr="003B66BF">
        <w:rPr>
          <w:rFonts w:ascii="Arial" w:hAnsi="Arial" w:cs="Arial"/>
          <w:color w:val="auto"/>
        </w:rPr>
        <w:t xml:space="preserve"> FAO CAPFish, 2022.</w:t>
      </w:r>
    </w:p>
    <w:p w14:paraId="5DF1625E" w14:textId="77777777" w:rsidR="00C3497F" w:rsidRPr="003B66BF" w:rsidRDefault="00C3497F" w:rsidP="00C3497F">
      <w:pPr>
        <w:rPr>
          <w:rFonts w:ascii="Arial" w:hAnsi="Arial" w:cs="Arial"/>
        </w:rPr>
      </w:pPr>
    </w:p>
    <w:p w14:paraId="5660E876" w14:textId="2185C12C" w:rsidR="00D159D0" w:rsidRPr="00E62D7D" w:rsidRDefault="00D159D0" w:rsidP="00601E87">
      <w:pPr>
        <w:pStyle w:val="Heading4"/>
        <w:keepLines w:val="0"/>
        <w:spacing w:before="240" w:after="240"/>
        <w:rPr>
          <w:rStyle w:val="Strong"/>
          <w:rFonts w:ascii="Arial" w:hAnsi="Arial" w:cs="Arial"/>
          <w:i w:val="0"/>
          <w:iCs w:val="0"/>
          <w:color w:val="0070C0"/>
          <w:sz w:val="22"/>
          <w:szCs w:val="22"/>
        </w:rPr>
      </w:pPr>
      <w:r w:rsidRPr="00E62D7D">
        <w:rPr>
          <w:rFonts w:ascii="Arial" w:hAnsi="Arial" w:cs="Arial"/>
          <w:b/>
          <w:bCs/>
          <w:i w:val="0"/>
          <w:iCs w:val="0"/>
          <w:color w:val="0070C0"/>
          <w:sz w:val="22"/>
          <w:szCs w:val="22"/>
        </w:rPr>
        <w:t>4.2.</w:t>
      </w:r>
      <w:r w:rsidR="00830AFD" w:rsidRPr="00E62D7D">
        <w:rPr>
          <w:rFonts w:ascii="Arial" w:hAnsi="Arial" w:cs="Arial"/>
          <w:b/>
          <w:bCs/>
          <w:i w:val="0"/>
          <w:iCs w:val="0"/>
          <w:color w:val="0070C0"/>
          <w:sz w:val="22"/>
          <w:szCs w:val="22"/>
        </w:rPr>
        <w:t>2</w:t>
      </w:r>
      <w:r w:rsidRPr="00E62D7D">
        <w:rPr>
          <w:rFonts w:ascii="Arial" w:hAnsi="Arial" w:cs="Arial"/>
          <w:b/>
          <w:bCs/>
          <w:i w:val="0"/>
          <w:iCs w:val="0"/>
          <w:color w:val="0070C0"/>
          <w:sz w:val="22"/>
          <w:szCs w:val="22"/>
        </w:rPr>
        <w:t>.</w:t>
      </w:r>
      <w:r w:rsidR="00C3497F" w:rsidRPr="00E62D7D">
        <w:rPr>
          <w:rFonts w:ascii="Arial" w:hAnsi="Arial" w:cs="Arial"/>
          <w:b/>
          <w:bCs/>
          <w:i w:val="0"/>
          <w:iCs w:val="0"/>
          <w:color w:val="0070C0"/>
          <w:sz w:val="22"/>
          <w:szCs w:val="22"/>
        </w:rPr>
        <w:t>2</w:t>
      </w:r>
      <w:r w:rsidRPr="00E62D7D">
        <w:rPr>
          <w:rFonts w:ascii="Arial" w:hAnsi="Arial" w:cs="Arial"/>
          <w:b/>
          <w:bCs/>
          <w:i w:val="0"/>
          <w:iCs w:val="0"/>
          <w:color w:val="0070C0"/>
          <w:sz w:val="22"/>
          <w:szCs w:val="22"/>
        </w:rPr>
        <w:t xml:space="preserve"> Selected site-specific status and pressures</w:t>
      </w:r>
    </w:p>
    <w:p w14:paraId="5EC2EA1B" w14:textId="77777777" w:rsidR="003867DE" w:rsidRPr="00E62D7D" w:rsidRDefault="00B84A9E" w:rsidP="003867DE">
      <w:pPr>
        <w:pStyle w:val="NormalWeb"/>
        <w:spacing w:before="240" w:beforeAutospacing="0" w:after="240" w:afterAutospacing="0"/>
        <w:jc w:val="both"/>
        <w:rPr>
          <w:rStyle w:val="Strong"/>
          <w:rFonts w:ascii="Arial" w:hAnsi="Arial" w:cs="Arial"/>
          <w:i/>
          <w:iCs/>
        </w:rPr>
      </w:pPr>
      <w:r w:rsidRPr="00E62D7D">
        <w:rPr>
          <w:rStyle w:val="Strong"/>
          <w:rFonts w:ascii="Arial" w:hAnsi="Arial" w:cs="Arial"/>
          <w:i/>
          <w:iCs/>
          <w:sz w:val="22"/>
          <w:szCs w:val="22"/>
        </w:rPr>
        <w:t xml:space="preserve">Site 1. </w:t>
      </w:r>
      <w:r w:rsidR="003867DE" w:rsidRPr="00E62D7D">
        <w:rPr>
          <w:rStyle w:val="Strong"/>
          <w:rFonts w:ascii="Arial" w:hAnsi="Arial" w:cs="Arial"/>
          <w:i/>
          <w:iCs/>
          <w:sz w:val="22"/>
          <w:szCs w:val="22"/>
        </w:rPr>
        <w:t>Koh Rong Archipelago (Koh Rong Marine National Park)</w:t>
      </w:r>
    </w:p>
    <w:p w14:paraId="769BF595" w14:textId="77777777" w:rsidR="003867DE" w:rsidRPr="003B66BF" w:rsidRDefault="00336592" w:rsidP="00336592">
      <w:pPr>
        <w:pStyle w:val="NormalWeb"/>
        <w:jc w:val="both"/>
        <w:rPr>
          <w:rFonts w:ascii="Arial" w:hAnsi="Arial" w:cs="Arial"/>
          <w:sz w:val="21"/>
          <w:szCs w:val="21"/>
        </w:rPr>
      </w:pPr>
      <w:r w:rsidRPr="003B66BF">
        <w:rPr>
          <w:rFonts w:ascii="Arial" w:hAnsi="Arial" w:cs="Arial"/>
          <w:sz w:val="22"/>
          <w:szCs w:val="22"/>
        </w:rPr>
        <w:t xml:space="preserve">Koh Rong, first designated as a large MFMA and later a </w:t>
      </w:r>
      <w:r w:rsidRPr="003B66BF">
        <w:rPr>
          <w:rStyle w:val="Strong"/>
          <w:rFonts w:ascii="Arial" w:hAnsi="Arial" w:cs="Arial"/>
          <w:sz w:val="22"/>
          <w:szCs w:val="22"/>
        </w:rPr>
        <w:t>National Marine Park (Feb 2018)</w:t>
      </w:r>
      <w:r w:rsidRPr="003B66BF">
        <w:rPr>
          <w:rFonts w:ascii="Arial" w:hAnsi="Arial" w:cs="Arial"/>
          <w:sz w:val="22"/>
          <w:szCs w:val="22"/>
        </w:rPr>
        <w:t xml:space="preserve">, spans ~520 km² (≈400 km² marine) and is Cambodia’s core area for reef and island-seagrass conservation. MSP baselines map </w:t>
      </w:r>
      <w:r w:rsidRPr="003B66BF">
        <w:rPr>
          <w:rStyle w:val="Strong"/>
          <w:rFonts w:ascii="Arial" w:hAnsi="Arial" w:cs="Arial"/>
          <w:sz w:val="22"/>
          <w:szCs w:val="22"/>
        </w:rPr>
        <w:t>~1,198 ha of coral reefs</w:t>
      </w:r>
      <w:r w:rsidRPr="003B66BF">
        <w:rPr>
          <w:rFonts w:ascii="Arial" w:hAnsi="Arial" w:cs="Arial"/>
          <w:sz w:val="22"/>
          <w:szCs w:val="22"/>
        </w:rPr>
        <w:t xml:space="preserve"> and </w:t>
      </w:r>
      <w:r w:rsidRPr="003B66BF">
        <w:rPr>
          <w:rStyle w:val="Strong"/>
          <w:rFonts w:ascii="Arial" w:hAnsi="Arial" w:cs="Arial"/>
          <w:sz w:val="22"/>
          <w:szCs w:val="22"/>
        </w:rPr>
        <w:t>~1,360 ha of seagrass</w:t>
      </w:r>
      <w:r w:rsidRPr="003B66BF">
        <w:rPr>
          <w:rFonts w:ascii="Arial" w:hAnsi="Arial" w:cs="Arial"/>
          <w:sz w:val="22"/>
          <w:szCs w:val="22"/>
        </w:rPr>
        <w:t xml:space="preserve"> (MoE &amp; NOTC, 2018). Reef surveys in 2019–2020 recorded </w:t>
      </w:r>
      <w:r w:rsidRPr="003B66BF">
        <w:rPr>
          <w:rStyle w:val="Strong"/>
          <w:rFonts w:ascii="Arial" w:hAnsi="Arial" w:cs="Arial"/>
          <w:sz w:val="22"/>
          <w:szCs w:val="22"/>
        </w:rPr>
        <w:t>~29.8% coral cover</w:t>
      </w:r>
      <w:r w:rsidRPr="003B66BF">
        <w:rPr>
          <w:rFonts w:ascii="Arial" w:hAnsi="Arial" w:cs="Arial"/>
          <w:sz w:val="22"/>
          <w:szCs w:val="22"/>
        </w:rPr>
        <w:t xml:space="preserve">, dominated by sediment-tolerant </w:t>
      </w:r>
      <w:r w:rsidRPr="003B66BF">
        <w:rPr>
          <w:rStyle w:val="Strong"/>
          <w:rFonts w:ascii="Arial" w:hAnsi="Arial" w:cs="Arial"/>
          <w:sz w:val="22"/>
          <w:szCs w:val="22"/>
        </w:rPr>
        <w:t>Porites</w:t>
      </w:r>
      <w:r w:rsidRPr="003B66BF">
        <w:rPr>
          <w:rFonts w:ascii="Arial" w:hAnsi="Arial" w:cs="Arial"/>
          <w:sz w:val="22"/>
          <w:szCs w:val="22"/>
        </w:rPr>
        <w:t xml:space="preserve"> and </w:t>
      </w:r>
      <w:r w:rsidRPr="003B66BF">
        <w:rPr>
          <w:rStyle w:val="Strong"/>
          <w:rFonts w:ascii="Arial" w:hAnsi="Arial" w:cs="Arial"/>
          <w:sz w:val="22"/>
          <w:szCs w:val="22"/>
        </w:rPr>
        <w:t>Diploastrea</w:t>
      </w:r>
      <w:r w:rsidRPr="003B66BF">
        <w:rPr>
          <w:rFonts w:ascii="Arial" w:hAnsi="Arial" w:cs="Arial"/>
          <w:sz w:val="22"/>
          <w:szCs w:val="22"/>
        </w:rPr>
        <w:t xml:space="preserve">, while fish biomass remains low due to continued fishing pressure (FFI, 2020). The archipelago’s linked </w:t>
      </w:r>
      <w:r w:rsidRPr="003B66BF">
        <w:rPr>
          <w:rStyle w:val="Strong"/>
          <w:rFonts w:ascii="Arial" w:hAnsi="Arial" w:cs="Arial"/>
          <w:sz w:val="22"/>
          <w:szCs w:val="22"/>
        </w:rPr>
        <w:t>reef–seagrass–mangrove system</w:t>
      </w:r>
      <w:r w:rsidRPr="003B66BF">
        <w:rPr>
          <w:rFonts w:ascii="Arial" w:hAnsi="Arial" w:cs="Arial"/>
          <w:sz w:val="22"/>
          <w:szCs w:val="22"/>
        </w:rPr>
        <w:t xml:space="preserve"> is experiencing seagrass loss at </w:t>
      </w:r>
      <w:r w:rsidRPr="003B66BF">
        <w:rPr>
          <w:rStyle w:val="Strong"/>
          <w:rFonts w:ascii="Arial" w:hAnsi="Arial" w:cs="Arial"/>
          <w:sz w:val="22"/>
          <w:szCs w:val="22"/>
        </w:rPr>
        <w:t>Prek Svay (−2,510 ha)</w:t>
      </w:r>
      <w:r w:rsidRPr="003B66BF">
        <w:rPr>
          <w:rFonts w:ascii="Arial" w:hAnsi="Arial" w:cs="Arial"/>
          <w:sz w:val="22"/>
          <w:szCs w:val="22"/>
        </w:rPr>
        <w:t xml:space="preserve"> and </w:t>
      </w:r>
      <w:r w:rsidRPr="003B66BF">
        <w:rPr>
          <w:rStyle w:val="Strong"/>
          <w:rFonts w:ascii="Arial" w:hAnsi="Arial" w:cs="Arial"/>
          <w:sz w:val="22"/>
          <w:szCs w:val="22"/>
        </w:rPr>
        <w:t>Koh Rong Sanloem (−908 ha)</w:t>
      </w:r>
      <w:r w:rsidRPr="003B66BF">
        <w:rPr>
          <w:rFonts w:ascii="Arial" w:hAnsi="Arial" w:cs="Arial"/>
          <w:sz w:val="22"/>
          <w:szCs w:val="22"/>
        </w:rPr>
        <w:t xml:space="preserve">, largely from tourism and infrastructure growth—underscoring the need for </w:t>
      </w:r>
      <w:r w:rsidRPr="003B66BF">
        <w:rPr>
          <w:rStyle w:val="Strong"/>
          <w:rFonts w:ascii="Arial" w:hAnsi="Arial" w:cs="Arial"/>
          <w:sz w:val="22"/>
          <w:szCs w:val="22"/>
        </w:rPr>
        <w:t>no-anchor zones, moorings, and dredge controls</w:t>
      </w:r>
      <w:r w:rsidRPr="003B66BF">
        <w:rPr>
          <w:rFonts w:ascii="Arial" w:hAnsi="Arial" w:cs="Arial"/>
          <w:sz w:val="22"/>
          <w:szCs w:val="22"/>
        </w:rPr>
        <w:t>.</w:t>
      </w:r>
    </w:p>
    <w:p w14:paraId="582944EC" w14:textId="07ACFFE4" w:rsidR="003867DE" w:rsidRPr="00E62D7D" w:rsidRDefault="00B84A9E" w:rsidP="00097DD4">
      <w:pPr>
        <w:pStyle w:val="NormalWeb"/>
        <w:keepNext/>
        <w:spacing w:before="240" w:beforeAutospacing="0" w:after="240" w:afterAutospacing="0"/>
        <w:jc w:val="both"/>
        <w:rPr>
          <w:rStyle w:val="Strong"/>
          <w:rFonts w:ascii="Arial" w:hAnsi="Arial" w:cs="Arial"/>
          <w:i/>
          <w:iCs/>
        </w:rPr>
      </w:pPr>
      <w:r w:rsidRPr="00E62D7D">
        <w:rPr>
          <w:rStyle w:val="Strong"/>
          <w:rFonts w:ascii="Arial" w:hAnsi="Arial" w:cs="Arial"/>
          <w:i/>
          <w:iCs/>
          <w:sz w:val="22"/>
          <w:szCs w:val="22"/>
        </w:rPr>
        <w:t xml:space="preserve">Site 2. </w:t>
      </w:r>
      <w:r w:rsidR="003867DE" w:rsidRPr="00E62D7D">
        <w:rPr>
          <w:rStyle w:val="Strong"/>
          <w:rFonts w:ascii="Arial" w:hAnsi="Arial" w:cs="Arial"/>
          <w:i/>
          <w:iCs/>
          <w:sz w:val="22"/>
          <w:szCs w:val="22"/>
        </w:rPr>
        <w:t>Kep Archipelago (Koh Tonsay &amp; Koh Pou) within the Kep MFMA</w:t>
      </w:r>
    </w:p>
    <w:p w14:paraId="4245EBE0" w14:textId="77777777" w:rsidR="003867DE" w:rsidRPr="003B66BF" w:rsidRDefault="00336592" w:rsidP="00336592">
      <w:pPr>
        <w:pStyle w:val="NormalWeb"/>
        <w:spacing w:before="240" w:beforeAutospacing="0" w:after="240" w:afterAutospacing="0"/>
        <w:jc w:val="both"/>
        <w:rPr>
          <w:rFonts w:ascii="Arial" w:hAnsi="Arial" w:cs="Arial"/>
          <w:sz w:val="21"/>
          <w:szCs w:val="21"/>
        </w:rPr>
      </w:pPr>
      <w:r w:rsidRPr="003B66BF">
        <w:rPr>
          <w:rFonts w:ascii="Arial" w:hAnsi="Arial" w:cs="Arial"/>
          <w:sz w:val="22"/>
          <w:szCs w:val="22"/>
        </w:rPr>
        <w:t xml:space="preserve">The MFMA (~11.3 thousand ha) encompasses reefs and some of Cambodia’s largest seagrass meadows (~6,399 ha). While pockets of high coral cover persist—such as </w:t>
      </w:r>
      <w:r w:rsidRPr="003B66BF">
        <w:rPr>
          <w:rStyle w:val="Strong"/>
          <w:rFonts w:ascii="Arial" w:hAnsi="Arial" w:cs="Arial"/>
          <w:sz w:val="22"/>
          <w:szCs w:val="22"/>
        </w:rPr>
        <w:t>Koh Seh’s 64% live cover</w:t>
      </w:r>
      <w:r w:rsidRPr="003B66BF">
        <w:rPr>
          <w:rFonts w:ascii="Arial" w:hAnsi="Arial" w:cs="Arial"/>
          <w:sz w:val="22"/>
          <w:szCs w:val="22"/>
        </w:rPr>
        <w:t xml:space="preserve"> (409 colonies; 14 genera; low dead coral) in 2019 (Pham et al., 2025)—most nearshore reefs are small and sensitive to sedimentation and illegal gears. Proposed MFMA zoning and </w:t>
      </w:r>
      <w:r w:rsidRPr="003B66BF">
        <w:rPr>
          <w:rStyle w:val="Strong"/>
          <w:rFonts w:ascii="Arial" w:hAnsi="Arial" w:cs="Arial"/>
          <w:sz w:val="22"/>
          <w:szCs w:val="22"/>
        </w:rPr>
        <w:t>anti-trawl structures</w:t>
      </w:r>
      <w:r w:rsidRPr="003B66BF">
        <w:rPr>
          <w:rFonts w:ascii="Arial" w:hAnsi="Arial" w:cs="Arial"/>
          <w:sz w:val="22"/>
          <w:szCs w:val="22"/>
        </w:rPr>
        <w:t xml:space="preserve"> aim to curb bottom-contact fishing on adjacent meadows, supporting coral and seagrass recovery (FiA, 2023; Norrey et al., 2023). Persistent threats remain from illegal trawling and electric fishing.</w:t>
      </w:r>
      <w:r w:rsidR="00601E87" w:rsidRPr="003B66BF">
        <w:rPr>
          <w:rFonts w:ascii="Arial" w:hAnsi="Arial" w:cs="Arial"/>
          <w:sz w:val="21"/>
          <w:szCs w:val="21"/>
        </w:rPr>
        <w:t xml:space="preserve"> </w:t>
      </w:r>
    </w:p>
    <w:p w14:paraId="0F76B78F" w14:textId="77777777" w:rsidR="003867DE" w:rsidRPr="00E62D7D" w:rsidRDefault="00B84A9E" w:rsidP="00601E87">
      <w:pPr>
        <w:pStyle w:val="NormalWeb"/>
        <w:keepNext/>
        <w:spacing w:before="240" w:beforeAutospacing="0" w:after="240" w:afterAutospacing="0"/>
        <w:jc w:val="both"/>
        <w:rPr>
          <w:rStyle w:val="Strong"/>
          <w:rFonts w:ascii="Arial" w:hAnsi="Arial" w:cs="Arial"/>
          <w:i/>
          <w:iCs/>
        </w:rPr>
      </w:pPr>
      <w:r w:rsidRPr="00E62D7D">
        <w:rPr>
          <w:rStyle w:val="Strong"/>
          <w:rFonts w:ascii="Arial" w:hAnsi="Arial" w:cs="Arial"/>
          <w:i/>
          <w:iCs/>
          <w:sz w:val="22"/>
          <w:szCs w:val="22"/>
        </w:rPr>
        <w:t xml:space="preserve">Site 4. </w:t>
      </w:r>
      <w:r w:rsidR="003867DE" w:rsidRPr="00E62D7D">
        <w:rPr>
          <w:rStyle w:val="Strong"/>
          <w:rFonts w:ascii="Arial" w:hAnsi="Arial" w:cs="Arial"/>
          <w:i/>
          <w:iCs/>
          <w:sz w:val="22"/>
          <w:szCs w:val="22"/>
        </w:rPr>
        <w:t>Kampot Beach / nearshore Kampot (proposed MFMA)</w:t>
      </w:r>
    </w:p>
    <w:p w14:paraId="586CB1DA" w14:textId="77777777" w:rsidR="003867DE" w:rsidRPr="003B66BF" w:rsidRDefault="00601E87" w:rsidP="003867DE">
      <w:pPr>
        <w:pStyle w:val="NormalWeb"/>
        <w:spacing w:before="240" w:beforeAutospacing="0" w:after="240" w:afterAutospacing="0"/>
        <w:jc w:val="both"/>
        <w:rPr>
          <w:rFonts w:ascii="Arial" w:hAnsi="Arial" w:cs="Arial"/>
          <w:sz w:val="22"/>
          <w:szCs w:val="22"/>
        </w:rPr>
      </w:pPr>
      <w:r w:rsidRPr="003B66BF">
        <w:rPr>
          <w:rFonts w:ascii="Arial" w:hAnsi="Arial" w:cs="Arial"/>
          <w:sz w:val="22"/>
          <w:szCs w:val="22"/>
        </w:rPr>
        <w:t xml:space="preserve">The most recent compilation shows a </w:t>
      </w:r>
      <w:r w:rsidRPr="003B66BF">
        <w:rPr>
          <w:rStyle w:val="Strong"/>
          <w:rFonts w:ascii="Arial" w:hAnsi="Arial" w:cs="Arial"/>
          <w:sz w:val="22"/>
          <w:szCs w:val="22"/>
        </w:rPr>
        <w:t>Kampot nearshore belt</w:t>
      </w:r>
      <w:r w:rsidRPr="003B66BF">
        <w:rPr>
          <w:rFonts w:ascii="Arial" w:hAnsi="Arial" w:cs="Arial"/>
          <w:sz w:val="22"/>
          <w:szCs w:val="22"/>
        </w:rPr>
        <w:t xml:space="preserve"> with </w:t>
      </w:r>
      <w:r w:rsidRPr="003B66BF">
        <w:rPr>
          <w:rStyle w:val="Strong"/>
          <w:rFonts w:ascii="Arial" w:hAnsi="Arial" w:cs="Arial"/>
          <w:sz w:val="22"/>
          <w:szCs w:val="22"/>
        </w:rPr>
        <w:t>~5,158 ha seagrass</w:t>
      </w:r>
      <w:r w:rsidRPr="003B66BF">
        <w:rPr>
          <w:rFonts w:ascii="Arial" w:hAnsi="Arial" w:cs="Arial"/>
          <w:sz w:val="22"/>
          <w:szCs w:val="22"/>
        </w:rPr>
        <w:t xml:space="preserve"> (10 spp.) and </w:t>
      </w:r>
      <w:r w:rsidRPr="003B66BF">
        <w:rPr>
          <w:rStyle w:val="Strong"/>
          <w:rFonts w:ascii="Arial" w:hAnsi="Arial" w:cs="Arial"/>
          <w:sz w:val="22"/>
          <w:szCs w:val="22"/>
        </w:rPr>
        <w:t>~467 ha coral reef</w:t>
      </w:r>
      <w:r w:rsidRPr="003B66BF">
        <w:rPr>
          <w:rFonts w:ascii="Arial" w:hAnsi="Arial" w:cs="Arial"/>
          <w:sz w:val="22"/>
          <w:szCs w:val="22"/>
        </w:rPr>
        <w:t xml:space="preserve">, including a </w:t>
      </w:r>
      <w:r w:rsidRPr="003B66BF">
        <w:rPr>
          <w:rStyle w:val="Strong"/>
          <w:rFonts w:ascii="Arial" w:hAnsi="Arial" w:cs="Arial"/>
          <w:sz w:val="22"/>
          <w:szCs w:val="22"/>
        </w:rPr>
        <w:t>~305 ha</w:t>
      </w:r>
      <w:r w:rsidRPr="003B66BF">
        <w:rPr>
          <w:rFonts w:ascii="Arial" w:hAnsi="Arial" w:cs="Arial"/>
          <w:sz w:val="22"/>
          <w:szCs w:val="22"/>
        </w:rPr>
        <w:t xml:space="preserve"> single reef feature at </w:t>
      </w:r>
      <w:r w:rsidRPr="003B66BF">
        <w:rPr>
          <w:rStyle w:val="Strong"/>
          <w:rFonts w:ascii="Arial" w:hAnsi="Arial" w:cs="Arial"/>
          <w:sz w:val="22"/>
          <w:szCs w:val="22"/>
        </w:rPr>
        <w:t>Nataya</w:t>
      </w:r>
      <w:r w:rsidR="003867DE" w:rsidRPr="003B66BF">
        <w:rPr>
          <w:rFonts w:ascii="Arial" w:hAnsi="Arial" w:cs="Arial"/>
          <w:sz w:val="22"/>
          <w:szCs w:val="22"/>
        </w:rPr>
        <w:t xml:space="preserve">—one of the largest single reef features on the mainland coast (MCC &amp; FAO, 2023). Baseline assessments flagged sedimentation and gear impacts as principal pressures; a proposed </w:t>
      </w:r>
      <w:r w:rsidR="003867DE" w:rsidRPr="003B66BF">
        <w:rPr>
          <w:rStyle w:val="Strong"/>
          <w:rFonts w:ascii="Arial" w:hAnsi="Arial" w:cs="Arial"/>
          <w:sz w:val="22"/>
          <w:szCs w:val="22"/>
        </w:rPr>
        <w:t>~8,486-ha</w:t>
      </w:r>
      <w:r w:rsidR="003867DE" w:rsidRPr="003B66BF">
        <w:rPr>
          <w:rFonts w:ascii="Arial" w:hAnsi="Arial" w:cs="Arial"/>
          <w:sz w:val="22"/>
          <w:szCs w:val="22"/>
        </w:rPr>
        <w:t xml:space="preserve"> MFMA would formalize zoning and enforcement with three active Community Fisheries groups (Wild Earth Allies, 2020; MCC &amp; FAO, 2023).</w:t>
      </w:r>
    </w:p>
    <w:p w14:paraId="5CEFEE48" w14:textId="77777777" w:rsidR="00601E87" w:rsidRPr="00E62D7D" w:rsidRDefault="00601E87" w:rsidP="00601E87">
      <w:pPr>
        <w:pStyle w:val="NormalWeb"/>
        <w:spacing w:before="240" w:beforeAutospacing="0" w:after="240" w:afterAutospacing="0"/>
        <w:jc w:val="both"/>
        <w:rPr>
          <w:rFonts w:ascii="Arial" w:hAnsi="Arial" w:cs="Arial"/>
          <w:i/>
          <w:iCs/>
          <w:sz w:val="22"/>
          <w:szCs w:val="22"/>
        </w:rPr>
      </w:pPr>
      <w:r w:rsidRPr="00E62D7D">
        <w:rPr>
          <w:rStyle w:val="Strong"/>
          <w:rFonts w:ascii="Arial" w:hAnsi="Arial" w:cs="Arial"/>
          <w:i/>
          <w:iCs/>
          <w:sz w:val="22"/>
          <w:szCs w:val="22"/>
        </w:rPr>
        <w:t>Site 3. Koh Sdach–Koh Kong Archipelago</w:t>
      </w:r>
    </w:p>
    <w:p w14:paraId="7B95242F" w14:textId="77777777" w:rsidR="00601E87" w:rsidRPr="003B66BF" w:rsidRDefault="00601E87" w:rsidP="00601E87">
      <w:pPr>
        <w:jc w:val="both"/>
        <w:rPr>
          <w:rFonts w:ascii="Arial" w:hAnsi="Arial" w:cs="Arial"/>
          <w:sz w:val="22"/>
          <w:szCs w:val="22"/>
        </w:rPr>
      </w:pPr>
      <w:r w:rsidRPr="003B66BF">
        <w:rPr>
          <w:rFonts w:ascii="Arial" w:hAnsi="Arial" w:cs="Arial"/>
          <w:sz w:val="22"/>
          <w:szCs w:val="22"/>
        </w:rPr>
        <w:t>Earlier surveys found “good” condition at several sites but increasing degradation signals over time; current CFi-level accounting shows the largest contiguous reef areas embedded in Samros Koh Sdec (≈57% of provincial CFi-mapped reef area) and Phnhy Meas (≈19%), which are recommended focal zones for transplantation and artificial-reef pilots given scale and connectivity (MoE 2025c).</w:t>
      </w:r>
    </w:p>
    <w:p w14:paraId="239A0BB9" w14:textId="77777777" w:rsidR="003867DE" w:rsidRPr="003B66BF" w:rsidRDefault="003867DE" w:rsidP="00601E87">
      <w:pPr>
        <w:pStyle w:val="Heading3"/>
        <w:spacing w:before="240" w:after="240"/>
        <w:jc w:val="both"/>
        <w:rPr>
          <w:rFonts w:ascii="Arial" w:hAnsi="Arial" w:cs="Arial"/>
          <w:b/>
          <w:bCs/>
          <w:color w:val="000000" w:themeColor="text1"/>
        </w:rPr>
      </w:pPr>
      <w:bookmarkStart w:id="13" w:name="_Toc217231950"/>
      <w:r w:rsidRPr="003B66BF">
        <w:rPr>
          <w:rFonts w:ascii="Arial" w:hAnsi="Arial" w:cs="Arial"/>
          <w:b/>
          <w:bCs/>
          <w:color w:val="000000" w:themeColor="text1"/>
        </w:rPr>
        <w:t xml:space="preserve">4.2.3 Biodiversity </w:t>
      </w:r>
      <w:r w:rsidR="005332D8" w:rsidRPr="003B66BF">
        <w:rPr>
          <w:rFonts w:ascii="Arial" w:hAnsi="Arial" w:cs="Arial"/>
          <w:b/>
          <w:bCs/>
          <w:color w:val="000000" w:themeColor="text1"/>
        </w:rPr>
        <w:t>H</w:t>
      </w:r>
      <w:r w:rsidRPr="003B66BF">
        <w:rPr>
          <w:rFonts w:ascii="Arial" w:hAnsi="Arial" w:cs="Arial"/>
          <w:b/>
          <w:bCs/>
          <w:color w:val="000000" w:themeColor="text1"/>
        </w:rPr>
        <w:t xml:space="preserve">otspots and </w:t>
      </w:r>
      <w:r w:rsidR="005332D8" w:rsidRPr="003B66BF">
        <w:rPr>
          <w:rFonts w:ascii="Arial" w:hAnsi="Arial" w:cs="Arial"/>
          <w:b/>
          <w:bCs/>
          <w:color w:val="000000" w:themeColor="text1"/>
        </w:rPr>
        <w:t>S</w:t>
      </w:r>
      <w:r w:rsidRPr="003B66BF">
        <w:rPr>
          <w:rFonts w:ascii="Arial" w:hAnsi="Arial" w:cs="Arial"/>
          <w:b/>
          <w:bCs/>
          <w:color w:val="000000" w:themeColor="text1"/>
        </w:rPr>
        <w:t xml:space="preserve">ensitive </w:t>
      </w:r>
      <w:r w:rsidR="005332D8" w:rsidRPr="003B66BF">
        <w:rPr>
          <w:rFonts w:ascii="Arial" w:hAnsi="Arial" w:cs="Arial"/>
          <w:b/>
          <w:bCs/>
          <w:color w:val="000000" w:themeColor="text1"/>
        </w:rPr>
        <w:t>A</w:t>
      </w:r>
      <w:r w:rsidRPr="003B66BF">
        <w:rPr>
          <w:rFonts w:ascii="Arial" w:hAnsi="Arial" w:cs="Arial"/>
          <w:b/>
          <w:bCs/>
          <w:color w:val="000000" w:themeColor="text1"/>
        </w:rPr>
        <w:t>reas</w:t>
      </w:r>
      <w:bookmarkEnd w:id="13"/>
    </w:p>
    <w:p w14:paraId="67C07A5E" w14:textId="77777777" w:rsidR="003867DE" w:rsidRPr="003B66BF" w:rsidRDefault="00336592" w:rsidP="003867DE">
      <w:pPr>
        <w:pStyle w:val="NormalWeb"/>
        <w:spacing w:before="240" w:beforeAutospacing="0" w:after="240" w:afterAutospacing="0"/>
        <w:jc w:val="both"/>
        <w:rPr>
          <w:rFonts w:ascii="Arial" w:hAnsi="Arial" w:cs="Arial"/>
          <w:sz w:val="22"/>
          <w:szCs w:val="22"/>
        </w:rPr>
      </w:pPr>
      <w:r w:rsidRPr="003B66BF">
        <w:rPr>
          <w:rFonts w:ascii="Arial" w:hAnsi="Arial" w:cs="Arial"/>
          <w:sz w:val="22"/>
          <w:szCs w:val="22"/>
        </w:rPr>
        <w:t>Three priority clusters stand out: Botum Sakor’s carbon-dense peat-mangroves, requiring strict hydrological protection (Lo et al., 2018; Girkin et al., 2022); the Peam Krasop–Koh Kapik mangrove–intertidal system, vital for fisheries and migratory waterbirds (Fauna &amp; Flora, 2024; Ramsar Secretariat, 2012); and the Kep–Kampot seagrass corridor, Cambodia’s main seagrass and nursery stronghold but highly trawl- and turbidity-sensitive (MAFF/FiA, 2023; MCC &amp; FAO, 2023).</w:t>
      </w:r>
    </w:p>
    <w:p w14:paraId="5E2350E6" w14:textId="77777777" w:rsidR="00C57CFF" w:rsidRPr="003B66BF" w:rsidRDefault="009A2325" w:rsidP="00601E87">
      <w:pPr>
        <w:pStyle w:val="NormalWeb"/>
        <w:spacing w:before="240" w:beforeAutospacing="0" w:after="240" w:afterAutospacing="0"/>
        <w:jc w:val="both"/>
        <w:rPr>
          <w:rStyle w:val="Strong"/>
          <w:rFonts w:ascii="Arial" w:hAnsi="Arial" w:cs="Arial"/>
          <w:i/>
          <w:iCs/>
          <w:color w:val="0070C0"/>
          <w:sz w:val="22"/>
          <w:szCs w:val="22"/>
        </w:rPr>
      </w:pPr>
      <w:r w:rsidRPr="003B66BF">
        <w:rPr>
          <w:rStyle w:val="Strong"/>
          <w:rFonts w:ascii="Arial" w:hAnsi="Arial" w:cs="Arial"/>
          <w:i/>
          <w:iCs/>
          <w:color w:val="0070C0"/>
          <w:sz w:val="22"/>
          <w:szCs w:val="22"/>
        </w:rPr>
        <w:t xml:space="preserve">Hotspot A: </w:t>
      </w:r>
      <w:r w:rsidR="00C57CFF" w:rsidRPr="003B66BF">
        <w:rPr>
          <w:rStyle w:val="Strong"/>
          <w:rFonts w:ascii="Arial" w:hAnsi="Arial" w:cs="Arial"/>
          <w:i/>
          <w:iCs/>
          <w:color w:val="0070C0"/>
          <w:sz w:val="22"/>
          <w:szCs w:val="22"/>
        </w:rPr>
        <w:t>Botum Sakor peat-mangrove complex (Koh Kong): globally uncommon, carbon-dense, hydrology-limited</w:t>
      </w:r>
    </w:p>
    <w:p w14:paraId="0BE35EDA" w14:textId="77777777" w:rsidR="009A2325" w:rsidRPr="003B66BF" w:rsidRDefault="009A2325" w:rsidP="00722C57">
      <w:pPr>
        <w:pStyle w:val="NormalWeb"/>
        <w:jc w:val="both"/>
        <w:rPr>
          <w:rFonts w:ascii="Arial" w:hAnsi="Arial" w:cs="Arial"/>
          <w:sz w:val="22"/>
          <w:szCs w:val="22"/>
        </w:rPr>
      </w:pPr>
      <w:r w:rsidRPr="003B66BF">
        <w:rPr>
          <w:rFonts w:ascii="Arial" w:hAnsi="Arial" w:cs="Arial"/>
          <w:sz w:val="22"/>
          <w:szCs w:val="22"/>
        </w:rPr>
        <w:t xml:space="preserve">Botum Sakor contains </w:t>
      </w:r>
      <w:r w:rsidRPr="003B66BF">
        <w:rPr>
          <w:rStyle w:val="Strong"/>
          <w:rFonts w:ascii="Arial" w:hAnsi="Arial" w:cs="Arial"/>
          <w:sz w:val="22"/>
          <w:szCs w:val="22"/>
        </w:rPr>
        <w:t>~4,768 ha of peat-forming mangroves</w:t>
      </w:r>
      <w:r w:rsidRPr="003B66BF">
        <w:rPr>
          <w:rFonts w:ascii="Arial" w:hAnsi="Arial" w:cs="Arial"/>
          <w:sz w:val="22"/>
          <w:szCs w:val="22"/>
        </w:rPr>
        <w:t xml:space="preserve"> (peat 0.5–1.0 m; max ~1.35 m; ≥26 plant species), a rare feature in mainland SE Asia with very high blue-carbon stocks (Lo et al., 2018; Girkin et al., 2022). </w:t>
      </w:r>
    </w:p>
    <w:p w14:paraId="2CBA75C3" w14:textId="77777777" w:rsidR="009A2325" w:rsidRPr="003B66BF" w:rsidRDefault="009A2325" w:rsidP="009A2325">
      <w:pPr>
        <w:pStyle w:val="NormalWeb"/>
        <w:numPr>
          <w:ilvl w:val="0"/>
          <w:numId w:val="43"/>
        </w:numPr>
        <w:jc w:val="both"/>
        <w:rPr>
          <w:rFonts w:ascii="Arial" w:hAnsi="Arial" w:cs="Arial"/>
          <w:sz w:val="22"/>
          <w:szCs w:val="22"/>
        </w:rPr>
      </w:pPr>
      <w:r w:rsidRPr="003B66BF">
        <w:rPr>
          <w:rStyle w:val="Strong"/>
          <w:rFonts w:ascii="Arial" w:eastAsiaTheme="majorEastAsia" w:hAnsi="Arial" w:cs="Arial"/>
          <w:sz w:val="22"/>
          <w:szCs w:val="22"/>
        </w:rPr>
        <w:t>Key pressures:</w:t>
      </w:r>
      <w:r w:rsidRPr="003B66BF">
        <w:rPr>
          <w:rFonts w:ascii="Arial" w:hAnsi="Arial" w:cs="Arial"/>
          <w:sz w:val="22"/>
          <w:szCs w:val="22"/>
        </w:rPr>
        <w:t xml:space="preserve"> The system depends on intact tidal exchange; road embankments, canalisation and reclamation depress water tables and risk </w:t>
      </w:r>
      <w:r w:rsidRPr="003B66BF">
        <w:rPr>
          <w:rStyle w:val="Strong"/>
          <w:rFonts w:ascii="Arial" w:hAnsi="Arial" w:cs="Arial"/>
          <w:sz w:val="22"/>
          <w:szCs w:val="22"/>
        </w:rPr>
        <w:t>irreversible peat oxidation and subsidence</w:t>
      </w:r>
      <w:r w:rsidRPr="003B66BF">
        <w:rPr>
          <w:rFonts w:ascii="Arial" w:hAnsi="Arial" w:cs="Arial"/>
          <w:sz w:val="22"/>
          <w:szCs w:val="22"/>
        </w:rPr>
        <w:t>.</w:t>
      </w:r>
    </w:p>
    <w:p w14:paraId="084485E5" w14:textId="77777777" w:rsidR="00C57CFF" w:rsidRPr="003B66BF" w:rsidRDefault="009A2325" w:rsidP="009A2325">
      <w:pPr>
        <w:pStyle w:val="NormalWeb"/>
        <w:numPr>
          <w:ilvl w:val="0"/>
          <w:numId w:val="43"/>
        </w:numPr>
        <w:jc w:val="both"/>
        <w:rPr>
          <w:rFonts w:ascii="Arial" w:hAnsi="Arial" w:cs="Arial"/>
          <w:sz w:val="21"/>
          <w:szCs w:val="21"/>
        </w:rPr>
      </w:pPr>
      <w:r w:rsidRPr="003B66BF">
        <w:rPr>
          <w:rStyle w:val="Strong"/>
          <w:rFonts w:ascii="Arial" w:hAnsi="Arial" w:cs="Arial"/>
          <w:sz w:val="22"/>
          <w:szCs w:val="22"/>
        </w:rPr>
        <w:t>Key indicators:</w:t>
      </w:r>
      <w:r w:rsidRPr="003B66BF">
        <w:rPr>
          <w:rFonts w:ascii="Arial" w:hAnsi="Arial" w:cs="Arial"/>
          <w:sz w:val="22"/>
          <w:szCs w:val="22"/>
        </w:rPr>
        <w:t xml:space="preserve"> peat-zone water level, salinity/DO in creek heads, vertical land motion, mangrove canopy density, disturbance proximity.</w:t>
      </w:r>
    </w:p>
    <w:p w14:paraId="47D163AE" w14:textId="77777777" w:rsidR="00C57CFF" w:rsidRPr="003B66BF" w:rsidRDefault="009A2325" w:rsidP="00722C57">
      <w:pPr>
        <w:pStyle w:val="NormalWeb"/>
        <w:spacing w:before="240" w:beforeAutospacing="0" w:after="240" w:afterAutospacing="0"/>
        <w:jc w:val="both"/>
        <w:rPr>
          <w:rStyle w:val="Strong"/>
          <w:rFonts w:ascii="Arial" w:hAnsi="Arial" w:cs="Arial"/>
          <w:i/>
          <w:iCs/>
          <w:color w:val="0070C0"/>
          <w:sz w:val="22"/>
          <w:szCs w:val="22"/>
        </w:rPr>
      </w:pPr>
      <w:r w:rsidRPr="003B66BF">
        <w:rPr>
          <w:rStyle w:val="Strong"/>
          <w:rFonts w:ascii="Arial" w:hAnsi="Arial" w:cs="Arial"/>
          <w:i/>
          <w:iCs/>
          <w:color w:val="0070C0"/>
          <w:sz w:val="22"/>
          <w:szCs w:val="22"/>
        </w:rPr>
        <w:t xml:space="preserve">Hotspot B: </w:t>
      </w:r>
      <w:r w:rsidR="00C57CFF" w:rsidRPr="003B66BF">
        <w:rPr>
          <w:rStyle w:val="Strong"/>
          <w:rFonts w:ascii="Arial" w:hAnsi="Arial" w:cs="Arial"/>
          <w:i/>
          <w:iCs/>
          <w:color w:val="0070C0"/>
          <w:sz w:val="22"/>
          <w:szCs w:val="22"/>
        </w:rPr>
        <w:t>Peam Krasop–Koh Kapik complex (Koh Kong): one of mainland SE Asia’s largest mangrove–intertidal systems, fisheries nursery &amp; flyway node</w:t>
      </w:r>
    </w:p>
    <w:p w14:paraId="46E9DA9C" w14:textId="77777777" w:rsidR="009A2325" w:rsidRPr="003B66BF" w:rsidRDefault="009A2325" w:rsidP="009A2325">
      <w:pPr>
        <w:pStyle w:val="NormalWeb"/>
        <w:jc w:val="both"/>
        <w:rPr>
          <w:rFonts w:ascii="Arial" w:hAnsi="Arial" w:cs="Arial"/>
          <w:sz w:val="22"/>
          <w:szCs w:val="22"/>
        </w:rPr>
      </w:pPr>
      <w:r w:rsidRPr="003B66BF">
        <w:rPr>
          <w:rFonts w:ascii="Arial" w:hAnsi="Arial" w:cs="Arial"/>
          <w:sz w:val="22"/>
          <w:szCs w:val="22"/>
        </w:rPr>
        <w:t xml:space="preserve">Peam Krasop WS (16,982 ha) and the </w:t>
      </w:r>
      <w:r w:rsidRPr="003B66BF">
        <w:rPr>
          <w:rStyle w:val="Strong"/>
          <w:rFonts w:ascii="Arial" w:eastAsiaTheme="majorEastAsia" w:hAnsi="Arial" w:cs="Arial"/>
          <w:sz w:val="22"/>
          <w:szCs w:val="22"/>
        </w:rPr>
        <w:t>Koh Kapik Ramsar Site (~12,000 ha)</w:t>
      </w:r>
      <w:r w:rsidRPr="003B66BF">
        <w:rPr>
          <w:rFonts w:ascii="Arial" w:hAnsi="Arial" w:cs="Arial"/>
          <w:sz w:val="22"/>
          <w:szCs w:val="22"/>
        </w:rPr>
        <w:t xml:space="preserve"> form one of mainland SE Asia’s largest mangrove–intertidal systems (Ramsar Secretariat, 2012; Fauna &amp; Flora, 2024). They support small-scale fisheries and East Asian–Australasian Flyway waterbirds; </w:t>
      </w:r>
      <w:r w:rsidRPr="003B66BF">
        <w:rPr>
          <w:rStyle w:val="Strong"/>
          <w:rFonts w:ascii="Arial" w:eastAsiaTheme="majorEastAsia" w:hAnsi="Arial" w:cs="Arial"/>
          <w:sz w:val="22"/>
          <w:szCs w:val="22"/>
        </w:rPr>
        <w:t>70–90% of nearby household income</w:t>
      </w:r>
      <w:r w:rsidRPr="003B66BF">
        <w:rPr>
          <w:rFonts w:ascii="Arial" w:hAnsi="Arial" w:cs="Arial"/>
          <w:sz w:val="22"/>
          <w:szCs w:val="22"/>
        </w:rPr>
        <w:t xml:space="preserve"> is wetland-derived (Ramsar Secretariat, 2012; Ly et al., 2023). Function hinges on freshwater inflows (Prek Koh Pao; Prek Khlang Yai/Stung Kep) mixing with tidal exchange, and on connectivity to </w:t>
      </w:r>
      <w:r w:rsidRPr="003B66BF">
        <w:rPr>
          <w:rStyle w:val="Strong"/>
          <w:rFonts w:ascii="Arial" w:eastAsiaTheme="majorEastAsia" w:hAnsi="Arial" w:cs="Arial"/>
          <w:sz w:val="22"/>
          <w:szCs w:val="22"/>
        </w:rPr>
        <w:t>Chrouy Pros seagrass (~1,485 ha)</w:t>
      </w:r>
      <w:r w:rsidRPr="003B66BF">
        <w:rPr>
          <w:rFonts w:ascii="Arial" w:hAnsi="Arial" w:cs="Arial"/>
          <w:sz w:val="22"/>
          <w:szCs w:val="22"/>
        </w:rPr>
        <w:t>.</w:t>
      </w:r>
    </w:p>
    <w:p w14:paraId="147468B1" w14:textId="77777777" w:rsidR="009A2325" w:rsidRPr="003B66BF" w:rsidRDefault="009A2325" w:rsidP="009A2325">
      <w:pPr>
        <w:pStyle w:val="NormalWeb"/>
        <w:numPr>
          <w:ilvl w:val="0"/>
          <w:numId w:val="42"/>
        </w:numPr>
        <w:jc w:val="both"/>
        <w:rPr>
          <w:rFonts w:ascii="Arial" w:hAnsi="Arial" w:cs="Arial"/>
          <w:sz w:val="22"/>
          <w:szCs w:val="22"/>
        </w:rPr>
      </w:pPr>
      <w:r w:rsidRPr="003B66BF">
        <w:rPr>
          <w:rStyle w:val="Strong"/>
          <w:rFonts w:ascii="Arial" w:eastAsiaTheme="majorEastAsia" w:hAnsi="Arial" w:cs="Arial"/>
          <w:sz w:val="22"/>
          <w:szCs w:val="22"/>
        </w:rPr>
        <w:t>Key pressures:</w:t>
      </w:r>
      <w:r w:rsidRPr="003B66BF">
        <w:rPr>
          <w:rFonts w:ascii="Arial" w:hAnsi="Arial" w:cs="Arial"/>
          <w:sz w:val="22"/>
          <w:szCs w:val="22"/>
        </w:rPr>
        <w:t xml:space="preserve"> altered freshwater regimes, channel infill, mangrove cutting, charcoal legacy sites, and turbidity/nutrient loads.</w:t>
      </w:r>
    </w:p>
    <w:p w14:paraId="50E115DB" w14:textId="77777777" w:rsidR="00C57CFF" w:rsidRPr="003B66BF" w:rsidRDefault="009A2325" w:rsidP="009A2325">
      <w:pPr>
        <w:pStyle w:val="NormalWeb"/>
        <w:numPr>
          <w:ilvl w:val="0"/>
          <w:numId w:val="42"/>
        </w:numPr>
        <w:jc w:val="both"/>
        <w:rPr>
          <w:rFonts w:ascii="Arial" w:hAnsi="Arial" w:cs="Arial"/>
          <w:sz w:val="22"/>
          <w:szCs w:val="22"/>
        </w:rPr>
      </w:pPr>
      <w:r w:rsidRPr="003B66BF">
        <w:rPr>
          <w:rStyle w:val="Strong"/>
          <w:rFonts w:ascii="Arial" w:eastAsiaTheme="majorEastAsia" w:hAnsi="Arial" w:cs="Arial"/>
          <w:sz w:val="22"/>
          <w:szCs w:val="22"/>
        </w:rPr>
        <w:t>Key indicators:</w:t>
      </w:r>
      <w:r w:rsidRPr="003B66BF">
        <w:rPr>
          <w:rFonts w:ascii="Arial" w:hAnsi="Arial" w:cs="Arial"/>
          <w:sz w:val="22"/>
          <w:szCs w:val="22"/>
        </w:rPr>
        <w:t xml:space="preserve"> freshwater inflow, salinity bands, intertidal-flat area, juvenile-fish CPUE, wetland-income share, seagrass-edge integrity.</w:t>
      </w:r>
    </w:p>
    <w:p w14:paraId="66105E4E" w14:textId="77777777" w:rsidR="00C57CFF" w:rsidRPr="003B66BF" w:rsidRDefault="009A2325" w:rsidP="00722C57">
      <w:pPr>
        <w:pStyle w:val="NormalWeb"/>
        <w:spacing w:before="240" w:beforeAutospacing="0" w:after="240" w:afterAutospacing="0"/>
        <w:rPr>
          <w:rStyle w:val="Strong"/>
          <w:rFonts w:ascii="Arial" w:hAnsi="Arial" w:cs="Arial"/>
          <w:i/>
          <w:iCs/>
          <w:color w:val="0070C0"/>
          <w:sz w:val="22"/>
          <w:szCs w:val="22"/>
        </w:rPr>
      </w:pPr>
      <w:r w:rsidRPr="003B66BF">
        <w:rPr>
          <w:rStyle w:val="Strong"/>
          <w:rFonts w:ascii="Arial" w:hAnsi="Arial" w:cs="Arial"/>
          <w:i/>
          <w:iCs/>
          <w:color w:val="0070C0"/>
          <w:sz w:val="22"/>
          <w:szCs w:val="22"/>
        </w:rPr>
        <w:t xml:space="preserve">Hotspot C: </w:t>
      </w:r>
      <w:r w:rsidR="00C57CFF" w:rsidRPr="003B66BF">
        <w:rPr>
          <w:rStyle w:val="Strong"/>
          <w:rFonts w:ascii="Arial" w:hAnsi="Arial" w:cs="Arial"/>
          <w:i/>
          <w:iCs/>
          <w:color w:val="0070C0"/>
          <w:sz w:val="22"/>
          <w:szCs w:val="22"/>
        </w:rPr>
        <w:t>Kep–Kampot seagrass corridor: national stronghold for meadow extent/richness and fisheries nurseries, yet trawling/turbidity-sensitive</w:t>
      </w:r>
    </w:p>
    <w:p w14:paraId="1CFEB7D2" w14:textId="77777777" w:rsidR="009A2325" w:rsidRPr="003B66BF" w:rsidRDefault="009A2325" w:rsidP="00722C57">
      <w:pPr>
        <w:pStyle w:val="NormalWeb"/>
        <w:jc w:val="both"/>
        <w:rPr>
          <w:rFonts w:ascii="Arial" w:hAnsi="Arial" w:cs="Arial"/>
          <w:sz w:val="22"/>
          <w:szCs w:val="22"/>
        </w:rPr>
      </w:pPr>
      <w:r w:rsidRPr="003B66BF">
        <w:rPr>
          <w:rFonts w:ascii="Arial" w:hAnsi="Arial" w:cs="Arial"/>
          <w:sz w:val="22"/>
          <w:szCs w:val="22"/>
        </w:rPr>
        <w:t>Kep–Kampot hosts Cambodia’s largest continuous seagrass belt (</w:t>
      </w:r>
      <w:r w:rsidRPr="003B66BF">
        <w:rPr>
          <w:rStyle w:val="Strong"/>
          <w:rFonts w:ascii="Arial" w:hAnsi="Arial" w:cs="Arial"/>
          <w:sz w:val="22"/>
          <w:szCs w:val="22"/>
        </w:rPr>
        <w:t>Kep ~6,399 ha; Kampot ~5,158 ha; 10 spp.</w:t>
      </w:r>
      <w:r w:rsidRPr="003B66BF">
        <w:rPr>
          <w:rFonts w:ascii="Arial" w:hAnsi="Arial" w:cs="Arial"/>
          <w:sz w:val="22"/>
          <w:szCs w:val="22"/>
        </w:rPr>
        <w:t xml:space="preserve">) forming core nursery grounds for fisheries and feeding habitat for dugongs and turtles (MAFF/FiA, 2023; MCC &amp; FAO, 2023). Over </w:t>
      </w:r>
      <w:r w:rsidRPr="003B66BF">
        <w:rPr>
          <w:rStyle w:val="Strong"/>
          <w:rFonts w:ascii="Arial" w:hAnsi="Arial" w:cs="Arial"/>
          <w:sz w:val="22"/>
          <w:szCs w:val="22"/>
        </w:rPr>
        <w:t>30 CFis</w:t>
      </w:r>
      <w:r w:rsidRPr="003B66BF">
        <w:rPr>
          <w:rFonts w:ascii="Arial" w:hAnsi="Arial" w:cs="Arial"/>
          <w:sz w:val="22"/>
          <w:szCs w:val="22"/>
        </w:rPr>
        <w:t xml:space="preserve"> help steward &gt;24,000 ha of national meadows, with Kep–Kampot as the main anchor.</w:t>
      </w:r>
    </w:p>
    <w:p w14:paraId="72DEB2D3" w14:textId="77777777" w:rsidR="009A2325" w:rsidRPr="003B66BF" w:rsidRDefault="009A2325" w:rsidP="009A2325">
      <w:pPr>
        <w:pStyle w:val="NormalWeb"/>
        <w:numPr>
          <w:ilvl w:val="0"/>
          <w:numId w:val="44"/>
        </w:numPr>
        <w:jc w:val="both"/>
        <w:rPr>
          <w:rFonts w:ascii="Arial" w:hAnsi="Arial" w:cs="Arial"/>
          <w:sz w:val="22"/>
          <w:szCs w:val="22"/>
        </w:rPr>
      </w:pPr>
      <w:r w:rsidRPr="003B66BF">
        <w:rPr>
          <w:rStyle w:val="Strong"/>
          <w:rFonts w:ascii="Arial" w:hAnsi="Arial" w:cs="Arial"/>
          <w:sz w:val="22"/>
          <w:szCs w:val="22"/>
        </w:rPr>
        <w:t>Key pressures:</w:t>
      </w:r>
      <w:r w:rsidRPr="003B66BF">
        <w:rPr>
          <w:rFonts w:ascii="Arial" w:hAnsi="Arial" w:cs="Arial"/>
          <w:sz w:val="22"/>
          <w:szCs w:val="22"/>
        </w:rPr>
        <w:t xml:space="preserve"> bottom trawls/push-nets, sediment resuspension, turbidity from shoreline works and river plumes, and anchor scarring near tourist access points.</w:t>
      </w:r>
    </w:p>
    <w:p w14:paraId="647F4A0D" w14:textId="77777777" w:rsidR="00C57CFF" w:rsidRPr="003B66BF" w:rsidRDefault="009A2325" w:rsidP="009A2325">
      <w:pPr>
        <w:pStyle w:val="NormalWeb"/>
        <w:numPr>
          <w:ilvl w:val="0"/>
          <w:numId w:val="44"/>
        </w:numPr>
        <w:jc w:val="both"/>
        <w:rPr>
          <w:rFonts w:ascii="Arial" w:hAnsi="Arial" w:cs="Arial"/>
          <w:b/>
          <w:bCs/>
          <w:sz w:val="22"/>
          <w:szCs w:val="22"/>
        </w:rPr>
      </w:pPr>
      <w:r w:rsidRPr="003B66BF">
        <w:rPr>
          <w:rStyle w:val="Strong"/>
          <w:rFonts w:ascii="Arial" w:hAnsi="Arial" w:cs="Arial"/>
          <w:sz w:val="22"/>
          <w:szCs w:val="22"/>
        </w:rPr>
        <w:t>Key indicators:</w:t>
      </w:r>
      <w:r w:rsidRPr="003B66BF">
        <w:rPr>
          <w:rFonts w:ascii="Arial" w:hAnsi="Arial" w:cs="Arial"/>
          <w:sz w:val="22"/>
          <w:szCs w:val="22"/>
        </w:rPr>
        <w:t xml:space="preserve"> meadow area by CFi, species richness, light attenuation (Kd), turbidity (NTU), trawl-scar density, megafauna sightings/feeding trails, and enforcement effort.</w:t>
      </w:r>
    </w:p>
    <w:p w14:paraId="0248C93E" w14:textId="1B4ED431" w:rsidR="003867DE" w:rsidRPr="003B66BF" w:rsidRDefault="003867DE" w:rsidP="00106B46">
      <w:pPr>
        <w:pStyle w:val="Heading3"/>
        <w:numPr>
          <w:ilvl w:val="2"/>
          <w:numId w:val="76"/>
        </w:numPr>
        <w:spacing w:before="240" w:after="240"/>
        <w:jc w:val="both"/>
        <w:rPr>
          <w:rFonts w:ascii="Arial" w:hAnsi="Arial" w:cs="Arial"/>
          <w:b/>
          <w:bCs/>
          <w:color w:val="000000" w:themeColor="text1"/>
        </w:rPr>
      </w:pPr>
      <w:bookmarkStart w:id="14" w:name="_Toc217231951"/>
      <w:r w:rsidRPr="003B66BF">
        <w:rPr>
          <w:rFonts w:ascii="Arial" w:hAnsi="Arial" w:cs="Arial"/>
          <w:b/>
          <w:bCs/>
          <w:color w:val="000000" w:themeColor="text1"/>
        </w:rPr>
        <w:t>Endemic, Endangered, Threatened species</w:t>
      </w:r>
      <w:bookmarkEnd w:id="14"/>
    </w:p>
    <w:p w14:paraId="1104B9EC" w14:textId="37089B05" w:rsidR="00FC0C12" w:rsidRPr="00106B46" w:rsidRDefault="00FC0C12" w:rsidP="00106B46">
      <w:pPr>
        <w:pStyle w:val="NormalWeb"/>
        <w:spacing w:before="240" w:after="240"/>
        <w:jc w:val="both"/>
        <w:rPr>
          <w:rStyle w:val="Strong"/>
          <w:rFonts w:ascii="Arial" w:hAnsi="Arial" w:cs="Arial"/>
          <w:b w:val="0"/>
          <w:bCs w:val="0"/>
          <w:sz w:val="22"/>
          <w:szCs w:val="22"/>
        </w:rPr>
      </w:pPr>
      <w:r w:rsidRPr="003B66BF">
        <w:rPr>
          <w:rFonts w:ascii="Arial" w:hAnsi="Arial" w:cs="Arial"/>
          <w:sz w:val="22"/>
          <w:szCs w:val="22"/>
        </w:rPr>
        <w:t xml:space="preserve">Cambodia’s coastal ecosystems support several endangered and migratory species of global significance, including </w:t>
      </w:r>
      <w:r w:rsidRPr="003B66BF">
        <w:rPr>
          <w:rStyle w:val="Strong"/>
          <w:rFonts w:ascii="Arial" w:hAnsi="Arial" w:cs="Arial"/>
          <w:sz w:val="22"/>
          <w:szCs w:val="22"/>
        </w:rPr>
        <w:t>dugong</w:t>
      </w:r>
      <w:r w:rsidRPr="003B66BF">
        <w:rPr>
          <w:rFonts w:ascii="Arial" w:hAnsi="Arial" w:cs="Arial"/>
          <w:sz w:val="22"/>
          <w:szCs w:val="22"/>
        </w:rPr>
        <w:t xml:space="preserve"> (</w:t>
      </w:r>
      <w:r w:rsidRPr="003B66BF">
        <w:rPr>
          <w:rStyle w:val="Emphasis"/>
          <w:rFonts w:ascii="Arial" w:eastAsiaTheme="majorEastAsia" w:hAnsi="Arial" w:cs="Arial"/>
          <w:sz w:val="22"/>
          <w:szCs w:val="22"/>
        </w:rPr>
        <w:t>Dugong dugon</w:t>
      </w:r>
      <w:r w:rsidRPr="003B66BF">
        <w:rPr>
          <w:rFonts w:ascii="Arial" w:hAnsi="Arial" w:cs="Arial"/>
          <w:sz w:val="22"/>
          <w:szCs w:val="22"/>
        </w:rPr>
        <w:t xml:space="preserve">, EN), </w:t>
      </w:r>
      <w:r w:rsidRPr="003B66BF">
        <w:rPr>
          <w:rStyle w:val="Strong"/>
          <w:rFonts w:ascii="Arial" w:hAnsi="Arial" w:cs="Arial"/>
          <w:sz w:val="22"/>
          <w:szCs w:val="22"/>
        </w:rPr>
        <w:t>Irrawaddy dolphin</w:t>
      </w:r>
      <w:r w:rsidRPr="003B66BF">
        <w:rPr>
          <w:rFonts w:ascii="Arial" w:hAnsi="Arial" w:cs="Arial"/>
          <w:sz w:val="22"/>
          <w:szCs w:val="22"/>
        </w:rPr>
        <w:t xml:space="preserve"> (</w:t>
      </w:r>
      <w:r w:rsidRPr="003B66BF">
        <w:rPr>
          <w:rStyle w:val="Emphasis"/>
          <w:rFonts w:ascii="Arial" w:eastAsiaTheme="majorEastAsia" w:hAnsi="Arial" w:cs="Arial"/>
          <w:sz w:val="22"/>
          <w:szCs w:val="22"/>
        </w:rPr>
        <w:t>Orcaella brevirostris</w:t>
      </w:r>
      <w:r w:rsidRPr="003B66BF">
        <w:rPr>
          <w:rFonts w:ascii="Arial" w:hAnsi="Arial" w:cs="Arial"/>
          <w:sz w:val="22"/>
          <w:szCs w:val="22"/>
        </w:rPr>
        <w:t>, EN), and three marine turtles—</w:t>
      </w:r>
      <w:r w:rsidRPr="003B66BF">
        <w:rPr>
          <w:rStyle w:val="Strong"/>
          <w:rFonts w:ascii="Arial" w:hAnsi="Arial" w:cs="Arial"/>
          <w:sz w:val="22"/>
          <w:szCs w:val="22"/>
        </w:rPr>
        <w:t>green</w:t>
      </w:r>
      <w:r w:rsidRPr="003B66BF">
        <w:rPr>
          <w:rFonts w:ascii="Arial" w:hAnsi="Arial" w:cs="Arial"/>
          <w:sz w:val="22"/>
          <w:szCs w:val="22"/>
        </w:rPr>
        <w:t xml:space="preserve"> (</w:t>
      </w:r>
      <w:r w:rsidRPr="003B66BF">
        <w:rPr>
          <w:rStyle w:val="Emphasis"/>
          <w:rFonts w:ascii="Arial" w:eastAsiaTheme="majorEastAsia" w:hAnsi="Arial" w:cs="Arial"/>
          <w:sz w:val="22"/>
          <w:szCs w:val="22"/>
        </w:rPr>
        <w:t>Chelonia mydas</w:t>
      </w:r>
      <w:r w:rsidRPr="003B66BF">
        <w:rPr>
          <w:rFonts w:ascii="Arial" w:hAnsi="Arial" w:cs="Arial"/>
          <w:sz w:val="22"/>
          <w:szCs w:val="22"/>
        </w:rPr>
        <w:t xml:space="preserve">, EN), </w:t>
      </w:r>
      <w:r w:rsidRPr="003B66BF">
        <w:rPr>
          <w:rStyle w:val="Strong"/>
          <w:rFonts w:ascii="Arial" w:hAnsi="Arial" w:cs="Arial"/>
          <w:sz w:val="22"/>
          <w:szCs w:val="22"/>
        </w:rPr>
        <w:t>hawksbill</w:t>
      </w:r>
      <w:r w:rsidRPr="003B66BF">
        <w:rPr>
          <w:rFonts w:ascii="Arial" w:hAnsi="Arial" w:cs="Arial"/>
          <w:sz w:val="22"/>
          <w:szCs w:val="22"/>
        </w:rPr>
        <w:t xml:space="preserve"> (</w:t>
      </w:r>
      <w:r w:rsidRPr="003B66BF">
        <w:rPr>
          <w:rStyle w:val="Emphasis"/>
          <w:rFonts w:ascii="Arial" w:eastAsiaTheme="majorEastAsia" w:hAnsi="Arial" w:cs="Arial"/>
          <w:sz w:val="22"/>
          <w:szCs w:val="22"/>
        </w:rPr>
        <w:t>Eretmochelys imbricata</w:t>
      </w:r>
      <w:r w:rsidRPr="003B66BF">
        <w:rPr>
          <w:rFonts w:ascii="Arial" w:hAnsi="Arial" w:cs="Arial"/>
          <w:sz w:val="22"/>
          <w:szCs w:val="22"/>
        </w:rPr>
        <w:t xml:space="preserve">, CR), and </w:t>
      </w:r>
      <w:r w:rsidRPr="003B66BF">
        <w:rPr>
          <w:rStyle w:val="Strong"/>
          <w:rFonts w:ascii="Arial" w:hAnsi="Arial" w:cs="Arial"/>
          <w:sz w:val="22"/>
          <w:szCs w:val="22"/>
        </w:rPr>
        <w:t>olive ridley</w:t>
      </w:r>
      <w:r w:rsidRPr="003B66BF">
        <w:rPr>
          <w:rFonts w:ascii="Arial" w:hAnsi="Arial" w:cs="Arial"/>
          <w:sz w:val="22"/>
          <w:szCs w:val="22"/>
        </w:rPr>
        <w:t xml:space="preserve"> (</w:t>
      </w:r>
      <w:r w:rsidRPr="003B66BF">
        <w:rPr>
          <w:rStyle w:val="Emphasis"/>
          <w:rFonts w:ascii="Arial" w:eastAsiaTheme="majorEastAsia" w:hAnsi="Arial" w:cs="Arial"/>
          <w:sz w:val="22"/>
          <w:szCs w:val="22"/>
        </w:rPr>
        <w:t>Lepidochelys olivacea</w:t>
      </w:r>
      <w:r w:rsidRPr="003B66BF">
        <w:rPr>
          <w:rFonts w:ascii="Arial" w:hAnsi="Arial" w:cs="Arial"/>
          <w:sz w:val="22"/>
          <w:szCs w:val="22"/>
        </w:rPr>
        <w:t xml:space="preserve">, VU)—as well as migratory shorebirds such as the </w:t>
      </w:r>
      <w:r w:rsidRPr="003B66BF">
        <w:rPr>
          <w:rStyle w:val="Strong"/>
          <w:rFonts w:ascii="Arial" w:hAnsi="Arial" w:cs="Arial"/>
          <w:sz w:val="22"/>
          <w:szCs w:val="22"/>
        </w:rPr>
        <w:t>black-faced spoonbill</w:t>
      </w:r>
      <w:r w:rsidRPr="003B66BF">
        <w:rPr>
          <w:rFonts w:ascii="Arial" w:hAnsi="Arial" w:cs="Arial"/>
          <w:sz w:val="22"/>
          <w:szCs w:val="22"/>
        </w:rPr>
        <w:t xml:space="preserve"> (</w:t>
      </w:r>
      <w:r w:rsidRPr="003B66BF">
        <w:rPr>
          <w:rStyle w:val="Emphasis"/>
          <w:rFonts w:ascii="Arial" w:eastAsiaTheme="majorEastAsia" w:hAnsi="Arial" w:cs="Arial"/>
          <w:sz w:val="22"/>
          <w:szCs w:val="22"/>
        </w:rPr>
        <w:t>Platalea minor</w:t>
      </w:r>
      <w:r w:rsidRPr="003B66BF">
        <w:rPr>
          <w:rFonts w:ascii="Arial" w:hAnsi="Arial" w:cs="Arial"/>
          <w:sz w:val="22"/>
          <w:szCs w:val="22"/>
        </w:rPr>
        <w:t xml:space="preserve">, EN). </w:t>
      </w:r>
      <w:r w:rsidRPr="003B66BF">
        <w:rPr>
          <w:rStyle w:val="Strong"/>
          <w:rFonts w:ascii="Arial" w:hAnsi="Arial" w:cs="Arial"/>
          <w:sz w:val="22"/>
          <w:szCs w:val="22"/>
        </w:rPr>
        <w:t>Irrawaddy dolphins</w:t>
      </w:r>
      <w:r w:rsidRPr="003B66BF">
        <w:rPr>
          <w:rFonts w:ascii="Arial" w:hAnsi="Arial" w:cs="Arial"/>
          <w:sz w:val="22"/>
          <w:szCs w:val="22"/>
        </w:rPr>
        <w:t xml:space="preserve"> are present year-round in Kep waters, with documented strandings in 2017–2018 and at least one </w:t>
      </w:r>
      <w:r w:rsidRPr="003B66BF">
        <w:rPr>
          <w:rStyle w:val="Strong"/>
          <w:rFonts w:ascii="Arial" w:hAnsi="Arial" w:cs="Arial"/>
          <w:sz w:val="22"/>
          <w:szCs w:val="22"/>
        </w:rPr>
        <w:t>dugong</w:t>
      </w:r>
      <w:r w:rsidRPr="003B66BF">
        <w:rPr>
          <w:rFonts w:ascii="Arial" w:hAnsi="Arial" w:cs="Arial"/>
          <w:sz w:val="22"/>
          <w:szCs w:val="22"/>
        </w:rPr>
        <w:t xml:space="preserve"> bycatch event, highlighting ongoing gear-interaction risk (Tubbs et al., 2019). </w:t>
      </w:r>
      <w:r w:rsidRPr="003B66BF">
        <w:rPr>
          <w:rStyle w:val="Strong"/>
          <w:rFonts w:ascii="Arial" w:hAnsi="Arial" w:cs="Arial"/>
          <w:sz w:val="22"/>
          <w:szCs w:val="22"/>
        </w:rPr>
        <w:t>Green</w:t>
      </w:r>
      <w:r w:rsidRPr="003B66BF">
        <w:rPr>
          <w:rFonts w:ascii="Arial" w:hAnsi="Arial" w:cs="Arial"/>
          <w:sz w:val="22"/>
          <w:szCs w:val="22"/>
        </w:rPr>
        <w:t xml:space="preserve"> and </w:t>
      </w:r>
      <w:r w:rsidRPr="003B66BF">
        <w:rPr>
          <w:rStyle w:val="Strong"/>
          <w:rFonts w:ascii="Arial" w:hAnsi="Arial" w:cs="Arial"/>
          <w:sz w:val="22"/>
          <w:szCs w:val="22"/>
        </w:rPr>
        <w:t>hawksbill</w:t>
      </w:r>
      <w:r w:rsidRPr="003B66BF">
        <w:rPr>
          <w:rFonts w:ascii="Arial" w:hAnsi="Arial" w:cs="Arial"/>
          <w:sz w:val="22"/>
          <w:szCs w:val="22"/>
        </w:rPr>
        <w:t xml:space="preserve"> turtles forage and migrate along the coast, with sporadic nesting confirming national significance despite low abundance (Duffy et al., 2023). Coastal mangrove mosaics in the wider landscape also support the </w:t>
      </w:r>
      <w:r w:rsidRPr="003B66BF">
        <w:rPr>
          <w:rStyle w:val="Strong"/>
          <w:rFonts w:ascii="Arial" w:hAnsi="Arial" w:cs="Arial"/>
          <w:sz w:val="22"/>
          <w:szCs w:val="22"/>
        </w:rPr>
        <w:t>Fishing Cat</w:t>
      </w:r>
      <w:r w:rsidRPr="003B66BF">
        <w:rPr>
          <w:rFonts w:ascii="Arial" w:hAnsi="Arial" w:cs="Arial"/>
          <w:sz w:val="22"/>
          <w:szCs w:val="22"/>
        </w:rPr>
        <w:t xml:space="preserve"> (</w:t>
      </w:r>
      <w:r w:rsidRPr="003B66BF">
        <w:rPr>
          <w:rStyle w:val="Emphasis"/>
          <w:rFonts w:ascii="Arial" w:eastAsiaTheme="majorEastAsia" w:hAnsi="Arial" w:cs="Arial"/>
          <w:sz w:val="22"/>
          <w:szCs w:val="22"/>
        </w:rPr>
        <w:t>Prionailurus viverrinus</w:t>
      </w:r>
      <w:r w:rsidRPr="003B66BF">
        <w:rPr>
          <w:rFonts w:ascii="Arial" w:hAnsi="Arial" w:cs="Arial"/>
          <w:sz w:val="22"/>
          <w:szCs w:val="22"/>
        </w:rPr>
        <w:t xml:space="preserve">, VU) and </w:t>
      </w:r>
      <w:r w:rsidRPr="003B66BF">
        <w:rPr>
          <w:rStyle w:val="Strong"/>
          <w:rFonts w:ascii="Arial" w:hAnsi="Arial" w:cs="Arial"/>
          <w:sz w:val="22"/>
          <w:szCs w:val="22"/>
        </w:rPr>
        <w:t>smooth-coated otter</w:t>
      </w:r>
      <w:r w:rsidRPr="003B66BF">
        <w:rPr>
          <w:rFonts w:ascii="Arial" w:hAnsi="Arial" w:cs="Arial"/>
          <w:sz w:val="22"/>
          <w:szCs w:val="22"/>
        </w:rPr>
        <w:t xml:space="preserve"> (</w:t>
      </w:r>
      <w:r w:rsidRPr="003B66BF">
        <w:rPr>
          <w:rStyle w:val="Emphasis"/>
          <w:rFonts w:ascii="Arial" w:eastAsiaTheme="majorEastAsia" w:hAnsi="Arial" w:cs="Arial"/>
          <w:sz w:val="22"/>
          <w:szCs w:val="22"/>
        </w:rPr>
        <w:t>Lutrogale perspicillata</w:t>
      </w:r>
      <w:r w:rsidRPr="003B66BF">
        <w:rPr>
          <w:rFonts w:ascii="Arial" w:hAnsi="Arial" w:cs="Arial"/>
          <w:sz w:val="22"/>
          <w:szCs w:val="22"/>
        </w:rPr>
        <w:t>, VU), underscoring the cross-habitat value of estuarine and intertidal systems for threatened fauna (Mukherjee et al., 2018).</w:t>
      </w:r>
    </w:p>
    <w:p w14:paraId="7D5D5771" w14:textId="77777777" w:rsidR="00EF163D" w:rsidRPr="003B66BF" w:rsidRDefault="00EF163D" w:rsidP="00EF163D">
      <w:pPr>
        <w:rPr>
          <w:rFonts w:ascii="Arial" w:hAnsi="Arial" w:cs="Arial"/>
          <w:b/>
          <w:bCs/>
        </w:rPr>
      </w:pPr>
      <w:r w:rsidRPr="003B66BF">
        <w:rPr>
          <w:rFonts w:ascii="Arial" w:hAnsi="Arial" w:cs="Arial"/>
          <w:b/>
          <w:bCs/>
        </w:rPr>
        <w:fldChar w:fldCharType="begin"/>
      </w:r>
      <w:r w:rsidRPr="003B66BF">
        <w:rPr>
          <w:rFonts w:ascii="Arial" w:hAnsi="Arial" w:cs="Arial"/>
          <w:b/>
          <w:bCs/>
        </w:rPr>
        <w:instrText xml:space="preserve"> INCLUDEPICTURE "https://www.khmertimeskh.com/wp-content/uploads/2025/09/03092508.jpg" \* MERGEFORMATINET </w:instrText>
      </w:r>
      <w:r w:rsidRPr="003B66BF">
        <w:rPr>
          <w:rFonts w:ascii="Arial" w:hAnsi="Arial" w:cs="Arial"/>
          <w:b/>
          <w:bCs/>
        </w:rPr>
        <w:fldChar w:fldCharType="separate"/>
      </w:r>
      <w:r w:rsidRPr="003B66BF">
        <w:rPr>
          <w:rFonts w:ascii="Arial" w:hAnsi="Arial" w:cs="Arial"/>
          <w:b/>
          <w:bCs/>
          <w:noProof/>
        </w:rPr>
        <w:drawing>
          <wp:inline distT="0" distB="0" distL="0" distR="0" wp14:anchorId="4C524ED6" wp14:editId="0CA75178">
            <wp:extent cx="5727700" cy="2658800"/>
            <wp:effectExtent l="0" t="0" r="0" b="0"/>
            <wp:docPr id="2598133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28A0092B-C50C-407E-A947-70E740481C1C}">
                          <a14:useLocalDpi xmlns:a14="http://schemas.microsoft.com/office/drawing/2010/main" val="0"/>
                        </a:ext>
                      </a:extLst>
                    </a:blip>
                    <a:srcRect t="20834"/>
                    <a:stretch/>
                  </pic:blipFill>
                  <pic:spPr bwMode="auto">
                    <a:xfrm>
                      <a:off x="0" y="0"/>
                      <a:ext cx="5727700" cy="2658800"/>
                    </a:xfrm>
                    <a:prstGeom prst="rect">
                      <a:avLst/>
                    </a:prstGeom>
                    <a:noFill/>
                    <a:ln>
                      <a:noFill/>
                    </a:ln>
                    <a:extLst>
                      <a:ext uri="{53640926-AAD7-44D8-BBD7-CCE9431645EC}">
                        <a14:shadowObscured xmlns:a14="http://schemas.microsoft.com/office/drawing/2010/main"/>
                      </a:ext>
                    </a:extLst>
                  </pic:spPr>
                </pic:pic>
              </a:graphicData>
            </a:graphic>
          </wp:inline>
        </w:drawing>
      </w:r>
      <w:r w:rsidRPr="003B66BF">
        <w:rPr>
          <w:rFonts w:ascii="Arial" w:hAnsi="Arial" w:cs="Arial"/>
          <w:b/>
          <w:bCs/>
        </w:rPr>
        <w:fldChar w:fldCharType="end"/>
      </w:r>
    </w:p>
    <w:p w14:paraId="00F0798C" w14:textId="4E48BD5B" w:rsidR="00AC61BA" w:rsidRPr="003B66BF" w:rsidRDefault="00AC61BA" w:rsidP="00AC61BA">
      <w:pPr>
        <w:pStyle w:val="Caption"/>
        <w:rPr>
          <w:rFonts w:ascii="Arial" w:hAnsi="Arial" w:cs="Arial"/>
          <w:color w:val="002060"/>
          <w:sz w:val="22"/>
          <w:szCs w:val="22"/>
        </w:rPr>
      </w:pPr>
      <w:bookmarkStart w:id="15" w:name="_Toc209022225"/>
      <w:bookmarkStart w:id="16" w:name="_Toc216612620"/>
      <w:r w:rsidRPr="003B66BF">
        <w:rPr>
          <w:rFonts w:ascii="Arial" w:hAnsi="Arial" w:cs="Arial"/>
          <w:color w:val="002060"/>
          <w:sz w:val="22"/>
          <w:szCs w:val="22"/>
        </w:rPr>
        <w:t>Figure 4-</w:t>
      </w:r>
      <w:r w:rsidRPr="003B66BF">
        <w:rPr>
          <w:rFonts w:ascii="Arial" w:hAnsi="Arial" w:cs="Arial"/>
          <w:color w:val="002060"/>
          <w:sz w:val="22"/>
          <w:szCs w:val="22"/>
        </w:rPr>
        <w:fldChar w:fldCharType="begin"/>
      </w:r>
      <w:r w:rsidRPr="003B66BF">
        <w:rPr>
          <w:rFonts w:ascii="Arial" w:hAnsi="Arial" w:cs="Arial"/>
          <w:color w:val="002060"/>
          <w:sz w:val="22"/>
          <w:szCs w:val="22"/>
        </w:rPr>
        <w:instrText xml:space="preserve"> SEQ Figure_4- \* ARABIC </w:instrText>
      </w:r>
      <w:r w:rsidRPr="003B66BF">
        <w:rPr>
          <w:rFonts w:ascii="Arial" w:hAnsi="Arial" w:cs="Arial"/>
          <w:color w:val="002060"/>
          <w:sz w:val="22"/>
          <w:szCs w:val="22"/>
        </w:rPr>
        <w:fldChar w:fldCharType="separate"/>
      </w:r>
      <w:r w:rsidR="00802509">
        <w:rPr>
          <w:rFonts w:ascii="Arial" w:hAnsi="Arial" w:cs="Arial"/>
          <w:noProof/>
          <w:color w:val="002060"/>
          <w:sz w:val="22"/>
          <w:szCs w:val="22"/>
        </w:rPr>
        <w:t>4</w:t>
      </w:r>
      <w:r w:rsidRPr="003B66BF">
        <w:rPr>
          <w:rFonts w:ascii="Arial" w:hAnsi="Arial" w:cs="Arial"/>
          <w:color w:val="002060"/>
          <w:sz w:val="22"/>
          <w:szCs w:val="22"/>
        </w:rPr>
        <w:fldChar w:fldCharType="end"/>
      </w:r>
      <w:r w:rsidRPr="003B66BF">
        <w:rPr>
          <w:rFonts w:ascii="Arial" w:hAnsi="Arial" w:cs="Arial"/>
          <w:color w:val="002060"/>
          <w:sz w:val="22"/>
          <w:szCs w:val="22"/>
        </w:rPr>
        <w:t xml:space="preserve"> Dugongs with a new feeding trail in Cambodia’s seagrass beds</w:t>
      </w:r>
      <w:bookmarkEnd w:id="15"/>
      <w:bookmarkEnd w:id="16"/>
    </w:p>
    <w:p w14:paraId="2473AE20" w14:textId="77777777" w:rsidR="00EF163D" w:rsidRPr="003B66BF" w:rsidRDefault="00EF163D" w:rsidP="00AC61BA">
      <w:pPr>
        <w:rPr>
          <w:rFonts w:ascii="Arial" w:hAnsi="Arial" w:cs="Arial"/>
          <w:sz w:val="18"/>
          <w:szCs w:val="18"/>
        </w:rPr>
      </w:pPr>
      <w:r w:rsidRPr="003B66BF">
        <w:rPr>
          <w:rFonts w:ascii="Arial" w:hAnsi="Arial" w:cs="Arial"/>
          <w:b/>
          <w:bCs/>
          <w:sz w:val="18"/>
          <w:szCs w:val="18"/>
        </w:rPr>
        <w:t>Sources:</w:t>
      </w:r>
      <w:r w:rsidRPr="003B66BF">
        <w:rPr>
          <w:rFonts w:ascii="Arial" w:hAnsi="Arial" w:cs="Arial"/>
          <w:sz w:val="18"/>
          <w:szCs w:val="18"/>
        </w:rPr>
        <w:t xml:space="preserve"> MCC, retrieved from Khmer Time, at </w:t>
      </w:r>
      <w:hyperlink r:id="rId13" w:history="1">
        <w:r w:rsidRPr="003B66BF">
          <w:rPr>
            <w:rStyle w:val="Hyperlink"/>
            <w:rFonts w:ascii="Arial" w:hAnsi="Arial" w:cs="Arial"/>
            <w:i/>
            <w:iCs/>
            <w:sz w:val="18"/>
            <w:szCs w:val="18"/>
          </w:rPr>
          <w:t>https://www.khmertimeskh.com/501750614/positive-signs-for-dugongs-with-a-new-feeding-trail-in-cambodias-seagrass-beds/</w:t>
        </w:r>
      </w:hyperlink>
      <w:r w:rsidRPr="003B66BF">
        <w:rPr>
          <w:rFonts w:ascii="Arial" w:hAnsi="Arial" w:cs="Arial"/>
          <w:sz w:val="18"/>
          <w:szCs w:val="18"/>
        </w:rPr>
        <w:t xml:space="preserve"> </w:t>
      </w:r>
    </w:p>
    <w:p w14:paraId="04EBD94C" w14:textId="77777777" w:rsidR="003867DE" w:rsidRPr="003B66BF" w:rsidRDefault="003867DE" w:rsidP="00FC0C12">
      <w:pPr>
        <w:pStyle w:val="Heading2"/>
        <w:spacing w:before="240" w:after="240"/>
        <w:jc w:val="both"/>
        <w:rPr>
          <w:rFonts w:ascii="Arial" w:hAnsi="Arial" w:cs="Arial"/>
          <w:b/>
          <w:bCs/>
          <w:sz w:val="28"/>
          <w:szCs w:val="28"/>
        </w:rPr>
      </w:pPr>
      <w:bookmarkStart w:id="17" w:name="_Toc217231952"/>
      <w:r w:rsidRPr="003B66BF">
        <w:rPr>
          <w:rFonts w:ascii="Arial" w:hAnsi="Arial" w:cs="Arial"/>
          <w:b/>
          <w:bCs/>
          <w:sz w:val="28"/>
          <w:szCs w:val="28"/>
        </w:rPr>
        <w:t>4.3 Discussion and conclusions</w:t>
      </w:r>
      <w:bookmarkEnd w:id="17"/>
    </w:p>
    <w:p w14:paraId="66FBE527" w14:textId="77777777" w:rsidR="003867DE" w:rsidRPr="003B66BF" w:rsidRDefault="003867DE" w:rsidP="003867DE">
      <w:pPr>
        <w:pStyle w:val="Heading3"/>
        <w:spacing w:before="240" w:after="240"/>
        <w:jc w:val="both"/>
        <w:rPr>
          <w:rFonts w:ascii="Arial" w:hAnsi="Arial" w:cs="Arial"/>
          <w:b/>
          <w:bCs/>
          <w:color w:val="000000" w:themeColor="text1"/>
        </w:rPr>
      </w:pPr>
      <w:bookmarkStart w:id="18" w:name="_Toc217231953"/>
      <w:r w:rsidRPr="003B66BF">
        <w:rPr>
          <w:rFonts w:ascii="Arial" w:hAnsi="Arial" w:cs="Arial"/>
          <w:b/>
          <w:bCs/>
          <w:color w:val="000000" w:themeColor="text1"/>
        </w:rPr>
        <w:t>4.3.1 Priority transboundary biodiversity issues</w:t>
      </w:r>
      <w:bookmarkEnd w:id="18"/>
    </w:p>
    <w:p w14:paraId="6892F5A0" w14:textId="77777777" w:rsidR="003867DE" w:rsidRPr="003B66BF" w:rsidRDefault="00097DD4" w:rsidP="003867DE">
      <w:pPr>
        <w:pStyle w:val="NormalWeb"/>
        <w:spacing w:before="240" w:beforeAutospacing="0" w:after="240" w:afterAutospacing="0"/>
        <w:jc w:val="both"/>
        <w:rPr>
          <w:rFonts w:ascii="Arial" w:hAnsi="Arial" w:cs="Arial"/>
          <w:sz w:val="22"/>
          <w:szCs w:val="22"/>
        </w:rPr>
      </w:pPr>
      <w:r w:rsidRPr="003B66BF">
        <w:rPr>
          <w:rFonts w:ascii="Arial" w:hAnsi="Arial" w:cs="Arial"/>
          <w:sz w:val="22"/>
          <w:szCs w:val="22"/>
        </w:rPr>
        <w:t>Cambodia’s coastal–marine ecosystems face interconnected pressures that spread easily across the semi-enclosed Gulf of Thailand, where limited exchange with the South China Sea allows impacts to cross EEZ boundaries (PEMSEA &amp; MoE, 2019). In line with the SCS-SAP, six priority issue clusters dominate: marine pollution, overfishing and IUU, habitat degradation, climate-change impacts, biodiversity loss, and emerging risks linked to hydrologic and sediment connectivity (PEMSEA &amp; MoE, 2019; Ramsar Secretariat, 2012; World Bank, 2020; Norrey et al., 2023; Tubbs et al., 2019; Duffy et al., 2023).</w:t>
      </w:r>
    </w:p>
    <w:p w14:paraId="68E5E539" w14:textId="77777777" w:rsidR="00963144" w:rsidRPr="00E62D7D" w:rsidRDefault="00963144" w:rsidP="005B65AF">
      <w:pPr>
        <w:pStyle w:val="Heading4"/>
        <w:keepLines w:val="0"/>
        <w:spacing w:before="240" w:after="240"/>
        <w:rPr>
          <w:rFonts w:ascii="Arial" w:hAnsi="Arial" w:cs="Arial"/>
          <w:b/>
          <w:bCs/>
          <w:i w:val="0"/>
          <w:iCs w:val="0"/>
          <w:color w:val="0070C0"/>
          <w:sz w:val="22"/>
          <w:szCs w:val="22"/>
        </w:rPr>
      </w:pPr>
      <w:r w:rsidRPr="00E62D7D">
        <w:rPr>
          <w:rFonts w:ascii="Arial" w:hAnsi="Arial" w:cs="Arial"/>
          <w:b/>
          <w:bCs/>
          <w:i w:val="0"/>
          <w:iCs w:val="0"/>
          <w:color w:val="0070C0"/>
          <w:sz w:val="22"/>
          <w:szCs w:val="22"/>
        </w:rPr>
        <w:t>4.3.1.1 Marine Pollution</w:t>
      </w:r>
    </w:p>
    <w:p w14:paraId="56979D56" w14:textId="77777777" w:rsidR="00963144" w:rsidRPr="003B66BF" w:rsidRDefault="00FE2082" w:rsidP="00963144">
      <w:pPr>
        <w:pStyle w:val="NormalWeb"/>
        <w:spacing w:before="240" w:after="240"/>
        <w:jc w:val="both"/>
        <w:rPr>
          <w:rFonts w:ascii="Arial" w:hAnsi="Arial" w:cs="Arial"/>
          <w:sz w:val="22"/>
          <w:szCs w:val="22"/>
        </w:rPr>
      </w:pPr>
      <w:r w:rsidRPr="003B66BF">
        <w:rPr>
          <w:rFonts w:ascii="Arial" w:hAnsi="Arial" w:cs="Arial"/>
          <w:sz w:val="22"/>
          <w:szCs w:val="22"/>
        </w:rPr>
        <w:t>Untreated municipal wastewater, industrial effluents, agricultural runoff, marine litter and ship-based discharges are the main coastal pollution pathways; once released, they disperse across the Gulf with currents (PEMSEA &amp; MoE, 2019; World Bank, 2021). Water-quality management follows ASEAN Marine Water Quality Guidelines, yet estuaries like Sihanoukville/Kampot show nutrient enrichment and episodic algal blooms (ASEAN Secretariat, 2008/2012; PEMSEA &amp; MoE, 2019). SEZ effluents add BOD/metals, while agricultural runoff drives turbidity that stresses reefs and seagrass (PEMSEA &amp; MoE, 2019). Mismanaged plastics—especially from Sihanoukville—plus ghost gear heighten transboundary debris risks, and growing port activity raises oil-spill risk, underscoring the need for stronger contingency planning (PEMSEA &amp; MoE, 2019; World Bank, 2020, 2021).</w:t>
      </w:r>
      <w:r w:rsidR="00E22747" w:rsidRPr="003B66BF">
        <w:rPr>
          <w:rFonts w:ascii="Arial" w:hAnsi="Arial" w:cs="Arial"/>
          <w:sz w:val="22"/>
          <w:szCs w:val="22"/>
        </w:rPr>
        <w:t xml:space="preserve"> </w:t>
      </w:r>
    </w:p>
    <w:p w14:paraId="117BE016" w14:textId="77777777" w:rsidR="00963144" w:rsidRPr="003B66BF" w:rsidRDefault="00963144" w:rsidP="00963144">
      <w:pPr>
        <w:jc w:val="both"/>
        <w:rPr>
          <w:rFonts w:ascii="Arial" w:hAnsi="Arial" w:cs="Arial"/>
        </w:rPr>
      </w:pPr>
      <w:r w:rsidRPr="003B66BF">
        <w:rPr>
          <w:rFonts w:ascii="Arial" w:hAnsi="Arial" w:cs="Arial"/>
          <w:noProof/>
        </w:rPr>
        <w:drawing>
          <wp:inline distT="0" distB="0" distL="0" distR="0" wp14:anchorId="09ED2763" wp14:editId="6A0CBCAE">
            <wp:extent cx="5727700" cy="3263265"/>
            <wp:effectExtent l="0" t="0" r="0" b="635"/>
            <wp:docPr id="6524388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243885" name="Picture 3"/>
                    <pic:cNvPicPr/>
                  </pic:nvPicPr>
                  <pic:blipFill>
                    <a:blip r:embed="rId14">
                      <a:extLst>
                        <a:ext uri="{28A0092B-C50C-407E-A947-70E740481C1C}">
                          <a14:useLocalDpi xmlns:a14="http://schemas.microsoft.com/office/drawing/2010/main" val="0"/>
                        </a:ext>
                      </a:extLst>
                    </a:blip>
                    <a:stretch>
                      <a:fillRect/>
                    </a:stretch>
                  </pic:blipFill>
                  <pic:spPr>
                    <a:xfrm>
                      <a:off x="0" y="0"/>
                      <a:ext cx="5727700" cy="3263265"/>
                    </a:xfrm>
                    <a:prstGeom prst="rect">
                      <a:avLst/>
                    </a:prstGeom>
                  </pic:spPr>
                </pic:pic>
              </a:graphicData>
            </a:graphic>
          </wp:inline>
        </w:drawing>
      </w:r>
    </w:p>
    <w:p w14:paraId="5850586C" w14:textId="6BA5484C" w:rsidR="00963144" w:rsidRPr="003B66BF" w:rsidRDefault="00D64788" w:rsidP="00097DD4">
      <w:pPr>
        <w:pStyle w:val="Caption"/>
        <w:keepNext/>
        <w:adjustRightInd w:val="0"/>
        <w:snapToGrid w:val="0"/>
        <w:spacing w:after="0"/>
        <w:rPr>
          <w:rFonts w:ascii="Arial" w:hAnsi="Arial" w:cs="Arial"/>
          <w:color w:val="002060"/>
          <w:sz w:val="22"/>
          <w:szCs w:val="22"/>
        </w:rPr>
      </w:pPr>
      <w:bookmarkStart w:id="19" w:name="_Toc209022224"/>
      <w:bookmarkStart w:id="20" w:name="_Toc216612621"/>
      <w:r w:rsidRPr="003B66BF">
        <w:rPr>
          <w:rFonts w:ascii="Arial" w:hAnsi="Arial" w:cs="Arial"/>
          <w:color w:val="002060"/>
          <w:sz w:val="22"/>
          <w:szCs w:val="22"/>
        </w:rPr>
        <w:t>Figure 4-</w:t>
      </w:r>
      <w:r w:rsidRPr="003B66BF">
        <w:rPr>
          <w:rFonts w:ascii="Arial" w:hAnsi="Arial" w:cs="Arial"/>
          <w:color w:val="002060"/>
          <w:sz w:val="22"/>
          <w:szCs w:val="22"/>
        </w:rPr>
        <w:fldChar w:fldCharType="begin"/>
      </w:r>
      <w:r w:rsidRPr="003B66BF">
        <w:rPr>
          <w:rFonts w:ascii="Arial" w:hAnsi="Arial" w:cs="Arial"/>
          <w:color w:val="002060"/>
          <w:sz w:val="22"/>
          <w:szCs w:val="22"/>
        </w:rPr>
        <w:instrText xml:space="preserve"> SEQ Figure_4- \* ARABIC </w:instrText>
      </w:r>
      <w:r w:rsidRPr="003B66BF">
        <w:rPr>
          <w:rFonts w:ascii="Arial" w:hAnsi="Arial" w:cs="Arial"/>
          <w:color w:val="002060"/>
          <w:sz w:val="22"/>
          <w:szCs w:val="22"/>
        </w:rPr>
        <w:fldChar w:fldCharType="separate"/>
      </w:r>
      <w:r w:rsidR="00802509">
        <w:rPr>
          <w:rFonts w:ascii="Arial" w:hAnsi="Arial" w:cs="Arial"/>
          <w:noProof/>
          <w:color w:val="002060"/>
          <w:sz w:val="22"/>
          <w:szCs w:val="22"/>
        </w:rPr>
        <w:t>5</w:t>
      </w:r>
      <w:r w:rsidRPr="003B66BF">
        <w:rPr>
          <w:rFonts w:ascii="Arial" w:hAnsi="Arial" w:cs="Arial"/>
          <w:color w:val="002060"/>
          <w:sz w:val="22"/>
          <w:szCs w:val="22"/>
        </w:rPr>
        <w:fldChar w:fldCharType="end"/>
      </w:r>
      <w:r w:rsidRPr="003B66BF">
        <w:rPr>
          <w:rFonts w:ascii="Arial" w:hAnsi="Arial" w:cs="Arial"/>
          <w:color w:val="002060"/>
          <w:sz w:val="22"/>
          <w:szCs w:val="22"/>
        </w:rPr>
        <w:t xml:space="preserve"> </w:t>
      </w:r>
      <w:r w:rsidR="00963144" w:rsidRPr="003B66BF">
        <w:rPr>
          <w:rFonts w:ascii="Arial" w:hAnsi="Arial" w:cs="Arial"/>
          <w:color w:val="002060"/>
          <w:sz w:val="22"/>
          <w:szCs w:val="22"/>
        </w:rPr>
        <w:t>Wastewater runoff discharging onto a tourist beachfront</w:t>
      </w:r>
      <w:bookmarkEnd w:id="19"/>
      <w:bookmarkEnd w:id="20"/>
    </w:p>
    <w:p w14:paraId="1D5D1C6D" w14:textId="77777777" w:rsidR="00963144" w:rsidRPr="003B66BF" w:rsidRDefault="00963144" w:rsidP="00097DD4">
      <w:pPr>
        <w:adjustRightInd w:val="0"/>
        <w:snapToGrid w:val="0"/>
        <w:rPr>
          <w:rFonts w:ascii="Arial" w:hAnsi="Arial" w:cs="Arial"/>
          <w:i/>
          <w:iCs/>
          <w:sz w:val="18"/>
          <w:szCs w:val="18"/>
        </w:rPr>
      </w:pPr>
      <w:r w:rsidRPr="003B66BF">
        <w:rPr>
          <w:rFonts w:ascii="Arial" w:hAnsi="Arial" w:cs="Arial"/>
          <w:b/>
          <w:bCs/>
          <w:i/>
          <w:iCs/>
          <w:sz w:val="18"/>
          <w:szCs w:val="18"/>
        </w:rPr>
        <w:t>Sources:</w:t>
      </w:r>
      <w:r w:rsidRPr="003B66BF">
        <w:rPr>
          <w:rFonts w:ascii="Arial" w:hAnsi="Arial" w:cs="Arial"/>
          <w:i/>
          <w:iCs/>
          <w:sz w:val="18"/>
          <w:szCs w:val="18"/>
        </w:rPr>
        <w:t xml:space="preserve"> PEMSEA &amp; MoE, 2019. </w:t>
      </w:r>
    </w:p>
    <w:p w14:paraId="1818385F" w14:textId="77777777" w:rsidR="00963144" w:rsidRPr="00E62D7D" w:rsidRDefault="005B65AF" w:rsidP="005B65AF">
      <w:pPr>
        <w:pStyle w:val="Heading4"/>
        <w:keepLines w:val="0"/>
        <w:spacing w:before="240" w:after="240"/>
        <w:rPr>
          <w:rFonts w:ascii="Arial" w:hAnsi="Arial" w:cs="Arial"/>
          <w:b/>
          <w:bCs/>
          <w:i w:val="0"/>
          <w:iCs w:val="0"/>
          <w:color w:val="0070C0"/>
          <w:sz w:val="22"/>
          <w:szCs w:val="22"/>
        </w:rPr>
      </w:pPr>
      <w:r w:rsidRPr="00E62D7D">
        <w:rPr>
          <w:rFonts w:ascii="Arial" w:hAnsi="Arial" w:cs="Arial"/>
          <w:b/>
          <w:bCs/>
          <w:i w:val="0"/>
          <w:iCs w:val="0"/>
          <w:color w:val="0070C0"/>
          <w:sz w:val="22"/>
          <w:szCs w:val="22"/>
        </w:rPr>
        <w:t xml:space="preserve">4.3.1.2 </w:t>
      </w:r>
      <w:r w:rsidR="00963144" w:rsidRPr="00E62D7D">
        <w:rPr>
          <w:rFonts w:ascii="Arial" w:hAnsi="Arial" w:cs="Arial"/>
          <w:b/>
          <w:bCs/>
          <w:i w:val="0"/>
          <w:iCs w:val="0"/>
          <w:color w:val="0070C0"/>
          <w:sz w:val="22"/>
          <w:szCs w:val="22"/>
        </w:rPr>
        <w:t>Overfishing and IUU Fishing</w:t>
      </w:r>
    </w:p>
    <w:p w14:paraId="743765E2" w14:textId="77777777" w:rsidR="00963144" w:rsidRPr="003B66BF" w:rsidRDefault="00963144" w:rsidP="00963144">
      <w:pPr>
        <w:pStyle w:val="NormalWeb"/>
        <w:spacing w:before="240" w:after="240"/>
        <w:jc w:val="both"/>
        <w:rPr>
          <w:rFonts w:ascii="Arial" w:hAnsi="Arial" w:cs="Arial"/>
          <w:sz w:val="22"/>
          <w:szCs w:val="22"/>
        </w:rPr>
      </w:pPr>
      <w:r w:rsidRPr="003B66BF">
        <w:rPr>
          <w:rFonts w:ascii="Arial" w:hAnsi="Arial" w:cs="Arial"/>
          <w:sz w:val="22"/>
          <w:szCs w:val="22"/>
        </w:rPr>
        <w:t xml:space="preserve">Shared small pelagic stocks (anchovies, sardines, mackerel) migrate across EEZs; cumulative pressure is evident Gulf-wide in long-series statistics (FAO, 2024). Cambodia’s coastal landings have fluctuated in the 2000s–2020s, with artisanal fishers reporting longer trips for smaller catches—trends aligned with regional declines in coastal </w:t>
      </w:r>
      <w:r w:rsidR="00003968" w:rsidRPr="003B66BF">
        <w:rPr>
          <w:rFonts w:ascii="Arial" w:hAnsi="Arial" w:cs="Arial"/>
          <w:sz w:val="22"/>
          <w:szCs w:val="22"/>
        </w:rPr>
        <w:t>demersal</w:t>
      </w:r>
      <w:r w:rsidRPr="003B66BF">
        <w:rPr>
          <w:rFonts w:ascii="Arial" w:hAnsi="Arial" w:cs="Arial"/>
          <w:sz w:val="22"/>
          <w:szCs w:val="22"/>
        </w:rPr>
        <w:t xml:space="preserve"> and small </w:t>
      </w:r>
      <w:r w:rsidR="00003968" w:rsidRPr="003B66BF">
        <w:rPr>
          <w:rFonts w:ascii="Arial" w:hAnsi="Arial" w:cs="Arial"/>
          <w:sz w:val="22"/>
          <w:szCs w:val="22"/>
        </w:rPr>
        <w:t>pelagic</w:t>
      </w:r>
      <w:r w:rsidRPr="003B66BF">
        <w:rPr>
          <w:rFonts w:ascii="Arial" w:hAnsi="Arial" w:cs="Arial"/>
          <w:sz w:val="22"/>
          <w:szCs w:val="22"/>
        </w:rPr>
        <w:t xml:space="preserve"> documented since historical trawl surveys (FAO, n.d.). IUU fishing remains a transboundary challenge; Cambodia’s NPOA-IUU (2020–2024) and the National Plan of Control &amp; Inspection (NPCI) 2020–2024 target illegal trawling, border incursions, and high-risk habitats like seagrass and coral (FiA/MAFF, 2020a; FiA/MAFF, 2020b). Bottom trawling’s collateral damage to seagrass in Kampot–Kep is repeatedly reported in national/partner technical documents (FiA/MAFF, 2023).</w:t>
      </w:r>
    </w:p>
    <w:p w14:paraId="0C4C72FC" w14:textId="77777777" w:rsidR="00963144" w:rsidRPr="00E62D7D" w:rsidRDefault="005B65AF" w:rsidP="005B65AF">
      <w:pPr>
        <w:pStyle w:val="Heading4"/>
        <w:keepLines w:val="0"/>
        <w:spacing w:before="240" w:after="240"/>
        <w:rPr>
          <w:rFonts w:ascii="Arial" w:hAnsi="Arial" w:cs="Arial"/>
          <w:b/>
          <w:bCs/>
          <w:i w:val="0"/>
          <w:iCs w:val="0"/>
          <w:color w:val="0070C0"/>
          <w:sz w:val="22"/>
          <w:szCs w:val="22"/>
        </w:rPr>
      </w:pPr>
      <w:r w:rsidRPr="00E62D7D">
        <w:rPr>
          <w:rFonts w:ascii="Arial" w:hAnsi="Arial" w:cs="Arial"/>
          <w:b/>
          <w:bCs/>
          <w:i w:val="0"/>
          <w:iCs w:val="0"/>
          <w:color w:val="0070C0"/>
          <w:sz w:val="22"/>
          <w:szCs w:val="22"/>
        </w:rPr>
        <w:t xml:space="preserve">4.3.1.3 </w:t>
      </w:r>
      <w:r w:rsidR="00963144" w:rsidRPr="00E62D7D">
        <w:rPr>
          <w:rFonts w:ascii="Arial" w:hAnsi="Arial" w:cs="Arial"/>
          <w:b/>
          <w:bCs/>
          <w:i w:val="0"/>
          <w:iCs w:val="0"/>
          <w:color w:val="0070C0"/>
          <w:sz w:val="22"/>
          <w:szCs w:val="22"/>
        </w:rPr>
        <w:t>Habitat Degradation and Loss</w:t>
      </w:r>
    </w:p>
    <w:p w14:paraId="6BE3E5F7" w14:textId="77777777" w:rsidR="00963144" w:rsidRPr="003B66BF" w:rsidRDefault="00336592" w:rsidP="00963144">
      <w:pPr>
        <w:pStyle w:val="NormalWeb"/>
        <w:spacing w:before="240" w:after="240"/>
        <w:jc w:val="both"/>
        <w:rPr>
          <w:rFonts w:ascii="Arial" w:hAnsi="Arial" w:cs="Arial"/>
          <w:sz w:val="22"/>
          <w:szCs w:val="22"/>
        </w:rPr>
      </w:pPr>
      <w:r w:rsidRPr="003B66BF">
        <w:rPr>
          <w:rFonts w:ascii="Arial" w:hAnsi="Arial" w:cs="Arial"/>
          <w:sz w:val="22"/>
          <w:szCs w:val="22"/>
        </w:rPr>
        <w:t>Global Mangrove Watch v3.0 shows Cambodia’s mangroves at ~62–63 thousand ha in 2020, with most losses occurring in the 1990s–2000s and driven by aquaculture conversion, charcoal production and coastal development (Bunting et al., 2022; PCAsia, 2024; PEMSEA &amp; MoE, 2019). Coral reefs in Koh Rong/Koh Rong Sanloem and the Kep–Kampot archipelagos face sedimentation, destructive fishing and heat-stress bleaching; the 2010 Gulf-wide bleaching event and later heat anomalies are reflected in declining but generally fair–good coral-cover ranges (PEMSEA &amp; MoE, 2019). Seagrass meadows are extensive and transboundary, with ~33,800 ha attributed to Cambodia—largest in Kampot (UNEP/GEF SCS, 2008; SCS-SAP National Profile, 2021). Repeated degradation from trawling, dredging and sedimentation is documented (FiA/MAFF, 2023), and blue-carbon syntheses highlight the high carbon stocks of Cambodian seagrasses, making losses significant for long-term carbon sequestration (Fourqurean et al., 2012).</w:t>
      </w:r>
    </w:p>
    <w:p w14:paraId="20FA2C51" w14:textId="77777777" w:rsidR="00E22747" w:rsidRPr="00E62D7D" w:rsidRDefault="005B65AF" w:rsidP="005B65AF">
      <w:pPr>
        <w:pStyle w:val="Heading4"/>
        <w:keepLines w:val="0"/>
        <w:spacing w:before="240" w:after="240"/>
        <w:rPr>
          <w:rFonts w:ascii="Arial" w:hAnsi="Arial" w:cs="Arial"/>
          <w:b/>
          <w:bCs/>
          <w:i w:val="0"/>
          <w:iCs w:val="0"/>
          <w:color w:val="0070C0"/>
          <w:sz w:val="22"/>
          <w:szCs w:val="22"/>
        </w:rPr>
      </w:pPr>
      <w:r w:rsidRPr="00E62D7D">
        <w:rPr>
          <w:rFonts w:ascii="Arial" w:hAnsi="Arial" w:cs="Arial"/>
          <w:b/>
          <w:bCs/>
          <w:i w:val="0"/>
          <w:iCs w:val="0"/>
          <w:color w:val="0070C0"/>
          <w:sz w:val="22"/>
          <w:szCs w:val="22"/>
        </w:rPr>
        <w:t xml:space="preserve">4.3.1.4 </w:t>
      </w:r>
      <w:r w:rsidR="00E22747" w:rsidRPr="00E62D7D">
        <w:rPr>
          <w:rFonts w:ascii="Arial" w:hAnsi="Arial" w:cs="Arial"/>
          <w:b/>
          <w:bCs/>
          <w:i w:val="0"/>
          <w:iCs w:val="0"/>
          <w:color w:val="0070C0"/>
          <w:sz w:val="22"/>
          <w:szCs w:val="22"/>
        </w:rPr>
        <w:t>Biodiversity Loss and Migratory Species Decline</w:t>
      </w:r>
    </w:p>
    <w:p w14:paraId="3882F55F" w14:textId="77777777" w:rsidR="00E22747" w:rsidRPr="003B66BF" w:rsidRDefault="00E22747" w:rsidP="00963144">
      <w:pPr>
        <w:pStyle w:val="NormalWeb"/>
        <w:spacing w:before="240" w:after="240"/>
        <w:jc w:val="both"/>
        <w:rPr>
          <w:rFonts w:ascii="Arial" w:hAnsi="Arial" w:cs="Arial"/>
          <w:sz w:val="22"/>
          <w:szCs w:val="22"/>
        </w:rPr>
      </w:pPr>
      <w:r w:rsidRPr="003B66BF">
        <w:rPr>
          <w:rFonts w:ascii="Arial" w:hAnsi="Arial" w:cs="Arial"/>
          <w:sz w:val="22"/>
          <w:szCs w:val="22"/>
        </w:rPr>
        <w:t>Endangered megafauna—dugongs, marine turtles, Irrawaddy dolphins—and migratory shorebirds depend on transboundary habitat networks and face cumulative threats (UNEP/GEF SCS, 2008; FiA/MAFF, 2023). Recent observations of dugong feeding trails in Cambodian seagrass underscore continued, low-abundance presence and cross-border movements with Viet Nam (Khmer Times/MCC, 2025).</w:t>
      </w:r>
    </w:p>
    <w:p w14:paraId="130BFE1A" w14:textId="77777777" w:rsidR="00963144" w:rsidRPr="00E62D7D" w:rsidRDefault="005B65AF" w:rsidP="005B65AF">
      <w:pPr>
        <w:pStyle w:val="Heading4"/>
        <w:keepLines w:val="0"/>
        <w:spacing w:before="240" w:after="240"/>
        <w:rPr>
          <w:rFonts w:ascii="Arial" w:hAnsi="Arial" w:cs="Arial"/>
          <w:b/>
          <w:bCs/>
          <w:i w:val="0"/>
          <w:iCs w:val="0"/>
          <w:color w:val="0070C0"/>
          <w:sz w:val="22"/>
          <w:szCs w:val="22"/>
        </w:rPr>
      </w:pPr>
      <w:r w:rsidRPr="00E62D7D">
        <w:rPr>
          <w:rFonts w:ascii="Arial" w:hAnsi="Arial" w:cs="Arial"/>
          <w:b/>
          <w:bCs/>
          <w:i w:val="0"/>
          <w:iCs w:val="0"/>
          <w:color w:val="0070C0"/>
          <w:sz w:val="22"/>
          <w:szCs w:val="22"/>
        </w:rPr>
        <w:t xml:space="preserve">4.3.1.5 </w:t>
      </w:r>
      <w:r w:rsidR="00963144" w:rsidRPr="00E62D7D">
        <w:rPr>
          <w:rFonts w:ascii="Arial" w:hAnsi="Arial" w:cs="Arial"/>
          <w:b/>
          <w:bCs/>
          <w:i w:val="0"/>
          <w:iCs w:val="0"/>
          <w:color w:val="0070C0"/>
          <w:sz w:val="22"/>
          <w:szCs w:val="22"/>
        </w:rPr>
        <w:t>Climate Change and Associated Impacts</w:t>
      </w:r>
    </w:p>
    <w:p w14:paraId="4E1FF4F3" w14:textId="77777777" w:rsidR="00E22747" w:rsidRPr="003B66BF" w:rsidRDefault="00963144" w:rsidP="00963144">
      <w:pPr>
        <w:pStyle w:val="NormalWeb"/>
        <w:spacing w:before="240" w:after="240"/>
        <w:jc w:val="both"/>
        <w:rPr>
          <w:rFonts w:ascii="Arial" w:hAnsi="Arial" w:cs="Arial"/>
          <w:sz w:val="22"/>
          <w:szCs w:val="22"/>
        </w:rPr>
      </w:pPr>
      <w:r w:rsidRPr="003B66BF">
        <w:rPr>
          <w:rFonts w:ascii="Arial" w:hAnsi="Arial" w:cs="Arial"/>
          <w:sz w:val="22"/>
          <w:szCs w:val="22"/>
        </w:rPr>
        <w:t>Sea-level rise (SLR), warming, extreme events, and ocean acidification amplify all other pressures. IPCC AR6 WGII (Chapter 10) projects continued SLR with many Asian coasts exceeding the global mean; rising surge and wave risks compound exposure for the Gulf (IPCC, 2022). The World Bank Climate Change Knowledge Portal synthesizes Cambodia projections and SLR-inundation risk for low-lying Koh Kong–Kampot coastlines (World Bank &amp; GFDRR, 2021/2024). Recurrent bleaching/heat stress in 2010 and 2019–2020 is noted in regional monitoring and national summaries (IPCC, 2022; PEMSEA &amp; MoE, 2019).</w:t>
      </w:r>
      <w:r w:rsidR="00E22747" w:rsidRPr="003B66BF">
        <w:rPr>
          <w:rFonts w:ascii="Arial" w:hAnsi="Arial" w:cs="Arial"/>
          <w:sz w:val="22"/>
          <w:szCs w:val="22"/>
        </w:rPr>
        <w:t xml:space="preserve"> </w:t>
      </w:r>
    </w:p>
    <w:p w14:paraId="3B04EF63" w14:textId="77777777" w:rsidR="00963144" w:rsidRPr="00E62D7D" w:rsidRDefault="005B65AF" w:rsidP="005B65AF">
      <w:pPr>
        <w:pStyle w:val="Heading4"/>
        <w:keepLines w:val="0"/>
        <w:spacing w:before="240" w:after="240"/>
        <w:rPr>
          <w:rFonts w:ascii="Arial" w:hAnsi="Arial" w:cs="Arial"/>
          <w:b/>
          <w:bCs/>
          <w:i w:val="0"/>
          <w:iCs w:val="0"/>
          <w:color w:val="0070C0"/>
          <w:sz w:val="22"/>
          <w:szCs w:val="22"/>
        </w:rPr>
      </w:pPr>
      <w:r w:rsidRPr="00E62D7D">
        <w:rPr>
          <w:rFonts w:ascii="Arial" w:hAnsi="Arial" w:cs="Arial"/>
          <w:b/>
          <w:bCs/>
          <w:i w:val="0"/>
          <w:iCs w:val="0"/>
          <w:color w:val="0070C0"/>
          <w:sz w:val="22"/>
          <w:szCs w:val="22"/>
        </w:rPr>
        <w:t xml:space="preserve">4.3.1.6 </w:t>
      </w:r>
      <w:r w:rsidR="00963144" w:rsidRPr="00E62D7D">
        <w:rPr>
          <w:rFonts w:ascii="Arial" w:hAnsi="Arial" w:cs="Arial"/>
          <w:b/>
          <w:bCs/>
          <w:i w:val="0"/>
          <w:iCs w:val="0"/>
          <w:color w:val="0070C0"/>
          <w:sz w:val="22"/>
          <w:szCs w:val="22"/>
        </w:rPr>
        <w:t>Emerging Environmental Issues</w:t>
      </w:r>
    </w:p>
    <w:p w14:paraId="47606C07" w14:textId="77777777" w:rsidR="00963144" w:rsidRPr="003B66BF" w:rsidRDefault="00963144" w:rsidP="00963144">
      <w:pPr>
        <w:pStyle w:val="NormalWeb"/>
        <w:spacing w:before="240" w:beforeAutospacing="0" w:after="240" w:afterAutospacing="0"/>
        <w:jc w:val="both"/>
        <w:rPr>
          <w:rFonts w:ascii="Arial" w:hAnsi="Arial" w:cs="Arial"/>
          <w:sz w:val="22"/>
          <w:szCs w:val="22"/>
        </w:rPr>
      </w:pPr>
      <w:r w:rsidRPr="003B66BF">
        <w:rPr>
          <w:rFonts w:ascii="Arial" w:hAnsi="Arial" w:cs="Arial"/>
          <w:sz w:val="22"/>
          <w:szCs w:val="22"/>
        </w:rPr>
        <w:t xml:space="preserve">Large-scale port expansion and coastal reclamation alter sediment budgets and hydrodynamics (World Bank, 2021). </w:t>
      </w:r>
      <w:r w:rsidR="00E22747" w:rsidRPr="003B66BF">
        <w:rPr>
          <w:rFonts w:ascii="Arial" w:hAnsi="Arial" w:cs="Arial"/>
          <w:sz w:val="22"/>
          <w:szCs w:val="22"/>
        </w:rPr>
        <w:t xml:space="preserve">Rapid growth in </w:t>
      </w:r>
      <w:r w:rsidR="00E22747" w:rsidRPr="003B66BF">
        <w:rPr>
          <w:rStyle w:val="Strong"/>
          <w:rFonts w:ascii="Arial" w:hAnsi="Arial" w:cs="Arial"/>
          <w:b w:val="0"/>
          <w:bCs w:val="0"/>
          <w:sz w:val="22"/>
          <w:szCs w:val="22"/>
        </w:rPr>
        <w:t>ports/SEZs</w:t>
      </w:r>
      <w:r w:rsidR="00E22747" w:rsidRPr="003B66BF">
        <w:rPr>
          <w:rFonts w:ascii="Arial" w:hAnsi="Arial" w:cs="Arial"/>
          <w:sz w:val="22"/>
          <w:szCs w:val="22"/>
        </w:rPr>
        <w:t xml:space="preserve">, tourism, and urban construction has outpaced wastewater and solid-waste systems, driving nearshore pollution with transboundary consequences (World Bank, 2021; PEMSEA &amp; MoE, 2019). </w:t>
      </w:r>
      <w:r w:rsidRPr="003B66BF">
        <w:rPr>
          <w:rFonts w:ascii="Arial" w:hAnsi="Arial" w:cs="Arial"/>
          <w:sz w:val="22"/>
          <w:szCs w:val="22"/>
        </w:rPr>
        <w:t>Offshore oil &amp; gas elevate spill risk; preparedness and response capacity are ongoing priorities (PEMSEA &amp; MoE, 2019). Microplastics are an emerging concern across ASEAN coasts; regional baselines and Mekong studies report microplastics in waters/biota and call for harmonized monitoring (GIZ, 2024; MRC, 2024).</w:t>
      </w:r>
    </w:p>
    <w:p w14:paraId="591D11D2" w14:textId="77777777" w:rsidR="003867DE" w:rsidRPr="003B66BF" w:rsidRDefault="003867DE" w:rsidP="003867DE">
      <w:pPr>
        <w:pStyle w:val="Heading3"/>
        <w:spacing w:before="240" w:after="240"/>
        <w:jc w:val="both"/>
        <w:rPr>
          <w:rFonts w:ascii="Arial" w:hAnsi="Arial" w:cs="Arial"/>
          <w:b/>
          <w:bCs/>
          <w:color w:val="000000" w:themeColor="text1"/>
        </w:rPr>
      </w:pPr>
      <w:bookmarkStart w:id="21" w:name="_Toc217231954"/>
      <w:r w:rsidRPr="003B66BF">
        <w:rPr>
          <w:rFonts w:ascii="Arial" w:hAnsi="Arial" w:cs="Arial"/>
          <w:b/>
          <w:bCs/>
          <w:color w:val="000000" w:themeColor="text1"/>
        </w:rPr>
        <w:t xml:space="preserve">4.3.2 Risk </w:t>
      </w:r>
      <w:r w:rsidR="00097DD4" w:rsidRPr="003B66BF">
        <w:rPr>
          <w:rFonts w:ascii="Arial" w:hAnsi="Arial" w:cs="Arial"/>
          <w:b/>
          <w:bCs/>
          <w:color w:val="000000" w:themeColor="text1"/>
        </w:rPr>
        <w:t>A</w:t>
      </w:r>
      <w:r w:rsidRPr="003B66BF">
        <w:rPr>
          <w:rFonts w:ascii="Arial" w:hAnsi="Arial" w:cs="Arial"/>
          <w:b/>
          <w:bCs/>
          <w:color w:val="000000" w:themeColor="text1"/>
        </w:rPr>
        <w:t xml:space="preserve">ssessment and </w:t>
      </w:r>
      <w:r w:rsidR="00097DD4" w:rsidRPr="003B66BF">
        <w:rPr>
          <w:rFonts w:ascii="Arial" w:hAnsi="Arial" w:cs="Arial"/>
          <w:b/>
          <w:bCs/>
          <w:color w:val="000000" w:themeColor="text1"/>
        </w:rPr>
        <w:t>V</w:t>
      </w:r>
      <w:r w:rsidRPr="003B66BF">
        <w:rPr>
          <w:rFonts w:ascii="Arial" w:hAnsi="Arial" w:cs="Arial"/>
          <w:b/>
          <w:bCs/>
          <w:color w:val="000000" w:themeColor="text1"/>
        </w:rPr>
        <w:t xml:space="preserve">aluation of </w:t>
      </w:r>
      <w:r w:rsidR="00097DD4" w:rsidRPr="003B66BF">
        <w:rPr>
          <w:rFonts w:ascii="Arial" w:hAnsi="Arial" w:cs="Arial"/>
          <w:b/>
          <w:bCs/>
          <w:color w:val="000000" w:themeColor="text1"/>
        </w:rPr>
        <w:t>E</w:t>
      </w:r>
      <w:r w:rsidRPr="003B66BF">
        <w:rPr>
          <w:rFonts w:ascii="Arial" w:hAnsi="Arial" w:cs="Arial"/>
          <w:b/>
          <w:bCs/>
          <w:color w:val="000000" w:themeColor="text1"/>
        </w:rPr>
        <w:t xml:space="preserve">conomic </w:t>
      </w:r>
      <w:r w:rsidR="00097DD4" w:rsidRPr="003B66BF">
        <w:rPr>
          <w:rFonts w:ascii="Arial" w:hAnsi="Arial" w:cs="Arial"/>
          <w:b/>
          <w:bCs/>
          <w:color w:val="000000" w:themeColor="text1"/>
        </w:rPr>
        <w:t>L</w:t>
      </w:r>
      <w:r w:rsidRPr="003B66BF">
        <w:rPr>
          <w:rFonts w:ascii="Arial" w:hAnsi="Arial" w:cs="Arial"/>
          <w:b/>
          <w:bCs/>
          <w:color w:val="000000" w:themeColor="text1"/>
        </w:rPr>
        <w:t>osses</w:t>
      </w:r>
      <w:bookmarkEnd w:id="21"/>
    </w:p>
    <w:p w14:paraId="4B4197DB" w14:textId="77777777" w:rsidR="001A6E35" w:rsidRPr="003B66BF" w:rsidRDefault="00097DD4" w:rsidP="001A6E35">
      <w:pPr>
        <w:jc w:val="both"/>
        <w:rPr>
          <w:rFonts w:ascii="Arial" w:hAnsi="Arial" w:cs="Arial"/>
        </w:rPr>
      </w:pPr>
      <w:r w:rsidRPr="003B66BF">
        <w:rPr>
          <w:rFonts w:ascii="Arial" w:hAnsi="Arial" w:cs="Arial"/>
          <w:sz w:val="22"/>
          <w:szCs w:val="22"/>
        </w:rPr>
        <w:t>With &gt;65% of Koh Kapik households wetland-dependent, ~11,500 ha of seagrass in Kep–Kampot, and reefs generally “fair” with high-value refugia, even small management lapses can trigger disproportionate economic losses. Conversely, low-cost actions—peat-mangrove hydrologic safeguards, anti-trawl structures and CFi patrol fuel, and basic wastewater upgrades—deliver high benefit–cost returns once avoided income losses, avoided damages, and blue-carbon values are included (Ramsar Secretariat, 2012; FFI, 2020; Norrey et al., 2023; World Bank, 2021; Fourqurean et al., 2012).</w:t>
      </w:r>
    </w:p>
    <w:p w14:paraId="2E6B7BFC" w14:textId="77777777" w:rsidR="001A6E35" w:rsidRPr="00E62D7D" w:rsidRDefault="001A6E35" w:rsidP="001A6E35">
      <w:pPr>
        <w:pStyle w:val="Heading4"/>
        <w:keepLines w:val="0"/>
        <w:spacing w:before="240" w:after="240"/>
        <w:rPr>
          <w:rFonts w:ascii="Arial" w:hAnsi="Arial" w:cs="Arial"/>
          <w:b/>
          <w:bCs/>
          <w:i w:val="0"/>
          <w:iCs w:val="0"/>
          <w:color w:val="0070C0"/>
          <w:sz w:val="22"/>
          <w:szCs w:val="22"/>
        </w:rPr>
      </w:pPr>
      <w:r w:rsidRPr="00E62D7D">
        <w:rPr>
          <w:rFonts w:ascii="Arial" w:hAnsi="Arial" w:cs="Arial"/>
          <w:b/>
          <w:bCs/>
          <w:i w:val="0"/>
          <w:iCs w:val="0"/>
          <w:color w:val="0070C0"/>
          <w:sz w:val="22"/>
          <w:szCs w:val="22"/>
        </w:rPr>
        <w:t xml:space="preserve">4.3.2.1 </w:t>
      </w:r>
      <w:r w:rsidR="005B65AF" w:rsidRPr="00E62D7D">
        <w:rPr>
          <w:rFonts w:ascii="Arial" w:hAnsi="Arial" w:cs="Arial"/>
          <w:b/>
          <w:bCs/>
          <w:i w:val="0"/>
          <w:iCs w:val="0"/>
          <w:color w:val="0070C0"/>
          <w:sz w:val="22"/>
          <w:szCs w:val="22"/>
        </w:rPr>
        <w:t xml:space="preserve">Livelihood </w:t>
      </w:r>
      <w:r w:rsidRPr="00E62D7D">
        <w:rPr>
          <w:rFonts w:ascii="Arial" w:hAnsi="Arial" w:cs="Arial"/>
          <w:b/>
          <w:bCs/>
          <w:i w:val="0"/>
          <w:iCs w:val="0"/>
          <w:color w:val="0070C0"/>
          <w:sz w:val="22"/>
          <w:szCs w:val="22"/>
        </w:rPr>
        <w:t xml:space="preserve">risk and </w:t>
      </w:r>
      <w:r w:rsidR="005B65AF" w:rsidRPr="00E62D7D">
        <w:rPr>
          <w:rFonts w:ascii="Arial" w:hAnsi="Arial" w:cs="Arial"/>
          <w:b/>
          <w:bCs/>
          <w:i w:val="0"/>
          <w:iCs w:val="0"/>
          <w:color w:val="0070C0"/>
          <w:sz w:val="22"/>
          <w:szCs w:val="22"/>
        </w:rPr>
        <w:t>losses</w:t>
      </w:r>
    </w:p>
    <w:p w14:paraId="6C803AB3" w14:textId="77777777" w:rsidR="005B65AF" w:rsidRPr="003B66BF" w:rsidRDefault="005B65AF" w:rsidP="005B65AF">
      <w:pPr>
        <w:pStyle w:val="NormalWeb"/>
        <w:jc w:val="both"/>
        <w:rPr>
          <w:rFonts w:ascii="Arial" w:hAnsi="Arial" w:cs="Arial"/>
          <w:sz w:val="22"/>
          <w:szCs w:val="22"/>
        </w:rPr>
      </w:pPr>
      <w:r w:rsidRPr="003B66BF">
        <w:rPr>
          <w:rFonts w:ascii="Arial" w:hAnsi="Arial" w:cs="Arial"/>
          <w:sz w:val="22"/>
          <w:szCs w:val="22"/>
        </w:rPr>
        <w:t xml:space="preserve">Household dependence around Koh Kapik–Peam Krasop is exceptionally high: more than 65% of households derive 70–90% of income from wetland-based fishing and gleaning (Ramsar Secretariat, 2012; Ly et al., 2023). Under a conservative elasticity (income roughly proportional to catch for small-scale fishers), a </w:t>
      </w:r>
      <w:r w:rsidRPr="003B66BF">
        <w:rPr>
          <w:rStyle w:val="Strong"/>
          <w:rFonts w:ascii="Arial" w:eastAsiaTheme="majorEastAsia" w:hAnsi="Arial" w:cs="Arial"/>
          <w:b w:val="0"/>
          <w:bCs w:val="0"/>
          <w:sz w:val="22"/>
          <w:szCs w:val="22"/>
        </w:rPr>
        <w:t>10–20% reduction in nursery function or access</w:t>
      </w:r>
      <w:r w:rsidRPr="003B66BF">
        <w:rPr>
          <w:rFonts w:ascii="Arial" w:hAnsi="Arial" w:cs="Arial"/>
          <w:b/>
          <w:bCs/>
          <w:sz w:val="22"/>
          <w:szCs w:val="22"/>
        </w:rPr>
        <w:t xml:space="preserve"> </w:t>
      </w:r>
      <w:r w:rsidRPr="003B66BF">
        <w:rPr>
          <w:rFonts w:ascii="Arial" w:hAnsi="Arial" w:cs="Arial"/>
          <w:sz w:val="22"/>
          <w:szCs w:val="22"/>
        </w:rPr>
        <w:t xml:space="preserve">would transmit almost one-for-one to </w:t>
      </w:r>
      <w:r w:rsidRPr="003B66BF">
        <w:rPr>
          <w:rStyle w:val="Strong"/>
          <w:rFonts w:ascii="Arial" w:eastAsiaTheme="majorEastAsia" w:hAnsi="Arial" w:cs="Arial"/>
          <w:b w:val="0"/>
          <w:bCs w:val="0"/>
          <w:sz w:val="22"/>
          <w:szCs w:val="22"/>
        </w:rPr>
        <w:t>village income losses of 10–20%</w:t>
      </w:r>
      <w:r w:rsidRPr="003B66BF">
        <w:rPr>
          <w:rFonts w:ascii="Arial" w:hAnsi="Arial" w:cs="Arial"/>
          <w:b/>
          <w:bCs/>
          <w:sz w:val="22"/>
          <w:szCs w:val="22"/>
        </w:rPr>
        <w:t xml:space="preserve">, </w:t>
      </w:r>
      <w:r w:rsidRPr="003B66BF">
        <w:rPr>
          <w:rFonts w:ascii="Arial" w:hAnsi="Arial" w:cs="Arial"/>
          <w:sz w:val="22"/>
          <w:szCs w:val="22"/>
        </w:rPr>
        <w:t>with second-round effects on food security and debt service for the poorest quintiles (Ramsar Secretariat, 2012; Ly et al., 2023). When shocks are spatially covariate (e.g., a mangrove die-back or a major pollution event), coping options shrink and recovery times lengthen, amplifying welfare losses relative to idiosyncratic shocks.</w:t>
      </w:r>
    </w:p>
    <w:p w14:paraId="0E58E229" w14:textId="77777777" w:rsidR="001A6E35" w:rsidRPr="00E62D7D" w:rsidRDefault="001A6E35" w:rsidP="001A6E35">
      <w:pPr>
        <w:pStyle w:val="Heading4"/>
        <w:keepLines w:val="0"/>
        <w:spacing w:before="240" w:after="240"/>
        <w:rPr>
          <w:rFonts w:ascii="Arial" w:hAnsi="Arial" w:cs="Arial"/>
          <w:b/>
          <w:bCs/>
          <w:i w:val="0"/>
          <w:iCs w:val="0"/>
          <w:color w:val="0070C0"/>
          <w:sz w:val="22"/>
          <w:szCs w:val="22"/>
        </w:rPr>
      </w:pPr>
      <w:r w:rsidRPr="00E62D7D">
        <w:rPr>
          <w:rFonts w:ascii="Arial" w:hAnsi="Arial" w:cs="Arial"/>
          <w:b/>
          <w:bCs/>
          <w:i w:val="0"/>
          <w:iCs w:val="0"/>
          <w:color w:val="0070C0"/>
          <w:sz w:val="22"/>
          <w:szCs w:val="22"/>
        </w:rPr>
        <w:t xml:space="preserve">4.3.2.2 </w:t>
      </w:r>
      <w:r w:rsidR="005B65AF" w:rsidRPr="00E62D7D">
        <w:rPr>
          <w:rFonts w:ascii="Arial" w:hAnsi="Arial" w:cs="Arial"/>
          <w:b/>
          <w:bCs/>
          <w:i w:val="0"/>
          <w:iCs w:val="0"/>
          <w:color w:val="0070C0"/>
          <w:sz w:val="22"/>
          <w:szCs w:val="22"/>
        </w:rPr>
        <w:t xml:space="preserve">Blue-carbon opportunity costs </w:t>
      </w:r>
    </w:p>
    <w:p w14:paraId="02E8FF90" w14:textId="77777777" w:rsidR="005B65AF" w:rsidRPr="003B66BF" w:rsidRDefault="005B65AF" w:rsidP="005B65AF">
      <w:pPr>
        <w:pStyle w:val="NormalWeb"/>
        <w:jc w:val="both"/>
        <w:rPr>
          <w:rFonts w:ascii="Arial" w:hAnsi="Arial" w:cs="Arial"/>
          <w:sz w:val="22"/>
          <w:szCs w:val="22"/>
        </w:rPr>
      </w:pPr>
      <w:r w:rsidRPr="003B66BF">
        <w:rPr>
          <w:rFonts w:ascii="Arial" w:hAnsi="Arial" w:cs="Arial"/>
          <w:sz w:val="22"/>
          <w:szCs w:val="22"/>
        </w:rPr>
        <w:t xml:space="preserve">The </w:t>
      </w:r>
      <w:r w:rsidRPr="003B66BF">
        <w:rPr>
          <w:rStyle w:val="Strong"/>
          <w:rFonts w:ascii="Arial" w:eastAsiaTheme="majorEastAsia" w:hAnsi="Arial" w:cs="Arial"/>
          <w:b w:val="0"/>
          <w:bCs w:val="0"/>
          <w:sz w:val="22"/>
          <w:szCs w:val="22"/>
        </w:rPr>
        <w:t>Botum Sakor peat-mangrove complex (~4,768 ha)</w:t>
      </w:r>
      <w:r w:rsidRPr="003B66BF">
        <w:rPr>
          <w:rFonts w:ascii="Arial" w:hAnsi="Arial" w:cs="Arial"/>
          <w:sz w:val="22"/>
          <w:szCs w:val="22"/>
        </w:rPr>
        <w:t xml:space="preserve"> stores very large carbon stocks; hydrological disturbance (culverts/roads, drainage) risks </w:t>
      </w:r>
      <w:r w:rsidRPr="003B66BF">
        <w:rPr>
          <w:rStyle w:val="Strong"/>
          <w:rFonts w:ascii="Arial" w:eastAsiaTheme="majorEastAsia" w:hAnsi="Arial" w:cs="Arial"/>
          <w:b w:val="0"/>
          <w:bCs w:val="0"/>
          <w:sz w:val="22"/>
          <w:szCs w:val="22"/>
        </w:rPr>
        <w:t>peat oxidation and subsidence</w:t>
      </w:r>
      <w:r w:rsidRPr="003B66BF">
        <w:rPr>
          <w:rFonts w:ascii="Arial" w:hAnsi="Arial" w:cs="Arial"/>
          <w:sz w:val="22"/>
          <w:szCs w:val="22"/>
        </w:rPr>
        <w:t>, resulting in long-lived CO</w:t>
      </w:r>
      <w:r w:rsidRPr="003B66BF">
        <w:rPr>
          <w:rFonts w:ascii="Cambria Math" w:hAnsi="Cambria Math" w:cs="Cambria Math"/>
          <w:sz w:val="22"/>
          <w:szCs w:val="22"/>
        </w:rPr>
        <w:t>₂</w:t>
      </w:r>
      <w:r w:rsidRPr="003B66BF">
        <w:rPr>
          <w:rFonts w:ascii="Arial" w:hAnsi="Arial" w:cs="Arial"/>
          <w:sz w:val="22"/>
          <w:szCs w:val="22"/>
        </w:rPr>
        <w:t xml:space="preserve"> emissions and the loss of storm-buffering capacity (Lo, Quoi, &amp; Visal, 2018; Girkin et al., 2022). Even without a site-specific MRV, applying standard blue-carbon ranges for mangrove peat implies that preventing oxidation yields </w:t>
      </w:r>
      <w:r w:rsidRPr="003B66BF">
        <w:rPr>
          <w:rStyle w:val="Strong"/>
          <w:rFonts w:ascii="Arial" w:eastAsiaTheme="majorEastAsia" w:hAnsi="Arial" w:cs="Arial"/>
          <w:b w:val="0"/>
          <w:bCs w:val="0"/>
          <w:sz w:val="22"/>
          <w:szCs w:val="22"/>
        </w:rPr>
        <w:t>avoided emissions</w:t>
      </w:r>
      <w:r w:rsidRPr="003B66BF">
        <w:rPr>
          <w:rFonts w:ascii="Arial" w:hAnsi="Arial" w:cs="Arial"/>
          <w:sz w:val="22"/>
          <w:szCs w:val="22"/>
        </w:rPr>
        <w:t xml:space="preserve"> valued under emerging carbon finance; conversely, failure to maintain water levels creates a liability via foregone credits plus increased disaster losses from weakened surge attenuation (Girkin et al., 2022; Lo et al., 2018).</w:t>
      </w:r>
    </w:p>
    <w:p w14:paraId="3FA0E16C" w14:textId="77777777" w:rsidR="001A6E35" w:rsidRPr="00E62D7D" w:rsidRDefault="001A6E35" w:rsidP="001A6E35">
      <w:pPr>
        <w:pStyle w:val="Heading4"/>
        <w:keepLines w:val="0"/>
        <w:spacing w:before="240" w:after="240"/>
        <w:rPr>
          <w:rFonts w:ascii="Arial" w:hAnsi="Arial" w:cs="Arial"/>
          <w:b/>
          <w:bCs/>
          <w:i w:val="0"/>
          <w:iCs w:val="0"/>
          <w:color w:val="0070C0"/>
          <w:sz w:val="22"/>
          <w:szCs w:val="22"/>
        </w:rPr>
      </w:pPr>
      <w:r w:rsidRPr="00E62D7D">
        <w:rPr>
          <w:rFonts w:ascii="Arial" w:hAnsi="Arial" w:cs="Arial"/>
          <w:b/>
          <w:bCs/>
          <w:i w:val="0"/>
          <w:iCs w:val="0"/>
          <w:color w:val="0070C0"/>
          <w:sz w:val="22"/>
          <w:szCs w:val="22"/>
        </w:rPr>
        <w:t xml:space="preserve">4.3.2.3 </w:t>
      </w:r>
      <w:r w:rsidR="005B65AF" w:rsidRPr="00E62D7D">
        <w:rPr>
          <w:rFonts w:ascii="Arial" w:hAnsi="Arial" w:cs="Arial"/>
          <w:b/>
          <w:bCs/>
          <w:i w:val="0"/>
          <w:iCs w:val="0"/>
          <w:color w:val="0070C0"/>
          <w:sz w:val="22"/>
          <w:szCs w:val="22"/>
        </w:rPr>
        <w:t>Reef deterioration</w:t>
      </w:r>
    </w:p>
    <w:p w14:paraId="084A8B3B" w14:textId="4804EBDD" w:rsidR="00D93B08" w:rsidRPr="00D93B08" w:rsidRDefault="00D93B08" w:rsidP="00D93B08">
      <w:pPr>
        <w:pStyle w:val="NormalWeb"/>
        <w:spacing w:before="120" w:beforeAutospacing="0" w:after="120" w:afterAutospacing="0"/>
        <w:jc w:val="both"/>
        <w:rPr>
          <w:rFonts w:ascii="Arial" w:hAnsi="Arial" w:cs="Arial"/>
          <w:sz w:val="21"/>
          <w:szCs w:val="21"/>
        </w:rPr>
      </w:pPr>
      <w:r w:rsidRPr="00D93B08">
        <w:rPr>
          <w:rFonts w:ascii="Arial" w:hAnsi="Arial" w:cs="Arial"/>
          <w:sz w:val="22"/>
          <w:szCs w:val="22"/>
        </w:rPr>
        <w:t>Coral communities in Koh Rong MNP average ~30% live cover and are dominated by sediment-tolerant massive taxa, though pockets of high cover persist in Kep (e.g., Koh Seh ~64%) (FFI, 2020; Pham et al., 2025). Reef degradation reduces structural complexity and nursery/refuge functions, which can directly depress reef-associated catch and incomes for small pelagic and demersal handline and trap fisheries in coastal fishing communities (FFI, 2020). It also threatens tourism: declining reef quality reduces dive and snorkel demand, and regional evidence suggests even moderate live-cover losses can cut dive days and operator revenue (Burke et al., 2011). Reefs also dissipate wave energy; their decline increases expected annual damages to beachfront assets and public infrastructure during storm seasons (Burke et al., 2011). In the semi-enclosed Gulf of Thailand, cumulative pressures—overfishing, destructive gear, sedimentation, and mass bleaching—create transboundary costs as fish move across EEZs and tourism markets benchmark regionally (PEMSEA &amp; MoE, 2019; Burke et al., 2011).</w:t>
      </w:r>
    </w:p>
    <w:p w14:paraId="6BA32CF4" w14:textId="77777777" w:rsidR="001A6E35" w:rsidRPr="00E62D7D" w:rsidRDefault="001A6E35" w:rsidP="001A6E35">
      <w:pPr>
        <w:pStyle w:val="Heading4"/>
        <w:keepLines w:val="0"/>
        <w:spacing w:before="240" w:after="240"/>
        <w:rPr>
          <w:rFonts w:ascii="Arial" w:hAnsi="Arial" w:cs="Arial"/>
          <w:b/>
          <w:bCs/>
          <w:i w:val="0"/>
          <w:iCs w:val="0"/>
          <w:color w:val="0070C0"/>
          <w:sz w:val="22"/>
          <w:szCs w:val="22"/>
        </w:rPr>
      </w:pPr>
      <w:r w:rsidRPr="00E62D7D">
        <w:rPr>
          <w:rFonts w:ascii="Arial" w:hAnsi="Arial" w:cs="Arial"/>
          <w:b/>
          <w:bCs/>
          <w:i w:val="0"/>
          <w:iCs w:val="0"/>
          <w:color w:val="0070C0"/>
          <w:sz w:val="22"/>
          <w:szCs w:val="22"/>
        </w:rPr>
        <w:t xml:space="preserve">4.3.2.4 </w:t>
      </w:r>
      <w:r w:rsidR="005B65AF" w:rsidRPr="00E62D7D">
        <w:rPr>
          <w:rFonts w:ascii="Arial" w:hAnsi="Arial" w:cs="Arial"/>
          <w:b/>
          <w:bCs/>
          <w:i w:val="0"/>
          <w:iCs w:val="0"/>
          <w:color w:val="0070C0"/>
          <w:sz w:val="22"/>
          <w:szCs w:val="22"/>
        </w:rPr>
        <w:t>Seagrass losse</w:t>
      </w:r>
      <w:r w:rsidRPr="00E62D7D">
        <w:rPr>
          <w:rFonts w:ascii="Arial" w:hAnsi="Arial" w:cs="Arial"/>
          <w:b/>
          <w:bCs/>
          <w:i w:val="0"/>
          <w:iCs w:val="0"/>
          <w:color w:val="0070C0"/>
          <w:sz w:val="22"/>
          <w:szCs w:val="22"/>
        </w:rPr>
        <w:t>s</w:t>
      </w:r>
    </w:p>
    <w:p w14:paraId="255953F7" w14:textId="58CE648B" w:rsidR="00D93B08" w:rsidRPr="00D93B08" w:rsidRDefault="00D93B08" w:rsidP="00D93B08">
      <w:pPr>
        <w:pStyle w:val="NormalWeb"/>
        <w:spacing w:before="120" w:beforeAutospacing="0" w:after="120" w:afterAutospacing="0"/>
        <w:jc w:val="both"/>
        <w:rPr>
          <w:rFonts w:ascii="Arial" w:hAnsi="Arial" w:cs="Arial"/>
          <w:sz w:val="20"/>
          <w:szCs w:val="20"/>
        </w:rPr>
      </w:pPr>
      <w:r w:rsidRPr="00D93B08">
        <w:rPr>
          <w:rFonts w:ascii="Arial" w:hAnsi="Arial" w:cs="Arial"/>
          <w:sz w:val="22"/>
          <w:szCs w:val="22"/>
        </w:rPr>
        <w:t>Kep–Kampot (≈11,500 ha combined; ~10 species in Kampot) and Chrouy Pros/Prey Nob (≈1,583 ha combined) anchor Cambodia’s seagrass extent but are sensitive to bottom trawling, turbidity, and dredging (MAFF/FiA, 2023; MCC &amp; FAO, 2023; FiA/FAO, 2023). Historical assessments indicate major contractions in parts of the Kep–Kampot corridor, with mixed dynamics over 2014–2025—localized recovery where anti-trawl enforcement is sustained, and continued attrition where turbidity and shoreline works intensify (MAFF/FiA, 2023; MCC &amp; FAO, 2023). These changes create economic risks through reduced nursery function, lowering catches and incomes for small-mesh gillnet and trap fleets targeting juvenile coastal finfish and invertebrates. Degraded meadows may also concentrate fishing effort and raise entanglement risk for Irrawaddy dolphins and dugongs, causing biodiversity losses and reputational/tourism costs (Tubbs et al., 2019; Duffy et al., 2023). Finally, seagrasses are important blue-carbon stores (global mean ~139 Mg C_org ha</w:t>
      </w:r>
      <w:r w:rsidRPr="00D93B08">
        <w:rPr>
          <w:rFonts w:ascii="Cambria Math" w:hAnsi="Cambria Math" w:cs="Cambria Math"/>
          <w:sz w:val="22"/>
          <w:szCs w:val="22"/>
        </w:rPr>
        <w:t>⁻</w:t>
      </w:r>
      <w:r w:rsidRPr="00D93B08">
        <w:rPr>
          <w:rFonts w:ascii="Arial" w:hAnsi="Arial" w:cs="Arial"/>
          <w:sz w:val="22"/>
          <w:szCs w:val="22"/>
        </w:rPr>
        <w:t>¹ in biomass plus soils), so meadow loss implies forgone sequestration and potential emissions from disturbed sediments (Fourqurean et al., 2012).</w:t>
      </w:r>
    </w:p>
    <w:p w14:paraId="03416D2D" w14:textId="77777777" w:rsidR="003867DE" w:rsidRPr="003B66BF" w:rsidRDefault="003867DE" w:rsidP="003867DE">
      <w:pPr>
        <w:pStyle w:val="Heading3"/>
        <w:spacing w:before="240" w:after="240"/>
        <w:jc w:val="both"/>
        <w:rPr>
          <w:rFonts w:ascii="Arial" w:hAnsi="Arial" w:cs="Arial"/>
          <w:b/>
          <w:bCs/>
          <w:color w:val="000000" w:themeColor="text1"/>
        </w:rPr>
      </w:pPr>
      <w:bookmarkStart w:id="22" w:name="_Toc217231955"/>
      <w:r w:rsidRPr="003B66BF">
        <w:rPr>
          <w:rFonts w:ascii="Arial" w:hAnsi="Arial" w:cs="Arial"/>
          <w:b/>
          <w:bCs/>
          <w:color w:val="000000" w:themeColor="text1"/>
        </w:rPr>
        <w:t>4.3.3 Current management and institutions</w:t>
      </w:r>
      <w:bookmarkEnd w:id="22"/>
    </w:p>
    <w:p w14:paraId="0006183D" w14:textId="77777777" w:rsidR="00D40751" w:rsidRPr="00E62D7D" w:rsidRDefault="00E03DCA" w:rsidP="0070624E">
      <w:pPr>
        <w:pStyle w:val="Heading4"/>
        <w:keepLines w:val="0"/>
        <w:spacing w:before="240" w:after="240"/>
        <w:rPr>
          <w:rFonts w:ascii="Arial" w:hAnsi="Arial" w:cs="Arial"/>
          <w:b/>
          <w:bCs/>
          <w:i w:val="0"/>
          <w:iCs w:val="0"/>
          <w:color w:val="0070C0"/>
          <w:sz w:val="22"/>
          <w:szCs w:val="22"/>
        </w:rPr>
      </w:pPr>
      <w:r w:rsidRPr="00E62D7D">
        <w:rPr>
          <w:rFonts w:ascii="Arial" w:hAnsi="Arial" w:cs="Arial"/>
          <w:b/>
          <w:bCs/>
          <w:i w:val="0"/>
          <w:iCs w:val="0"/>
          <w:color w:val="0070C0"/>
          <w:sz w:val="22"/>
          <w:szCs w:val="22"/>
        </w:rPr>
        <w:t xml:space="preserve">4.3.3.1 </w:t>
      </w:r>
      <w:r w:rsidR="00AC61BA" w:rsidRPr="00E62D7D">
        <w:rPr>
          <w:rFonts w:ascii="Arial" w:hAnsi="Arial" w:cs="Arial"/>
          <w:b/>
          <w:bCs/>
          <w:i w:val="0"/>
          <w:iCs w:val="0"/>
          <w:color w:val="0070C0"/>
          <w:sz w:val="22"/>
          <w:szCs w:val="22"/>
        </w:rPr>
        <w:t>Lead agency and coordination</w:t>
      </w:r>
    </w:p>
    <w:p w14:paraId="04DC9B2E" w14:textId="77777777" w:rsidR="00AC61BA" w:rsidRPr="003B66BF" w:rsidRDefault="00AC61BA" w:rsidP="00AC61BA">
      <w:pPr>
        <w:pStyle w:val="NormalWeb"/>
        <w:jc w:val="both"/>
        <w:rPr>
          <w:rFonts w:ascii="Arial" w:hAnsi="Arial" w:cs="Arial"/>
          <w:sz w:val="22"/>
          <w:szCs w:val="22"/>
        </w:rPr>
      </w:pPr>
      <w:r w:rsidRPr="003B66BF">
        <w:rPr>
          <w:rFonts w:ascii="Arial" w:hAnsi="Arial" w:cs="Arial"/>
          <w:sz w:val="22"/>
          <w:szCs w:val="22"/>
        </w:rPr>
        <w:t>The Ministry of Environment (MoE) is the lead agency for coastal and marine environmental management</w:t>
      </w:r>
      <w:r w:rsidR="00BB40CF" w:rsidRPr="003B66BF">
        <w:rPr>
          <w:rFonts w:ascii="Arial" w:hAnsi="Arial" w:cs="Arial"/>
          <w:sz w:val="22"/>
          <w:szCs w:val="22"/>
        </w:rPr>
        <w:t xml:space="preserve">. MoE administers the Code on Environment and Natural Resource (2023) and Protected Areas Law (2008) and designates/manages national protected areas and </w:t>
      </w:r>
      <w:r w:rsidR="00D40751" w:rsidRPr="003B66BF">
        <w:rPr>
          <w:rFonts w:ascii="Arial" w:hAnsi="Arial" w:cs="Arial"/>
          <w:sz w:val="22"/>
          <w:szCs w:val="22"/>
        </w:rPr>
        <w:t>M</w:t>
      </w:r>
      <w:r w:rsidR="00BB40CF" w:rsidRPr="003B66BF">
        <w:rPr>
          <w:rFonts w:ascii="Arial" w:hAnsi="Arial" w:cs="Arial"/>
          <w:sz w:val="22"/>
          <w:szCs w:val="22"/>
        </w:rPr>
        <w:t xml:space="preserve">arine </w:t>
      </w:r>
      <w:r w:rsidR="00D40751" w:rsidRPr="003B66BF">
        <w:rPr>
          <w:rFonts w:ascii="Arial" w:hAnsi="Arial" w:cs="Arial"/>
          <w:sz w:val="22"/>
          <w:szCs w:val="22"/>
        </w:rPr>
        <w:t>N</w:t>
      </w:r>
      <w:r w:rsidR="00BB40CF" w:rsidRPr="003B66BF">
        <w:rPr>
          <w:rFonts w:ascii="Arial" w:hAnsi="Arial" w:cs="Arial"/>
          <w:sz w:val="22"/>
          <w:szCs w:val="22"/>
        </w:rPr>
        <w:t xml:space="preserve">ational </w:t>
      </w:r>
      <w:r w:rsidR="00D40751" w:rsidRPr="003B66BF">
        <w:rPr>
          <w:rFonts w:ascii="Arial" w:hAnsi="Arial" w:cs="Arial"/>
          <w:sz w:val="22"/>
          <w:szCs w:val="22"/>
        </w:rPr>
        <w:t>P</w:t>
      </w:r>
      <w:r w:rsidR="00BB40CF" w:rsidRPr="003B66BF">
        <w:rPr>
          <w:rFonts w:ascii="Arial" w:hAnsi="Arial" w:cs="Arial"/>
          <w:sz w:val="22"/>
          <w:szCs w:val="22"/>
        </w:rPr>
        <w:t>arks (MNPs).</w:t>
      </w:r>
      <w:r w:rsidRPr="003B66BF">
        <w:rPr>
          <w:rFonts w:ascii="Arial" w:hAnsi="Arial" w:cs="Arial"/>
          <w:sz w:val="22"/>
          <w:szCs w:val="22"/>
        </w:rPr>
        <w:t xml:space="preserve"> MoE coordinates closely with the FiA/MAFF, Ministry of Water Resources and Meteorology (MOWRAM), provincial departments, and local authorities through inter-agency Coastal Coordination Committees chaired by provincial governors with MoE technical support (PEMSEA &amp; MoE, 2019). This arrangement overlays MoE’s conservation mandate (Protected Areas Law, 2008) with FiA’s fisheries/ecosystem management and co-management mandate (Fisheries Law, 2007) (Royal Government of Cambodia, 2007, 2008; PEMSEA &amp; MoE, 2019).</w:t>
      </w:r>
    </w:p>
    <w:p w14:paraId="1E39F4F8" w14:textId="77777777" w:rsidR="00E03DCA" w:rsidRPr="00E62D7D" w:rsidRDefault="00E03DCA" w:rsidP="00E03DCA">
      <w:pPr>
        <w:pStyle w:val="Heading4"/>
        <w:keepLines w:val="0"/>
        <w:spacing w:before="240" w:after="240"/>
        <w:rPr>
          <w:rFonts w:ascii="Arial" w:hAnsi="Arial" w:cs="Arial"/>
          <w:b/>
          <w:bCs/>
          <w:i w:val="0"/>
          <w:iCs w:val="0"/>
          <w:color w:val="0070C0"/>
          <w:sz w:val="22"/>
          <w:szCs w:val="22"/>
        </w:rPr>
      </w:pPr>
      <w:r w:rsidRPr="00E62D7D">
        <w:rPr>
          <w:rFonts w:ascii="Arial" w:hAnsi="Arial" w:cs="Arial"/>
          <w:b/>
          <w:bCs/>
          <w:i w:val="0"/>
          <w:iCs w:val="0"/>
          <w:color w:val="0070C0"/>
          <w:sz w:val="22"/>
          <w:szCs w:val="22"/>
        </w:rPr>
        <w:t xml:space="preserve">4.3.3.2 Key sites and zoning coherence </w:t>
      </w:r>
    </w:p>
    <w:p w14:paraId="73FF23A4" w14:textId="7628ED75" w:rsidR="001C1C35" w:rsidRPr="003B66BF" w:rsidRDefault="001C1C35" w:rsidP="00AC61BA">
      <w:pPr>
        <w:pStyle w:val="NormalWeb"/>
        <w:jc w:val="both"/>
        <w:rPr>
          <w:rFonts w:ascii="Arial" w:hAnsi="Arial" w:cs="Arial"/>
          <w:sz w:val="22"/>
          <w:szCs w:val="22"/>
        </w:rPr>
      </w:pPr>
      <w:r w:rsidRPr="003B66BF">
        <w:rPr>
          <w:rStyle w:val="Strong"/>
          <w:rFonts w:ascii="Arial" w:hAnsi="Arial" w:cs="Arial"/>
          <w:sz w:val="22"/>
          <w:szCs w:val="22"/>
        </w:rPr>
        <w:t>Protected areas, MFMAs, Ramsar sites and community management:</w:t>
      </w:r>
      <w:r w:rsidRPr="003B66BF">
        <w:rPr>
          <w:rFonts w:ascii="Arial" w:hAnsi="Arial" w:cs="Arial"/>
          <w:sz w:val="22"/>
          <w:szCs w:val="22"/>
        </w:rPr>
        <w:t xml:space="preserve"> Cambodia’s coastal governance combines MoE-managed protected areas (e.g., Botum Sakor National Park; Peam Krasop Wildlife Sanctuary) and internationally designated wetlands (Koh Kapik and Associated Islets Ramsar Site) with MAFF/Fisheries Administration area-based fisheries measures (MFMAs/EAFM) and community co-management (CFis/CPAs). Key overlaps require clear zoning and joint enforcement: the Koh Rong Archipelago MFMA (Prakas, 2016) was later designated as Koh Rong Marine National Park under MoE (Sub-decree No. 14, 2018; 52,498 ha), so rules, patrols and user rights need MoE–FiA alignment. In Kep, the Kep Archipelago MFMA (Prakas No. 193, 2018) covers Koh Po and Koh Tonsay and complements adjacent protected-area and seagrass stewardship efforts. Along the Koh Kong coast, Koh Kapik Ramsar Site overlaps PKWS and parts of the wider Botum Sakor landscape, highlighting the need to manage mangrove/peat systems coherently across instruments and concessions. In Kep–Kampot, operational and proposed MFMAs link CFis across contiguous seagrass/reef belts. Community participation is widespread, with </w:t>
      </w:r>
      <w:r w:rsidRPr="003B66BF">
        <w:rPr>
          <w:rStyle w:val="Strong"/>
          <w:rFonts w:ascii="Arial" w:hAnsi="Arial" w:cs="Arial"/>
          <w:sz w:val="22"/>
          <w:szCs w:val="22"/>
        </w:rPr>
        <w:t>&gt;70 CFis</w:t>
      </w:r>
      <w:r w:rsidRPr="003B66BF">
        <w:rPr>
          <w:rFonts w:ascii="Arial" w:hAnsi="Arial" w:cs="Arial"/>
          <w:sz w:val="22"/>
          <w:szCs w:val="22"/>
        </w:rPr>
        <w:t xml:space="preserve"> across the four coastal provinces supporting inshore fisheries management alongside CPAs in mangrove blocks (FiA/MAFF, 2023; PEMSEA &amp; MoE, 2019). </w:t>
      </w:r>
      <w:r w:rsidR="00D27432" w:rsidRPr="00D27432">
        <w:rPr>
          <w:rFonts w:ascii="Arial" w:hAnsi="Arial" w:cs="Arial"/>
          <w:color w:val="0070C0"/>
          <w:sz w:val="22"/>
          <w:szCs w:val="22"/>
        </w:rPr>
        <w:fldChar w:fldCharType="begin"/>
      </w:r>
      <w:r w:rsidR="00D27432" w:rsidRPr="00D27432">
        <w:rPr>
          <w:rFonts w:ascii="Arial" w:hAnsi="Arial" w:cs="Arial"/>
          <w:color w:val="0070C0"/>
          <w:sz w:val="22"/>
          <w:szCs w:val="22"/>
        </w:rPr>
        <w:instrText xml:space="preserve"> REF _Ref216685515 \h </w:instrText>
      </w:r>
      <w:r w:rsidR="00D27432" w:rsidRPr="00D27432">
        <w:rPr>
          <w:rFonts w:ascii="Arial" w:hAnsi="Arial" w:cs="Arial"/>
          <w:color w:val="0070C0"/>
          <w:sz w:val="22"/>
          <w:szCs w:val="22"/>
        </w:rPr>
      </w:r>
      <w:r w:rsidR="00D27432" w:rsidRPr="00D27432">
        <w:rPr>
          <w:rFonts w:ascii="Arial" w:hAnsi="Arial" w:cs="Arial"/>
          <w:color w:val="0070C0"/>
          <w:sz w:val="22"/>
          <w:szCs w:val="22"/>
        </w:rPr>
        <w:fldChar w:fldCharType="separate"/>
      </w:r>
      <w:r w:rsidR="00802509" w:rsidRPr="003B66BF">
        <w:rPr>
          <w:rFonts w:ascii="Arial" w:hAnsi="Arial" w:cs="Arial"/>
          <w:color w:val="002060"/>
          <w:sz w:val="22"/>
          <w:szCs w:val="22"/>
        </w:rPr>
        <w:t>Table 4-</w:t>
      </w:r>
      <w:r w:rsidR="00802509">
        <w:rPr>
          <w:rFonts w:ascii="Arial" w:hAnsi="Arial" w:cs="Arial"/>
          <w:i/>
          <w:iCs/>
          <w:noProof/>
          <w:color w:val="002060"/>
          <w:sz w:val="22"/>
          <w:szCs w:val="22"/>
        </w:rPr>
        <w:t>1</w:t>
      </w:r>
      <w:r w:rsidR="00D27432" w:rsidRPr="00D27432">
        <w:rPr>
          <w:rFonts w:ascii="Arial" w:hAnsi="Arial" w:cs="Arial"/>
          <w:color w:val="0070C0"/>
          <w:sz w:val="22"/>
          <w:szCs w:val="22"/>
        </w:rPr>
        <w:fldChar w:fldCharType="end"/>
      </w:r>
      <w:r w:rsidR="00D27432" w:rsidRPr="00D27432">
        <w:rPr>
          <w:rFonts w:ascii="Arial" w:hAnsi="Arial" w:cs="Arial"/>
          <w:color w:val="0070C0"/>
          <w:sz w:val="22"/>
          <w:szCs w:val="22"/>
        </w:rPr>
        <w:t xml:space="preserve"> </w:t>
      </w:r>
      <w:r w:rsidRPr="003B66BF">
        <w:rPr>
          <w:rFonts w:ascii="Arial" w:hAnsi="Arial" w:cs="Arial"/>
          <w:sz w:val="22"/>
          <w:szCs w:val="22"/>
        </w:rPr>
        <w:t>summarizes the main MPAs and OECM-related measures discussed in this chapter and highlights where habitat priorities (mangroves, wetlands, coral reefs and seagrass) align—or potentially conflict—across different management instruments.</w:t>
      </w:r>
    </w:p>
    <w:p w14:paraId="72E03487" w14:textId="431B9C3B" w:rsidR="00C3497F" w:rsidRPr="003B66BF" w:rsidRDefault="00C3497F" w:rsidP="00DB4B71">
      <w:pPr>
        <w:pStyle w:val="Caption"/>
        <w:keepNext/>
        <w:adjustRightInd w:val="0"/>
        <w:snapToGrid w:val="0"/>
        <w:spacing w:before="240" w:after="120"/>
        <w:rPr>
          <w:rFonts w:ascii="Arial" w:hAnsi="Arial" w:cs="Arial"/>
          <w:i w:val="0"/>
          <w:iCs w:val="0"/>
          <w:color w:val="002060"/>
          <w:sz w:val="22"/>
          <w:szCs w:val="22"/>
        </w:rPr>
      </w:pPr>
      <w:bookmarkStart w:id="23" w:name="_Ref216685515"/>
      <w:bookmarkStart w:id="24" w:name="_Toc216611664"/>
      <w:r w:rsidRPr="003B66BF">
        <w:rPr>
          <w:rFonts w:ascii="Arial" w:hAnsi="Arial" w:cs="Arial"/>
          <w:i w:val="0"/>
          <w:iCs w:val="0"/>
          <w:color w:val="002060"/>
          <w:sz w:val="22"/>
          <w:szCs w:val="22"/>
        </w:rPr>
        <w:t>Table 4-</w:t>
      </w:r>
      <w:r w:rsidRPr="003B66BF">
        <w:rPr>
          <w:rFonts w:ascii="Arial" w:hAnsi="Arial" w:cs="Arial"/>
          <w:i w:val="0"/>
          <w:iCs w:val="0"/>
          <w:color w:val="002060"/>
          <w:sz w:val="22"/>
          <w:szCs w:val="22"/>
        </w:rPr>
        <w:fldChar w:fldCharType="begin"/>
      </w:r>
      <w:r w:rsidRPr="003B66BF">
        <w:rPr>
          <w:rFonts w:ascii="Arial" w:hAnsi="Arial" w:cs="Arial"/>
          <w:i w:val="0"/>
          <w:iCs w:val="0"/>
          <w:color w:val="002060"/>
          <w:sz w:val="22"/>
          <w:szCs w:val="22"/>
        </w:rPr>
        <w:instrText xml:space="preserve"> SEQ Table_4- \* ARABIC </w:instrText>
      </w:r>
      <w:r w:rsidRPr="003B66BF">
        <w:rPr>
          <w:rFonts w:ascii="Arial" w:hAnsi="Arial" w:cs="Arial"/>
          <w:i w:val="0"/>
          <w:iCs w:val="0"/>
          <w:color w:val="002060"/>
          <w:sz w:val="22"/>
          <w:szCs w:val="22"/>
        </w:rPr>
        <w:fldChar w:fldCharType="separate"/>
      </w:r>
      <w:r w:rsidR="00802509">
        <w:rPr>
          <w:rFonts w:ascii="Arial" w:hAnsi="Arial" w:cs="Arial"/>
          <w:i w:val="0"/>
          <w:iCs w:val="0"/>
          <w:noProof/>
          <w:color w:val="002060"/>
          <w:sz w:val="22"/>
          <w:szCs w:val="22"/>
        </w:rPr>
        <w:t>1</w:t>
      </w:r>
      <w:r w:rsidRPr="003B66BF">
        <w:rPr>
          <w:rFonts w:ascii="Arial" w:hAnsi="Arial" w:cs="Arial"/>
          <w:i w:val="0"/>
          <w:iCs w:val="0"/>
          <w:color w:val="002060"/>
          <w:sz w:val="22"/>
          <w:szCs w:val="22"/>
        </w:rPr>
        <w:fldChar w:fldCharType="end"/>
      </w:r>
      <w:bookmarkEnd w:id="23"/>
      <w:r w:rsidRPr="003B66BF">
        <w:rPr>
          <w:rFonts w:ascii="Arial" w:hAnsi="Arial" w:cs="Arial"/>
          <w:i w:val="0"/>
          <w:iCs w:val="0"/>
          <w:color w:val="002060"/>
          <w:sz w:val="22"/>
          <w:szCs w:val="22"/>
        </w:rPr>
        <w:t xml:space="preserve"> </w:t>
      </w:r>
      <w:r w:rsidR="001C1C35" w:rsidRPr="003B66BF">
        <w:rPr>
          <w:rFonts w:ascii="Arial" w:hAnsi="Arial" w:cs="Arial"/>
          <w:i w:val="0"/>
          <w:iCs w:val="0"/>
          <w:color w:val="002060"/>
          <w:sz w:val="22"/>
          <w:szCs w:val="22"/>
        </w:rPr>
        <w:t>Cambodian MPAs and OECMs</w:t>
      </w:r>
      <w:r w:rsidR="00DB4B71" w:rsidRPr="003B66BF">
        <w:rPr>
          <w:rFonts w:ascii="Arial" w:hAnsi="Arial" w:cs="Arial"/>
          <w:i w:val="0"/>
          <w:iCs w:val="0"/>
          <w:color w:val="002060"/>
          <w:sz w:val="22"/>
          <w:szCs w:val="22"/>
        </w:rPr>
        <w:t>: Coastal area-based management: MPAs, Ramsar systems, MFMAs/EAFM, and community co-management</w:t>
      </w:r>
      <w:bookmarkEnd w:id="24"/>
    </w:p>
    <w:tbl>
      <w:tblPr>
        <w:tblStyle w:val="GridTable4-Accent5"/>
        <w:tblW w:w="9010" w:type="dxa"/>
        <w:tblLook w:val="04A0" w:firstRow="1" w:lastRow="0" w:firstColumn="1" w:lastColumn="0" w:noHBand="0" w:noVBand="1"/>
      </w:tblPr>
      <w:tblGrid>
        <w:gridCol w:w="1481"/>
        <w:gridCol w:w="996"/>
        <w:gridCol w:w="924"/>
        <w:gridCol w:w="1276"/>
        <w:gridCol w:w="1287"/>
        <w:gridCol w:w="1161"/>
        <w:gridCol w:w="671"/>
        <w:gridCol w:w="1214"/>
      </w:tblGrid>
      <w:tr w:rsidR="00075043" w:rsidRPr="003B66BF" w14:paraId="5F81842B" w14:textId="77777777" w:rsidTr="001C1C35">
        <w:trPr>
          <w:cnfStyle w:val="100000000000" w:firstRow="1" w:lastRow="0" w:firstColumn="0" w:lastColumn="0" w:oddVBand="0" w:evenVBand="0" w:oddHBand="0" w:evenHBand="0" w:firstRowFirstColumn="0" w:firstRowLastColumn="0" w:lastRowFirstColumn="0" w:lastRowLastColumn="0"/>
          <w:trHeight w:val="478"/>
        </w:trPr>
        <w:tc>
          <w:tcPr>
            <w:cnfStyle w:val="001000000000" w:firstRow="0" w:lastRow="0" w:firstColumn="1" w:lastColumn="0" w:oddVBand="0" w:evenVBand="0" w:oddHBand="0" w:evenHBand="0" w:firstRowFirstColumn="0" w:firstRowLastColumn="0" w:lastRowFirstColumn="0" w:lastRowLastColumn="0"/>
            <w:tcW w:w="1483" w:type="dxa"/>
            <w:noWrap/>
            <w:vAlign w:val="center"/>
            <w:hideMark/>
          </w:tcPr>
          <w:p w14:paraId="5593CE02" w14:textId="77777777" w:rsidR="004C7C75" w:rsidRPr="003B66BF" w:rsidRDefault="004C7C75" w:rsidP="001C1C35">
            <w:pPr>
              <w:spacing w:after="160" w:line="259" w:lineRule="auto"/>
              <w:jc w:val="center"/>
              <w:rPr>
                <w:rFonts w:ascii="Arial" w:eastAsiaTheme="minorHAnsi" w:hAnsi="Arial" w:cs="Arial"/>
                <w:kern w:val="2"/>
                <w:sz w:val="18"/>
                <w:szCs w:val="18"/>
                <w14:ligatures w14:val="standardContextual"/>
              </w:rPr>
            </w:pPr>
            <w:r w:rsidRPr="003B66BF">
              <w:rPr>
                <w:rFonts w:ascii="Arial" w:hAnsi="Arial" w:cs="Arial"/>
                <w:sz w:val="18"/>
                <w:szCs w:val="18"/>
              </w:rPr>
              <w:t>Name of MPAs and OECMs</w:t>
            </w:r>
          </w:p>
        </w:tc>
        <w:tc>
          <w:tcPr>
            <w:tcW w:w="988" w:type="dxa"/>
            <w:noWrap/>
            <w:vAlign w:val="center"/>
            <w:hideMark/>
          </w:tcPr>
          <w:p w14:paraId="225303B0" w14:textId="69C5D843" w:rsidR="004C7C75" w:rsidRPr="003B66BF" w:rsidRDefault="004C7C75" w:rsidP="001C1C35">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3B66BF">
              <w:rPr>
                <w:rFonts w:ascii="Arial" w:hAnsi="Arial" w:cs="Arial"/>
                <w:sz w:val="18"/>
                <w:szCs w:val="18"/>
              </w:rPr>
              <w:t>Year of establish</w:t>
            </w:r>
          </w:p>
        </w:tc>
        <w:tc>
          <w:tcPr>
            <w:tcW w:w="925" w:type="dxa"/>
            <w:noWrap/>
            <w:vAlign w:val="center"/>
            <w:hideMark/>
          </w:tcPr>
          <w:p w14:paraId="65C12C0F" w14:textId="66067667" w:rsidR="004C7C75" w:rsidRPr="003B66BF" w:rsidRDefault="004C7C75" w:rsidP="001C1C35">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3B66BF">
              <w:rPr>
                <w:rFonts w:ascii="Arial" w:hAnsi="Arial" w:cs="Arial"/>
                <w:sz w:val="18"/>
                <w:szCs w:val="18"/>
              </w:rPr>
              <w:t>Year of update</w:t>
            </w:r>
          </w:p>
        </w:tc>
        <w:tc>
          <w:tcPr>
            <w:tcW w:w="1277" w:type="dxa"/>
            <w:noWrap/>
            <w:vAlign w:val="center"/>
            <w:hideMark/>
          </w:tcPr>
          <w:p w14:paraId="3EC43356" w14:textId="77777777" w:rsidR="004C7C75" w:rsidRPr="003B66BF" w:rsidRDefault="004C7C75" w:rsidP="001C1C35">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3B66BF">
              <w:rPr>
                <w:rFonts w:ascii="Arial" w:hAnsi="Arial" w:cs="Arial"/>
                <w:sz w:val="18"/>
                <w:szCs w:val="18"/>
              </w:rPr>
              <w:t>Total Area (ha)</w:t>
            </w:r>
          </w:p>
        </w:tc>
        <w:tc>
          <w:tcPr>
            <w:tcW w:w="1288" w:type="dxa"/>
            <w:noWrap/>
            <w:vAlign w:val="center"/>
            <w:hideMark/>
          </w:tcPr>
          <w:p w14:paraId="07F235B3" w14:textId="77777777" w:rsidR="004C7C75" w:rsidRPr="003B66BF" w:rsidRDefault="004C7C75" w:rsidP="001C1C35">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3B66BF">
              <w:rPr>
                <w:rFonts w:ascii="Arial" w:hAnsi="Arial" w:cs="Arial"/>
                <w:sz w:val="18"/>
                <w:szCs w:val="18"/>
              </w:rPr>
              <w:t>Mangrove area (ha)</w:t>
            </w:r>
          </w:p>
        </w:tc>
        <w:tc>
          <w:tcPr>
            <w:tcW w:w="1162" w:type="dxa"/>
            <w:noWrap/>
            <w:vAlign w:val="center"/>
            <w:hideMark/>
          </w:tcPr>
          <w:p w14:paraId="7202C421" w14:textId="77777777" w:rsidR="004C7C75" w:rsidRPr="003B66BF" w:rsidRDefault="004C7C75" w:rsidP="001C1C35">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3B66BF">
              <w:rPr>
                <w:rFonts w:ascii="Arial" w:hAnsi="Arial" w:cs="Arial"/>
                <w:sz w:val="18"/>
                <w:szCs w:val="18"/>
              </w:rPr>
              <w:t>Wetland area (ha)</w:t>
            </w:r>
          </w:p>
        </w:tc>
        <w:tc>
          <w:tcPr>
            <w:tcW w:w="672" w:type="dxa"/>
            <w:noWrap/>
            <w:vAlign w:val="center"/>
            <w:hideMark/>
          </w:tcPr>
          <w:p w14:paraId="6F2B175A" w14:textId="37CDB5D7" w:rsidR="004C7C75" w:rsidRPr="003B66BF" w:rsidRDefault="004C7C75" w:rsidP="001C1C35">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3B66BF">
              <w:rPr>
                <w:rFonts w:ascii="Arial" w:hAnsi="Arial" w:cs="Arial"/>
                <w:sz w:val="18"/>
                <w:szCs w:val="18"/>
              </w:rPr>
              <w:t>C</w:t>
            </w:r>
            <w:r w:rsidR="001C1C35" w:rsidRPr="003B66BF">
              <w:rPr>
                <w:rFonts w:ascii="Arial" w:hAnsi="Arial" w:cs="Arial"/>
                <w:sz w:val="18"/>
                <w:szCs w:val="18"/>
              </w:rPr>
              <w:t>R</w:t>
            </w:r>
            <w:r w:rsidRPr="003B66BF">
              <w:rPr>
                <w:rFonts w:ascii="Arial" w:hAnsi="Arial" w:cs="Arial"/>
                <w:sz w:val="18"/>
                <w:szCs w:val="18"/>
              </w:rPr>
              <w:t xml:space="preserve"> </w:t>
            </w:r>
            <w:r w:rsidR="001C1C35" w:rsidRPr="003B66BF">
              <w:rPr>
                <w:rFonts w:ascii="Arial" w:hAnsi="Arial" w:cs="Arial"/>
                <w:sz w:val="18"/>
                <w:szCs w:val="18"/>
              </w:rPr>
              <w:t xml:space="preserve">area </w:t>
            </w:r>
            <w:r w:rsidRPr="003B66BF">
              <w:rPr>
                <w:rFonts w:ascii="Arial" w:hAnsi="Arial" w:cs="Arial"/>
                <w:sz w:val="18"/>
                <w:szCs w:val="18"/>
              </w:rPr>
              <w:t>(ha)</w:t>
            </w:r>
          </w:p>
        </w:tc>
        <w:tc>
          <w:tcPr>
            <w:tcW w:w="1215" w:type="dxa"/>
            <w:noWrap/>
            <w:vAlign w:val="center"/>
            <w:hideMark/>
          </w:tcPr>
          <w:p w14:paraId="632BD127" w14:textId="689D8FA5" w:rsidR="004C7C75" w:rsidRPr="003B66BF" w:rsidRDefault="001C1C35" w:rsidP="001C1C35">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3B66BF">
              <w:rPr>
                <w:rFonts w:ascii="Arial" w:hAnsi="Arial" w:cs="Arial"/>
                <w:sz w:val="18"/>
                <w:szCs w:val="18"/>
              </w:rPr>
              <w:t>SG</w:t>
            </w:r>
            <w:r w:rsidR="004C7C75" w:rsidRPr="003B66BF">
              <w:rPr>
                <w:rFonts w:ascii="Arial" w:hAnsi="Arial" w:cs="Arial"/>
                <w:sz w:val="18"/>
                <w:szCs w:val="18"/>
              </w:rPr>
              <w:t xml:space="preserve"> area (ha)</w:t>
            </w:r>
          </w:p>
        </w:tc>
      </w:tr>
      <w:tr w:rsidR="00075043" w:rsidRPr="003B66BF" w14:paraId="5409C97E" w14:textId="77777777" w:rsidTr="00075043">
        <w:trPr>
          <w:cnfStyle w:val="000000100000" w:firstRow="0" w:lastRow="0" w:firstColumn="0" w:lastColumn="0" w:oddVBand="0" w:evenVBand="0" w:oddHBand="1" w:evenHBand="0" w:firstRowFirstColumn="0" w:firstRowLastColumn="0" w:lastRowFirstColumn="0" w:lastRowLastColumn="0"/>
          <w:trHeight w:val="959"/>
        </w:trPr>
        <w:tc>
          <w:tcPr>
            <w:cnfStyle w:val="001000000000" w:firstRow="0" w:lastRow="0" w:firstColumn="1" w:lastColumn="0" w:oddVBand="0" w:evenVBand="0" w:oddHBand="0" w:evenHBand="0" w:firstRowFirstColumn="0" w:firstRowLastColumn="0" w:lastRowFirstColumn="0" w:lastRowLastColumn="0"/>
            <w:tcW w:w="1483" w:type="dxa"/>
            <w:noWrap/>
            <w:hideMark/>
          </w:tcPr>
          <w:p w14:paraId="06B85ABD" w14:textId="77777777" w:rsidR="004C7C75" w:rsidRPr="003B66BF" w:rsidRDefault="004C7C75" w:rsidP="005F1F5C">
            <w:pPr>
              <w:rPr>
                <w:rFonts w:ascii="Arial" w:hAnsi="Arial" w:cs="Arial"/>
                <w:sz w:val="18"/>
                <w:szCs w:val="18"/>
              </w:rPr>
            </w:pPr>
            <w:r w:rsidRPr="003B66BF">
              <w:rPr>
                <w:rFonts w:ascii="Arial" w:hAnsi="Arial" w:cs="Arial"/>
                <w:sz w:val="18"/>
                <w:szCs w:val="18"/>
              </w:rPr>
              <w:t>Butom Sakor National Park</w:t>
            </w:r>
          </w:p>
        </w:tc>
        <w:tc>
          <w:tcPr>
            <w:tcW w:w="988" w:type="dxa"/>
            <w:noWrap/>
            <w:vAlign w:val="center"/>
            <w:hideMark/>
          </w:tcPr>
          <w:p w14:paraId="697DB476" w14:textId="77777777"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1993</w:t>
            </w:r>
          </w:p>
        </w:tc>
        <w:tc>
          <w:tcPr>
            <w:tcW w:w="925" w:type="dxa"/>
            <w:noWrap/>
            <w:vAlign w:val="center"/>
            <w:hideMark/>
          </w:tcPr>
          <w:p w14:paraId="16810EBA" w14:textId="77777777"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2023</w:t>
            </w:r>
          </w:p>
        </w:tc>
        <w:tc>
          <w:tcPr>
            <w:tcW w:w="1277" w:type="dxa"/>
            <w:noWrap/>
            <w:vAlign w:val="center"/>
            <w:hideMark/>
          </w:tcPr>
          <w:p w14:paraId="701EB2B6" w14:textId="77777777"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Style w:val="Strong"/>
                <w:rFonts w:ascii="Arial" w:hAnsi="Arial" w:cs="Arial"/>
                <w:b w:val="0"/>
                <w:bCs w:val="0"/>
                <w:color w:val="000000" w:themeColor="text1"/>
                <w:sz w:val="18"/>
                <w:szCs w:val="18"/>
              </w:rPr>
              <w:t>143,895</w:t>
            </w:r>
          </w:p>
        </w:tc>
        <w:tc>
          <w:tcPr>
            <w:tcW w:w="1288" w:type="dxa"/>
            <w:noWrap/>
            <w:vAlign w:val="center"/>
            <w:hideMark/>
          </w:tcPr>
          <w:p w14:paraId="64BAD259" w14:textId="18EB5D5C"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Style w:val="Strong"/>
                <w:rFonts w:ascii="Arial" w:hAnsi="Arial" w:cs="Arial"/>
                <w:b w:val="0"/>
                <w:bCs w:val="0"/>
                <w:color w:val="000000" w:themeColor="text1"/>
                <w:sz w:val="18"/>
                <w:szCs w:val="18"/>
              </w:rPr>
              <w:t>4,768 peat-forming mangroves, subset</w:t>
            </w:r>
          </w:p>
        </w:tc>
        <w:tc>
          <w:tcPr>
            <w:tcW w:w="1162" w:type="dxa"/>
            <w:noWrap/>
            <w:vAlign w:val="center"/>
            <w:hideMark/>
          </w:tcPr>
          <w:p w14:paraId="6E247F44" w14:textId="59BA3894" w:rsidR="004C7C75" w:rsidRPr="003B66BF" w:rsidRDefault="00622973"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w:t>
            </w:r>
          </w:p>
        </w:tc>
        <w:tc>
          <w:tcPr>
            <w:tcW w:w="672" w:type="dxa"/>
            <w:noWrap/>
            <w:vAlign w:val="center"/>
            <w:hideMark/>
          </w:tcPr>
          <w:p w14:paraId="093332DE" w14:textId="650D3A16" w:rsidR="004C7C75" w:rsidRPr="003B66BF" w:rsidRDefault="00622973"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w:t>
            </w:r>
          </w:p>
        </w:tc>
        <w:tc>
          <w:tcPr>
            <w:tcW w:w="1215" w:type="dxa"/>
            <w:noWrap/>
            <w:vAlign w:val="center"/>
            <w:hideMark/>
          </w:tcPr>
          <w:p w14:paraId="0C331624" w14:textId="370A548F" w:rsidR="004C7C75" w:rsidRPr="003B66BF" w:rsidRDefault="00622973"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w:t>
            </w:r>
          </w:p>
        </w:tc>
      </w:tr>
      <w:tr w:rsidR="00075043" w:rsidRPr="003B66BF" w14:paraId="428DB624" w14:textId="77777777" w:rsidTr="00075043">
        <w:trPr>
          <w:trHeight w:val="478"/>
        </w:trPr>
        <w:tc>
          <w:tcPr>
            <w:cnfStyle w:val="001000000000" w:firstRow="0" w:lastRow="0" w:firstColumn="1" w:lastColumn="0" w:oddVBand="0" w:evenVBand="0" w:oddHBand="0" w:evenHBand="0" w:firstRowFirstColumn="0" w:firstRowLastColumn="0" w:lastRowFirstColumn="0" w:lastRowLastColumn="0"/>
            <w:tcW w:w="1483" w:type="dxa"/>
            <w:noWrap/>
            <w:hideMark/>
          </w:tcPr>
          <w:p w14:paraId="1683C5C9" w14:textId="77777777" w:rsidR="004C7C75" w:rsidRPr="003B66BF" w:rsidRDefault="004C7C75" w:rsidP="005F1F5C">
            <w:pPr>
              <w:rPr>
                <w:rFonts w:ascii="Arial" w:hAnsi="Arial" w:cs="Arial"/>
                <w:sz w:val="18"/>
                <w:szCs w:val="18"/>
              </w:rPr>
            </w:pPr>
            <w:r w:rsidRPr="003B66BF">
              <w:rPr>
                <w:rFonts w:ascii="Arial" w:hAnsi="Arial" w:cs="Arial"/>
                <w:sz w:val="18"/>
                <w:szCs w:val="18"/>
              </w:rPr>
              <w:t xml:space="preserve">Peam Krasop Wildlife Sanctuary </w:t>
            </w:r>
          </w:p>
        </w:tc>
        <w:tc>
          <w:tcPr>
            <w:tcW w:w="988" w:type="dxa"/>
            <w:noWrap/>
            <w:vAlign w:val="center"/>
            <w:hideMark/>
          </w:tcPr>
          <w:p w14:paraId="58476FC8" w14:textId="77777777"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1993</w:t>
            </w:r>
          </w:p>
        </w:tc>
        <w:tc>
          <w:tcPr>
            <w:tcW w:w="925" w:type="dxa"/>
            <w:noWrap/>
            <w:vAlign w:val="center"/>
            <w:hideMark/>
          </w:tcPr>
          <w:p w14:paraId="47983B99" w14:textId="77777777"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2023</w:t>
            </w:r>
          </w:p>
        </w:tc>
        <w:tc>
          <w:tcPr>
            <w:tcW w:w="1277" w:type="dxa"/>
            <w:noWrap/>
            <w:vAlign w:val="center"/>
            <w:hideMark/>
          </w:tcPr>
          <w:p w14:paraId="363344A9" w14:textId="77777777"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Style w:val="Strong"/>
                <w:rFonts w:ascii="Arial" w:hAnsi="Arial" w:cs="Arial"/>
                <w:b w:val="0"/>
                <w:bCs w:val="0"/>
                <w:color w:val="000000" w:themeColor="text1"/>
                <w:sz w:val="18"/>
                <w:szCs w:val="18"/>
              </w:rPr>
              <w:t>16,982</w:t>
            </w:r>
          </w:p>
        </w:tc>
        <w:tc>
          <w:tcPr>
            <w:tcW w:w="1288" w:type="dxa"/>
            <w:noWrap/>
            <w:vAlign w:val="center"/>
            <w:hideMark/>
          </w:tcPr>
          <w:p w14:paraId="67DDC655" w14:textId="77777777"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9,000</w:t>
            </w:r>
          </w:p>
        </w:tc>
        <w:tc>
          <w:tcPr>
            <w:tcW w:w="1162" w:type="dxa"/>
            <w:noWrap/>
            <w:vAlign w:val="center"/>
            <w:hideMark/>
          </w:tcPr>
          <w:p w14:paraId="2A3C6FEE" w14:textId="06A890EA"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2,500</w:t>
            </w:r>
            <w:r w:rsidR="00075043" w:rsidRPr="003B66BF">
              <w:rPr>
                <w:rFonts w:ascii="Arial" w:hAnsi="Arial" w:cs="Arial"/>
                <w:color w:val="000000" w:themeColor="text1"/>
                <w:sz w:val="18"/>
                <w:szCs w:val="18"/>
              </w:rPr>
              <w:t xml:space="preserve"> (</w:t>
            </w:r>
            <w:r w:rsidR="00075043" w:rsidRPr="004C7C75">
              <w:rPr>
                <w:rFonts w:ascii="Arial" w:hAnsi="Arial" w:cs="Arial"/>
                <w:color w:val="000000" w:themeColor="text1"/>
                <w:sz w:val="20"/>
                <w:szCs w:val="20"/>
              </w:rPr>
              <w:t>Connect</w:t>
            </w:r>
            <w:r w:rsidR="00075043" w:rsidRPr="003B66BF">
              <w:rPr>
                <w:rFonts w:ascii="Arial" w:hAnsi="Arial" w:cs="Arial"/>
                <w:color w:val="000000" w:themeColor="text1"/>
                <w:sz w:val="18"/>
                <w:szCs w:val="18"/>
              </w:rPr>
              <w:t xml:space="preserve"> Koh Kapik Ramsar ~12,000)</w:t>
            </w:r>
          </w:p>
          <w:p w14:paraId="420E9AE6" w14:textId="33EB9EB3" w:rsidR="00622973" w:rsidRPr="003B66BF" w:rsidRDefault="00622973"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p>
        </w:tc>
        <w:tc>
          <w:tcPr>
            <w:tcW w:w="672" w:type="dxa"/>
            <w:noWrap/>
            <w:vAlign w:val="center"/>
            <w:hideMark/>
          </w:tcPr>
          <w:p w14:paraId="4559323C" w14:textId="12D27F95" w:rsidR="004C7C75" w:rsidRPr="003B66BF" w:rsidRDefault="00622973"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w:t>
            </w:r>
          </w:p>
        </w:tc>
        <w:tc>
          <w:tcPr>
            <w:tcW w:w="1215" w:type="dxa"/>
            <w:noWrap/>
            <w:vAlign w:val="center"/>
            <w:hideMark/>
          </w:tcPr>
          <w:p w14:paraId="09E908FC" w14:textId="23D7060E" w:rsidR="004C7C75" w:rsidRPr="003B66BF" w:rsidRDefault="00622973"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4C7C75">
              <w:rPr>
                <w:rFonts w:ascii="Arial" w:hAnsi="Arial" w:cs="Arial"/>
                <w:color w:val="000000" w:themeColor="text1"/>
                <w:sz w:val="20"/>
                <w:szCs w:val="20"/>
              </w:rPr>
              <w:t>Connect:</w:t>
            </w:r>
            <w:r w:rsidRPr="003B66BF">
              <w:rPr>
                <w:rFonts w:ascii="Arial" w:hAnsi="Arial" w:cs="Arial"/>
                <w:color w:val="000000" w:themeColor="text1"/>
                <w:sz w:val="20"/>
                <w:szCs w:val="20"/>
              </w:rPr>
              <w:t xml:space="preserve"> </w:t>
            </w:r>
            <w:r w:rsidRPr="004C7C75">
              <w:rPr>
                <w:rFonts w:ascii="Arial" w:hAnsi="Arial" w:cs="Arial"/>
                <w:color w:val="000000" w:themeColor="text1"/>
                <w:sz w:val="20"/>
                <w:szCs w:val="20"/>
              </w:rPr>
              <w:t>Chrouy Pros (~1,485 ha)</w:t>
            </w:r>
          </w:p>
        </w:tc>
      </w:tr>
      <w:tr w:rsidR="00075043" w:rsidRPr="003B66BF" w14:paraId="07A4DB47" w14:textId="77777777" w:rsidTr="00075043">
        <w:trPr>
          <w:cnfStyle w:val="000000100000" w:firstRow="0" w:lastRow="0" w:firstColumn="0" w:lastColumn="0" w:oddVBand="0" w:evenVBand="0" w:oddHBand="1" w:evenHBand="0" w:firstRowFirstColumn="0" w:firstRowLastColumn="0" w:lastRowFirstColumn="0" w:lastRowLastColumn="0"/>
          <w:trHeight w:val="478"/>
        </w:trPr>
        <w:tc>
          <w:tcPr>
            <w:cnfStyle w:val="001000000000" w:firstRow="0" w:lastRow="0" w:firstColumn="1" w:lastColumn="0" w:oddVBand="0" w:evenVBand="0" w:oddHBand="0" w:evenHBand="0" w:firstRowFirstColumn="0" w:firstRowLastColumn="0" w:lastRowFirstColumn="0" w:lastRowLastColumn="0"/>
            <w:tcW w:w="1483" w:type="dxa"/>
            <w:noWrap/>
            <w:hideMark/>
          </w:tcPr>
          <w:p w14:paraId="51914FA7" w14:textId="77777777" w:rsidR="004C7C75" w:rsidRPr="003B66BF" w:rsidRDefault="004C7C75" w:rsidP="005F1F5C">
            <w:pPr>
              <w:rPr>
                <w:rFonts w:ascii="Arial" w:hAnsi="Arial" w:cs="Arial"/>
                <w:sz w:val="18"/>
                <w:szCs w:val="18"/>
              </w:rPr>
            </w:pPr>
            <w:r w:rsidRPr="003B66BF">
              <w:rPr>
                <w:rFonts w:ascii="Arial" w:hAnsi="Arial" w:cs="Arial"/>
                <w:sz w:val="18"/>
                <w:szCs w:val="18"/>
              </w:rPr>
              <w:t>Prey Nob Protected Area</w:t>
            </w:r>
          </w:p>
        </w:tc>
        <w:tc>
          <w:tcPr>
            <w:tcW w:w="988" w:type="dxa"/>
            <w:noWrap/>
            <w:vAlign w:val="center"/>
            <w:hideMark/>
          </w:tcPr>
          <w:p w14:paraId="4EA9ABEF" w14:textId="77777777"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p>
        </w:tc>
        <w:tc>
          <w:tcPr>
            <w:tcW w:w="925" w:type="dxa"/>
            <w:noWrap/>
            <w:vAlign w:val="center"/>
            <w:hideMark/>
          </w:tcPr>
          <w:p w14:paraId="5E35C9BD" w14:textId="77777777"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p>
        </w:tc>
        <w:tc>
          <w:tcPr>
            <w:tcW w:w="1277" w:type="dxa"/>
            <w:noWrap/>
            <w:vAlign w:val="center"/>
            <w:hideMark/>
          </w:tcPr>
          <w:p w14:paraId="5089304D" w14:textId="77777777"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p>
        </w:tc>
        <w:tc>
          <w:tcPr>
            <w:tcW w:w="1288" w:type="dxa"/>
            <w:noWrap/>
            <w:vAlign w:val="center"/>
            <w:hideMark/>
          </w:tcPr>
          <w:p w14:paraId="3A0ECF3E" w14:textId="77777777"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9,351</w:t>
            </w:r>
          </w:p>
        </w:tc>
        <w:tc>
          <w:tcPr>
            <w:tcW w:w="1162" w:type="dxa"/>
            <w:noWrap/>
            <w:vAlign w:val="center"/>
            <w:hideMark/>
          </w:tcPr>
          <w:p w14:paraId="65314C1F" w14:textId="3E61358D" w:rsidR="004C7C75" w:rsidRPr="003B66BF" w:rsidRDefault="00622973"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w:t>
            </w:r>
          </w:p>
        </w:tc>
        <w:tc>
          <w:tcPr>
            <w:tcW w:w="672" w:type="dxa"/>
            <w:noWrap/>
            <w:vAlign w:val="center"/>
            <w:hideMark/>
          </w:tcPr>
          <w:p w14:paraId="2F422FDB" w14:textId="0953C7D5" w:rsidR="004C7C75" w:rsidRPr="003B66BF" w:rsidRDefault="00622973"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w:t>
            </w:r>
          </w:p>
        </w:tc>
        <w:tc>
          <w:tcPr>
            <w:tcW w:w="1215" w:type="dxa"/>
            <w:noWrap/>
            <w:vAlign w:val="center"/>
            <w:hideMark/>
          </w:tcPr>
          <w:p w14:paraId="1932C24C" w14:textId="77777777"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98</w:t>
            </w:r>
          </w:p>
        </w:tc>
      </w:tr>
      <w:tr w:rsidR="00075043" w:rsidRPr="003B66BF" w14:paraId="7917DD30" w14:textId="77777777" w:rsidTr="00075043">
        <w:trPr>
          <w:trHeight w:val="478"/>
        </w:trPr>
        <w:tc>
          <w:tcPr>
            <w:cnfStyle w:val="001000000000" w:firstRow="0" w:lastRow="0" w:firstColumn="1" w:lastColumn="0" w:oddVBand="0" w:evenVBand="0" w:oddHBand="0" w:evenHBand="0" w:firstRowFirstColumn="0" w:firstRowLastColumn="0" w:lastRowFirstColumn="0" w:lastRowLastColumn="0"/>
            <w:tcW w:w="1483" w:type="dxa"/>
            <w:noWrap/>
            <w:hideMark/>
          </w:tcPr>
          <w:p w14:paraId="5A7CEE23" w14:textId="77777777" w:rsidR="004C7C75" w:rsidRPr="003B66BF" w:rsidRDefault="004C7C75" w:rsidP="005F1F5C">
            <w:pPr>
              <w:rPr>
                <w:rFonts w:ascii="Arial" w:hAnsi="Arial" w:cs="Arial"/>
                <w:sz w:val="18"/>
                <w:szCs w:val="18"/>
              </w:rPr>
            </w:pPr>
            <w:r w:rsidRPr="003B66BF">
              <w:rPr>
                <w:rFonts w:ascii="Arial" w:hAnsi="Arial" w:cs="Arial"/>
                <w:sz w:val="18"/>
                <w:szCs w:val="18"/>
              </w:rPr>
              <w:t>Preah Sihanouk Ream National Park</w:t>
            </w:r>
          </w:p>
        </w:tc>
        <w:tc>
          <w:tcPr>
            <w:tcW w:w="988" w:type="dxa"/>
            <w:noWrap/>
            <w:vAlign w:val="center"/>
            <w:hideMark/>
          </w:tcPr>
          <w:p w14:paraId="05C8892A" w14:textId="77777777"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1993</w:t>
            </w:r>
          </w:p>
        </w:tc>
        <w:tc>
          <w:tcPr>
            <w:tcW w:w="925" w:type="dxa"/>
            <w:noWrap/>
            <w:vAlign w:val="center"/>
            <w:hideMark/>
          </w:tcPr>
          <w:p w14:paraId="7942B891" w14:textId="77777777"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2023</w:t>
            </w:r>
          </w:p>
        </w:tc>
        <w:tc>
          <w:tcPr>
            <w:tcW w:w="1277" w:type="dxa"/>
            <w:noWrap/>
            <w:vAlign w:val="center"/>
            <w:hideMark/>
          </w:tcPr>
          <w:p w14:paraId="0FAF883E" w14:textId="77777777"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21,000</w:t>
            </w:r>
          </w:p>
        </w:tc>
        <w:tc>
          <w:tcPr>
            <w:tcW w:w="1288" w:type="dxa"/>
            <w:noWrap/>
            <w:vAlign w:val="center"/>
            <w:hideMark/>
          </w:tcPr>
          <w:p w14:paraId="5C0A65D9" w14:textId="77777777"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6,500</w:t>
            </w:r>
          </w:p>
        </w:tc>
        <w:tc>
          <w:tcPr>
            <w:tcW w:w="1162" w:type="dxa"/>
            <w:noWrap/>
            <w:vAlign w:val="center"/>
            <w:hideMark/>
          </w:tcPr>
          <w:p w14:paraId="15F21FEF" w14:textId="77777777"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1,800</w:t>
            </w:r>
          </w:p>
        </w:tc>
        <w:tc>
          <w:tcPr>
            <w:tcW w:w="672" w:type="dxa"/>
            <w:noWrap/>
            <w:vAlign w:val="center"/>
            <w:hideMark/>
          </w:tcPr>
          <w:p w14:paraId="04BFCF19" w14:textId="77777777"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w:t>
            </w:r>
          </w:p>
        </w:tc>
        <w:tc>
          <w:tcPr>
            <w:tcW w:w="1215" w:type="dxa"/>
            <w:noWrap/>
            <w:vAlign w:val="center"/>
            <w:hideMark/>
          </w:tcPr>
          <w:p w14:paraId="4D789932" w14:textId="77777777"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w:t>
            </w:r>
          </w:p>
        </w:tc>
      </w:tr>
      <w:tr w:rsidR="00075043" w:rsidRPr="003B66BF" w14:paraId="09FA1C3A" w14:textId="77777777" w:rsidTr="00075043">
        <w:trPr>
          <w:cnfStyle w:val="000000100000" w:firstRow="0" w:lastRow="0" w:firstColumn="0" w:lastColumn="0" w:oddVBand="0" w:evenVBand="0" w:oddHBand="1" w:evenHBand="0" w:firstRowFirstColumn="0" w:firstRowLastColumn="0" w:lastRowFirstColumn="0" w:lastRowLastColumn="0"/>
          <w:trHeight w:val="478"/>
        </w:trPr>
        <w:tc>
          <w:tcPr>
            <w:cnfStyle w:val="001000000000" w:firstRow="0" w:lastRow="0" w:firstColumn="1" w:lastColumn="0" w:oddVBand="0" w:evenVBand="0" w:oddHBand="0" w:evenHBand="0" w:firstRowFirstColumn="0" w:firstRowLastColumn="0" w:lastRowFirstColumn="0" w:lastRowLastColumn="0"/>
            <w:tcW w:w="1483" w:type="dxa"/>
            <w:noWrap/>
            <w:hideMark/>
          </w:tcPr>
          <w:p w14:paraId="238D7DF0" w14:textId="77777777" w:rsidR="004C7C75" w:rsidRPr="003B66BF" w:rsidRDefault="004C7C75" w:rsidP="005F1F5C">
            <w:pPr>
              <w:rPr>
                <w:rFonts w:ascii="Arial" w:hAnsi="Arial" w:cs="Arial"/>
                <w:sz w:val="18"/>
                <w:szCs w:val="18"/>
              </w:rPr>
            </w:pPr>
            <w:r w:rsidRPr="003B66BF">
              <w:rPr>
                <w:rFonts w:ascii="Arial" w:hAnsi="Arial" w:cs="Arial"/>
                <w:sz w:val="18"/>
                <w:szCs w:val="18"/>
              </w:rPr>
              <w:t>Kep NP + Kampot coastal designated area</w:t>
            </w:r>
          </w:p>
        </w:tc>
        <w:tc>
          <w:tcPr>
            <w:tcW w:w="988" w:type="dxa"/>
            <w:noWrap/>
            <w:vAlign w:val="center"/>
            <w:hideMark/>
          </w:tcPr>
          <w:p w14:paraId="062531A3" w14:textId="77777777"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1993</w:t>
            </w:r>
          </w:p>
        </w:tc>
        <w:tc>
          <w:tcPr>
            <w:tcW w:w="925" w:type="dxa"/>
            <w:noWrap/>
            <w:vAlign w:val="center"/>
            <w:hideMark/>
          </w:tcPr>
          <w:p w14:paraId="5BEDFEB3" w14:textId="77777777"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2023</w:t>
            </w:r>
          </w:p>
        </w:tc>
        <w:tc>
          <w:tcPr>
            <w:tcW w:w="1277" w:type="dxa"/>
            <w:noWrap/>
            <w:vAlign w:val="center"/>
            <w:hideMark/>
          </w:tcPr>
          <w:p w14:paraId="5450F39D" w14:textId="392C047D"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Kep</w:t>
            </w:r>
            <w:r w:rsidR="00075043" w:rsidRPr="003B66BF">
              <w:rPr>
                <w:rFonts w:ascii="Arial" w:hAnsi="Arial" w:cs="Arial"/>
                <w:color w:val="000000" w:themeColor="text1"/>
                <w:sz w:val="18"/>
                <w:szCs w:val="18"/>
              </w:rPr>
              <w:t xml:space="preserve">: </w:t>
            </w:r>
            <w:r w:rsidRPr="003B66BF">
              <w:rPr>
                <w:rFonts w:ascii="Arial" w:hAnsi="Arial" w:cs="Arial"/>
                <w:color w:val="000000" w:themeColor="text1"/>
                <w:sz w:val="18"/>
                <w:szCs w:val="18"/>
              </w:rPr>
              <w:t xml:space="preserve">5,000 </w:t>
            </w:r>
          </w:p>
          <w:p w14:paraId="409EBF07" w14:textId="2C2D1B93"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Kamot: 7,200</w:t>
            </w:r>
          </w:p>
          <w:p w14:paraId="25134616" w14:textId="77777777"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p>
        </w:tc>
        <w:tc>
          <w:tcPr>
            <w:tcW w:w="1288" w:type="dxa"/>
            <w:noWrap/>
            <w:vAlign w:val="center"/>
            <w:hideMark/>
          </w:tcPr>
          <w:p w14:paraId="6F748BF6" w14:textId="457E2C53"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800</w:t>
            </w:r>
          </w:p>
        </w:tc>
        <w:tc>
          <w:tcPr>
            <w:tcW w:w="1162" w:type="dxa"/>
            <w:noWrap/>
            <w:vAlign w:val="center"/>
            <w:hideMark/>
          </w:tcPr>
          <w:p w14:paraId="652A51A1" w14:textId="77777777"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350</w:t>
            </w:r>
          </w:p>
        </w:tc>
        <w:tc>
          <w:tcPr>
            <w:tcW w:w="672" w:type="dxa"/>
            <w:noWrap/>
            <w:vAlign w:val="center"/>
            <w:hideMark/>
          </w:tcPr>
          <w:p w14:paraId="238A71AB" w14:textId="77777777"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w:t>
            </w:r>
          </w:p>
        </w:tc>
        <w:tc>
          <w:tcPr>
            <w:tcW w:w="1215" w:type="dxa"/>
            <w:noWrap/>
            <w:vAlign w:val="center"/>
            <w:hideMark/>
          </w:tcPr>
          <w:p w14:paraId="11378158" w14:textId="77777777"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w:t>
            </w:r>
          </w:p>
        </w:tc>
      </w:tr>
      <w:tr w:rsidR="00075043" w:rsidRPr="003B66BF" w14:paraId="181168A3" w14:textId="77777777" w:rsidTr="00075043">
        <w:trPr>
          <w:trHeight w:val="478"/>
        </w:trPr>
        <w:tc>
          <w:tcPr>
            <w:cnfStyle w:val="001000000000" w:firstRow="0" w:lastRow="0" w:firstColumn="1" w:lastColumn="0" w:oddVBand="0" w:evenVBand="0" w:oddHBand="0" w:evenHBand="0" w:firstRowFirstColumn="0" w:firstRowLastColumn="0" w:lastRowFirstColumn="0" w:lastRowLastColumn="0"/>
            <w:tcW w:w="1483" w:type="dxa"/>
            <w:noWrap/>
            <w:hideMark/>
          </w:tcPr>
          <w:p w14:paraId="5B198F32" w14:textId="77777777" w:rsidR="004C7C75" w:rsidRPr="003B66BF" w:rsidRDefault="004C7C75" w:rsidP="005F1F5C">
            <w:pPr>
              <w:rPr>
                <w:rFonts w:ascii="Arial" w:hAnsi="Arial" w:cs="Arial"/>
                <w:sz w:val="18"/>
                <w:szCs w:val="18"/>
              </w:rPr>
            </w:pPr>
            <w:r w:rsidRPr="003B66BF">
              <w:rPr>
                <w:rFonts w:ascii="Arial" w:hAnsi="Arial" w:cs="Arial"/>
                <w:sz w:val="18"/>
                <w:szCs w:val="18"/>
              </w:rPr>
              <w:t>Koh Po and Koh Tonsay Archipelago</w:t>
            </w:r>
          </w:p>
        </w:tc>
        <w:tc>
          <w:tcPr>
            <w:tcW w:w="988" w:type="dxa"/>
            <w:noWrap/>
            <w:vAlign w:val="center"/>
            <w:hideMark/>
          </w:tcPr>
          <w:p w14:paraId="7E975EDB" w14:textId="77777777"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highlight w:val="yellow"/>
              </w:rPr>
            </w:pPr>
            <w:r w:rsidRPr="003B66BF">
              <w:rPr>
                <w:rFonts w:ascii="Arial" w:hAnsi="Arial" w:cs="Arial"/>
                <w:color w:val="000000" w:themeColor="text1"/>
                <w:sz w:val="18"/>
                <w:szCs w:val="18"/>
              </w:rPr>
              <w:t>2018</w:t>
            </w:r>
          </w:p>
        </w:tc>
        <w:tc>
          <w:tcPr>
            <w:tcW w:w="925" w:type="dxa"/>
            <w:noWrap/>
            <w:vAlign w:val="center"/>
            <w:hideMark/>
          </w:tcPr>
          <w:p w14:paraId="101EF4C4" w14:textId="77777777"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w:t>
            </w:r>
          </w:p>
        </w:tc>
        <w:tc>
          <w:tcPr>
            <w:tcW w:w="1277" w:type="dxa"/>
            <w:noWrap/>
            <w:vAlign w:val="center"/>
            <w:hideMark/>
          </w:tcPr>
          <w:p w14:paraId="0EA0CAC3" w14:textId="77777777"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11,307</w:t>
            </w:r>
          </w:p>
        </w:tc>
        <w:tc>
          <w:tcPr>
            <w:tcW w:w="1288" w:type="dxa"/>
            <w:noWrap/>
            <w:vAlign w:val="center"/>
            <w:hideMark/>
          </w:tcPr>
          <w:p w14:paraId="498F6039" w14:textId="77777777"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w:t>
            </w:r>
          </w:p>
        </w:tc>
        <w:tc>
          <w:tcPr>
            <w:tcW w:w="1162" w:type="dxa"/>
            <w:noWrap/>
            <w:vAlign w:val="center"/>
            <w:hideMark/>
          </w:tcPr>
          <w:p w14:paraId="1C6B4C31" w14:textId="77777777"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w:t>
            </w:r>
          </w:p>
        </w:tc>
        <w:tc>
          <w:tcPr>
            <w:tcW w:w="672" w:type="dxa"/>
            <w:noWrap/>
            <w:vAlign w:val="center"/>
            <w:hideMark/>
          </w:tcPr>
          <w:p w14:paraId="5B56B357" w14:textId="601B246E"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67</w:t>
            </w:r>
            <w:r w:rsidR="00075043" w:rsidRPr="003B66BF">
              <w:rPr>
                <w:rFonts w:ascii="Arial" w:hAnsi="Arial" w:cs="Arial"/>
                <w:color w:val="000000" w:themeColor="text1"/>
                <w:sz w:val="18"/>
                <w:szCs w:val="18"/>
              </w:rPr>
              <w:t>.</w:t>
            </w:r>
            <w:r w:rsidRPr="003B66BF">
              <w:rPr>
                <w:rFonts w:ascii="Arial" w:hAnsi="Arial" w:cs="Arial"/>
                <w:color w:val="000000" w:themeColor="text1"/>
                <w:sz w:val="18"/>
                <w:szCs w:val="18"/>
              </w:rPr>
              <w:t>83</w:t>
            </w:r>
          </w:p>
        </w:tc>
        <w:tc>
          <w:tcPr>
            <w:tcW w:w="1215" w:type="dxa"/>
            <w:noWrap/>
            <w:vAlign w:val="center"/>
            <w:hideMark/>
          </w:tcPr>
          <w:p w14:paraId="282AEBA5" w14:textId="77777777"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3,900</w:t>
            </w:r>
          </w:p>
        </w:tc>
      </w:tr>
      <w:tr w:rsidR="00075043" w:rsidRPr="003B66BF" w14:paraId="3E89D05F" w14:textId="77777777" w:rsidTr="00075043">
        <w:trPr>
          <w:cnfStyle w:val="000000100000" w:firstRow="0" w:lastRow="0" w:firstColumn="0" w:lastColumn="0" w:oddVBand="0" w:evenVBand="0" w:oddHBand="1" w:evenHBand="0" w:firstRowFirstColumn="0" w:firstRowLastColumn="0" w:lastRowFirstColumn="0" w:lastRowLastColumn="0"/>
          <w:trHeight w:val="478"/>
        </w:trPr>
        <w:tc>
          <w:tcPr>
            <w:cnfStyle w:val="001000000000" w:firstRow="0" w:lastRow="0" w:firstColumn="1" w:lastColumn="0" w:oddVBand="0" w:evenVBand="0" w:oddHBand="0" w:evenHBand="0" w:firstRowFirstColumn="0" w:firstRowLastColumn="0" w:lastRowFirstColumn="0" w:lastRowLastColumn="0"/>
            <w:tcW w:w="1483" w:type="dxa"/>
            <w:noWrap/>
            <w:hideMark/>
          </w:tcPr>
          <w:p w14:paraId="6EE7E312" w14:textId="77777777" w:rsidR="004C7C75" w:rsidRPr="003B66BF" w:rsidRDefault="004C7C75" w:rsidP="005F1F5C">
            <w:pPr>
              <w:rPr>
                <w:rFonts w:ascii="Arial" w:hAnsi="Arial" w:cs="Arial"/>
                <w:sz w:val="18"/>
                <w:szCs w:val="18"/>
              </w:rPr>
            </w:pPr>
            <w:r w:rsidRPr="003B66BF">
              <w:rPr>
                <w:rFonts w:ascii="Arial" w:hAnsi="Arial" w:cs="Arial"/>
                <w:sz w:val="18"/>
                <w:szCs w:val="18"/>
              </w:rPr>
              <w:t>Koh Rong MFMA</w:t>
            </w:r>
          </w:p>
        </w:tc>
        <w:tc>
          <w:tcPr>
            <w:tcW w:w="988" w:type="dxa"/>
            <w:noWrap/>
            <w:vAlign w:val="center"/>
            <w:hideMark/>
          </w:tcPr>
          <w:p w14:paraId="50FF09AC" w14:textId="77777777"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2016</w:t>
            </w:r>
          </w:p>
        </w:tc>
        <w:tc>
          <w:tcPr>
            <w:tcW w:w="925" w:type="dxa"/>
            <w:noWrap/>
            <w:vAlign w:val="center"/>
            <w:hideMark/>
          </w:tcPr>
          <w:p w14:paraId="6322E71F" w14:textId="77777777"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w:t>
            </w:r>
          </w:p>
        </w:tc>
        <w:tc>
          <w:tcPr>
            <w:tcW w:w="1277" w:type="dxa"/>
            <w:noWrap/>
            <w:vAlign w:val="center"/>
            <w:hideMark/>
          </w:tcPr>
          <w:p w14:paraId="4D096FB8" w14:textId="77777777"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40,535</w:t>
            </w:r>
          </w:p>
        </w:tc>
        <w:tc>
          <w:tcPr>
            <w:tcW w:w="1288" w:type="dxa"/>
            <w:noWrap/>
            <w:vAlign w:val="center"/>
            <w:hideMark/>
          </w:tcPr>
          <w:p w14:paraId="7E0FCF6A" w14:textId="77777777"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w:t>
            </w:r>
          </w:p>
        </w:tc>
        <w:tc>
          <w:tcPr>
            <w:tcW w:w="1162" w:type="dxa"/>
            <w:noWrap/>
            <w:vAlign w:val="center"/>
            <w:hideMark/>
          </w:tcPr>
          <w:p w14:paraId="3F951317" w14:textId="77777777"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w:t>
            </w:r>
          </w:p>
        </w:tc>
        <w:tc>
          <w:tcPr>
            <w:tcW w:w="672" w:type="dxa"/>
            <w:noWrap/>
            <w:vAlign w:val="center"/>
            <w:hideMark/>
          </w:tcPr>
          <w:p w14:paraId="550A1D51" w14:textId="77777777" w:rsidR="004C7C75" w:rsidRPr="003B66BF" w:rsidRDefault="004C7C7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624</w:t>
            </w:r>
          </w:p>
        </w:tc>
        <w:tc>
          <w:tcPr>
            <w:tcW w:w="1215" w:type="dxa"/>
            <w:noWrap/>
            <w:vAlign w:val="center"/>
            <w:hideMark/>
          </w:tcPr>
          <w:p w14:paraId="00137C9A" w14:textId="4FC5BF7C" w:rsidR="004C7C75" w:rsidRPr="003B66BF" w:rsidRDefault="00622973"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w:t>
            </w:r>
          </w:p>
        </w:tc>
      </w:tr>
      <w:tr w:rsidR="00075043" w:rsidRPr="003B66BF" w14:paraId="48ED0A95" w14:textId="77777777" w:rsidTr="00075043">
        <w:trPr>
          <w:trHeight w:val="478"/>
        </w:trPr>
        <w:tc>
          <w:tcPr>
            <w:cnfStyle w:val="001000000000" w:firstRow="0" w:lastRow="0" w:firstColumn="1" w:lastColumn="0" w:oddVBand="0" w:evenVBand="0" w:oddHBand="0" w:evenHBand="0" w:firstRowFirstColumn="0" w:firstRowLastColumn="0" w:lastRowFirstColumn="0" w:lastRowLastColumn="0"/>
            <w:tcW w:w="1483" w:type="dxa"/>
            <w:noWrap/>
          </w:tcPr>
          <w:p w14:paraId="480B9E6D" w14:textId="77777777" w:rsidR="004C7C75" w:rsidRPr="003B66BF" w:rsidRDefault="004C7C75" w:rsidP="005F1F5C">
            <w:pPr>
              <w:rPr>
                <w:rFonts w:ascii="Arial" w:hAnsi="Arial" w:cs="Arial"/>
                <w:sz w:val="18"/>
                <w:szCs w:val="18"/>
              </w:rPr>
            </w:pPr>
            <w:r w:rsidRPr="003B66BF">
              <w:rPr>
                <w:rFonts w:ascii="Arial" w:hAnsi="Arial" w:cs="Arial"/>
                <w:sz w:val="18"/>
                <w:szCs w:val="18"/>
              </w:rPr>
              <w:t>Koh Rong MNP</w:t>
            </w:r>
          </w:p>
        </w:tc>
        <w:tc>
          <w:tcPr>
            <w:tcW w:w="988" w:type="dxa"/>
            <w:noWrap/>
            <w:vAlign w:val="center"/>
          </w:tcPr>
          <w:p w14:paraId="00C9A207" w14:textId="77777777"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2018</w:t>
            </w:r>
          </w:p>
        </w:tc>
        <w:tc>
          <w:tcPr>
            <w:tcW w:w="925" w:type="dxa"/>
            <w:noWrap/>
            <w:vAlign w:val="center"/>
          </w:tcPr>
          <w:p w14:paraId="5259A5A2" w14:textId="436FC967" w:rsidR="004C7C75" w:rsidRPr="003B66BF" w:rsidRDefault="00622973"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w:t>
            </w:r>
          </w:p>
        </w:tc>
        <w:tc>
          <w:tcPr>
            <w:tcW w:w="1277" w:type="dxa"/>
            <w:noWrap/>
            <w:vAlign w:val="center"/>
          </w:tcPr>
          <w:p w14:paraId="54340F71" w14:textId="77777777" w:rsidR="004C7C75" w:rsidRPr="003B66BF" w:rsidRDefault="004C7C7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52,498</w:t>
            </w:r>
          </w:p>
        </w:tc>
        <w:tc>
          <w:tcPr>
            <w:tcW w:w="1288" w:type="dxa"/>
            <w:noWrap/>
            <w:vAlign w:val="center"/>
          </w:tcPr>
          <w:p w14:paraId="6C415450" w14:textId="1623E542" w:rsidR="004C7C75" w:rsidRPr="003B66BF" w:rsidRDefault="00622973"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w:t>
            </w:r>
          </w:p>
        </w:tc>
        <w:tc>
          <w:tcPr>
            <w:tcW w:w="1162" w:type="dxa"/>
            <w:noWrap/>
            <w:vAlign w:val="center"/>
          </w:tcPr>
          <w:p w14:paraId="214C8158" w14:textId="0B784ABF" w:rsidR="004C7C75" w:rsidRPr="003B66BF" w:rsidRDefault="00622973"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w:t>
            </w:r>
          </w:p>
        </w:tc>
        <w:tc>
          <w:tcPr>
            <w:tcW w:w="672" w:type="dxa"/>
            <w:noWrap/>
            <w:vAlign w:val="center"/>
          </w:tcPr>
          <w:p w14:paraId="0F0ABF40" w14:textId="7146F735" w:rsidR="004C7C75" w:rsidRPr="003B66BF" w:rsidRDefault="00075043"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1,198</w:t>
            </w:r>
          </w:p>
        </w:tc>
        <w:tc>
          <w:tcPr>
            <w:tcW w:w="1215" w:type="dxa"/>
            <w:noWrap/>
            <w:vAlign w:val="center"/>
          </w:tcPr>
          <w:p w14:paraId="2A57A928" w14:textId="379E836B" w:rsidR="004C7C75" w:rsidRPr="003B66BF" w:rsidRDefault="00075043"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3B66BF">
              <w:rPr>
                <w:rFonts w:ascii="Arial" w:hAnsi="Arial" w:cs="Arial"/>
                <w:color w:val="000000" w:themeColor="text1"/>
                <w:sz w:val="18"/>
                <w:szCs w:val="18"/>
              </w:rPr>
              <w:t>1,360</w:t>
            </w:r>
          </w:p>
        </w:tc>
      </w:tr>
    </w:tbl>
    <w:p w14:paraId="1427CA97" w14:textId="3B5C17B2" w:rsidR="007B5F1D" w:rsidRPr="003B66BF" w:rsidRDefault="004C7C75" w:rsidP="00AC61BA">
      <w:pPr>
        <w:pStyle w:val="NormalWeb"/>
        <w:jc w:val="both"/>
        <w:rPr>
          <w:rFonts w:ascii="Arial" w:hAnsi="Arial" w:cs="Arial"/>
          <w:sz w:val="18"/>
          <w:szCs w:val="18"/>
        </w:rPr>
      </w:pPr>
      <w:r w:rsidRPr="003B66BF">
        <w:rPr>
          <w:rFonts w:ascii="Arial" w:hAnsi="Arial" w:cs="Arial"/>
          <w:b/>
          <w:bCs/>
          <w:sz w:val="18"/>
          <w:szCs w:val="18"/>
        </w:rPr>
        <w:t>Note:</w:t>
      </w:r>
      <w:r w:rsidRPr="003B66BF">
        <w:rPr>
          <w:rFonts w:ascii="Arial" w:hAnsi="Arial" w:cs="Arial"/>
          <w:sz w:val="18"/>
          <w:szCs w:val="18"/>
        </w:rPr>
        <w:t xml:space="preserve"> </w:t>
      </w:r>
      <w:r w:rsidR="00075043" w:rsidRPr="00CA1A5A">
        <w:rPr>
          <w:rFonts w:ascii="Arial" w:hAnsi="Arial" w:cs="Arial"/>
          <w:sz w:val="18"/>
          <w:szCs w:val="18"/>
        </w:rPr>
        <w:t xml:space="preserve">Available </w:t>
      </w:r>
      <w:r w:rsidRPr="00CA1A5A">
        <w:rPr>
          <w:rFonts w:ascii="Arial" w:hAnsi="Arial" w:cs="Arial"/>
          <w:sz w:val="18"/>
          <w:szCs w:val="18"/>
        </w:rPr>
        <w:t xml:space="preserve">Habitat-area figures (mangroves/wetlands/coral/seagrass) are not consistently reported in legal instruments and are often based on mapping or project sources; they should be treated as </w:t>
      </w:r>
      <w:r w:rsidRPr="00CA1A5A">
        <w:rPr>
          <w:rFonts w:ascii="Arial" w:hAnsi="Arial" w:cs="Arial"/>
          <w:b/>
          <w:bCs/>
          <w:sz w:val="18"/>
          <w:szCs w:val="18"/>
        </w:rPr>
        <w:t>indicative</w:t>
      </w:r>
      <w:r w:rsidRPr="00CA1A5A">
        <w:rPr>
          <w:rFonts w:ascii="Arial" w:hAnsi="Arial" w:cs="Arial"/>
          <w:sz w:val="18"/>
          <w:szCs w:val="18"/>
        </w:rPr>
        <w:t xml:space="preserve"> and should not be summed across habitats to avoid double counting.</w:t>
      </w:r>
      <w:r w:rsidR="001C1C35" w:rsidRPr="00CA1A5A">
        <w:rPr>
          <w:rFonts w:ascii="Arial" w:hAnsi="Arial" w:cs="Arial"/>
          <w:sz w:val="18"/>
          <w:szCs w:val="18"/>
        </w:rPr>
        <w:t xml:space="preserve"> See </w:t>
      </w:r>
      <w:r w:rsidR="00CA1A5A" w:rsidRPr="00CA1A5A">
        <w:rPr>
          <w:rFonts w:ascii="Arial" w:hAnsi="Arial" w:cs="Arial"/>
          <w:sz w:val="18"/>
          <w:szCs w:val="18"/>
        </w:rPr>
        <w:fldChar w:fldCharType="begin"/>
      </w:r>
      <w:r w:rsidR="00CA1A5A" w:rsidRPr="00CA1A5A">
        <w:rPr>
          <w:rFonts w:ascii="Arial" w:hAnsi="Arial" w:cs="Arial"/>
          <w:sz w:val="18"/>
          <w:szCs w:val="18"/>
        </w:rPr>
        <w:instrText xml:space="preserve"> REF _Ref216612555 \h  \* MERGEFORMAT </w:instrText>
      </w:r>
      <w:r w:rsidR="00CA1A5A" w:rsidRPr="00CA1A5A">
        <w:rPr>
          <w:rFonts w:ascii="Arial" w:hAnsi="Arial" w:cs="Arial"/>
          <w:sz w:val="18"/>
          <w:szCs w:val="18"/>
        </w:rPr>
      </w:r>
      <w:r w:rsidR="00CA1A5A" w:rsidRPr="00CA1A5A">
        <w:rPr>
          <w:rFonts w:ascii="Arial" w:hAnsi="Arial" w:cs="Arial"/>
          <w:sz w:val="18"/>
          <w:szCs w:val="18"/>
        </w:rPr>
        <w:fldChar w:fldCharType="separate"/>
      </w:r>
      <w:r w:rsidR="00802509" w:rsidRPr="00802509">
        <w:rPr>
          <w:rFonts w:ascii="Arial" w:hAnsi="Arial" w:cs="Arial"/>
          <w:color w:val="0070C0"/>
          <w:sz w:val="18"/>
          <w:szCs w:val="18"/>
        </w:rPr>
        <w:t>Annex 4-7</w:t>
      </w:r>
      <w:r w:rsidR="00CA1A5A" w:rsidRPr="00CA1A5A">
        <w:rPr>
          <w:rFonts w:ascii="Arial" w:hAnsi="Arial" w:cs="Arial"/>
          <w:sz w:val="18"/>
          <w:szCs w:val="18"/>
        </w:rPr>
        <w:fldChar w:fldCharType="end"/>
      </w:r>
      <w:r w:rsidR="00CA1A5A" w:rsidRPr="00CA1A5A">
        <w:rPr>
          <w:rFonts w:ascii="Arial" w:hAnsi="Arial" w:cs="Arial"/>
          <w:sz w:val="18"/>
          <w:szCs w:val="18"/>
        </w:rPr>
        <w:t xml:space="preserve"> </w:t>
      </w:r>
      <w:r w:rsidR="001C1C35" w:rsidRPr="00CA1A5A">
        <w:rPr>
          <w:rFonts w:ascii="Arial" w:hAnsi="Arial" w:cs="Arial"/>
          <w:sz w:val="18"/>
          <w:szCs w:val="18"/>
        </w:rPr>
        <w:t xml:space="preserve">for the </w:t>
      </w:r>
      <w:r w:rsidR="00CA1A5A" w:rsidRPr="00CA1A5A">
        <w:rPr>
          <w:rFonts w:ascii="Arial" w:hAnsi="Arial" w:cs="Arial"/>
          <w:sz w:val="18"/>
          <w:szCs w:val="18"/>
        </w:rPr>
        <w:t xml:space="preserve">extended </w:t>
      </w:r>
      <w:r w:rsidR="001C1C35" w:rsidRPr="00CA1A5A">
        <w:rPr>
          <w:rFonts w:ascii="Arial" w:hAnsi="Arial" w:cs="Arial"/>
          <w:sz w:val="18"/>
          <w:szCs w:val="18"/>
        </w:rPr>
        <w:t>explanatory note</w:t>
      </w:r>
      <w:r w:rsidR="00CA1A5A" w:rsidRPr="00CA1A5A">
        <w:rPr>
          <w:rFonts w:ascii="Arial" w:hAnsi="Arial" w:cs="Arial"/>
          <w:sz w:val="18"/>
          <w:szCs w:val="18"/>
        </w:rPr>
        <w:t xml:space="preserve"> for Coastal area-based management: MPAs, Ramsar systems, MFMAs/EAFM, and community co-management</w:t>
      </w:r>
    </w:p>
    <w:p w14:paraId="781ACCF3" w14:textId="77777777" w:rsidR="0070624E" w:rsidRPr="00E62D7D" w:rsidRDefault="00E03DCA" w:rsidP="00E03DCA">
      <w:pPr>
        <w:pStyle w:val="Heading4"/>
        <w:keepLines w:val="0"/>
        <w:spacing w:before="240" w:after="240"/>
        <w:rPr>
          <w:rFonts w:ascii="Arial" w:hAnsi="Arial" w:cs="Arial"/>
          <w:b/>
          <w:bCs/>
          <w:i w:val="0"/>
          <w:iCs w:val="0"/>
          <w:color w:val="0070C0"/>
          <w:sz w:val="22"/>
          <w:szCs w:val="22"/>
        </w:rPr>
      </w:pPr>
      <w:r w:rsidRPr="00E62D7D">
        <w:rPr>
          <w:rFonts w:ascii="Arial" w:hAnsi="Arial" w:cs="Arial"/>
          <w:b/>
          <w:bCs/>
          <w:i w:val="0"/>
          <w:iCs w:val="0"/>
          <w:color w:val="0070C0"/>
          <w:sz w:val="22"/>
          <w:szCs w:val="22"/>
        </w:rPr>
        <w:t xml:space="preserve">4.3.3.3 </w:t>
      </w:r>
      <w:r w:rsidR="00AC61BA" w:rsidRPr="00E62D7D">
        <w:rPr>
          <w:rFonts w:ascii="Arial" w:hAnsi="Arial" w:cs="Arial"/>
          <w:b/>
          <w:bCs/>
          <w:i w:val="0"/>
          <w:iCs w:val="0"/>
          <w:color w:val="0070C0"/>
          <w:sz w:val="22"/>
          <w:szCs w:val="22"/>
        </w:rPr>
        <w:t>Management tools in practice</w:t>
      </w:r>
    </w:p>
    <w:p w14:paraId="37356C98" w14:textId="77777777" w:rsidR="00097DD4" w:rsidRPr="003B66BF" w:rsidRDefault="00097DD4" w:rsidP="00097DD4">
      <w:pPr>
        <w:pStyle w:val="NormalWeb"/>
        <w:jc w:val="both"/>
        <w:rPr>
          <w:rFonts w:ascii="Arial" w:hAnsi="Arial" w:cs="Arial"/>
          <w:sz w:val="22"/>
          <w:szCs w:val="22"/>
        </w:rPr>
      </w:pPr>
      <w:r w:rsidRPr="003B66BF">
        <w:rPr>
          <w:rFonts w:ascii="Arial" w:hAnsi="Arial" w:cs="Arial"/>
          <w:sz w:val="22"/>
          <w:szCs w:val="22"/>
        </w:rPr>
        <w:t xml:space="preserve">A broader suite of management tools has emerged in the past five years, combining spatial protection, community enforcement, and improved monitoring. </w:t>
      </w:r>
      <w:r w:rsidRPr="003B66BF">
        <w:rPr>
          <w:rStyle w:val="Strong"/>
          <w:rFonts w:ascii="Arial" w:eastAsiaTheme="majorEastAsia" w:hAnsi="Arial" w:cs="Arial"/>
          <w:sz w:val="22"/>
          <w:szCs w:val="22"/>
        </w:rPr>
        <w:t>No-take zones and seasonal closures</w:t>
      </w:r>
      <w:r w:rsidRPr="003B66BF">
        <w:rPr>
          <w:rFonts w:ascii="Arial" w:hAnsi="Arial" w:cs="Arial"/>
          <w:sz w:val="22"/>
          <w:szCs w:val="22"/>
        </w:rPr>
        <w:t xml:space="preserve"> now safeguard key reef–seagrass nurseries (FFI, 2020; FiA/MAFF, 2023), while </w:t>
      </w:r>
      <w:r w:rsidRPr="003B66BF">
        <w:rPr>
          <w:rStyle w:val="Strong"/>
          <w:rFonts w:ascii="Arial" w:eastAsiaTheme="majorEastAsia" w:hAnsi="Arial" w:cs="Arial"/>
          <w:sz w:val="22"/>
          <w:szCs w:val="22"/>
        </w:rPr>
        <w:t>community patrols with FiA/MoE</w:t>
      </w:r>
      <w:r w:rsidRPr="003B66BF">
        <w:rPr>
          <w:rFonts w:ascii="Arial" w:hAnsi="Arial" w:cs="Arial"/>
          <w:sz w:val="22"/>
          <w:szCs w:val="22"/>
        </w:rPr>
        <w:t xml:space="preserve"> continue to deter inshore trawling, compressor fishing and destructive gears (FFI, 2020; PEMSEA &amp; MoE, 2019). </w:t>
      </w:r>
      <w:r w:rsidRPr="003B66BF">
        <w:rPr>
          <w:rStyle w:val="Strong"/>
          <w:rFonts w:ascii="Arial" w:eastAsiaTheme="majorEastAsia" w:hAnsi="Arial" w:cs="Arial"/>
          <w:sz w:val="22"/>
          <w:szCs w:val="22"/>
        </w:rPr>
        <w:t>Anti-trawl structures</w:t>
      </w:r>
      <w:r w:rsidRPr="003B66BF">
        <w:rPr>
          <w:rFonts w:ascii="Arial" w:hAnsi="Arial" w:cs="Arial"/>
          <w:sz w:val="22"/>
          <w:szCs w:val="22"/>
        </w:rPr>
        <w:t xml:space="preserve"> placed along sensitive meadow margins help exclude trawls, cut sediment resuspension, and support recovery where local enforcement is consistent (Norrey et al., 2023). Parallel investments in </w:t>
      </w:r>
      <w:r w:rsidRPr="003B66BF">
        <w:rPr>
          <w:rStyle w:val="Strong"/>
          <w:rFonts w:ascii="Arial" w:eastAsiaTheme="majorEastAsia" w:hAnsi="Arial" w:cs="Arial"/>
          <w:sz w:val="22"/>
          <w:szCs w:val="22"/>
        </w:rPr>
        <w:t>updated habitat mapping and monitoring</w:t>
      </w:r>
      <w:r w:rsidRPr="003B66BF">
        <w:rPr>
          <w:rFonts w:ascii="Arial" w:hAnsi="Arial" w:cs="Arial"/>
          <w:sz w:val="22"/>
          <w:szCs w:val="22"/>
        </w:rPr>
        <w:t>—including community-led reef/seagrass surveys, seabed baselines and periodic water-quality checks—guide adaptive zoning and track outcomes (FiA/MAFF, 2023; FFI, 2020). Where resources such as boats, fuel, stipends and data systems are sustained, these measures show early signs of seagrass and reef improvement.</w:t>
      </w:r>
    </w:p>
    <w:p w14:paraId="1793CB14" w14:textId="77777777" w:rsidR="00097DD4" w:rsidRPr="003B66BF" w:rsidRDefault="00097DD4" w:rsidP="00097DD4">
      <w:pPr>
        <w:pStyle w:val="NormalWeb"/>
        <w:jc w:val="both"/>
        <w:rPr>
          <w:rFonts w:ascii="Arial" w:hAnsi="Arial" w:cs="Arial"/>
          <w:sz w:val="22"/>
          <w:szCs w:val="22"/>
        </w:rPr>
      </w:pPr>
      <w:r w:rsidRPr="003B66BF">
        <w:rPr>
          <w:rFonts w:ascii="Arial" w:hAnsi="Arial" w:cs="Arial"/>
          <w:sz w:val="22"/>
          <w:szCs w:val="22"/>
        </w:rPr>
        <w:t xml:space="preserve">On land-based pressures, MoE’s </w:t>
      </w:r>
      <w:r w:rsidRPr="003B66BF">
        <w:rPr>
          <w:rStyle w:val="Strong"/>
          <w:rFonts w:ascii="Arial" w:eastAsiaTheme="majorEastAsia" w:hAnsi="Arial" w:cs="Arial"/>
          <w:sz w:val="22"/>
          <w:szCs w:val="22"/>
        </w:rPr>
        <w:t>National Waste Management Strategy and Action Plan 2018–2030</w:t>
      </w:r>
      <w:r w:rsidRPr="003B66BF">
        <w:rPr>
          <w:rFonts w:ascii="Arial" w:hAnsi="Arial" w:cs="Arial"/>
          <w:sz w:val="22"/>
          <w:szCs w:val="22"/>
        </w:rPr>
        <w:t xml:space="preserve"> underpins marine-litter reduction, with pilot segregation and beach-cleanup programs in Sihanoukville and Kampot and initial work on a </w:t>
      </w:r>
      <w:r w:rsidRPr="003B66BF">
        <w:rPr>
          <w:rStyle w:val="Strong"/>
          <w:rFonts w:ascii="Arial" w:eastAsiaTheme="majorEastAsia" w:hAnsi="Arial" w:cs="Arial"/>
          <w:sz w:val="22"/>
          <w:szCs w:val="22"/>
        </w:rPr>
        <w:t>National Source Inventory for Plastics</w:t>
      </w:r>
      <w:r w:rsidRPr="003B66BF">
        <w:rPr>
          <w:rFonts w:ascii="Arial" w:hAnsi="Arial" w:cs="Arial"/>
          <w:sz w:val="22"/>
          <w:szCs w:val="22"/>
        </w:rPr>
        <w:t xml:space="preserve"> (MoE, 2018; World Bank, 2021; PEMSEA &amp; MoE, 2019). MoE also conducts </w:t>
      </w:r>
      <w:r w:rsidRPr="003B66BF">
        <w:rPr>
          <w:rStyle w:val="Strong"/>
          <w:rFonts w:ascii="Arial" w:eastAsiaTheme="majorEastAsia" w:hAnsi="Arial" w:cs="Arial"/>
          <w:sz w:val="22"/>
          <w:szCs w:val="22"/>
        </w:rPr>
        <w:t>periodic water-quality monitoring</w:t>
      </w:r>
      <w:r w:rsidRPr="003B66BF">
        <w:rPr>
          <w:rFonts w:ascii="Arial" w:hAnsi="Arial" w:cs="Arial"/>
          <w:sz w:val="22"/>
          <w:szCs w:val="22"/>
        </w:rPr>
        <w:t xml:space="preserve"> in Sihanoukville, Kampot and Koh Kong—analysing BOD, nutrients, coliforms and plastics—where repeated exceedances of ASEAN marine-water benchmarks have prompted stronger wastewater and drainage controls (ASEAN Secretariat, 2008/2012; PEMSEA &amp; MoE, 2019).</w:t>
      </w:r>
    </w:p>
    <w:p w14:paraId="1BE27929" w14:textId="77777777" w:rsidR="0034337A" w:rsidRPr="003B66BF" w:rsidRDefault="003867DE" w:rsidP="0034337A">
      <w:pPr>
        <w:pStyle w:val="Heading3"/>
        <w:spacing w:before="240" w:after="240"/>
        <w:jc w:val="both"/>
        <w:rPr>
          <w:rFonts w:ascii="Arial" w:hAnsi="Arial" w:cs="Arial"/>
          <w:b/>
          <w:bCs/>
          <w:color w:val="000000" w:themeColor="text1"/>
        </w:rPr>
      </w:pPr>
      <w:bookmarkStart w:id="25" w:name="_Toc217231956"/>
      <w:r w:rsidRPr="003B66BF">
        <w:rPr>
          <w:rFonts w:ascii="Arial" w:hAnsi="Arial" w:cs="Arial"/>
          <w:b/>
          <w:bCs/>
          <w:color w:val="000000" w:themeColor="text1"/>
        </w:rPr>
        <w:t xml:space="preserve">4.3.4 Gaps and </w:t>
      </w:r>
      <w:r w:rsidR="00D40751" w:rsidRPr="003B66BF">
        <w:rPr>
          <w:rFonts w:ascii="Arial" w:hAnsi="Arial" w:cs="Arial"/>
          <w:b/>
          <w:bCs/>
          <w:color w:val="000000" w:themeColor="text1"/>
        </w:rPr>
        <w:t>P</w:t>
      </w:r>
      <w:r w:rsidRPr="003B66BF">
        <w:rPr>
          <w:rFonts w:ascii="Arial" w:hAnsi="Arial" w:cs="Arial"/>
          <w:b/>
          <w:bCs/>
          <w:color w:val="000000" w:themeColor="text1"/>
        </w:rPr>
        <w:t xml:space="preserve">riority </w:t>
      </w:r>
      <w:r w:rsidR="00D40751" w:rsidRPr="003B66BF">
        <w:rPr>
          <w:rFonts w:ascii="Arial" w:hAnsi="Arial" w:cs="Arial"/>
          <w:b/>
          <w:bCs/>
          <w:color w:val="000000" w:themeColor="text1"/>
        </w:rPr>
        <w:t>C</w:t>
      </w:r>
      <w:r w:rsidRPr="003B66BF">
        <w:rPr>
          <w:rFonts w:ascii="Arial" w:hAnsi="Arial" w:cs="Arial"/>
          <w:b/>
          <w:bCs/>
          <w:color w:val="000000" w:themeColor="text1"/>
        </w:rPr>
        <w:t>hallenges</w:t>
      </w:r>
      <w:bookmarkEnd w:id="25"/>
    </w:p>
    <w:p w14:paraId="5A4EEAE4" w14:textId="77777777" w:rsidR="0034337A" w:rsidRPr="003B66BF" w:rsidRDefault="0034337A" w:rsidP="0034337A">
      <w:pPr>
        <w:pStyle w:val="NormalWeb"/>
        <w:spacing w:before="240" w:after="240"/>
        <w:jc w:val="both"/>
        <w:rPr>
          <w:rFonts w:ascii="Arial" w:hAnsi="Arial" w:cs="Arial"/>
          <w:sz w:val="22"/>
          <w:szCs w:val="22"/>
        </w:rPr>
      </w:pPr>
      <w:r w:rsidRPr="003B66BF">
        <w:rPr>
          <w:rFonts w:ascii="Arial" w:hAnsi="Arial" w:cs="Arial"/>
          <w:sz w:val="22"/>
          <w:szCs w:val="22"/>
        </w:rPr>
        <w:t>Despite progress in laws, institutions, and pilots, Cambodia still faces structural and operational barriers to effective coastal and marine ecosystem and biodiversity management. These gaps cut across policy, governance, technical, financial, social, and regional dimensions and constrain responses to the transboundary issues identified earlier (PEMSEA &amp; MoE, 2019; World Bank, 2021).</w:t>
      </w:r>
    </w:p>
    <w:p w14:paraId="2FFFBBC8" w14:textId="77777777" w:rsidR="001F7A12" w:rsidRDefault="0034337A" w:rsidP="001F7A12">
      <w:pPr>
        <w:spacing w:before="240" w:after="240"/>
        <w:jc w:val="both"/>
        <w:rPr>
          <w:rFonts w:ascii="Arial" w:hAnsi="Arial" w:cs="Arial"/>
          <w:b/>
          <w:bCs/>
          <w:sz w:val="22"/>
          <w:szCs w:val="22"/>
        </w:rPr>
      </w:pPr>
      <w:r w:rsidRPr="001F7A12">
        <w:rPr>
          <w:rFonts w:ascii="Arial" w:hAnsi="Arial" w:cs="Arial"/>
          <w:b/>
          <w:bCs/>
          <w:sz w:val="22"/>
          <w:szCs w:val="22"/>
        </w:rPr>
        <w:t>Policy and Legal Gaps</w:t>
      </w:r>
      <w:r w:rsidR="001F7A12">
        <w:rPr>
          <w:rFonts w:ascii="Arial" w:hAnsi="Arial" w:cs="Arial"/>
          <w:b/>
          <w:bCs/>
          <w:sz w:val="22"/>
          <w:szCs w:val="22"/>
        </w:rPr>
        <w:t xml:space="preserve">: </w:t>
      </w:r>
      <w:r w:rsidRPr="003B66BF">
        <w:rPr>
          <w:rFonts w:ascii="Arial" w:hAnsi="Arial" w:cs="Arial"/>
          <w:sz w:val="22"/>
          <w:szCs w:val="22"/>
        </w:rPr>
        <w:t>Cambodia has core environmental and sectoral laws—the Code on Environment and Natural Resource (2023), the Law on Fisheries (2007), and the Protected Areas Law (2008)—but they do not yet amount to an enforceable, integrated coastal zone management regime; mandates are dispersed and coordination provisions are limited (PEMSEA &amp; MoE, 2019). While environmental impact assessments are required (Sub-Decree on the Environmental Impact Assessment Process), practice and monitoring have been uneven, and cumulative/</w:t>
      </w:r>
      <w:r w:rsidR="002B2BF8" w:rsidRPr="003B66BF">
        <w:rPr>
          <w:rFonts w:ascii="Arial" w:hAnsi="Arial" w:cs="Arial"/>
          <w:sz w:val="22"/>
          <w:szCs w:val="22"/>
        </w:rPr>
        <w:t xml:space="preserve"> </w:t>
      </w:r>
      <w:r w:rsidRPr="003B66BF">
        <w:rPr>
          <w:rFonts w:ascii="Arial" w:hAnsi="Arial" w:cs="Arial"/>
          <w:sz w:val="22"/>
          <w:szCs w:val="22"/>
        </w:rPr>
        <w:t>transboundary effects are rarely assessed systematically (Royal Government of Cambodia, 1999; Cambodia Law &amp; Policy Journal, 2015). Pollution control and marine-litter provisions are still developing; recent policy work urges clearer standards and penalties for coastal dischargers and port/oil-spill risks (PEMSEA &amp; MoE, 2019; World Bank, 2021).</w:t>
      </w:r>
    </w:p>
    <w:p w14:paraId="0636A9A5" w14:textId="7B596835" w:rsidR="0034337A" w:rsidRPr="001F7A12" w:rsidRDefault="0034337A" w:rsidP="001F7A12">
      <w:pPr>
        <w:spacing w:before="240" w:after="240"/>
        <w:jc w:val="both"/>
        <w:rPr>
          <w:rFonts w:ascii="Arial" w:hAnsi="Arial" w:cs="Arial"/>
          <w:b/>
          <w:bCs/>
          <w:sz w:val="22"/>
          <w:szCs w:val="22"/>
        </w:rPr>
      </w:pPr>
      <w:r w:rsidRPr="001F7A12">
        <w:rPr>
          <w:rFonts w:ascii="Arial" w:hAnsi="Arial" w:cs="Arial"/>
          <w:b/>
          <w:bCs/>
          <w:sz w:val="22"/>
          <w:szCs w:val="22"/>
        </w:rPr>
        <w:t xml:space="preserve">Institutional </w:t>
      </w:r>
      <w:r w:rsidR="001F7A12" w:rsidRPr="001F7A12">
        <w:rPr>
          <w:rFonts w:ascii="Arial" w:hAnsi="Arial" w:cs="Arial"/>
          <w:b/>
          <w:bCs/>
          <w:sz w:val="22"/>
          <w:szCs w:val="22"/>
        </w:rPr>
        <w:t>and governance challenges</w:t>
      </w:r>
      <w:r w:rsidR="001F7A12">
        <w:rPr>
          <w:rFonts w:ascii="Arial" w:hAnsi="Arial" w:cs="Arial"/>
          <w:b/>
          <w:bCs/>
          <w:sz w:val="22"/>
          <w:szCs w:val="22"/>
        </w:rPr>
        <w:t xml:space="preserve">: </w:t>
      </w:r>
      <w:r w:rsidRPr="003B66BF">
        <w:rPr>
          <w:rFonts w:ascii="Arial" w:hAnsi="Arial" w:cs="Arial"/>
          <w:sz w:val="22"/>
          <w:szCs w:val="22"/>
        </w:rPr>
        <w:t>Institutional capacity constraints—staffing, equipment, and budget—limit monitoring and enforcement at provincial level for both MoE and the Fisheries Administration (PEMSEA &amp; MoE, 2019). Overlaps among MoE, MAFF, MLMUPC and sub-national authorities create gaps and duplication without a robust, formal coordination mechanism for the coast (PEMSEA &amp; MoE, 2019). Decentralization has expanded local roles, but many sub-national administrations and community institutions (CFis/CPAs) still need stronger legal authority and sustained support to enforce rules (PEMSEA &amp; MoE, 2019).</w:t>
      </w:r>
    </w:p>
    <w:p w14:paraId="58AFE340" w14:textId="34D94A9A" w:rsidR="0034337A" w:rsidRPr="001F7A12" w:rsidRDefault="0034337A" w:rsidP="001F7A12">
      <w:pPr>
        <w:spacing w:before="240" w:after="240"/>
        <w:jc w:val="both"/>
        <w:rPr>
          <w:rFonts w:ascii="Arial" w:hAnsi="Arial" w:cs="Arial"/>
          <w:b/>
          <w:bCs/>
          <w:sz w:val="22"/>
          <w:szCs w:val="22"/>
        </w:rPr>
      </w:pPr>
      <w:r w:rsidRPr="001F7A12">
        <w:rPr>
          <w:rFonts w:ascii="Arial" w:hAnsi="Arial" w:cs="Arial"/>
          <w:b/>
          <w:bCs/>
          <w:sz w:val="22"/>
          <w:szCs w:val="22"/>
        </w:rPr>
        <w:t xml:space="preserve">Technical </w:t>
      </w:r>
      <w:r w:rsidR="001F7A12" w:rsidRPr="001F7A12">
        <w:rPr>
          <w:rFonts w:ascii="Arial" w:hAnsi="Arial" w:cs="Arial"/>
          <w:b/>
          <w:bCs/>
          <w:sz w:val="22"/>
          <w:szCs w:val="22"/>
        </w:rPr>
        <w:t>and data gaps</w:t>
      </w:r>
      <w:r w:rsidR="001F7A12">
        <w:rPr>
          <w:rFonts w:ascii="Arial" w:hAnsi="Arial" w:cs="Arial"/>
          <w:b/>
          <w:bCs/>
          <w:sz w:val="22"/>
          <w:szCs w:val="22"/>
        </w:rPr>
        <w:t xml:space="preserve">: </w:t>
      </w:r>
      <w:r w:rsidRPr="003B66BF">
        <w:rPr>
          <w:rFonts w:ascii="Arial" w:hAnsi="Arial" w:cs="Arial"/>
          <w:sz w:val="22"/>
          <w:szCs w:val="22"/>
        </w:rPr>
        <w:t>Long-term, spatially consistent datasets on habitat condition, fish stocks, pollution, and biodiversity remain limited and fragmented across agencies; no centralized open system curates coastal/marine data for decision-making (PEMSEA &amp; MoE, 2019). National and regional studies note gaps in microplastics, species movements, and socio-economic impact evidence and call for harmonized indicators and joint monitoring (GIZ, 2024; MRC, 2024; PEMSEA &amp; MoE, 2019). Laboratory capacity, remote-sensing/GIS tools, and routine staff training in ecosystem-based management and climate risk assessment are still insufficient in many coastal provinces (PEMSEA &amp; MoE, 2019).</w:t>
      </w:r>
    </w:p>
    <w:p w14:paraId="3129155A" w14:textId="77777777" w:rsidR="001F7A12" w:rsidRDefault="0034337A" w:rsidP="001F7A12">
      <w:pPr>
        <w:spacing w:before="240" w:after="240"/>
        <w:jc w:val="both"/>
        <w:rPr>
          <w:rFonts w:ascii="Arial" w:hAnsi="Arial" w:cs="Arial"/>
          <w:b/>
          <w:bCs/>
          <w:sz w:val="22"/>
          <w:szCs w:val="22"/>
        </w:rPr>
      </w:pPr>
      <w:r w:rsidRPr="001F7A12">
        <w:rPr>
          <w:rFonts w:ascii="Arial" w:hAnsi="Arial" w:cs="Arial"/>
          <w:b/>
          <w:bCs/>
          <w:sz w:val="22"/>
          <w:szCs w:val="22"/>
        </w:rPr>
        <w:t xml:space="preserve">Financial </w:t>
      </w:r>
      <w:r w:rsidR="001F7A12" w:rsidRPr="001F7A12">
        <w:rPr>
          <w:rFonts w:ascii="Arial" w:hAnsi="Arial" w:cs="Arial"/>
          <w:b/>
          <w:bCs/>
          <w:sz w:val="22"/>
          <w:szCs w:val="22"/>
        </w:rPr>
        <w:t>constraints</w:t>
      </w:r>
      <w:r w:rsidR="001F7A12">
        <w:rPr>
          <w:rFonts w:ascii="Arial" w:hAnsi="Arial" w:cs="Arial"/>
          <w:b/>
          <w:bCs/>
          <w:sz w:val="22"/>
          <w:szCs w:val="22"/>
        </w:rPr>
        <w:t xml:space="preserve">: </w:t>
      </w:r>
      <w:r w:rsidRPr="003B66BF">
        <w:rPr>
          <w:rFonts w:ascii="Arial" w:hAnsi="Arial" w:cs="Arial"/>
          <w:sz w:val="22"/>
          <w:szCs w:val="22"/>
        </w:rPr>
        <w:t>Budgets for environmental monitoring, compliance, and community engagement are modest relative to need; donor projects are often time-bound and site-specific, with limited mechanisms for sustained O&amp;M (PEMSEA &amp; MoE, 2019; World Bank, 2021). Economic instruments (e.g., MPA user fees, pollution charges, and PES/blue-carbon finance) are nascent, constraining durable financing for MPA enforcement and pollution control (World Bank, 2021).</w:t>
      </w:r>
    </w:p>
    <w:p w14:paraId="346C86B9" w14:textId="77777777" w:rsidR="001F7A12" w:rsidRDefault="0034337A" w:rsidP="001F7A12">
      <w:pPr>
        <w:spacing w:before="240" w:after="240"/>
        <w:jc w:val="both"/>
        <w:rPr>
          <w:rFonts w:ascii="Arial" w:hAnsi="Arial" w:cs="Arial"/>
          <w:b/>
          <w:bCs/>
          <w:sz w:val="22"/>
          <w:szCs w:val="22"/>
        </w:rPr>
      </w:pPr>
      <w:r w:rsidRPr="001F7A12">
        <w:rPr>
          <w:rFonts w:ascii="Arial" w:hAnsi="Arial" w:cs="Arial"/>
          <w:b/>
          <w:bCs/>
          <w:sz w:val="22"/>
          <w:szCs w:val="22"/>
        </w:rPr>
        <w:t xml:space="preserve">Enforcement </w:t>
      </w:r>
      <w:r w:rsidR="001F7A12" w:rsidRPr="001F7A12">
        <w:rPr>
          <w:rFonts w:ascii="Arial" w:hAnsi="Arial" w:cs="Arial"/>
          <w:b/>
          <w:bCs/>
          <w:sz w:val="22"/>
          <w:szCs w:val="22"/>
        </w:rPr>
        <w:t>and compliance issues</w:t>
      </w:r>
      <w:r w:rsidR="001F7A12">
        <w:rPr>
          <w:rFonts w:ascii="Arial" w:hAnsi="Arial" w:cs="Arial"/>
          <w:b/>
          <w:bCs/>
          <w:sz w:val="22"/>
          <w:szCs w:val="22"/>
        </w:rPr>
        <w:t xml:space="preserve">: </w:t>
      </w:r>
      <w:r w:rsidRPr="003B66BF">
        <w:rPr>
          <w:rFonts w:ascii="Arial" w:hAnsi="Arial" w:cs="Arial"/>
          <w:sz w:val="22"/>
          <w:szCs w:val="22"/>
        </w:rPr>
        <w:t>Illegal mangrove clearance, unregulated coastal construction, and untreated industrial discharges persist amid limited inspections and sanctions (PEMSEA &amp; MoE, 2019). For fisheries, patrols and monitoring-control-surveillance remain capacity-constrained; Cambodia adopted the National Plan of Action to Prevent, Deter and Eliminate IUU Fishing (2020–2024) and the National Plan of Control and Inspection for Marine Fisheries (2020–2024), but implementation challenges remain (</w:t>
      </w:r>
      <w:r w:rsidR="00D40751" w:rsidRPr="003B66BF">
        <w:rPr>
          <w:rFonts w:ascii="Arial" w:hAnsi="Arial" w:cs="Arial"/>
          <w:sz w:val="22"/>
          <w:szCs w:val="22"/>
        </w:rPr>
        <w:t>FiA</w:t>
      </w:r>
      <w:r w:rsidRPr="003B66BF">
        <w:rPr>
          <w:rFonts w:ascii="Arial" w:hAnsi="Arial" w:cs="Arial"/>
          <w:sz w:val="22"/>
          <w:szCs w:val="22"/>
        </w:rPr>
        <w:t>/MAFF, 2020a, 2020b; SEAFDEC, 2025). Judicial handling of environmental cases and the sensitivity of actions involving influential actors also weaken deterrence (PEMSEA &amp; MoE, 2019).</w:t>
      </w:r>
    </w:p>
    <w:p w14:paraId="73B3E1BA" w14:textId="77777777" w:rsidR="001F7A12" w:rsidRDefault="0034337A" w:rsidP="001F7A12">
      <w:pPr>
        <w:spacing w:before="240" w:after="240"/>
        <w:jc w:val="both"/>
        <w:rPr>
          <w:rFonts w:ascii="Arial" w:hAnsi="Arial" w:cs="Arial"/>
          <w:b/>
          <w:bCs/>
          <w:sz w:val="22"/>
          <w:szCs w:val="22"/>
        </w:rPr>
      </w:pPr>
      <w:r w:rsidRPr="001F7A12">
        <w:rPr>
          <w:rFonts w:ascii="Arial" w:hAnsi="Arial" w:cs="Arial"/>
          <w:b/>
          <w:bCs/>
          <w:sz w:val="22"/>
          <w:szCs w:val="22"/>
        </w:rPr>
        <w:t xml:space="preserve">Limited </w:t>
      </w:r>
      <w:r w:rsidR="001F7A12" w:rsidRPr="001F7A12">
        <w:rPr>
          <w:rFonts w:ascii="Arial" w:hAnsi="Arial" w:cs="Arial"/>
          <w:b/>
          <w:bCs/>
          <w:sz w:val="22"/>
          <w:szCs w:val="22"/>
        </w:rPr>
        <w:t>awareness and participation</w:t>
      </w:r>
      <w:r w:rsidR="001F7A12">
        <w:rPr>
          <w:rFonts w:ascii="Arial" w:hAnsi="Arial" w:cs="Arial"/>
          <w:b/>
          <w:bCs/>
          <w:sz w:val="22"/>
          <w:szCs w:val="22"/>
        </w:rPr>
        <w:t xml:space="preserve">: </w:t>
      </w:r>
      <w:r w:rsidRPr="003B66BF">
        <w:rPr>
          <w:rFonts w:ascii="Arial" w:hAnsi="Arial" w:cs="Arial"/>
          <w:sz w:val="22"/>
          <w:szCs w:val="22"/>
        </w:rPr>
        <w:t>Public awareness of long-term ecological consequences remains uneven; private investors may lack incentives or knowledge to comply with safeguards. Where community CFis/CPAs are engaged, results improve, but inclusive consultation and co-management are not yet systematic across provinces (PEMSEA &amp; MoE, 2019).</w:t>
      </w:r>
    </w:p>
    <w:p w14:paraId="7D6E1D7C" w14:textId="3F45CC1A" w:rsidR="008941DA" w:rsidRPr="001F7A12" w:rsidRDefault="0034337A" w:rsidP="001F7A12">
      <w:pPr>
        <w:spacing w:before="240" w:after="240"/>
        <w:jc w:val="both"/>
        <w:rPr>
          <w:rFonts w:ascii="Arial" w:hAnsi="Arial" w:cs="Arial"/>
          <w:b/>
          <w:bCs/>
          <w:sz w:val="22"/>
          <w:szCs w:val="22"/>
        </w:rPr>
      </w:pPr>
      <w:r w:rsidRPr="001F7A12">
        <w:rPr>
          <w:rFonts w:ascii="Arial" w:hAnsi="Arial" w:cs="Arial"/>
          <w:b/>
          <w:bCs/>
          <w:sz w:val="22"/>
          <w:szCs w:val="22"/>
        </w:rPr>
        <w:t xml:space="preserve">Regional and </w:t>
      </w:r>
      <w:r w:rsidR="001F7A12" w:rsidRPr="001F7A12">
        <w:rPr>
          <w:rFonts w:ascii="Arial" w:hAnsi="Arial" w:cs="Arial"/>
          <w:b/>
          <w:bCs/>
          <w:sz w:val="22"/>
          <w:szCs w:val="22"/>
        </w:rPr>
        <w:t>transboundary challenges</w:t>
      </w:r>
      <w:r w:rsidR="001F7A12">
        <w:rPr>
          <w:rFonts w:ascii="Arial" w:hAnsi="Arial" w:cs="Arial"/>
          <w:b/>
          <w:bCs/>
          <w:sz w:val="22"/>
          <w:szCs w:val="22"/>
        </w:rPr>
        <w:t xml:space="preserve">: </w:t>
      </w:r>
      <w:r w:rsidRPr="003B66BF">
        <w:rPr>
          <w:rFonts w:ascii="Arial" w:hAnsi="Arial" w:cs="Arial"/>
          <w:sz w:val="22"/>
          <w:szCs w:val="22"/>
        </w:rPr>
        <w:t xml:space="preserve">Cambodia participates in </w:t>
      </w:r>
      <w:r w:rsidRPr="003B66BF">
        <w:rPr>
          <w:rFonts w:ascii="Arial" w:hAnsi="Arial" w:cs="Arial"/>
          <w:b/>
          <w:bCs/>
          <w:sz w:val="22"/>
          <w:szCs w:val="22"/>
        </w:rPr>
        <w:t>ASEAN</w:t>
      </w:r>
      <w:r w:rsidRPr="003B66BF">
        <w:rPr>
          <w:rFonts w:ascii="Arial" w:hAnsi="Arial" w:cs="Arial"/>
          <w:sz w:val="22"/>
          <w:szCs w:val="22"/>
        </w:rPr>
        <w:t xml:space="preserve">, </w:t>
      </w:r>
      <w:r w:rsidRPr="003B66BF">
        <w:rPr>
          <w:rFonts w:ascii="Arial" w:hAnsi="Arial" w:cs="Arial"/>
          <w:b/>
          <w:bCs/>
          <w:sz w:val="22"/>
          <w:szCs w:val="22"/>
        </w:rPr>
        <w:t>COBSEA</w:t>
      </w:r>
      <w:r w:rsidRPr="003B66BF">
        <w:rPr>
          <w:rFonts w:ascii="Arial" w:hAnsi="Arial" w:cs="Arial"/>
          <w:sz w:val="22"/>
          <w:szCs w:val="22"/>
        </w:rPr>
        <w:t xml:space="preserve">, and </w:t>
      </w:r>
      <w:r w:rsidRPr="003B66BF">
        <w:rPr>
          <w:rFonts w:ascii="Arial" w:hAnsi="Arial" w:cs="Arial"/>
          <w:b/>
          <w:bCs/>
          <w:sz w:val="22"/>
          <w:szCs w:val="22"/>
        </w:rPr>
        <w:t>PEMSEA</w:t>
      </w:r>
      <w:r w:rsidRPr="003B66BF">
        <w:rPr>
          <w:rFonts w:ascii="Arial" w:hAnsi="Arial" w:cs="Arial"/>
          <w:sz w:val="22"/>
          <w:szCs w:val="22"/>
        </w:rPr>
        <w:t>, yet joint monitoring, harmonized standards, and shared stock assessments remain limited; oil-spill readiness and marine-litter monitoring are not fully aligned across Gulf countries (PEMSEA &amp; MoE, 2019). Disparities in legal frameworks and capacity across borders create enforcement loopholes exploited by IUU fleets (</w:t>
      </w:r>
      <w:r w:rsidR="00D40751" w:rsidRPr="003B66BF">
        <w:rPr>
          <w:rFonts w:ascii="Arial" w:hAnsi="Arial" w:cs="Arial"/>
          <w:sz w:val="22"/>
          <w:szCs w:val="22"/>
        </w:rPr>
        <w:t>FiA</w:t>
      </w:r>
      <w:r w:rsidRPr="003B66BF">
        <w:rPr>
          <w:rFonts w:ascii="Arial" w:hAnsi="Arial" w:cs="Arial"/>
          <w:sz w:val="22"/>
          <w:szCs w:val="22"/>
        </w:rPr>
        <w:t>/MAFF, 2020a, 2020b).</w:t>
      </w:r>
    </w:p>
    <w:p w14:paraId="046E2419" w14:textId="77777777" w:rsidR="003867DE" w:rsidRPr="003B66BF" w:rsidRDefault="003867DE" w:rsidP="00A11186">
      <w:pPr>
        <w:pStyle w:val="Heading3"/>
        <w:numPr>
          <w:ilvl w:val="2"/>
          <w:numId w:val="25"/>
        </w:numPr>
        <w:spacing w:before="240" w:after="240"/>
        <w:jc w:val="both"/>
        <w:rPr>
          <w:rFonts w:ascii="Arial" w:hAnsi="Arial" w:cs="Arial"/>
          <w:b/>
          <w:bCs/>
          <w:color w:val="000000" w:themeColor="text1"/>
        </w:rPr>
      </w:pPr>
      <w:bookmarkStart w:id="26" w:name="_Toc217231957"/>
      <w:r w:rsidRPr="003B66BF">
        <w:rPr>
          <w:rFonts w:ascii="Arial" w:hAnsi="Arial" w:cs="Arial"/>
          <w:b/>
          <w:bCs/>
          <w:color w:val="000000" w:themeColor="text1"/>
        </w:rPr>
        <w:t>Recommended priority actions</w:t>
      </w:r>
      <w:bookmarkEnd w:id="26"/>
    </w:p>
    <w:p w14:paraId="1BC26532" w14:textId="3A72059D" w:rsidR="00770DF2" w:rsidRPr="00770DF2" w:rsidRDefault="00770DF2" w:rsidP="00770DF2">
      <w:pPr>
        <w:adjustRightInd w:val="0"/>
        <w:snapToGrid w:val="0"/>
        <w:spacing w:before="240" w:after="120"/>
        <w:jc w:val="both"/>
        <w:rPr>
          <w:rFonts w:ascii="Arial" w:hAnsi="Arial" w:cs="Arial"/>
          <w:b/>
          <w:bCs/>
          <w:i/>
          <w:iCs/>
          <w:color w:val="000000" w:themeColor="text1"/>
          <w:sz w:val="22"/>
          <w:szCs w:val="22"/>
        </w:rPr>
      </w:pPr>
      <w:r w:rsidRPr="00770DF2">
        <w:rPr>
          <w:rFonts w:ascii="Arial" w:hAnsi="Arial" w:cs="Arial"/>
          <w:b/>
          <w:bCs/>
          <w:i/>
          <w:iCs/>
          <w:color w:val="000000" w:themeColor="text1"/>
          <w:sz w:val="22"/>
          <w:szCs w:val="22"/>
        </w:rPr>
        <w:t>a) Strengthening legal and policy frameworks</w:t>
      </w:r>
    </w:p>
    <w:p w14:paraId="21CC0C4C" w14:textId="78EC4A71" w:rsidR="00770DF2" w:rsidRPr="00770DF2" w:rsidRDefault="00770DF2" w:rsidP="00770DF2">
      <w:pPr>
        <w:pStyle w:val="NormalWeb"/>
        <w:adjustRightInd w:val="0"/>
        <w:snapToGrid w:val="0"/>
        <w:spacing w:before="120" w:beforeAutospacing="0" w:after="120" w:afterAutospacing="0"/>
        <w:jc w:val="both"/>
        <w:rPr>
          <w:rFonts w:ascii="Arial" w:hAnsi="Arial" w:cs="Arial"/>
          <w:sz w:val="22"/>
          <w:szCs w:val="22"/>
        </w:rPr>
      </w:pPr>
      <w:r>
        <w:rPr>
          <w:rFonts w:ascii="Arial" w:hAnsi="Arial" w:cs="Arial"/>
          <w:sz w:val="22"/>
          <w:szCs w:val="22"/>
        </w:rPr>
        <w:t>E</w:t>
      </w:r>
      <w:r w:rsidRPr="00770DF2">
        <w:rPr>
          <w:rFonts w:ascii="Arial" w:hAnsi="Arial" w:cs="Arial"/>
          <w:sz w:val="22"/>
          <w:szCs w:val="22"/>
        </w:rPr>
        <w:t>xisting laws should be revised and operationalized with explicit ICZM provisions, and the mandate of the NCCMD clarified. A National Coastal and Marine Policy should align ministry roles and set measurable objectives for pollution control, habitat conservation, and fisheries management. In the medium term, marine spatial planning (MSP) regulations should be enacted to zone areas for conservation, fisheries, industry, and tourism, anchored in the Pentagonal Strategy and SDG 14.</w:t>
      </w:r>
    </w:p>
    <w:p w14:paraId="27F665E8" w14:textId="244CFCEF" w:rsidR="00770DF2" w:rsidRPr="00770DF2" w:rsidRDefault="00770DF2" w:rsidP="00770DF2">
      <w:pPr>
        <w:adjustRightInd w:val="0"/>
        <w:snapToGrid w:val="0"/>
        <w:spacing w:before="240" w:after="120"/>
        <w:jc w:val="both"/>
        <w:rPr>
          <w:rFonts w:ascii="Arial" w:hAnsi="Arial" w:cs="Arial"/>
          <w:b/>
          <w:bCs/>
          <w:i/>
          <w:iCs/>
          <w:color w:val="000000" w:themeColor="text1"/>
          <w:sz w:val="22"/>
          <w:szCs w:val="22"/>
        </w:rPr>
      </w:pPr>
      <w:r w:rsidRPr="00770DF2">
        <w:rPr>
          <w:rFonts w:ascii="Arial" w:hAnsi="Arial" w:cs="Arial"/>
          <w:b/>
          <w:bCs/>
          <w:i/>
          <w:iCs/>
          <w:color w:val="000000" w:themeColor="text1"/>
          <w:sz w:val="22"/>
          <w:szCs w:val="22"/>
        </w:rPr>
        <w:t>b) Building institutional capacity and coordination</w:t>
      </w:r>
    </w:p>
    <w:p w14:paraId="2C0080A6" w14:textId="434E2536" w:rsidR="00770DF2" w:rsidRPr="00770DF2" w:rsidRDefault="00770DF2" w:rsidP="00770DF2">
      <w:pPr>
        <w:pStyle w:val="NormalWeb"/>
        <w:adjustRightInd w:val="0"/>
        <w:snapToGrid w:val="0"/>
        <w:spacing w:before="120" w:beforeAutospacing="0" w:after="120" w:afterAutospacing="0"/>
        <w:jc w:val="both"/>
        <w:rPr>
          <w:rFonts w:ascii="Arial" w:hAnsi="Arial" w:cs="Arial"/>
          <w:sz w:val="22"/>
          <w:szCs w:val="22"/>
        </w:rPr>
      </w:pPr>
      <w:r w:rsidRPr="00770DF2">
        <w:rPr>
          <w:rFonts w:ascii="Arial" w:hAnsi="Arial" w:cs="Arial"/>
          <w:sz w:val="22"/>
          <w:szCs w:val="22"/>
        </w:rPr>
        <w:t>Priorities include expanding MoE coastal monitoring units with laboratory capacity and GIS/remote-sensing capability, and formalizing an inter-ministerial ICZM mechanism (MoE, FiA/MAFF, MLMUPC, and provinces) to resolve overlaps and improve implementation. Decentralization should be strengthened through training on coastal planning, enforcement, and climate risk for subnational authorities. Community governance should be reinforced by supporting CFis/CPAs with legal recognition, technical training, and micro-grants, scaling lessons from Peam Krasop and Koh Rong.</w:t>
      </w:r>
    </w:p>
    <w:p w14:paraId="71CE0C4F" w14:textId="0CBFC628" w:rsidR="00770DF2" w:rsidRDefault="00770DF2" w:rsidP="00770DF2">
      <w:pPr>
        <w:adjustRightInd w:val="0"/>
        <w:snapToGrid w:val="0"/>
        <w:spacing w:before="240" w:after="120"/>
        <w:jc w:val="both"/>
        <w:rPr>
          <w:rFonts w:ascii="Arial" w:hAnsi="Arial" w:cs="Arial"/>
          <w:b/>
          <w:bCs/>
          <w:i/>
          <w:iCs/>
          <w:color w:val="000000" w:themeColor="text1"/>
          <w:sz w:val="22"/>
          <w:szCs w:val="22"/>
        </w:rPr>
      </w:pPr>
      <w:r w:rsidRPr="00770DF2">
        <w:rPr>
          <w:rFonts w:ascii="Arial" w:hAnsi="Arial" w:cs="Arial"/>
          <w:b/>
          <w:bCs/>
          <w:i/>
          <w:iCs/>
          <w:color w:val="000000" w:themeColor="text1"/>
          <w:sz w:val="22"/>
          <w:szCs w:val="22"/>
        </w:rPr>
        <w:t>c) Enhancing data, research, and technology</w:t>
      </w:r>
    </w:p>
    <w:p w14:paraId="2A542D42" w14:textId="7C26A67D" w:rsidR="00770DF2" w:rsidRPr="00770DF2" w:rsidRDefault="00770DF2" w:rsidP="00770DF2">
      <w:pPr>
        <w:adjustRightInd w:val="0"/>
        <w:snapToGrid w:val="0"/>
        <w:spacing w:before="240" w:after="120"/>
        <w:jc w:val="both"/>
        <w:rPr>
          <w:rFonts w:ascii="Arial" w:hAnsi="Arial" w:cs="Arial"/>
          <w:b/>
          <w:bCs/>
          <w:i/>
          <w:iCs/>
          <w:color w:val="000000" w:themeColor="text1"/>
          <w:sz w:val="22"/>
          <w:szCs w:val="22"/>
        </w:rPr>
      </w:pPr>
      <w:r w:rsidRPr="00770DF2">
        <w:rPr>
          <w:rFonts w:ascii="Arial" w:hAnsi="Arial" w:cs="Arial"/>
          <w:sz w:val="22"/>
          <w:szCs w:val="22"/>
        </w:rPr>
        <w:t>A national coastal–marine data centre hosted by MoE should curate water quality, habitat maps, fisheries, and socio-economic data and connect to regional platforms. Long-term monitoring should be expanded for nutrients, marine litter, habitat condition, and fish stocks, supported by Sentinel/satellite mapping, drones for patrols, and VMS/e-CDT for fisheries. Partnerships with universities, UNEP/COBSEA/PEMSEA, and development partners should support methods and technology transfer.</w:t>
      </w:r>
    </w:p>
    <w:p w14:paraId="6ABE4EE4" w14:textId="77777777" w:rsidR="00770DF2" w:rsidRDefault="00770DF2" w:rsidP="00770DF2">
      <w:pPr>
        <w:keepNext/>
        <w:adjustRightInd w:val="0"/>
        <w:snapToGrid w:val="0"/>
        <w:spacing w:before="240" w:after="120"/>
        <w:jc w:val="both"/>
        <w:rPr>
          <w:rFonts w:ascii="Arial" w:hAnsi="Arial" w:cs="Arial"/>
          <w:b/>
          <w:bCs/>
          <w:i/>
          <w:iCs/>
          <w:color w:val="000000" w:themeColor="text1"/>
          <w:sz w:val="22"/>
          <w:szCs w:val="22"/>
        </w:rPr>
      </w:pPr>
      <w:r w:rsidRPr="00770DF2">
        <w:rPr>
          <w:rFonts w:ascii="Arial" w:hAnsi="Arial" w:cs="Arial"/>
          <w:b/>
          <w:bCs/>
          <w:i/>
          <w:iCs/>
          <w:color w:val="000000" w:themeColor="text1"/>
          <w:sz w:val="22"/>
          <w:szCs w:val="22"/>
        </w:rPr>
        <w:t>d) Securing sustainable financing</w:t>
      </w:r>
    </w:p>
    <w:p w14:paraId="7A59055B" w14:textId="22D1EEAE" w:rsidR="00770DF2" w:rsidRPr="00770DF2" w:rsidRDefault="00770DF2" w:rsidP="00770DF2">
      <w:pPr>
        <w:adjustRightInd w:val="0"/>
        <w:snapToGrid w:val="0"/>
        <w:spacing w:before="240" w:after="120"/>
        <w:jc w:val="both"/>
        <w:rPr>
          <w:rFonts w:ascii="Arial" w:hAnsi="Arial" w:cs="Arial"/>
          <w:b/>
          <w:bCs/>
          <w:i/>
          <w:iCs/>
          <w:color w:val="000000" w:themeColor="text1"/>
          <w:sz w:val="22"/>
          <w:szCs w:val="22"/>
        </w:rPr>
      </w:pPr>
      <w:r w:rsidRPr="00770DF2">
        <w:rPr>
          <w:rFonts w:ascii="Arial" w:hAnsi="Arial" w:cs="Arial"/>
          <w:sz w:val="22"/>
          <w:szCs w:val="22"/>
        </w:rPr>
        <w:t>Financing should combine higher domestic allocations with instruments such as MPA user fees/eco-levies, payments for ecosystem services, and blue-carbon finance for mangroves/seagrass. Public–private investment should be blended for wastewater and solid-waste infrastructure, and a share of environmental fines earmarked for site-level O&amp;M and community patrols.</w:t>
      </w:r>
    </w:p>
    <w:p w14:paraId="2E8423B7" w14:textId="77777777" w:rsidR="00770DF2" w:rsidRDefault="00770DF2" w:rsidP="00770DF2">
      <w:pPr>
        <w:adjustRightInd w:val="0"/>
        <w:snapToGrid w:val="0"/>
        <w:spacing w:before="240" w:after="120"/>
        <w:jc w:val="both"/>
        <w:rPr>
          <w:rFonts w:ascii="Arial" w:hAnsi="Arial" w:cs="Arial"/>
          <w:b/>
          <w:bCs/>
          <w:i/>
          <w:iCs/>
          <w:color w:val="000000" w:themeColor="text1"/>
          <w:sz w:val="22"/>
          <w:szCs w:val="22"/>
        </w:rPr>
      </w:pPr>
      <w:r w:rsidRPr="00770DF2">
        <w:rPr>
          <w:rFonts w:ascii="Arial" w:hAnsi="Arial" w:cs="Arial"/>
          <w:b/>
          <w:bCs/>
          <w:i/>
          <w:iCs/>
          <w:color w:val="000000" w:themeColor="text1"/>
          <w:sz w:val="22"/>
          <w:szCs w:val="22"/>
        </w:rPr>
        <w:t>e) Strengthening enforcement and compliance</w:t>
      </w:r>
    </w:p>
    <w:p w14:paraId="442F5FBB" w14:textId="48BA4F61" w:rsidR="00770DF2" w:rsidRPr="00770DF2" w:rsidRDefault="00770DF2" w:rsidP="00770DF2">
      <w:pPr>
        <w:adjustRightInd w:val="0"/>
        <w:snapToGrid w:val="0"/>
        <w:spacing w:before="240" w:after="120"/>
        <w:jc w:val="both"/>
        <w:rPr>
          <w:rFonts w:ascii="Arial" w:hAnsi="Arial" w:cs="Arial"/>
          <w:b/>
          <w:bCs/>
          <w:i/>
          <w:iCs/>
          <w:color w:val="000000" w:themeColor="text1"/>
          <w:sz w:val="22"/>
          <w:szCs w:val="22"/>
        </w:rPr>
      </w:pPr>
      <w:r w:rsidRPr="00770DF2">
        <w:rPr>
          <w:rFonts w:ascii="Arial" w:hAnsi="Arial" w:cs="Arial"/>
          <w:sz w:val="22"/>
          <w:szCs w:val="22"/>
        </w:rPr>
        <w:t>Resources for inspectors and MCS patrols should increase, alongside graduated, transparent penalties and case tracking. Risk-based inspections should be expanded and supported by wider roll-out of VMS/e-CDT. Community co-enforcement should be enabled through hotlines and feedback loops that trigger action and ensure report-back.</w:t>
      </w:r>
    </w:p>
    <w:p w14:paraId="01AC6ED5" w14:textId="77777777" w:rsidR="00770DF2" w:rsidRDefault="00770DF2" w:rsidP="00770DF2">
      <w:pPr>
        <w:adjustRightInd w:val="0"/>
        <w:snapToGrid w:val="0"/>
        <w:spacing w:before="240" w:after="120"/>
        <w:jc w:val="both"/>
        <w:rPr>
          <w:rFonts w:ascii="Arial" w:hAnsi="Arial" w:cs="Arial"/>
          <w:b/>
          <w:bCs/>
          <w:i/>
          <w:iCs/>
          <w:color w:val="000000" w:themeColor="text1"/>
          <w:sz w:val="22"/>
          <w:szCs w:val="22"/>
        </w:rPr>
      </w:pPr>
      <w:r w:rsidRPr="00770DF2">
        <w:rPr>
          <w:rFonts w:ascii="Arial" w:hAnsi="Arial" w:cs="Arial"/>
          <w:b/>
          <w:bCs/>
          <w:i/>
          <w:iCs/>
          <w:color w:val="000000" w:themeColor="text1"/>
          <w:sz w:val="22"/>
          <w:szCs w:val="22"/>
        </w:rPr>
        <w:t>f) Raising awareness and education</w:t>
      </w:r>
    </w:p>
    <w:p w14:paraId="68786385" w14:textId="453E4A12" w:rsidR="00770DF2" w:rsidRPr="00770DF2" w:rsidRDefault="00770DF2" w:rsidP="00770DF2">
      <w:pPr>
        <w:adjustRightInd w:val="0"/>
        <w:snapToGrid w:val="0"/>
        <w:spacing w:before="240" w:after="120"/>
        <w:jc w:val="both"/>
        <w:rPr>
          <w:rFonts w:ascii="Arial" w:hAnsi="Arial" w:cs="Arial"/>
          <w:b/>
          <w:bCs/>
          <w:i/>
          <w:iCs/>
          <w:color w:val="000000" w:themeColor="text1"/>
          <w:sz w:val="22"/>
          <w:szCs w:val="22"/>
        </w:rPr>
      </w:pPr>
      <w:r w:rsidRPr="00770DF2">
        <w:rPr>
          <w:rFonts w:ascii="Arial" w:hAnsi="Arial" w:cs="Arial"/>
          <w:sz w:val="22"/>
          <w:szCs w:val="22"/>
        </w:rPr>
        <w:t>Targeted campaigns for communities and operators should emphasize ecosystem values and the costs of degradation. Coastal topics should be integrated into school curricula, while green-tourism certification and marina/harbour best practices are promoted. National marine-litter awareness and source-reduction programmes should be expanded.</w:t>
      </w:r>
    </w:p>
    <w:p w14:paraId="0F147BFF" w14:textId="77777777" w:rsidR="00770DF2" w:rsidRDefault="00770DF2" w:rsidP="00770DF2">
      <w:pPr>
        <w:adjustRightInd w:val="0"/>
        <w:snapToGrid w:val="0"/>
        <w:spacing w:before="240" w:after="120"/>
        <w:jc w:val="both"/>
        <w:rPr>
          <w:rFonts w:ascii="Arial" w:hAnsi="Arial" w:cs="Arial"/>
          <w:b/>
          <w:bCs/>
          <w:i/>
          <w:iCs/>
          <w:color w:val="000000" w:themeColor="text1"/>
          <w:sz w:val="22"/>
          <w:szCs w:val="22"/>
        </w:rPr>
      </w:pPr>
      <w:r w:rsidRPr="00770DF2">
        <w:rPr>
          <w:rFonts w:ascii="Arial" w:hAnsi="Arial" w:cs="Arial"/>
          <w:b/>
          <w:bCs/>
          <w:i/>
          <w:iCs/>
          <w:color w:val="000000" w:themeColor="text1"/>
          <w:sz w:val="22"/>
          <w:szCs w:val="22"/>
        </w:rPr>
        <w:t>g) Climate change adaptation and resilience</w:t>
      </w:r>
    </w:p>
    <w:p w14:paraId="6D8ED64E" w14:textId="74557FCB" w:rsidR="00770DF2" w:rsidRPr="00770DF2" w:rsidRDefault="00770DF2" w:rsidP="00770DF2">
      <w:pPr>
        <w:adjustRightInd w:val="0"/>
        <w:snapToGrid w:val="0"/>
        <w:spacing w:before="240" w:after="120"/>
        <w:jc w:val="both"/>
        <w:rPr>
          <w:rFonts w:ascii="Arial" w:hAnsi="Arial" w:cs="Arial"/>
          <w:b/>
          <w:bCs/>
          <w:i/>
          <w:iCs/>
          <w:color w:val="000000" w:themeColor="text1"/>
          <w:sz w:val="22"/>
          <w:szCs w:val="22"/>
        </w:rPr>
      </w:pPr>
      <w:r w:rsidRPr="00770DF2">
        <w:rPr>
          <w:rFonts w:ascii="Arial" w:hAnsi="Arial" w:cs="Arial"/>
          <w:sz w:val="22"/>
          <w:szCs w:val="22"/>
        </w:rPr>
        <w:t>Climate risk screening should be mainstreamed in coastal permits and designs, supported by enforceable setbacks and ecosystem-based adaptation (mangrove restoration; reef/seagrass protection). Early-warning systems should be strengthened and livelihoods diversified (climate-smart aquaculture, eco-tourism). Actions should align with Cambodia’s NDC and NAP to mobilize adaptation finance.</w:t>
      </w:r>
    </w:p>
    <w:p w14:paraId="7D1A3A6E" w14:textId="2E6497FE" w:rsidR="00770DF2" w:rsidRPr="00770DF2" w:rsidRDefault="00770DF2" w:rsidP="00770DF2">
      <w:pPr>
        <w:adjustRightInd w:val="0"/>
        <w:snapToGrid w:val="0"/>
        <w:spacing w:before="240" w:after="120"/>
        <w:jc w:val="both"/>
        <w:rPr>
          <w:rFonts w:ascii="Arial" w:hAnsi="Arial" w:cs="Arial"/>
          <w:b/>
          <w:bCs/>
          <w:i/>
          <w:iCs/>
          <w:color w:val="000000" w:themeColor="text1"/>
          <w:sz w:val="22"/>
          <w:szCs w:val="22"/>
        </w:rPr>
      </w:pPr>
      <w:r w:rsidRPr="00770DF2">
        <w:rPr>
          <w:rFonts w:ascii="Arial" w:hAnsi="Arial" w:cs="Arial"/>
          <w:b/>
          <w:bCs/>
          <w:i/>
          <w:iCs/>
          <w:color w:val="000000" w:themeColor="text1"/>
          <w:sz w:val="22"/>
          <w:szCs w:val="22"/>
        </w:rPr>
        <w:t>h) Regional and transboundary cooperation</w:t>
      </w:r>
    </w:p>
    <w:p w14:paraId="5F023B4D" w14:textId="1BF0D29B" w:rsidR="00770DF2" w:rsidRPr="003B66BF" w:rsidRDefault="00770DF2" w:rsidP="00770DF2">
      <w:pPr>
        <w:pStyle w:val="NormalWeb"/>
        <w:adjustRightInd w:val="0"/>
        <w:snapToGrid w:val="0"/>
        <w:spacing w:before="120" w:beforeAutospacing="0" w:after="120" w:afterAutospacing="0"/>
        <w:jc w:val="both"/>
        <w:rPr>
          <w:rFonts w:ascii="Arial" w:hAnsi="Arial" w:cs="Arial"/>
          <w:sz w:val="22"/>
          <w:szCs w:val="22"/>
        </w:rPr>
      </w:pPr>
      <w:r w:rsidRPr="00770DF2">
        <w:rPr>
          <w:rFonts w:ascii="Arial" w:hAnsi="Arial" w:cs="Arial"/>
          <w:sz w:val="22"/>
          <w:szCs w:val="22"/>
        </w:rPr>
        <w:t>Bilateral cooperation with Viet Nam and Thailand should address shared stocks, IUU control, and oil-spill response. Cambodia should engage actively in ASEAN/COBSEA monitoring networks and promote harmonized Gulf standards on water quality, litter metrics, and emergency protocols. Data sharing and replication of community-based management models should be pursued through PEMSEA and SEAFDEC channels.</w:t>
      </w:r>
    </w:p>
    <w:p w14:paraId="680B3DEC" w14:textId="77777777" w:rsidR="003867DE" w:rsidRPr="00770DF2" w:rsidRDefault="003867DE" w:rsidP="003867DE">
      <w:pPr>
        <w:pStyle w:val="Heading2"/>
        <w:spacing w:before="240" w:after="240"/>
        <w:jc w:val="both"/>
        <w:rPr>
          <w:rFonts w:ascii="Arial" w:hAnsi="Arial" w:cs="Arial"/>
          <w:b/>
          <w:bCs/>
          <w:color w:val="auto"/>
          <w:sz w:val="28"/>
          <w:szCs w:val="28"/>
        </w:rPr>
      </w:pPr>
      <w:bookmarkStart w:id="27" w:name="_Toc217231958"/>
      <w:r w:rsidRPr="00770DF2">
        <w:rPr>
          <w:rFonts w:ascii="Arial" w:hAnsi="Arial" w:cs="Arial"/>
          <w:b/>
          <w:bCs/>
          <w:color w:val="auto"/>
          <w:sz w:val="28"/>
          <w:szCs w:val="28"/>
        </w:rPr>
        <w:t xml:space="preserve">4.4 Methodology and </w:t>
      </w:r>
      <w:r w:rsidR="005332D8" w:rsidRPr="00770DF2">
        <w:rPr>
          <w:rFonts w:ascii="Arial" w:hAnsi="Arial" w:cs="Arial"/>
          <w:b/>
          <w:bCs/>
          <w:color w:val="auto"/>
          <w:sz w:val="28"/>
          <w:szCs w:val="28"/>
        </w:rPr>
        <w:t>A</w:t>
      </w:r>
      <w:r w:rsidRPr="00770DF2">
        <w:rPr>
          <w:rFonts w:ascii="Arial" w:hAnsi="Arial" w:cs="Arial"/>
          <w:b/>
          <w:bCs/>
          <w:color w:val="auto"/>
          <w:sz w:val="28"/>
          <w:szCs w:val="28"/>
        </w:rPr>
        <w:t>nalyses</w:t>
      </w:r>
      <w:bookmarkEnd w:id="27"/>
    </w:p>
    <w:p w14:paraId="12538870" w14:textId="77777777" w:rsidR="00090571" w:rsidRPr="003B66BF" w:rsidRDefault="00FE2082" w:rsidP="00090571">
      <w:pPr>
        <w:pStyle w:val="NormalWeb"/>
        <w:jc w:val="both"/>
        <w:rPr>
          <w:rFonts w:ascii="Arial" w:hAnsi="Arial" w:cs="Arial"/>
          <w:sz w:val="22"/>
          <w:szCs w:val="22"/>
        </w:rPr>
      </w:pPr>
      <w:r w:rsidRPr="003B66BF">
        <w:rPr>
          <w:rFonts w:ascii="Arial" w:hAnsi="Arial" w:cs="Arial"/>
          <w:sz w:val="22"/>
          <w:szCs w:val="22"/>
        </w:rPr>
        <w:t>This section describes how ecosystem status and trends were assessed for Cambodia’s coastal zone (mangroves/wetlands, coral reefs, and seagrasses), how pressures and governance responses were integrated, and how risks and economic implications were derived. Analyses cover the four coastal provinces with site zoom-ins at Botum Sakor, Peam Krasop–Koh Kapik, Koh Rong Archipelago, Kep–Kampot, and selected seagrass/reef cells.</w:t>
      </w:r>
      <w:r w:rsidR="001B3C78" w:rsidRPr="003B66BF">
        <w:rPr>
          <w:rFonts w:ascii="Arial" w:hAnsi="Arial" w:cs="Arial"/>
          <w:sz w:val="22"/>
          <w:szCs w:val="22"/>
        </w:rPr>
        <w:t xml:space="preserve"> </w:t>
      </w:r>
      <w:r w:rsidRPr="003B66BF">
        <w:rPr>
          <w:rFonts w:ascii="Arial" w:hAnsi="Arial" w:cs="Arial"/>
          <w:sz w:val="22"/>
          <w:szCs w:val="22"/>
        </w:rPr>
        <w:t>The report was structured by thw main steps include:</w:t>
      </w:r>
    </w:p>
    <w:p w14:paraId="29A5F446" w14:textId="77777777" w:rsidR="00FE2082" w:rsidRPr="003B66BF" w:rsidRDefault="00FE2082" w:rsidP="001B3C78">
      <w:pPr>
        <w:pStyle w:val="NormalWeb"/>
        <w:numPr>
          <w:ilvl w:val="0"/>
          <w:numId w:val="39"/>
        </w:numPr>
        <w:spacing w:before="120" w:beforeAutospacing="0" w:after="120" w:afterAutospacing="0"/>
        <w:ind w:left="714" w:hanging="357"/>
        <w:jc w:val="both"/>
        <w:rPr>
          <w:rFonts w:ascii="Arial" w:hAnsi="Arial" w:cs="Arial"/>
          <w:sz w:val="22"/>
          <w:szCs w:val="22"/>
        </w:rPr>
      </w:pPr>
      <w:r w:rsidRPr="003B66BF">
        <w:rPr>
          <w:rStyle w:val="Strong"/>
          <w:rFonts w:ascii="Arial" w:eastAsiaTheme="majorEastAsia" w:hAnsi="Arial" w:cs="Arial"/>
          <w:sz w:val="22"/>
          <w:szCs w:val="22"/>
        </w:rPr>
        <w:t>Frame questions &amp; spatial extent.</w:t>
      </w:r>
      <w:r w:rsidRPr="003B66BF">
        <w:rPr>
          <w:rFonts w:ascii="Arial" w:hAnsi="Arial" w:cs="Arial"/>
          <w:sz w:val="22"/>
          <w:szCs w:val="22"/>
        </w:rPr>
        <w:t xml:space="preserve"> Define policy-relevant questions (extent, condition, pressures, risks) and map analysis boundaries (PAs, MFMAs, CFis, 20-km coastal buffer; reef/seagrass polygons).</w:t>
      </w:r>
    </w:p>
    <w:p w14:paraId="5E98F520" w14:textId="77777777" w:rsidR="00FE2082" w:rsidRPr="003B66BF" w:rsidRDefault="00FE2082" w:rsidP="001B3C78">
      <w:pPr>
        <w:pStyle w:val="NormalWeb"/>
        <w:numPr>
          <w:ilvl w:val="0"/>
          <w:numId w:val="39"/>
        </w:numPr>
        <w:spacing w:before="120" w:beforeAutospacing="0" w:after="120" w:afterAutospacing="0"/>
        <w:ind w:left="714" w:hanging="357"/>
        <w:jc w:val="both"/>
        <w:rPr>
          <w:rFonts w:ascii="Arial" w:hAnsi="Arial" w:cs="Arial"/>
          <w:sz w:val="22"/>
          <w:szCs w:val="22"/>
        </w:rPr>
      </w:pPr>
      <w:r w:rsidRPr="003B66BF">
        <w:rPr>
          <w:rStyle w:val="Strong"/>
          <w:rFonts w:ascii="Arial" w:eastAsiaTheme="majorEastAsia" w:hAnsi="Arial" w:cs="Arial"/>
          <w:sz w:val="22"/>
          <w:szCs w:val="22"/>
        </w:rPr>
        <w:t>Assemble datasets.</w:t>
      </w:r>
      <w:r w:rsidRPr="003B66BF">
        <w:rPr>
          <w:rFonts w:ascii="Arial" w:hAnsi="Arial" w:cs="Arial"/>
          <w:sz w:val="22"/>
          <w:szCs w:val="22"/>
        </w:rPr>
        <w:t xml:space="preserve"> Compile official monitoring, partner surveys, and remote-sensing products; standardize to common projection and metadata</w:t>
      </w:r>
    </w:p>
    <w:p w14:paraId="2D00A258" w14:textId="77777777" w:rsidR="00FE2082" w:rsidRPr="003B66BF" w:rsidRDefault="00FE2082" w:rsidP="001B3C78">
      <w:pPr>
        <w:pStyle w:val="NormalWeb"/>
        <w:numPr>
          <w:ilvl w:val="0"/>
          <w:numId w:val="39"/>
        </w:numPr>
        <w:spacing w:before="120" w:beforeAutospacing="0" w:after="120" w:afterAutospacing="0"/>
        <w:ind w:left="714" w:hanging="357"/>
        <w:jc w:val="both"/>
        <w:rPr>
          <w:rFonts w:ascii="Arial" w:hAnsi="Arial" w:cs="Arial"/>
          <w:sz w:val="22"/>
          <w:szCs w:val="22"/>
        </w:rPr>
      </w:pPr>
      <w:r w:rsidRPr="003B66BF">
        <w:rPr>
          <w:rStyle w:val="Strong"/>
          <w:rFonts w:ascii="Arial" w:eastAsiaTheme="majorEastAsia" w:hAnsi="Arial" w:cs="Arial"/>
          <w:sz w:val="22"/>
          <w:szCs w:val="22"/>
        </w:rPr>
        <w:t>Construct indicators.</w:t>
      </w:r>
      <w:r w:rsidRPr="003B66BF">
        <w:rPr>
          <w:rFonts w:ascii="Arial" w:hAnsi="Arial" w:cs="Arial"/>
          <w:sz w:val="22"/>
          <w:szCs w:val="22"/>
        </w:rPr>
        <w:t xml:space="preserve"> Calculate ecosystem-specific extent/condition and cross-cutting pressure/governance indicators; harmonize units and baselines.</w:t>
      </w:r>
    </w:p>
    <w:p w14:paraId="0C60DC05" w14:textId="77777777" w:rsidR="00FE2082" w:rsidRPr="003B66BF" w:rsidRDefault="00FE2082" w:rsidP="001B3C78">
      <w:pPr>
        <w:pStyle w:val="NormalWeb"/>
        <w:numPr>
          <w:ilvl w:val="0"/>
          <w:numId w:val="39"/>
        </w:numPr>
        <w:spacing w:before="120" w:beforeAutospacing="0" w:after="120" w:afterAutospacing="0"/>
        <w:ind w:left="714" w:hanging="357"/>
        <w:jc w:val="both"/>
        <w:rPr>
          <w:rFonts w:ascii="Arial" w:hAnsi="Arial" w:cs="Arial"/>
          <w:sz w:val="22"/>
          <w:szCs w:val="22"/>
        </w:rPr>
      </w:pPr>
      <w:r w:rsidRPr="003B66BF">
        <w:rPr>
          <w:rStyle w:val="Strong"/>
          <w:rFonts w:ascii="Arial" w:eastAsiaTheme="majorEastAsia" w:hAnsi="Arial" w:cs="Arial"/>
          <w:sz w:val="22"/>
          <w:szCs w:val="22"/>
        </w:rPr>
        <w:t>Detect change &amp; hotspots.</w:t>
      </w:r>
      <w:r w:rsidRPr="003B66BF">
        <w:rPr>
          <w:rFonts w:ascii="Arial" w:hAnsi="Arial" w:cs="Arial"/>
          <w:sz w:val="22"/>
          <w:szCs w:val="22"/>
        </w:rPr>
        <w:t xml:space="preserve"> Apply time-series comparisons and pressure–state overlays; identify sensitivity “hotspots” using multi-criteria thresholds.</w:t>
      </w:r>
    </w:p>
    <w:p w14:paraId="7AE55B51" w14:textId="77777777" w:rsidR="00FE2082" w:rsidRPr="003B66BF" w:rsidRDefault="00FE2082" w:rsidP="001B3C78">
      <w:pPr>
        <w:pStyle w:val="NormalWeb"/>
        <w:numPr>
          <w:ilvl w:val="0"/>
          <w:numId w:val="39"/>
        </w:numPr>
        <w:spacing w:before="120" w:beforeAutospacing="0" w:after="120" w:afterAutospacing="0"/>
        <w:ind w:left="714" w:hanging="357"/>
        <w:jc w:val="both"/>
        <w:rPr>
          <w:rFonts w:ascii="Arial" w:hAnsi="Arial" w:cs="Arial"/>
          <w:sz w:val="22"/>
          <w:szCs w:val="22"/>
        </w:rPr>
      </w:pPr>
      <w:r w:rsidRPr="003B66BF">
        <w:rPr>
          <w:rStyle w:val="Strong"/>
          <w:rFonts w:ascii="Arial" w:eastAsiaTheme="majorEastAsia" w:hAnsi="Arial" w:cs="Arial"/>
          <w:sz w:val="22"/>
          <w:szCs w:val="22"/>
        </w:rPr>
        <w:t>Risk &amp; valuation.</w:t>
      </w:r>
      <w:r w:rsidRPr="003B66BF">
        <w:rPr>
          <w:rFonts w:ascii="Arial" w:hAnsi="Arial" w:cs="Arial"/>
          <w:sz w:val="22"/>
          <w:szCs w:val="22"/>
        </w:rPr>
        <w:t xml:space="preserve"> Translate ecological change into expected livelihood, protection, and carbon consequences using transparent assumptions.</w:t>
      </w:r>
    </w:p>
    <w:p w14:paraId="4BED38C6" w14:textId="77777777" w:rsidR="00FE2082" w:rsidRPr="003B66BF" w:rsidRDefault="00FE2082" w:rsidP="001B3C78">
      <w:pPr>
        <w:pStyle w:val="NormalWeb"/>
        <w:numPr>
          <w:ilvl w:val="0"/>
          <w:numId w:val="39"/>
        </w:numPr>
        <w:spacing w:before="120" w:beforeAutospacing="0" w:after="120" w:afterAutospacing="0"/>
        <w:ind w:left="714" w:hanging="357"/>
        <w:jc w:val="both"/>
        <w:rPr>
          <w:rFonts w:ascii="Arial" w:hAnsi="Arial" w:cs="Arial"/>
          <w:sz w:val="22"/>
          <w:szCs w:val="22"/>
        </w:rPr>
      </w:pPr>
      <w:r w:rsidRPr="003B66BF">
        <w:rPr>
          <w:rStyle w:val="Strong"/>
          <w:rFonts w:ascii="Arial" w:eastAsiaTheme="majorEastAsia" w:hAnsi="Arial" w:cs="Arial"/>
          <w:sz w:val="22"/>
          <w:szCs w:val="22"/>
        </w:rPr>
        <w:t>Triangulate &amp; QA/QC.</w:t>
      </w:r>
      <w:r w:rsidRPr="003B66BF">
        <w:rPr>
          <w:rFonts w:ascii="Arial" w:hAnsi="Arial" w:cs="Arial"/>
          <w:sz w:val="22"/>
          <w:szCs w:val="22"/>
        </w:rPr>
        <w:t xml:space="preserve"> Cross-check with field notes, partner reports, and independent products; document uncertainty.</w:t>
      </w:r>
    </w:p>
    <w:p w14:paraId="66A7D1A1" w14:textId="77777777" w:rsidR="00FE2082" w:rsidRPr="003B66BF" w:rsidRDefault="00FE2082" w:rsidP="001B3C78">
      <w:pPr>
        <w:pStyle w:val="NormalWeb"/>
        <w:numPr>
          <w:ilvl w:val="0"/>
          <w:numId w:val="39"/>
        </w:numPr>
        <w:spacing w:before="120" w:beforeAutospacing="0" w:after="120" w:afterAutospacing="0"/>
        <w:ind w:left="714" w:hanging="357"/>
        <w:jc w:val="both"/>
        <w:rPr>
          <w:rFonts w:ascii="Arial" w:hAnsi="Arial" w:cs="Arial"/>
          <w:sz w:val="22"/>
          <w:szCs w:val="22"/>
        </w:rPr>
      </w:pPr>
      <w:r w:rsidRPr="003B66BF">
        <w:rPr>
          <w:rStyle w:val="Strong"/>
          <w:rFonts w:ascii="Arial" w:eastAsiaTheme="majorEastAsia" w:hAnsi="Arial" w:cs="Arial"/>
          <w:sz w:val="22"/>
          <w:szCs w:val="22"/>
        </w:rPr>
        <w:t>Synthesize for management.</w:t>
      </w:r>
      <w:r w:rsidRPr="003B66BF">
        <w:rPr>
          <w:rFonts w:ascii="Arial" w:hAnsi="Arial" w:cs="Arial"/>
          <w:sz w:val="22"/>
          <w:szCs w:val="22"/>
        </w:rPr>
        <w:t xml:space="preserve"> Aggregate results to provincial/site summaries and map actionable priorities.</w:t>
      </w:r>
    </w:p>
    <w:p w14:paraId="4F21F530" w14:textId="77777777" w:rsidR="00FE2082" w:rsidRPr="003B66BF" w:rsidRDefault="00FE2082" w:rsidP="00FE2082">
      <w:pPr>
        <w:pStyle w:val="NormalWeb"/>
        <w:rPr>
          <w:rFonts w:ascii="Arial" w:hAnsi="Arial" w:cs="Arial"/>
          <w:sz w:val="22"/>
          <w:szCs w:val="22"/>
        </w:rPr>
      </w:pPr>
      <w:r w:rsidRPr="003B66BF">
        <w:rPr>
          <w:rStyle w:val="Emphasis"/>
          <w:rFonts w:ascii="Arial" w:eastAsiaTheme="majorEastAsia" w:hAnsi="Arial" w:cs="Arial"/>
          <w:sz w:val="22"/>
          <w:szCs w:val="22"/>
        </w:rPr>
        <w:t xml:space="preserve">(All datasets, processing parameters, assumptions, and full citations are provided in </w:t>
      </w:r>
      <w:r w:rsidRPr="003B66BF">
        <w:rPr>
          <w:rStyle w:val="Strong"/>
          <w:rFonts w:ascii="Arial" w:eastAsiaTheme="majorEastAsia" w:hAnsi="Arial" w:cs="Arial"/>
          <w:i/>
          <w:iCs/>
          <w:sz w:val="22"/>
          <w:szCs w:val="22"/>
        </w:rPr>
        <w:t>Annex</w:t>
      </w:r>
      <w:r w:rsidR="001B3C78" w:rsidRPr="003B66BF">
        <w:rPr>
          <w:rStyle w:val="Strong"/>
          <w:rFonts w:ascii="Arial" w:eastAsiaTheme="majorEastAsia" w:hAnsi="Arial" w:cs="Arial"/>
          <w:i/>
          <w:iCs/>
          <w:sz w:val="22"/>
          <w:szCs w:val="22"/>
        </w:rPr>
        <w:t>)</w:t>
      </w:r>
    </w:p>
    <w:p w14:paraId="68C4F454" w14:textId="7C21CCAF" w:rsidR="003F4897" w:rsidRDefault="00EB4701" w:rsidP="003867DE">
      <w:pPr>
        <w:pStyle w:val="Heading2"/>
        <w:spacing w:before="240" w:after="240"/>
        <w:jc w:val="both"/>
        <w:rPr>
          <w:rFonts w:ascii="Arial" w:hAnsi="Arial" w:cs="Arial"/>
          <w:b/>
          <w:bCs/>
          <w:sz w:val="22"/>
          <w:szCs w:val="22"/>
        </w:rPr>
      </w:pPr>
      <w:r w:rsidRPr="003B66BF">
        <w:rPr>
          <w:rFonts w:ascii="Arial" w:hAnsi="Arial" w:cs="Arial"/>
          <w:b/>
          <w:bCs/>
          <w:sz w:val="22"/>
          <w:szCs w:val="22"/>
        </w:rPr>
        <w:br w:type="column"/>
      </w:r>
      <w:bookmarkStart w:id="28" w:name="_Toc217231959"/>
      <w:r w:rsidR="003F4897" w:rsidRPr="003F4897">
        <w:rPr>
          <w:rFonts w:ascii="Arial" w:hAnsi="Arial" w:cs="Arial"/>
          <w:b/>
          <w:bCs/>
          <w:color w:val="000000" w:themeColor="text1"/>
          <w:sz w:val="28"/>
          <w:szCs w:val="28"/>
        </w:rPr>
        <w:t>Glossary</w:t>
      </w:r>
      <w:bookmarkEnd w:id="28"/>
      <w:r w:rsidR="003F4897" w:rsidRPr="003F4897">
        <w:rPr>
          <w:rFonts w:ascii="Arial" w:hAnsi="Arial" w:cs="Arial"/>
          <w:b/>
          <w:bCs/>
          <w:color w:val="000000" w:themeColor="text1"/>
          <w:sz w:val="28"/>
          <w:szCs w:val="28"/>
        </w:rPr>
        <w:t xml:space="preserve"> </w:t>
      </w:r>
    </w:p>
    <w:tbl>
      <w:tblPr>
        <w:tblStyle w:val="GridTable4-Accent5"/>
        <w:tblW w:w="0" w:type="auto"/>
        <w:tblLook w:val="04A0" w:firstRow="1" w:lastRow="0" w:firstColumn="1" w:lastColumn="0" w:noHBand="0" w:noVBand="1"/>
      </w:tblPr>
      <w:tblGrid>
        <w:gridCol w:w="2689"/>
        <w:gridCol w:w="6321"/>
      </w:tblGrid>
      <w:tr w:rsidR="003F4897" w:rsidRPr="003F4897" w14:paraId="67CC6BE4" w14:textId="77777777" w:rsidTr="003F489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256059BB" w14:textId="77777777" w:rsidR="003F4897" w:rsidRPr="003F4897" w:rsidRDefault="003F4897">
            <w:pPr>
              <w:jc w:val="center"/>
              <w:rPr>
                <w:rFonts w:ascii="Arial" w:hAnsi="Arial" w:cs="Arial"/>
                <w:sz w:val="20"/>
                <w:szCs w:val="20"/>
              </w:rPr>
            </w:pPr>
            <w:r w:rsidRPr="003F4897">
              <w:rPr>
                <w:rFonts w:ascii="Arial" w:hAnsi="Arial" w:cs="Arial"/>
                <w:sz w:val="20"/>
                <w:szCs w:val="20"/>
              </w:rPr>
              <w:t>Term</w:t>
            </w:r>
          </w:p>
        </w:tc>
        <w:tc>
          <w:tcPr>
            <w:tcW w:w="6321" w:type="dxa"/>
            <w:hideMark/>
          </w:tcPr>
          <w:p w14:paraId="7C5F1C45" w14:textId="77777777" w:rsidR="003F4897" w:rsidRPr="003F4897" w:rsidRDefault="003F4897">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Definition</w:t>
            </w:r>
          </w:p>
        </w:tc>
      </w:tr>
      <w:tr w:rsidR="003F4897" w:rsidRPr="003F4897" w14:paraId="7ADD5E92"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2853E82A" w14:textId="77777777" w:rsidR="003F4897" w:rsidRPr="003F4897" w:rsidRDefault="003F4897">
            <w:pPr>
              <w:rPr>
                <w:rFonts w:ascii="Arial" w:hAnsi="Arial" w:cs="Arial"/>
                <w:sz w:val="20"/>
                <w:szCs w:val="20"/>
              </w:rPr>
            </w:pPr>
            <w:r w:rsidRPr="003F4897">
              <w:rPr>
                <w:rFonts w:ascii="Arial" w:hAnsi="Arial" w:cs="Arial"/>
                <w:sz w:val="20"/>
                <w:szCs w:val="20"/>
              </w:rPr>
              <w:t>Adaptive management</w:t>
            </w:r>
          </w:p>
        </w:tc>
        <w:tc>
          <w:tcPr>
            <w:tcW w:w="6321" w:type="dxa"/>
            <w:hideMark/>
          </w:tcPr>
          <w:p w14:paraId="35FE6109"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Iterative management that adjusts actions based on monitoring results and learning over time.</w:t>
            </w:r>
          </w:p>
        </w:tc>
      </w:tr>
      <w:tr w:rsidR="003F4897" w:rsidRPr="003F4897" w14:paraId="6F68FCB2"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1982121C" w14:textId="77777777" w:rsidR="003F4897" w:rsidRPr="003F4897" w:rsidRDefault="003F4897">
            <w:pPr>
              <w:rPr>
                <w:rFonts w:ascii="Arial" w:hAnsi="Arial" w:cs="Arial"/>
                <w:sz w:val="20"/>
                <w:szCs w:val="20"/>
              </w:rPr>
            </w:pPr>
            <w:r w:rsidRPr="003F4897">
              <w:rPr>
                <w:rFonts w:ascii="Arial" w:hAnsi="Arial" w:cs="Arial"/>
                <w:sz w:val="20"/>
                <w:szCs w:val="20"/>
              </w:rPr>
              <w:t>Anti-trawl structures</w:t>
            </w:r>
          </w:p>
        </w:tc>
        <w:tc>
          <w:tcPr>
            <w:tcW w:w="6321" w:type="dxa"/>
            <w:hideMark/>
          </w:tcPr>
          <w:p w14:paraId="2DFD7472"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Physical barriers installed to prevent bottom trawling in sensitive nearshore habitats, especially seagrass meadows.</w:t>
            </w:r>
          </w:p>
        </w:tc>
      </w:tr>
      <w:tr w:rsidR="003F4897" w:rsidRPr="003F4897" w14:paraId="2420F6B6"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29B33D37" w14:textId="77777777" w:rsidR="003F4897" w:rsidRPr="003F4897" w:rsidRDefault="003F4897">
            <w:pPr>
              <w:rPr>
                <w:rFonts w:ascii="Arial" w:hAnsi="Arial" w:cs="Arial"/>
                <w:sz w:val="20"/>
                <w:szCs w:val="20"/>
              </w:rPr>
            </w:pPr>
            <w:r w:rsidRPr="003F4897">
              <w:rPr>
                <w:rFonts w:ascii="Arial" w:hAnsi="Arial" w:cs="Arial"/>
                <w:sz w:val="20"/>
                <w:szCs w:val="20"/>
              </w:rPr>
              <w:t>Area-based management</w:t>
            </w:r>
          </w:p>
        </w:tc>
        <w:tc>
          <w:tcPr>
            <w:tcW w:w="6321" w:type="dxa"/>
            <w:hideMark/>
          </w:tcPr>
          <w:p w14:paraId="5C4026E5"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Managing human activities through spatial measures (e.g., MPAs, MFMAs, Ramsar sites, community zones) to achieve conservation and sustainable use outcomes.</w:t>
            </w:r>
          </w:p>
        </w:tc>
      </w:tr>
      <w:tr w:rsidR="003F4897" w:rsidRPr="003F4897" w14:paraId="08BAA279"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1FA55D97" w14:textId="77777777" w:rsidR="003F4897" w:rsidRPr="003F4897" w:rsidRDefault="003F4897">
            <w:pPr>
              <w:rPr>
                <w:rFonts w:ascii="Arial" w:hAnsi="Arial" w:cs="Arial"/>
                <w:sz w:val="20"/>
                <w:szCs w:val="20"/>
              </w:rPr>
            </w:pPr>
            <w:r w:rsidRPr="003F4897">
              <w:rPr>
                <w:rFonts w:ascii="Arial" w:hAnsi="Arial" w:cs="Arial"/>
                <w:sz w:val="20"/>
                <w:szCs w:val="20"/>
              </w:rPr>
              <w:t>ASEAN Marine Water Quality Guidelines</w:t>
            </w:r>
          </w:p>
        </w:tc>
        <w:tc>
          <w:tcPr>
            <w:tcW w:w="6321" w:type="dxa"/>
            <w:hideMark/>
          </w:tcPr>
          <w:p w14:paraId="2604298C"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Regional reference benchmarks and procedures for marine water quality management and monitoring used by ASEAN member states.</w:t>
            </w:r>
          </w:p>
        </w:tc>
      </w:tr>
      <w:tr w:rsidR="003F4897" w:rsidRPr="003F4897" w14:paraId="57069550"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7AF7C1C9" w14:textId="77777777" w:rsidR="003F4897" w:rsidRPr="003F4897" w:rsidRDefault="003F4897">
            <w:pPr>
              <w:rPr>
                <w:rFonts w:ascii="Arial" w:hAnsi="Arial" w:cs="Arial"/>
                <w:sz w:val="20"/>
                <w:szCs w:val="20"/>
              </w:rPr>
            </w:pPr>
            <w:r w:rsidRPr="003F4897">
              <w:rPr>
                <w:rFonts w:ascii="Arial" w:hAnsi="Arial" w:cs="Arial"/>
                <w:sz w:val="20"/>
                <w:szCs w:val="20"/>
              </w:rPr>
              <w:t>Benthic cover</w:t>
            </w:r>
          </w:p>
        </w:tc>
        <w:tc>
          <w:tcPr>
            <w:tcW w:w="6321" w:type="dxa"/>
            <w:hideMark/>
          </w:tcPr>
          <w:p w14:paraId="0DD24751"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Proportion of the seafloor covered by living corals, algae, seagrass, rubble, sand, etc.; used to assess reef condition.</w:t>
            </w:r>
          </w:p>
        </w:tc>
      </w:tr>
      <w:tr w:rsidR="003F4897" w:rsidRPr="003F4897" w14:paraId="531B3B0C"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329B0251" w14:textId="77777777" w:rsidR="003F4897" w:rsidRPr="003F4897" w:rsidRDefault="003F4897">
            <w:pPr>
              <w:rPr>
                <w:rFonts w:ascii="Arial" w:hAnsi="Arial" w:cs="Arial"/>
                <w:sz w:val="20"/>
                <w:szCs w:val="20"/>
              </w:rPr>
            </w:pPr>
            <w:r w:rsidRPr="003F4897">
              <w:rPr>
                <w:rFonts w:ascii="Arial" w:hAnsi="Arial" w:cs="Arial"/>
                <w:sz w:val="20"/>
                <w:szCs w:val="20"/>
              </w:rPr>
              <w:t>Biodiversity hotspot</w:t>
            </w:r>
          </w:p>
        </w:tc>
        <w:tc>
          <w:tcPr>
            <w:tcW w:w="6321" w:type="dxa"/>
            <w:hideMark/>
          </w:tcPr>
          <w:p w14:paraId="7FB4B89C"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Area of high ecological value (and often threatened species/habitats) that is under significant pressure.</w:t>
            </w:r>
          </w:p>
        </w:tc>
      </w:tr>
      <w:tr w:rsidR="003F4897" w:rsidRPr="003F4897" w14:paraId="7A696DDA"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56B5174C" w14:textId="77777777" w:rsidR="003F4897" w:rsidRPr="003F4897" w:rsidRDefault="003F4897">
            <w:pPr>
              <w:rPr>
                <w:rFonts w:ascii="Arial" w:hAnsi="Arial" w:cs="Arial"/>
                <w:sz w:val="20"/>
                <w:szCs w:val="20"/>
              </w:rPr>
            </w:pPr>
            <w:r w:rsidRPr="003F4897">
              <w:rPr>
                <w:rFonts w:ascii="Arial" w:hAnsi="Arial" w:cs="Arial"/>
                <w:sz w:val="20"/>
                <w:szCs w:val="20"/>
              </w:rPr>
              <w:t>Blue carbon</w:t>
            </w:r>
          </w:p>
        </w:tc>
        <w:tc>
          <w:tcPr>
            <w:tcW w:w="6321" w:type="dxa"/>
            <w:hideMark/>
          </w:tcPr>
          <w:p w14:paraId="7C4B9393"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Carbon captured and stored in coastal ecosystems (mangroves, seagrasses), including long-term storage in soils and peat.</w:t>
            </w:r>
          </w:p>
        </w:tc>
      </w:tr>
      <w:tr w:rsidR="003F4897" w:rsidRPr="003F4897" w14:paraId="53B4A45C"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39A84359" w14:textId="77777777" w:rsidR="003F4897" w:rsidRPr="003F4897" w:rsidRDefault="003F4897">
            <w:pPr>
              <w:rPr>
                <w:rFonts w:ascii="Arial" w:hAnsi="Arial" w:cs="Arial"/>
                <w:sz w:val="20"/>
                <w:szCs w:val="20"/>
              </w:rPr>
            </w:pPr>
            <w:r w:rsidRPr="003F4897">
              <w:rPr>
                <w:rFonts w:ascii="Arial" w:hAnsi="Arial" w:cs="Arial"/>
                <w:sz w:val="20"/>
                <w:szCs w:val="20"/>
              </w:rPr>
              <w:t>Bycatch</w:t>
            </w:r>
          </w:p>
        </w:tc>
        <w:tc>
          <w:tcPr>
            <w:tcW w:w="6321" w:type="dxa"/>
            <w:hideMark/>
          </w:tcPr>
          <w:p w14:paraId="072C909E"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Non-target species caught unintentionally during fishing; a key threat for dolphins, turtles, and dugongs.</w:t>
            </w:r>
          </w:p>
        </w:tc>
      </w:tr>
      <w:tr w:rsidR="003F4897" w:rsidRPr="003F4897" w14:paraId="44BB5E1D"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541248A5" w14:textId="77777777" w:rsidR="003F4897" w:rsidRPr="003F4897" w:rsidRDefault="003F4897">
            <w:pPr>
              <w:rPr>
                <w:rFonts w:ascii="Arial" w:hAnsi="Arial" w:cs="Arial"/>
                <w:sz w:val="20"/>
                <w:szCs w:val="20"/>
              </w:rPr>
            </w:pPr>
            <w:r w:rsidRPr="003F4897">
              <w:rPr>
                <w:rFonts w:ascii="Arial" w:hAnsi="Arial" w:cs="Arial"/>
                <w:sz w:val="20"/>
                <w:szCs w:val="20"/>
              </w:rPr>
              <w:t>CCRMN (Cambodian Coral Reef Monitoring Network)</w:t>
            </w:r>
          </w:p>
        </w:tc>
        <w:tc>
          <w:tcPr>
            <w:tcW w:w="6321" w:type="dxa"/>
            <w:hideMark/>
          </w:tcPr>
          <w:p w14:paraId="5C79B902"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National network standardizing coral reef monitoring protocols (including fish biomass and benthic condition).</w:t>
            </w:r>
          </w:p>
        </w:tc>
      </w:tr>
      <w:tr w:rsidR="003F4897" w:rsidRPr="003F4897" w14:paraId="4204F454"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631656F3" w14:textId="77777777" w:rsidR="003F4897" w:rsidRPr="003F4897" w:rsidRDefault="003F4897">
            <w:pPr>
              <w:rPr>
                <w:rFonts w:ascii="Arial" w:hAnsi="Arial" w:cs="Arial"/>
                <w:sz w:val="20"/>
                <w:szCs w:val="20"/>
              </w:rPr>
            </w:pPr>
            <w:r w:rsidRPr="003F4897">
              <w:rPr>
                <w:rFonts w:ascii="Arial" w:hAnsi="Arial" w:cs="Arial"/>
                <w:sz w:val="20"/>
                <w:szCs w:val="20"/>
              </w:rPr>
              <w:t>CFis (Community Fisheries)</w:t>
            </w:r>
          </w:p>
        </w:tc>
        <w:tc>
          <w:tcPr>
            <w:tcW w:w="6321" w:type="dxa"/>
            <w:hideMark/>
          </w:tcPr>
          <w:p w14:paraId="6B128F00"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Community institutions recognized under fisheries co-management to manage and protect inshore fisheries and habitats.</w:t>
            </w:r>
          </w:p>
        </w:tc>
      </w:tr>
      <w:tr w:rsidR="003F4897" w:rsidRPr="003F4897" w14:paraId="70282270"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531E01C6" w14:textId="77777777" w:rsidR="003F4897" w:rsidRPr="003F4897" w:rsidRDefault="003F4897">
            <w:pPr>
              <w:rPr>
                <w:rFonts w:ascii="Arial" w:hAnsi="Arial" w:cs="Arial"/>
                <w:sz w:val="20"/>
                <w:szCs w:val="20"/>
              </w:rPr>
            </w:pPr>
            <w:r w:rsidRPr="003F4897">
              <w:rPr>
                <w:rFonts w:ascii="Arial" w:hAnsi="Arial" w:cs="Arial"/>
                <w:sz w:val="20"/>
                <w:szCs w:val="20"/>
              </w:rPr>
              <w:t>CPAs (Community Protected Areas)</w:t>
            </w:r>
          </w:p>
        </w:tc>
        <w:tc>
          <w:tcPr>
            <w:tcW w:w="6321" w:type="dxa"/>
            <w:hideMark/>
          </w:tcPr>
          <w:p w14:paraId="4136D8CE"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Community-based management units within protected areas that support conservation and local stewardship.</w:t>
            </w:r>
          </w:p>
        </w:tc>
      </w:tr>
      <w:tr w:rsidR="003F4897" w:rsidRPr="003F4897" w14:paraId="34F0D074"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4EBE0717" w14:textId="77777777" w:rsidR="003F4897" w:rsidRPr="003F4897" w:rsidRDefault="003F4897">
            <w:pPr>
              <w:rPr>
                <w:rFonts w:ascii="Arial" w:hAnsi="Arial" w:cs="Arial"/>
                <w:sz w:val="20"/>
                <w:szCs w:val="20"/>
              </w:rPr>
            </w:pPr>
            <w:r w:rsidRPr="003F4897">
              <w:rPr>
                <w:rFonts w:ascii="Arial" w:hAnsi="Arial" w:cs="Arial"/>
                <w:sz w:val="20"/>
                <w:szCs w:val="20"/>
              </w:rPr>
              <w:t>Cumulative impacts</w:t>
            </w:r>
          </w:p>
        </w:tc>
        <w:tc>
          <w:tcPr>
            <w:tcW w:w="6321" w:type="dxa"/>
            <w:hideMark/>
          </w:tcPr>
          <w:p w14:paraId="6B22E67A"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Combined effects of multiple pressures (fishing, sedimentation, wastewater, dredging, climate stress) that together degrade ecosystems.</w:t>
            </w:r>
          </w:p>
        </w:tc>
      </w:tr>
      <w:tr w:rsidR="003F4897" w:rsidRPr="003F4897" w14:paraId="70538F92"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1579CEFB" w14:textId="77777777" w:rsidR="003F4897" w:rsidRPr="003F4897" w:rsidRDefault="003F4897">
            <w:pPr>
              <w:rPr>
                <w:rFonts w:ascii="Arial" w:hAnsi="Arial" w:cs="Arial"/>
                <w:sz w:val="20"/>
                <w:szCs w:val="20"/>
              </w:rPr>
            </w:pPr>
            <w:r w:rsidRPr="003F4897">
              <w:rPr>
                <w:rFonts w:ascii="Arial" w:hAnsi="Arial" w:cs="Arial"/>
                <w:sz w:val="20"/>
                <w:szCs w:val="20"/>
              </w:rPr>
              <w:t>EAFM (Ecosystem Approach to Fisheries Management)</w:t>
            </w:r>
          </w:p>
        </w:tc>
        <w:tc>
          <w:tcPr>
            <w:tcW w:w="6321" w:type="dxa"/>
            <w:hideMark/>
          </w:tcPr>
          <w:p w14:paraId="7D0628AE"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Fisheries management that considers habitats, food webs, and species interactions alongside catches and effort.</w:t>
            </w:r>
          </w:p>
        </w:tc>
      </w:tr>
      <w:tr w:rsidR="003F4897" w:rsidRPr="003F4897" w14:paraId="4EC7DE65"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50B7D7B0" w14:textId="77777777" w:rsidR="003F4897" w:rsidRPr="003F4897" w:rsidRDefault="003F4897">
            <w:pPr>
              <w:rPr>
                <w:rFonts w:ascii="Arial" w:hAnsi="Arial" w:cs="Arial"/>
                <w:sz w:val="20"/>
                <w:szCs w:val="20"/>
              </w:rPr>
            </w:pPr>
            <w:r w:rsidRPr="003F4897">
              <w:rPr>
                <w:rFonts w:ascii="Arial" w:hAnsi="Arial" w:cs="Arial"/>
                <w:sz w:val="20"/>
                <w:szCs w:val="20"/>
              </w:rPr>
              <w:t>EEZ (Exclusive Economic Zone)</w:t>
            </w:r>
          </w:p>
        </w:tc>
        <w:tc>
          <w:tcPr>
            <w:tcW w:w="6321" w:type="dxa"/>
            <w:hideMark/>
          </w:tcPr>
          <w:p w14:paraId="37DA5A52"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Sea area where a coastal state has rights over resources; impacts can still be transboundary.</w:t>
            </w:r>
          </w:p>
        </w:tc>
      </w:tr>
      <w:tr w:rsidR="003F4897" w:rsidRPr="003F4897" w14:paraId="208DD778"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64ABA407" w14:textId="77777777" w:rsidR="003F4897" w:rsidRPr="003F4897" w:rsidRDefault="003F4897">
            <w:pPr>
              <w:rPr>
                <w:rFonts w:ascii="Arial" w:hAnsi="Arial" w:cs="Arial"/>
                <w:sz w:val="20"/>
                <w:szCs w:val="20"/>
              </w:rPr>
            </w:pPr>
            <w:r w:rsidRPr="003F4897">
              <w:rPr>
                <w:rFonts w:ascii="Arial" w:hAnsi="Arial" w:cs="Arial"/>
                <w:sz w:val="20"/>
                <w:szCs w:val="20"/>
              </w:rPr>
              <w:t>EIA (Environmental Impact Assessment)</w:t>
            </w:r>
          </w:p>
        </w:tc>
        <w:tc>
          <w:tcPr>
            <w:tcW w:w="6321" w:type="dxa"/>
            <w:hideMark/>
          </w:tcPr>
          <w:p w14:paraId="27C08A7E"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Process to assess environmental risks of projects, including cumulative and transboundary impacts.</w:t>
            </w:r>
          </w:p>
        </w:tc>
      </w:tr>
      <w:tr w:rsidR="003F4897" w:rsidRPr="003F4897" w14:paraId="440A871D"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7C8FEC4F" w14:textId="77777777" w:rsidR="003F4897" w:rsidRPr="003F4897" w:rsidRDefault="003F4897">
            <w:pPr>
              <w:rPr>
                <w:rFonts w:ascii="Arial" w:hAnsi="Arial" w:cs="Arial"/>
                <w:sz w:val="20"/>
                <w:szCs w:val="20"/>
              </w:rPr>
            </w:pPr>
            <w:r w:rsidRPr="003F4897">
              <w:rPr>
                <w:rFonts w:ascii="Arial" w:hAnsi="Arial" w:cs="Arial"/>
                <w:sz w:val="20"/>
                <w:szCs w:val="20"/>
              </w:rPr>
              <w:t>Ecosystem services</w:t>
            </w:r>
          </w:p>
        </w:tc>
        <w:tc>
          <w:tcPr>
            <w:tcW w:w="6321" w:type="dxa"/>
            <w:hideMark/>
          </w:tcPr>
          <w:p w14:paraId="38698B1C"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Benefits people obtain from ecosystems (fisheries, coastal protection, tourism, carbon storage).</w:t>
            </w:r>
          </w:p>
        </w:tc>
      </w:tr>
      <w:tr w:rsidR="003F4897" w:rsidRPr="003F4897" w14:paraId="72F5001D"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62EE4A7C" w14:textId="77777777" w:rsidR="003F4897" w:rsidRPr="003F4897" w:rsidRDefault="003F4897">
            <w:pPr>
              <w:rPr>
                <w:rFonts w:ascii="Arial" w:hAnsi="Arial" w:cs="Arial"/>
                <w:sz w:val="20"/>
                <w:szCs w:val="20"/>
              </w:rPr>
            </w:pPr>
            <w:r w:rsidRPr="003F4897">
              <w:rPr>
                <w:rFonts w:ascii="Arial" w:hAnsi="Arial" w:cs="Arial"/>
                <w:sz w:val="20"/>
                <w:szCs w:val="20"/>
              </w:rPr>
              <w:t>Fragmentation</w:t>
            </w:r>
          </w:p>
        </w:tc>
        <w:tc>
          <w:tcPr>
            <w:tcW w:w="6321" w:type="dxa"/>
            <w:hideMark/>
          </w:tcPr>
          <w:p w14:paraId="6AAC66EA"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Breaking continuous habitat into smaller patches, reducing connectivity and resilience (e.g., mangrove belts near development).</w:t>
            </w:r>
          </w:p>
        </w:tc>
      </w:tr>
      <w:tr w:rsidR="003F4897" w:rsidRPr="003F4897" w14:paraId="7E27E360"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3C1241F6" w14:textId="77777777" w:rsidR="003F4897" w:rsidRPr="003F4897" w:rsidRDefault="003F4897">
            <w:pPr>
              <w:rPr>
                <w:rFonts w:ascii="Arial" w:hAnsi="Arial" w:cs="Arial"/>
                <w:sz w:val="20"/>
                <w:szCs w:val="20"/>
              </w:rPr>
            </w:pPr>
            <w:r w:rsidRPr="003F4897">
              <w:rPr>
                <w:rFonts w:ascii="Arial" w:hAnsi="Arial" w:cs="Arial"/>
                <w:sz w:val="20"/>
                <w:szCs w:val="20"/>
              </w:rPr>
              <w:t>Habitat connectivity</w:t>
            </w:r>
          </w:p>
        </w:tc>
        <w:tc>
          <w:tcPr>
            <w:tcW w:w="6321" w:type="dxa"/>
            <w:hideMark/>
          </w:tcPr>
          <w:p w14:paraId="237943B9"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Functional links among habitats (mangrove–wetland–seagrass–reef) supporting life cycles and ecosystem processes.</w:t>
            </w:r>
          </w:p>
        </w:tc>
      </w:tr>
      <w:tr w:rsidR="003F4897" w:rsidRPr="003F4897" w14:paraId="4E2D2BA9"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5B4ACB8A" w14:textId="77777777" w:rsidR="003F4897" w:rsidRPr="003F4897" w:rsidRDefault="003F4897">
            <w:pPr>
              <w:rPr>
                <w:rFonts w:ascii="Arial" w:hAnsi="Arial" w:cs="Arial"/>
                <w:sz w:val="20"/>
                <w:szCs w:val="20"/>
              </w:rPr>
            </w:pPr>
            <w:r w:rsidRPr="003F4897">
              <w:rPr>
                <w:rFonts w:ascii="Arial" w:hAnsi="Arial" w:cs="Arial"/>
                <w:sz w:val="20"/>
                <w:szCs w:val="20"/>
              </w:rPr>
              <w:t>Hydrology-first protection</w:t>
            </w:r>
          </w:p>
        </w:tc>
        <w:tc>
          <w:tcPr>
            <w:tcW w:w="6321" w:type="dxa"/>
            <w:hideMark/>
          </w:tcPr>
          <w:p w14:paraId="5F6F5C1A"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Managing and safeguarding natural water flows and tidal exchange as the foundation for wetland and peat-mangrove conservation.</w:t>
            </w:r>
          </w:p>
        </w:tc>
      </w:tr>
      <w:tr w:rsidR="003F4897" w:rsidRPr="003F4897" w14:paraId="5088AD0A"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35F0C08C" w14:textId="77777777" w:rsidR="003F4897" w:rsidRPr="003F4897" w:rsidRDefault="003F4897">
            <w:pPr>
              <w:rPr>
                <w:rFonts w:ascii="Arial" w:hAnsi="Arial" w:cs="Arial"/>
                <w:sz w:val="20"/>
                <w:szCs w:val="20"/>
              </w:rPr>
            </w:pPr>
            <w:r w:rsidRPr="003F4897">
              <w:rPr>
                <w:rFonts w:ascii="Arial" w:hAnsi="Arial" w:cs="Arial"/>
                <w:sz w:val="20"/>
                <w:szCs w:val="20"/>
              </w:rPr>
              <w:t>IUU fishing</w:t>
            </w:r>
          </w:p>
        </w:tc>
        <w:tc>
          <w:tcPr>
            <w:tcW w:w="6321" w:type="dxa"/>
            <w:hideMark/>
          </w:tcPr>
          <w:p w14:paraId="70177FA4"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Illegal, Unreported and Unregulated fishing that undermines sustainability and compliance, often across borders.</w:t>
            </w:r>
          </w:p>
        </w:tc>
      </w:tr>
      <w:tr w:rsidR="003F4897" w:rsidRPr="003F4897" w14:paraId="0002BD0B"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26633938" w14:textId="77777777" w:rsidR="003F4897" w:rsidRPr="003F4897" w:rsidRDefault="003F4897">
            <w:pPr>
              <w:rPr>
                <w:rFonts w:ascii="Arial" w:hAnsi="Arial" w:cs="Arial"/>
                <w:sz w:val="20"/>
                <w:szCs w:val="20"/>
              </w:rPr>
            </w:pPr>
            <w:r w:rsidRPr="003F4897">
              <w:rPr>
                <w:rFonts w:ascii="Arial" w:hAnsi="Arial" w:cs="Arial"/>
                <w:sz w:val="20"/>
                <w:szCs w:val="20"/>
              </w:rPr>
              <w:t>ICZM (Integrated Coastal Zone Management)</w:t>
            </w:r>
          </w:p>
        </w:tc>
        <w:tc>
          <w:tcPr>
            <w:tcW w:w="6321" w:type="dxa"/>
            <w:hideMark/>
          </w:tcPr>
          <w:p w14:paraId="4796D1FD"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Coordinated coastal management across sectors and agencies to reduce conflicts and cumulative impacts.</w:t>
            </w:r>
          </w:p>
        </w:tc>
      </w:tr>
      <w:tr w:rsidR="003F4897" w:rsidRPr="003F4897" w14:paraId="3B741E70"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041AF237" w14:textId="77777777" w:rsidR="003F4897" w:rsidRPr="003F4897" w:rsidRDefault="003F4897">
            <w:pPr>
              <w:rPr>
                <w:rFonts w:ascii="Arial" w:hAnsi="Arial" w:cs="Arial"/>
                <w:sz w:val="20"/>
                <w:szCs w:val="20"/>
              </w:rPr>
            </w:pPr>
            <w:r w:rsidRPr="003F4897">
              <w:rPr>
                <w:rFonts w:ascii="Arial" w:hAnsi="Arial" w:cs="Arial"/>
                <w:sz w:val="20"/>
                <w:szCs w:val="20"/>
              </w:rPr>
              <w:t>Indicator</w:t>
            </w:r>
          </w:p>
        </w:tc>
        <w:tc>
          <w:tcPr>
            <w:tcW w:w="6321" w:type="dxa"/>
            <w:hideMark/>
          </w:tcPr>
          <w:p w14:paraId="18CAE9B2"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Measurable variable tracking ecosystem status, pressures, or management performance (e.g., mangrove extent, turbidity).</w:t>
            </w:r>
          </w:p>
        </w:tc>
      </w:tr>
      <w:tr w:rsidR="003F4897" w:rsidRPr="003F4897" w14:paraId="6BDDEE86"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70C08813" w14:textId="77777777" w:rsidR="003F4897" w:rsidRPr="003F4897" w:rsidRDefault="003F4897">
            <w:pPr>
              <w:rPr>
                <w:rFonts w:ascii="Arial" w:hAnsi="Arial" w:cs="Arial"/>
                <w:sz w:val="20"/>
                <w:szCs w:val="20"/>
              </w:rPr>
            </w:pPr>
            <w:r w:rsidRPr="003F4897">
              <w:rPr>
                <w:rFonts w:ascii="Arial" w:hAnsi="Arial" w:cs="Arial"/>
                <w:sz w:val="20"/>
                <w:szCs w:val="20"/>
              </w:rPr>
              <w:t>Intertidal flats</w:t>
            </w:r>
          </w:p>
        </w:tc>
        <w:tc>
          <w:tcPr>
            <w:tcW w:w="6321" w:type="dxa"/>
            <w:hideMark/>
          </w:tcPr>
          <w:p w14:paraId="2531357E"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Shore zones exposed at low tide; important for shorebirds and fisheries productivity in wetland complexes.</w:t>
            </w:r>
          </w:p>
        </w:tc>
      </w:tr>
      <w:tr w:rsidR="003F4897" w:rsidRPr="003F4897" w14:paraId="043FAC4B"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3C147D05" w14:textId="77777777" w:rsidR="003F4897" w:rsidRPr="003F4897" w:rsidRDefault="003F4897">
            <w:pPr>
              <w:rPr>
                <w:rFonts w:ascii="Arial" w:hAnsi="Arial" w:cs="Arial"/>
                <w:sz w:val="20"/>
                <w:szCs w:val="20"/>
              </w:rPr>
            </w:pPr>
            <w:r w:rsidRPr="003F4897">
              <w:rPr>
                <w:rFonts w:ascii="Arial" w:hAnsi="Arial" w:cs="Arial"/>
                <w:sz w:val="20"/>
                <w:szCs w:val="20"/>
              </w:rPr>
              <w:t>Mangrove peat / peat-forming mangroves</w:t>
            </w:r>
          </w:p>
        </w:tc>
        <w:tc>
          <w:tcPr>
            <w:tcW w:w="6321" w:type="dxa"/>
            <w:hideMark/>
          </w:tcPr>
          <w:p w14:paraId="790D09D8"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Carbon-dense mangrove soils that form peat; highly sensitive to drainage and altered tidal exchange.</w:t>
            </w:r>
          </w:p>
        </w:tc>
      </w:tr>
      <w:tr w:rsidR="003F4897" w:rsidRPr="003F4897" w14:paraId="71E2A90E"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19C16070" w14:textId="77777777" w:rsidR="003F4897" w:rsidRPr="003F4897" w:rsidRDefault="003F4897">
            <w:pPr>
              <w:rPr>
                <w:rFonts w:ascii="Arial" w:hAnsi="Arial" w:cs="Arial"/>
                <w:sz w:val="20"/>
                <w:szCs w:val="20"/>
              </w:rPr>
            </w:pPr>
            <w:r w:rsidRPr="003F4897">
              <w:rPr>
                <w:rFonts w:ascii="Arial" w:hAnsi="Arial" w:cs="Arial"/>
                <w:sz w:val="20"/>
                <w:szCs w:val="20"/>
              </w:rPr>
              <w:t>Marine National Park (MNP)</w:t>
            </w:r>
          </w:p>
        </w:tc>
        <w:tc>
          <w:tcPr>
            <w:tcW w:w="6321" w:type="dxa"/>
            <w:hideMark/>
          </w:tcPr>
          <w:p w14:paraId="2A9D5C17"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A protected area with marine components designated by MoE (e.g., Koh Rong Marine National Park).</w:t>
            </w:r>
          </w:p>
        </w:tc>
      </w:tr>
      <w:tr w:rsidR="003F4897" w:rsidRPr="003F4897" w14:paraId="3E809B9E"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1F7C81F6" w14:textId="77777777" w:rsidR="003F4897" w:rsidRPr="003F4897" w:rsidRDefault="003F4897">
            <w:pPr>
              <w:rPr>
                <w:rFonts w:ascii="Arial" w:hAnsi="Arial" w:cs="Arial"/>
                <w:sz w:val="20"/>
                <w:szCs w:val="20"/>
              </w:rPr>
            </w:pPr>
            <w:r w:rsidRPr="003F4897">
              <w:rPr>
                <w:rFonts w:ascii="Arial" w:hAnsi="Arial" w:cs="Arial"/>
                <w:sz w:val="20"/>
                <w:szCs w:val="20"/>
              </w:rPr>
              <w:t>MCS (Monitoring, Control and Surveillance)</w:t>
            </w:r>
          </w:p>
        </w:tc>
        <w:tc>
          <w:tcPr>
            <w:tcW w:w="6321" w:type="dxa"/>
            <w:hideMark/>
          </w:tcPr>
          <w:p w14:paraId="06928839"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Fisheries compliance system including patrols, inspections, and tracking tools.</w:t>
            </w:r>
          </w:p>
        </w:tc>
      </w:tr>
      <w:tr w:rsidR="003F4897" w:rsidRPr="003F4897" w14:paraId="6C3A05ED"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66DEDCFB" w14:textId="77777777" w:rsidR="003F4897" w:rsidRPr="003F4897" w:rsidRDefault="003F4897">
            <w:pPr>
              <w:rPr>
                <w:rFonts w:ascii="Arial" w:hAnsi="Arial" w:cs="Arial"/>
                <w:sz w:val="20"/>
                <w:szCs w:val="20"/>
              </w:rPr>
            </w:pPr>
            <w:r w:rsidRPr="003F4897">
              <w:rPr>
                <w:rFonts w:ascii="Arial" w:hAnsi="Arial" w:cs="Arial"/>
                <w:sz w:val="20"/>
                <w:szCs w:val="20"/>
              </w:rPr>
              <w:t>Megafauna</w:t>
            </w:r>
          </w:p>
        </w:tc>
        <w:tc>
          <w:tcPr>
            <w:tcW w:w="6321" w:type="dxa"/>
            <w:hideMark/>
          </w:tcPr>
          <w:p w14:paraId="0ED06832"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Large marine animals (dolphins, dugongs, turtles) sensitive to bycatch and habitat loss.</w:t>
            </w:r>
          </w:p>
        </w:tc>
      </w:tr>
      <w:tr w:rsidR="003F4897" w:rsidRPr="003F4897" w14:paraId="4D6C5CCC"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0902450B" w14:textId="77777777" w:rsidR="003F4897" w:rsidRPr="003F4897" w:rsidRDefault="003F4897">
            <w:pPr>
              <w:rPr>
                <w:rFonts w:ascii="Arial" w:hAnsi="Arial" w:cs="Arial"/>
                <w:sz w:val="20"/>
                <w:szCs w:val="20"/>
              </w:rPr>
            </w:pPr>
            <w:r w:rsidRPr="003F4897">
              <w:rPr>
                <w:rFonts w:ascii="Arial" w:hAnsi="Arial" w:cs="Arial"/>
                <w:sz w:val="20"/>
                <w:szCs w:val="20"/>
              </w:rPr>
              <w:t>MFMA (Marine Fisheries Management Area)</w:t>
            </w:r>
          </w:p>
        </w:tc>
        <w:tc>
          <w:tcPr>
            <w:tcW w:w="6321" w:type="dxa"/>
            <w:hideMark/>
          </w:tcPr>
          <w:p w14:paraId="371F78DC"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Area-based fisheries management measure under FiA/MAFF, often linked to community co-management.</w:t>
            </w:r>
          </w:p>
        </w:tc>
      </w:tr>
      <w:tr w:rsidR="003F4897" w:rsidRPr="003F4897" w14:paraId="21127155"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5130E5E2" w14:textId="77777777" w:rsidR="003F4897" w:rsidRPr="003F4897" w:rsidRDefault="003F4897">
            <w:pPr>
              <w:rPr>
                <w:rFonts w:ascii="Arial" w:hAnsi="Arial" w:cs="Arial"/>
                <w:sz w:val="20"/>
                <w:szCs w:val="20"/>
              </w:rPr>
            </w:pPr>
            <w:r w:rsidRPr="003F4897">
              <w:rPr>
                <w:rFonts w:ascii="Arial" w:hAnsi="Arial" w:cs="Arial"/>
                <w:sz w:val="20"/>
                <w:szCs w:val="20"/>
              </w:rPr>
              <w:t>MSP (Marine Spatial Planning)</w:t>
            </w:r>
          </w:p>
        </w:tc>
        <w:tc>
          <w:tcPr>
            <w:tcW w:w="6321" w:type="dxa"/>
            <w:hideMark/>
          </w:tcPr>
          <w:p w14:paraId="5BEFFEE5"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Framework to allocate marine space among uses (conservation, fisheries, tourism, industry) to reduce conflicts.</w:t>
            </w:r>
          </w:p>
        </w:tc>
      </w:tr>
      <w:tr w:rsidR="003F4897" w:rsidRPr="003F4897" w14:paraId="7AA0F190"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5B92910F" w14:textId="77777777" w:rsidR="003F4897" w:rsidRPr="003F4897" w:rsidRDefault="003F4897">
            <w:pPr>
              <w:rPr>
                <w:rFonts w:ascii="Arial" w:hAnsi="Arial" w:cs="Arial"/>
                <w:sz w:val="20"/>
                <w:szCs w:val="20"/>
              </w:rPr>
            </w:pPr>
            <w:r w:rsidRPr="003F4897">
              <w:rPr>
                <w:rFonts w:ascii="Arial" w:hAnsi="Arial" w:cs="Arial"/>
                <w:sz w:val="20"/>
                <w:szCs w:val="20"/>
              </w:rPr>
              <w:t>Natural infrastructure</w:t>
            </w:r>
          </w:p>
        </w:tc>
        <w:tc>
          <w:tcPr>
            <w:tcW w:w="6321" w:type="dxa"/>
            <w:hideMark/>
          </w:tcPr>
          <w:p w14:paraId="20D3DBB8"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Ecosystems providing infrastructure-like services (storm buffering, wave attenuation, water filtration).</w:t>
            </w:r>
          </w:p>
        </w:tc>
      </w:tr>
      <w:tr w:rsidR="003F4897" w:rsidRPr="003F4897" w14:paraId="67F47283"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0B602BB5" w14:textId="77777777" w:rsidR="003F4897" w:rsidRPr="003F4897" w:rsidRDefault="003F4897">
            <w:pPr>
              <w:rPr>
                <w:rFonts w:ascii="Arial" w:hAnsi="Arial" w:cs="Arial"/>
                <w:sz w:val="20"/>
                <w:szCs w:val="20"/>
              </w:rPr>
            </w:pPr>
            <w:r w:rsidRPr="003F4897">
              <w:rPr>
                <w:rFonts w:ascii="Arial" w:hAnsi="Arial" w:cs="Arial"/>
                <w:sz w:val="20"/>
                <w:szCs w:val="20"/>
              </w:rPr>
              <w:t>No-take zone</w:t>
            </w:r>
          </w:p>
        </w:tc>
        <w:tc>
          <w:tcPr>
            <w:tcW w:w="6321" w:type="dxa"/>
            <w:hideMark/>
          </w:tcPr>
          <w:p w14:paraId="0379851E"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Managed area where extraction (e.g., fishing) is prohibited to protect habitats and allow recovery.</w:t>
            </w:r>
          </w:p>
        </w:tc>
      </w:tr>
      <w:tr w:rsidR="003F4897" w:rsidRPr="003F4897" w14:paraId="46A44EDA"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27DA08A6" w14:textId="77777777" w:rsidR="003F4897" w:rsidRPr="003F4897" w:rsidRDefault="003F4897">
            <w:pPr>
              <w:rPr>
                <w:rFonts w:ascii="Arial" w:hAnsi="Arial" w:cs="Arial"/>
                <w:sz w:val="20"/>
                <w:szCs w:val="20"/>
              </w:rPr>
            </w:pPr>
            <w:r w:rsidRPr="003F4897">
              <w:rPr>
                <w:rFonts w:ascii="Arial" w:hAnsi="Arial" w:cs="Arial"/>
                <w:sz w:val="20"/>
                <w:szCs w:val="20"/>
              </w:rPr>
              <w:t>NTU (Nephelometric Turbidity Units)</w:t>
            </w:r>
          </w:p>
        </w:tc>
        <w:tc>
          <w:tcPr>
            <w:tcW w:w="6321" w:type="dxa"/>
            <w:hideMark/>
          </w:tcPr>
          <w:p w14:paraId="728A81D9"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Standard unit measuring water turbidity (cloudiness), a key pressure on reefs and seagrass.</w:t>
            </w:r>
          </w:p>
        </w:tc>
      </w:tr>
      <w:tr w:rsidR="003F4897" w:rsidRPr="003F4897" w14:paraId="7F5B63C1"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2871E620" w14:textId="77777777" w:rsidR="003F4897" w:rsidRPr="003F4897" w:rsidRDefault="003F4897">
            <w:pPr>
              <w:rPr>
                <w:rFonts w:ascii="Arial" w:hAnsi="Arial" w:cs="Arial"/>
                <w:sz w:val="20"/>
                <w:szCs w:val="20"/>
              </w:rPr>
            </w:pPr>
            <w:r w:rsidRPr="003F4897">
              <w:rPr>
                <w:rFonts w:ascii="Arial" w:hAnsi="Arial" w:cs="Arial"/>
                <w:sz w:val="20"/>
                <w:szCs w:val="20"/>
              </w:rPr>
              <w:t>OECM (Other Effective Area-Based Conservation Measure)</w:t>
            </w:r>
          </w:p>
        </w:tc>
        <w:tc>
          <w:tcPr>
            <w:tcW w:w="6321" w:type="dxa"/>
            <w:hideMark/>
          </w:tcPr>
          <w:p w14:paraId="349626CD"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Area governed and managed to deliver sustained biodiversity outcomes, not necessarily designated as a protected area.</w:t>
            </w:r>
          </w:p>
        </w:tc>
      </w:tr>
      <w:tr w:rsidR="003F4897" w:rsidRPr="003F4897" w14:paraId="6FDB0690"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700EE8C8" w14:textId="77777777" w:rsidR="003F4897" w:rsidRPr="003F4897" w:rsidRDefault="003F4897">
            <w:pPr>
              <w:rPr>
                <w:rFonts w:ascii="Arial" w:hAnsi="Arial" w:cs="Arial"/>
                <w:sz w:val="20"/>
                <w:szCs w:val="20"/>
              </w:rPr>
            </w:pPr>
            <w:r w:rsidRPr="003F4897">
              <w:rPr>
                <w:rFonts w:ascii="Arial" w:hAnsi="Arial" w:cs="Arial"/>
                <w:sz w:val="20"/>
                <w:szCs w:val="20"/>
              </w:rPr>
              <w:t>Peat oxidation</w:t>
            </w:r>
          </w:p>
        </w:tc>
        <w:tc>
          <w:tcPr>
            <w:tcW w:w="6321" w:type="dxa"/>
            <w:hideMark/>
          </w:tcPr>
          <w:p w14:paraId="070542A9"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Decomposition of peat when drained/exposed to oxygen, releasing CO</w:t>
            </w:r>
            <w:r w:rsidRPr="003F4897">
              <w:rPr>
                <w:rFonts w:ascii="Cambria Math" w:hAnsi="Cambria Math" w:cs="Cambria Math"/>
                <w:sz w:val="20"/>
                <w:szCs w:val="20"/>
              </w:rPr>
              <w:t>₂</w:t>
            </w:r>
            <w:r w:rsidRPr="003F4897">
              <w:rPr>
                <w:rFonts w:ascii="Arial" w:hAnsi="Arial" w:cs="Arial"/>
                <w:sz w:val="20"/>
                <w:szCs w:val="20"/>
              </w:rPr>
              <w:t xml:space="preserve"> and causing subsidence.</w:t>
            </w:r>
          </w:p>
        </w:tc>
      </w:tr>
      <w:tr w:rsidR="003F4897" w:rsidRPr="003F4897" w14:paraId="449D071B"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4097B2DB" w14:textId="77777777" w:rsidR="003F4897" w:rsidRPr="003F4897" w:rsidRDefault="003F4897">
            <w:pPr>
              <w:rPr>
                <w:rFonts w:ascii="Arial" w:hAnsi="Arial" w:cs="Arial"/>
                <w:sz w:val="20"/>
                <w:szCs w:val="20"/>
              </w:rPr>
            </w:pPr>
            <w:r w:rsidRPr="003F4897">
              <w:rPr>
                <w:rFonts w:ascii="Arial" w:hAnsi="Arial" w:cs="Arial"/>
                <w:sz w:val="20"/>
                <w:szCs w:val="20"/>
              </w:rPr>
              <w:t>Ramsar site</w:t>
            </w:r>
          </w:p>
        </w:tc>
        <w:tc>
          <w:tcPr>
            <w:tcW w:w="6321" w:type="dxa"/>
            <w:hideMark/>
          </w:tcPr>
          <w:p w14:paraId="16B54ECF"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Wetland recognized under the Ramsar Convention as being of international importance.</w:t>
            </w:r>
          </w:p>
        </w:tc>
      </w:tr>
      <w:tr w:rsidR="003F4897" w:rsidRPr="003F4897" w14:paraId="48310880"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57268195" w14:textId="77777777" w:rsidR="003F4897" w:rsidRPr="003F4897" w:rsidRDefault="003F4897">
            <w:pPr>
              <w:rPr>
                <w:rFonts w:ascii="Arial" w:hAnsi="Arial" w:cs="Arial"/>
                <w:sz w:val="20"/>
                <w:szCs w:val="20"/>
              </w:rPr>
            </w:pPr>
            <w:r w:rsidRPr="003F4897">
              <w:rPr>
                <w:rFonts w:ascii="Arial" w:hAnsi="Arial" w:cs="Arial"/>
                <w:sz w:val="20"/>
                <w:szCs w:val="20"/>
              </w:rPr>
              <w:t>Sedimentation</w:t>
            </w:r>
          </w:p>
        </w:tc>
        <w:tc>
          <w:tcPr>
            <w:tcW w:w="6321" w:type="dxa"/>
            <w:hideMark/>
          </w:tcPr>
          <w:p w14:paraId="7B4604BF"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Deposition of sediments that can smother corals and reduce light for seagrass; often driven by runoff and shoreline works.</w:t>
            </w:r>
          </w:p>
        </w:tc>
      </w:tr>
      <w:tr w:rsidR="003F4897" w:rsidRPr="003F4897" w14:paraId="560DA16E"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1C1FECBF" w14:textId="77777777" w:rsidR="003F4897" w:rsidRPr="003F4897" w:rsidRDefault="003F4897">
            <w:pPr>
              <w:rPr>
                <w:rFonts w:ascii="Arial" w:hAnsi="Arial" w:cs="Arial"/>
                <w:sz w:val="20"/>
                <w:szCs w:val="20"/>
              </w:rPr>
            </w:pPr>
            <w:r w:rsidRPr="003F4897">
              <w:rPr>
                <w:rFonts w:ascii="Arial" w:hAnsi="Arial" w:cs="Arial"/>
                <w:sz w:val="20"/>
                <w:szCs w:val="20"/>
              </w:rPr>
              <w:t>Seagrass meadow</w:t>
            </w:r>
          </w:p>
        </w:tc>
        <w:tc>
          <w:tcPr>
            <w:tcW w:w="6321" w:type="dxa"/>
            <w:hideMark/>
          </w:tcPr>
          <w:p w14:paraId="0FCA117D"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Underwater flowering plants forming meadows that support fisheries nurseries, stabilize sediments, and store carbon.</w:t>
            </w:r>
          </w:p>
        </w:tc>
      </w:tr>
      <w:tr w:rsidR="003F4897" w:rsidRPr="003F4897" w14:paraId="3A62CE0A"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63F6DB91" w14:textId="77777777" w:rsidR="003F4897" w:rsidRPr="003F4897" w:rsidRDefault="003F4897">
            <w:pPr>
              <w:rPr>
                <w:rFonts w:ascii="Arial" w:hAnsi="Arial" w:cs="Arial"/>
                <w:sz w:val="20"/>
                <w:szCs w:val="20"/>
              </w:rPr>
            </w:pPr>
            <w:r w:rsidRPr="003F4897">
              <w:rPr>
                <w:rFonts w:ascii="Arial" w:hAnsi="Arial" w:cs="Arial"/>
                <w:sz w:val="20"/>
                <w:szCs w:val="20"/>
              </w:rPr>
              <w:t>Sensitivity hotspot</w:t>
            </w:r>
          </w:p>
        </w:tc>
        <w:tc>
          <w:tcPr>
            <w:tcW w:w="6321" w:type="dxa"/>
            <w:hideMark/>
          </w:tcPr>
          <w:p w14:paraId="10522504"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Site where ecological sensitivity and consequences of disturbance are particularly high.</w:t>
            </w:r>
          </w:p>
        </w:tc>
      </w:tr>
      <w:tr w:rsidR="003F4897" w:rsidRPr="003F4897" w14:paraId="16BE3CD9"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7B872953" w14:textId="77777777" w:rsidR="003F4897" w:rsidRPr="003F4897" w:rsidRDefault="003F4897">
            <w:pPr>
              <w:rPr>
                <w:rFonts w:ascii="Arial" w:hAnsi="Arial" w:cs="Arial"/>
                <w:sz w:val="20"/>
                <w:szCs w:val="20"/>
              </w:rPr>
            </w:pPr>
            <w:r w:rsidRPr="003F4897">
              <w:rPr>
                <w:rFonts w:ascii="Arial" w:hAnsi="Arial" w:cs="Arial"/>
                <w:sz w:val="20"/>
                <w:szCs w:val="20"/>
              </w:rPr>
              <w:t>Tidal prism</w:t>
            </w:r>
          </w:p>
        </w:tc>
        <w:tc>
          <w:tcPr>
            <w:tcW w:w="6321" w:type="dxa"/>
            <w:hideMark/>
          </w:tcPr>
          <w:p w14:paraId="0B49513D"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Volume of water exchanged in a tidal cycle; reductions can degrade mangroves and wetlands.</w:t>
            </w:r>
          </w:p>
        </w:tc>
      </w:tr>
      <w:tr w:rsidR="003F4897" w:rsidRPr="003F4897" w14:paraId="4CDC55B2"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1B310057" w14:textId="77777777" w:rsidR="003F4897" w:rsidRPr="003F4897" w:rsidRDefault="003F4897">
            <w:pPr>
              <w:rPr>
                <w:rFonts w:ascii="Arial" w:hAnsi="Arial" w:cs="Arial"/>
                <w:sz w:val="20"/>
                <w:szCs w:val="20"/>
              </w:rPr>
            </w:pPr>
            <w:r w:rsidRPr="003F4897">
              <w:rPr>
                <w:rFonts w:ascii="Arial" w:hAnsi="Arial" w:cs="Arial"/>
                <w:sz w:val="20"/>
                <w:szCs w:val="20"/>
              </w:rPr>
              <w:t>Transboundary impacts</w:t>
            </w:r>
          </w:p>
        </w:tc>
        <w:tc>
          <w:tcPr>
            <w:tcW w:w="6321" w:type="dxa"/>
            <w:hideMark/>
          </w:tcPr>
          <w:p w14:paraId="41E6C33A"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Effects crossing borders (shared stocks, marine litter, pollution plumes, oil spill risks) in the Gulf of Thailand.</w:t>
            </w:r>
          </w:p>
        </w:tc>
      </w:tr>
      <w:tr w:rsidR="003F4897" w:rsidRPr="003F4897" w14:paraId="086D1C1B"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3BD06E66" w14:textId="77777777" w:rsidR="003F4897" w:rsidRPr="003F4897" w:rsidRDefault="003F4897">
            <w:pPr>
              <w:rPr>
                <w:rFonts w:ascii="Arial" w:hAnsi="Arial" w:cs="Arial"/>
                <w:sz w:val="20"/>
                <w:szCs w:val="20"/>
              </w:rPr>
            </w:pPr>
            <w:r w:rsidRPr="003F4897">
              <w:rPr>
                <w:rFonts w:ascii="Arial" w:hAnsi="Arial" w:cs="Arial"/>
                <w:sz w:val="20"/>
                <w:szCs w:val="20"/>
              </w:rPr>
              <w:t>Turbidity</w:t>
            </w:r>
          </w:p>
        </w:tc>
        <w:tc>
          <w:tcPr>
            <w:tcW w:w="6321" w:type="dxa"/>
            <w:hideMark/>
          </w:tcPr>
          <w:p w14:paraId="462805A3"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Water cloudiness from suspended particles; reduces light for seagrasses and stresses coral reefs.</w:t>
            </w:r>
          </w:p>
        </w:tc>
      </w:tr>
      <w:tr w:rsidR="003F4897" w:rsidRPr="003F4897" w14:paraId="68BC8ED2"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5CDBDBC6" w14:textId="77777777" w:rsidR="003F4897" w:rsidRPr="003F4897" w:rsidRDefault="003F4897">
            <w:pPr>
              <w:rPr>
                <w:rFonts w:ascii="Arial" w:hAnsi="Arial" w:cs="Arial"/>
                <w:sz w:val="20"/>
                <w:szCs w:val="20"/>
              </w:rPr>
            </w:pPr>
            <w:r w:rsidRPr="003F4897">
              <w:rPr>
                <w:rFonts w:ascii="Arial" w:hAnsi="Arial" w:cs="Arial"/>
                <w:sz w:val="20"/>
                <w:szCs w:val="20"/>
              </w:rPr>
              <w:t>User fees / eco-levies</w:t>
            </w:r>
          </w:p>
        </w:tc>
        <w:tc>
          <w:tcPr>
            <w:tcW w:w="6321" w:type="dxa"/>
            <w:hideMark/>
          </w:tcPr>
          <w:p w14:paraId="798B1BF5"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Revenue mechanisms (e.g., MPA entrance fees) that can finance monitoring, enforcement, and operations.</w:t>
            </w:r>
          </w:p>
        </w:tc>
      </w:tr>
      <w:tr w:rsidR="003F4897" w:rsidRPr="003F4897" w14:paraId="1C391DBD"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24C00235" w14:textId="77777777" w:rsidR="003F4897" w:rsidRPr="003F4897" w:rsidRDefault="003F4897">
            <w:pPr>
              <w:rPr>
                <w:rFonts w:ascii="Arial" w:hAnsi="Arial" w:cs="Arial"/>
                <w:sz w:val="20"/>
                <w:szCs w:val="20"/>
              </w:rPr>
            </w:pPr>
            <w:r w:rsidRPr="003F4897">
              <w:rPr>
                <w:rFonts w:ascii="Arial" w:hAnsi="Arial" w:cs="Arial"/>
                <w:sz w:val="20"/>
                <w:szCs w:val="20"/>
              </w:rPr>
              <w:t>Valuation (ecosystem/economic)</w:t>
            </w:r>
          </w:p>
        </w:tc>
        <w:tc>
          <w:tcPr>
            <w:tcW w:w="6321" w:type="dxa"/>
            <w:hideMark/>
          </w:tcPr>
          <w:p w14:paraId="75215EA7"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Estimating economic benefits or losses linked to ecosystem change (livelihood losses, avoided damages, carbon value).</w:t>
            </w:r>
          </w:p>
        </w:tc>
      </w:tr>
      <w:tr w:rsidR="003F4897" w:rsidRPr="003F4897" w14:paraId="523574E3" w14:textId="77777777" w:rsidTr="003F4897">
        <w:tc>
          <w:tcPr>
            <w:cnfStyle w:val="001000000000" w:firstRow="0" w:lastRow="0" w:firstColumn="1" w:lastColumn="0" w:oddVBand="0" w:evenVBand="0" w:oddHBand="0" w:evenHBand="0" w:firstRowFirstColumn="0" w:firstRowLastColumn="0" w:lastRowFirstColumn="0" w:lastRowLastColumn="0"/>
            <w:tcW w:w="2689" w:type="dxa"/>
            <w:hideMark/>
          </w:tcPr>
          <w:p w14:paraId="563692E2" w14:textId="77777777" w:rsidR="003F4897" w:rsidRPr="003F4897" w:rsidRDefault="003F4897">
            <w:pPr>
              <w:rPr>
                <w:rFonts w:ascii="Arial" w:hAnsi="Arial" w:cs="Arial"/>
                <w:sz w:val="20"/>
                <w:szCs w:val="20"/>
              </w:rPr>
            </w:pPr>
            <w:r w:rsidRPr="003F4897">
              <w:rPr>
                <w:rFonts w:ascii="Arial" w:hAnsi="Arial" w:cs="Arial"/>
                <w:sz w:val="20"/>
                <w:szCs w:val="20"/>
              </w:rPr>
              <w:t>VMS (Vessel Monitoring System)</w:t>
            </w:r>
          </w:p>
        </w:tc>
        <w:tc>
          <w:tcPr>
            <w:tcW w:w="6321" w:type="dxa"/>
            <w:hideMark/>
          </w:tcPr>
          <w:p w14:paraId="06ADBCED" w14:textId="77777777" w:rsidR="003F4897" w:rsidRPr="003F4897" w:rsidRDefault="003F489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F4897">
              <w:rPr>
                <w:rFonts w:ascii="Arial" w:hAnsi="Arial" w:cs="Arial"/>
                <w:sz w:val="20"/>
                <w:szCs w:val="20"/>
              </w:rPr>
              <w:t>Satellite/GPS tracking system for fishing vessels used to support compliance and enforcement.</w:t>
            </w:r>
          </w:p>
        </w:tc>
      </w:tr>
      <w:tr w:rsidR="003F4897" w:rsidRPr="003F4897" w14:paraId="0FBF3DBB" w14:textId="77777777" w:rsidTr="003F4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hideMark/>
          </w:tcPr>
          <w:p w14:paraId="67D2096C" w14:textId="77777777" w:rsidR="003F4897" w:rsidRPr="003F4897" w:rsidRDefault="003F4897">
            <w:pPr>
              <w:rPr>
                <w:rFonts w:ascii="Arial" w:hAnsi="Arial" w:cs="Arial"/>
                <w:sz w:val="20"/>
                <w:szCs w:val="20"/>
              </w:rPr>
            </w:pPr>
            <w:r w:rsidRPr="003F4897">
              <w:rPr>
                <w:rFonts w:ascii="Arial" w:hAnsi="Arial" w:cs="Arial"/>
                <w:sz w:val="20"/>
                <w:szCs w:val="20"/>
              </w:rPr>
              <w:t>Wastewater controls</w:t>
            </w:r>
          </w:p>
        </w:tc>
        <w:tc>
          <w:tcPr>
            <w:tcW w:w="6321" w:type="dxa"/>
            <w:hideMark/>
          </w:tcPr>
          <w:p w14:paraId="7FC04FB8" w14:textId="77777777" w:rsidR="003F4897" w:rsidRPr="003F4897" w:rsidRDefault="003F489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F4897">
              <w:rPr>
                <w:rFonts w:ascii="Arial" w:hAnsi="Arial" w:cs="Arial"/>
                <w:sz w:val="20"/>
                <w:szCs w:val="20"/>
              </w:rPr>
              <w:t>Measures to reduce untreated/partially treated discharges that drive nutrient loading and contamination in nearshore waters.</w:t>
            </w:r>
          </w:p>
        </w:tc>
      </w:tr>
    </w:tbl>
    <w:p w14:paraId="18AB3127" w14:textId="77777777" w:rsidR="003F4897" w:rsidRDefault="003F4897" w:rsidP="003F4897"/>
    <w:p w14:paraId="5721871D" w14:textId="2B6339BF" w:rsidR="003F4897" w:rsidRDefault="003F4897" w:rsidP="003F4897">
      <w:r>
        <w:t xml:space="preserve"> </w:t>
      </w:r>
    </w:p>
    <w:p w14:paraId="3FFDF223" w14:textId="77777777" w:rsidR="00762FA8" w:rsidRPr="00762FA8" w:rsidRDefault="003F4897" w:rsidP="00762FA8">
      <w:pPr>
        <w:pStyle w:val="Heading2"/>
        <w:jc w:val="both"/>
        <w:rPr>
          <w:rFonts w:ascii="Arial" w:hAnsi="Arial" w:cs="Arial"/>
          <w:b/>
          <w:bCs/>
          <w:color w:val="auto"/>
          <w:sz w:val="28"/>
          <w:szCs w:val="28"/>
        </w:rPr>
      </w:pPr>
      <w:r>
        <w:rPr>
          <w:rFonts w:ascii="Arial" w:hAnsi="Arial" w:cs="Arial"/>
          <w:b/>
          <w:bCs/>
          <w:sz w:val="22"/>
          <w:szCs w:val="22"/>
        </w:rPr>
        <w:br w:type="column"/>
      </w:r>
      <w:bookmarkStart w:id="29" w:name="_Toc217231531"/>
      <w:bookmarkStart w:id="30" w:name="_Toc217231960"/>
      <w:r w:rsidR="00762FA8" w:rsidRPr="00762FA8">
        <w:rPr>
          <w:rFonts w:ascii="Arial" w:hAnsi="Arial" w:cs="Arial"/>
          <w:b/>
          <w:bCs/>
          <w:color w:val="auto"/>
          <w:sz w:val="28"/>
          <w:szCs w:val="28"/>
        </w:rPr>
        <w:t>Funding Sources</w:t>
      </w:r>
      <w:bookmarkEnd w:id="29"/>
      <w:bookmarkEnd w:id="30"/>
    </w:p>
    <w:p w14:paraId="0C3F107F" w14:textId="77777777" w:rsidR="00762FA8" w:rsidRDefault="00762FA8" w:rsidP="00762FA8">
      <w:pPr>
        <w:spacing w:before="240" w:after="240"/>
        <w:jc w:val="both"/>
        <w:rPr>
          <w:rFonts w:ascii="Arial" w:hAnsi="Arial" w:cs="Arial"/>
          <w:sz w:val="22"/>
          <w:szCs w:val="22"/>
        </w:rPr>
      </w:pPr>
      <w:r w:rsidRPr="00A31A71">
        <w:rPr>
          <w:rFonts w:ascii="Arial" w:hAnsi="Arial" w:cs="Arial"/>
          <w:sz w:val="22"/>
          <w:szCs w:val="22"/>
        </w:rPr>
        <w:t xml:space="preserve">This work was </w:t>
      </w:r>
      <w:r>
        <w:rPr>
          <w:rFonts w:ascii="Arial" w:hAnsi="Arial" w:cs="Arial"/>
          <w:sz w:val="22"/>
          <w:szCs w:val="22"/>
        </w:rPr>
        <w:t xml:space="preserve">financially </w:t>
      </w:r>
      <w:r w:rsidRPr="00A31A71">
        <w:rPr>
          <w:rFonts w:ascii="Arial" w:hAnsi="Arial" w:cs="Arial"/>
          <w:sz w:val="22"/>
          <w:szCs w:val="22"/>
        </w:rPr>
        <w:t xml:space="preserve">supported by the </w:t>
      </w:r>
      <w:r w:rsidRPr="00A31A71">
        <w:rPr>
          <w:rStyle w:val="Strong"/>
          <w:rFonts w:ascii="Arial" w:hAnsi="Arial" w:cs="Arial"/>
          <w:sz w:val="22"/>
          <w:szCs w:val="22"/>
        </w:rPr>
        <w:t>Global Environment Facility (GEF)</w:t>
      </w:r>
      <w:r w:rsidRPr="00A31A71">
        <w:rPr>
          <w:rFonts w:ascii="Arial" w:hAnsi="Arial" w:cs="Arial"/>
          <w:sz w:val="22"/>
          <w:szCs w:val="22"/>
        </w:rPr>
        <w:t xml:space="preserve"> through the </w:t>
      </w:r>
      <w:r w:rsidRPr="00A31A71">
        <w:rPr>
          <w:rStyle w:val="Strong"/>
          <w:rFonts w:ascii="Arial" w:hAnsi="Arial" w:cs="Arial"/>
          <w:sz w:val="22"/>
          <w:szCs w:val="22"/>
        </w:rPr>
        <w:t>UN Environment Programme (UNEP)</w:t>
      </w:r>
      <w:r w:rsidRPr="00A31A71">
        <w:rPr>
          <w:rFonts w:ascii="Arial" w:hAnsi="Arial" w:cs="Arial"/>
          <w:sz w:val="22"/>
          <w:szCs w:val="22"/>
        </w:rPr>
        <w:t xml:space="preserve"> under the </w:t>
      </w:r>
      <w:r w:rsidRPr="00A31A71">
        <w:rPr>
          <w:rFonts w:ascii="Arial" w:hAnsi="Arial" w:cs="Arial"/>
          <w:i/>
          <w:iCs/>
          <w:sz w:val="22"/>
          <w:szCs w:val="22"/>
        </w:rPr>
        <w:t>Strategic Action Programme for the South China Sea and Gulf of Thailand (SCS SAP Project)</w:t>
      </w:r>
      <w:r w:rsidRPr="00A31A71">
        <w:rPr>
          <w:rFonts w:ascii="Arial" w:hAnsi="Arial" w:cs="Arial"/>
          <w:sz w:val="22"/>
          <w:szCs w:val="22"/>
        </w:rPr>
        <w:t xml:space="preserve">, with implementation support from the </w:t>
      </w:r>
      <w:r w:rsidRPr="00A31A71">
        <w:rPr>
          <w:rStyle w:val="Strong"/>
          <w:rFonts w:ascii="Arial" w:hAnsi="Arial" w:cs="Arial"/>
          <w:sz w:val="22"/>
          <w:szCs w:val="22"/>
        </w:rPr>
        <w:t>United Nations Office for Project Services (UNOPS)</w:t>
      </w:r>
      <w:r>
        <w:rPr>
          <w:rFonts w:ascii="Arial" w:hAnsi="Arial" w:cs="Arial"/>
          <w:sz w:val="22"/>
          <w:szCs w:val="22"/>
        </w:rPr>
        <w:t xml:space="preserve"> and the </w:t>
      </w:r>
      <w:r w:rsidRPr="00A31A71">
        <w:rPr>
          <w:rStyle w:val="Strong"/>
          <w:rFonts w:ascii="Arial" w:hAnsi="Arial" w:cs="Arial"/>
          <w:sz w:val="22"/>
          <w:szCs w:val="22"/>
        </w:rPr>
        <w:t>Ministry of Environment (MoE), Cambodia</w:t>
      </w:r>
      <w:r w:rsidRPr="00A31A71">
        <w:rPr>
          <w:rFonts w:ascii="Arial" w:hAnsi="Arial" w:cs="Arial"/>
          <w:sz w:val="22"/>
          <w:szCs w:val="22"/>
        </w:rPr>
        <w:t>,</w:t>
      </w:r>
    </w:p>
    <w:p w14:paraId="6A6886AA" w14:textId="77777777" w:rsidR="00762FA8" w:rsidRPr="00A31A71" w:rsidRDefault="00762FA8" w:rsidP="00762FA8">
      <w:pPr>
        <w:spacing w:before="240" w:after="240"/>
        <w:jc w:val="both"/>
        <w:rPr>
          <w:rFonts w:ascii="Arial" w:hAnsi="Arial" w:cs="Arial"/>
          <w:i/>
          <w:iCs/>
          <w:sz w:val="22"/>
          <w:szCs w:val="22"/>
        </w:rPr>
      </w:pPr>
      <w:r w:rsidRPr="00A31A71">
        <w:rPr>
          <w:rFonts w:ascii="Arial" w:hAnsi="Arial" w:cs="Arial"/>
          <w:sz w:val="22"/>
          <w:szCs w:val="22"/>
        </w:rPr>
        <w:t>The sponsors had no role in the study design; collection, analysis, or interpretation of data; writing of the report; or the decision to submit the article for publication.</w:t>
      </w:r>
    </w:p>
    <w:p w14:paraId="64C81B43" w14:textId="571F5FFA" w:rsidR="003867DE" w:rsidRPr="003B66BF" w:rsidRDefault="00762FA8" w:rsidP="003867DE">
      <w:pPr>
        <w:pStyle w:val="Heading2"/>
        <w:spacing w:before="240" w:after="240"/>
        <w:jc w:val="both"/>
        <w:rPr>
          <w:rFonts w:ascii="Arial" w:hAnsi="Arial" w:cs="Arial"/>
          <w:b/>
          <w:bCs/>
          <w:sz w:val="22"/>
          <w:szCs w:val="22"/>
        </w:rPr>
      </w:pPr>
      <w:r>
        <w:rPr>
          <w:rFonts w:ascii="Arial" w:hAnsi="Arial" w:cs="Arial"/>
          <w:b/>
          <w:bCs/>
          <w:color w:val="000000" w:themeColor="text1"/>
          <w:sz w:val="28"/>
          <w:szCs w:val="28"/>
        </w:rPr>
        <w:br w:type="column"/>
      </w:r>
      <w:bookmarkStart w:id="31" w:name="_Toc217231961"/>
      <w:r w:rsidR="003867DE" w:rsidRPr="003F4897">
        <w:rPr>
          <w:rFonts w:ascii="Arial" w:hAnsi="Arial" w:cs="Arial"/>
          <w:b/>
          <w:bCs/>
          <w:color w:val="000000" w:themeColor="text1"/>
          <w:sz w:val="28"/>
          <w:szCs w:val="28"/>
        </w:rPr>
        <w:t>References</w:t>
      </w:r>
      <w:bookmarkEnd w:id="31"/>
    </w:p>
    <w:p w14:paraId="6BCAB799"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ActionAid, 2021. </w:t>
      </w:r>
      <w:r w:rsidRPr="003B66BF">
        <w:rPr>
          <w:rStyle w:val="Emphasis"/>
          <w:rFonts w:ascii="Arial" w:hAnsi="Arial" w:cs="Arial"/>
          <w:i w:val="0"/>
          <w:iCs w:val="0"/>
          <w:sz w:val="22"/>
          <w:szCs w:val="22"/>
        </w:rPr>
        <w:t>Environmental and Social Impact Assessment, “Impacts of Development Projects on Marine Environmental Resources in Kampot and Kep,”.</w:t>
      </w:r>
      <w:r w:rsidRPr="003B66BF">
        <w:rPr>
          <w:rFonts w:ascii="Arial" w:hAnsi="Arial" w:cs="Arial"/>
          <w:sz w:val="22"/>
          <w:szCs w:val="22"/>
        </w:rPr>
        <w:t xml:space="preserve"> </w:t>
      </w:r>
      <w:hyperlink r:id="rId15" w:tgtFrame="_new" w:history="1">
        <w:r w:rsidRPr="003B66BF">
          <w:rPr>
            <w:rStyle w:val="Hyperlink"/>
            <w:rFonts w:ascii="Arial" w:hAnsi="Arial" w:cs="Arial"/>
            <w:sz w:val="22"/>
            <w:szCs w:val="22"/>
          </w:rPr>
          <w:t>https://cambodia.actionaid.org/publications/2021/report-environmental-and-social-impact-assessment</w:t>
        </w:r>
      </w:hyperlink>
    </w:p>
    <w:p w14:paraId="5AF255C0"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ASEAN Secretariat., 2008/2012. ASEAN Marine Water Quality: Management Guidelines and Monitoring Manual. </w:t>
      </w:r>
      <w:hyperlink r:id="rId16" w:history="1">
        <w:r w:rsidRPr="003B66BF">
          <w:rPr>
            <w:rStyle w:val="Hyperlink"/>
            <w:rFonts w:ascii="Arial" w:hAnsi="Arial" w:cs="Arial"/>
            <w:sz w:val="22"/>
            <w:szCs w:val="22"/>
          </w:rPr>
          <w:t>https://environment.asean.org/fresources/detail/asean-marine-water-quality-management-guidelines-and-monitoring-manual</w:t>
        </w:r>
      </w:hyperlink>
      <w:r w:rsidRPr="003B66BF">
        <w:rPr>
          <w:rFonts w:ascii="Arial" w:hAnsi="Arial" w:cs="Arial"/>
          <w:sz w:val="22"/>
          <w:szCs w:val="22"/>
        </w:rPr>
        <w:t xml:space="preserve"> </w:t>
      </w:r>
    </w:p>
    <w:p w14:paraId="1DD0999E"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Bunting, P., Lucas, R., Jones, G., et al., 2022. Global Mangrove Extent Change 1996–2020: Global Mangrove Watch v3.0. Remote Sensing, 14(15), 3657. </w:t>
      </w:r>
      <w:hyperlink r:id="rId17" w:history="1">
        <w:r w:rsidRPr="003B66BF">
          <w:rPr>
            <w:rStyle w:val="Hyperlink"/>
            <w:rFonts w:ascii="Arial" w:hAnsi="Arial" w:cs="Arial"/>
            <w:sz w:val="22"/>
            <w:szCs w:val="22"/>
          </w:rPr>
          <w:t>https://www.mdpi.com/2072-4292/14/15/3657</w:t>
        </w:r>
      </w:hyperlink>
      <w:r w:rsidRPr="003B66BF">
        <w:rPr>
          <w:rFonts w:ascii="Arial" w:hAnsi="Arial" w:cs="Arial"/>
          <w:sz w:val="22"/>
          <w:szCs w:val="22"/>
        </w:rPr>
        <w:t xml:space="preserve"> </w:t>
      </w:r>
    </w:p>
    <w:p w14:paraId="66A20755"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Burke, L., Reytar, K., Spalding, M., &amp; Perry, A., 2011. Reefs at Risk Revisited. World Resources Institute. </w:t>
      </w:r>
      <w:hyperlink r:id="rId18" w:history="1">
        <w:r w:rsidRPr="003B66BF">
          <w:rPr>
            <w:rStyle w:val="Hyperlink"/>
            <w:rFonts w:ascii="Arial" w:hAnsi="Arial" w:cs="Arial"/>
            <w:sz w:val="22"/>
            <w:szCs w:val="22"/>
          </w:rPr>
          <w:t>https://www.researchgate.net/publication/263705424_Reefs_at_Risk_Revisited</w:t>
        </w:r>
      </w:hyperlink>
      <w:r w:rsidRPr="003B66BF">
        <w:rPr>
          <w:rFonts w:ascii="Arial" w:hAnsi="Arial" w:cs="Arial"/>
          <w:sz w:val="22"/>
          <w:szCs w:val="22"/>
        </w:rPr>
        <w:t xml:space="preserve"> </w:t>
      </w:r>
    </w:p>
    <w:p w14:paraId="710025E9"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CBD &amp; IUCN, 2001. </w:t>
      </w:r>
      <w:r w:rsidRPr="003B66BF">
        <w:rPr>
          <w:rStyle w:val="Emphasis"/>
          <w:rFonts w:ascii="Arial" w:hAnsi="Arial" w:cs="Arial"/>
          <w:i w:val="0"/>
          <w:iCs w:val="0"/>
          <w:sz w:val="22"/>
          <w:szCs w:val="22"/>
        </w:rPr>
        <w:t>Ream National Park case study.</w:t>
      </w:r>
      <w:r w:rsidRPr="003B66BF">
        <w:rPr>
          <w:rFonts w:ascii="Arial" w:hAnsi="Arial" w:cs="Arial"/>
          <w:sz w:val="22"/>
          <w:szCs w:val="22"/>
        </w:rPr>
        <w:t xml:space="preserve"> </w:t>
      </w:r>
      <w:hyperlink r:id="rId19" w:tgtFrame="_new" w:history="1">
        <w:r w:rsidRPr="003B66BF">
          <w:rPr>
            <w:rStyle w:val="Hyperlink"/>
            <w:rFonts w:ascii="Arial" w:hAnsi="Arial" w:cs="Arial"/>
            <w:sz w:val="22"/>
            <w:szCs w:val="22"/>
          </w:rPr>
          <w:t>https://www.cbd.int/financial/values/cambodia-valueream.pdf</w:t>
        </w:r>
      </w:hyperlink>
    </w:p>
    <w:p w14:paraId="2DBB5A46"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Dialogue Earth, 2023. </w:t>
      </w:r>
      <w:r w:rsidRPr="003B66BF">
        <w:rPr>
          <w:rStyle w:val="Emphasis"/>
          <w:rFonts w:ascii="Arial" w:hAnsi="Arial" w:cs="Arial"/>
          <w:i w:val="0"/>
          <w:iCs w:val="0"/>
          <w:sz w:val="22"/>
          <w:szCs w:val="22"/>
        </w:rPr>
        <w:t>Cambodia’s Ream National Park transformed from wildlife haven to development zone.</w:t>
      </w:r>
      <w:r w:rsidRPr="003B66BF">
        <w:rPr>
          <w:rFonts w:ascii="Arial" w:hAnsi="Arial" w:cs="Arial"/>
          <w:sz w:val="22"/>
          <w:szCs w:val="22"/>
        </w:rPr>
        <w:t xml:space="preserve"> </w:t>
      </w:r>
      <w:hyperlink r:id="rId20" w:tgtFrame="_new" w:history="1">
        <w:r w:rsidRPr="003B66BF">
          <w:rPr>
            <w:rStyle w:val="Hyperlink"/>
            <w:rFonts w:ascii="Arial" w:hAnsi="Arial" w:cs="Arial"/>
            <w:sz w:val="22"/>
            <w:szCs w:val="22"/>
          </w:rPr>
          <w:t>https://dialogue.earth/en/nature/cambodias-ream-national-park-transformed-from-wildlife-haven-to-development-zone/</w:t>
        </w:r>
      </w:hyperlink>
    </w:p>
    <w:p w14:paraId="07830860"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Duffy, H. S., et al., 2023. </w:t>
      </w:r>
      <w:r w:rsidRPr="003B66BF">
        <w:rPr>
          <w:rStyle w:val="Emphasis"/>
          <w:rFonts w:ascii="Arial" w:hAnsi="Arial" w:cs="Arial"/>
          <w:i w:val="0"/>
          <w:iCs w:val="0"/>
          <w:sz w:val="22"/>
          <w:szCs w:val="22"/>
        </w:rPr>
        <w:t>An assessment of marine turtle population status and conservation in Cambodia.</w:t>
      </w:r>
      <w:r w:rsidRPr="003B66BF">
        <w:rPr>
          <w:rFonts w:ascii="Arial" w:hAnsi="Arial" w:cs="Arial"/>
          <w:b/>
          <w:bCs/>
          <w:sz w:val="22"/>
          <w:szCs w:val="22"/>
        </w:rPr>
        <w:t xml:space="preserve"> </w:t>
      </w:r>
      <w:r w:rsidRPr="003B66BF">
        <w:rPr>
          <w:rStyle w:val="Strong"/>
          <w:rFonts w:ascii="Arial" w:hAnsi="Arial" w:cs="Arial"/>
          <w:b w:val="0"/>
          <w:bCs w:val="0"/>
          <w:sz w:val="22"/>
          <w:szCs w:val="22"/>
        </w:rPr>
        <w:t>Oryx</w:t>
      </w:r>
      <w:r w:rsidRPr="003B66BF">
        <w:rPr>
          <w:rFonts w:ascii="Arial" w:hAnsi="Arial" w:cs="Arial"/>
          <w:b/>
          <w:bCs/>
          <w:sz w:val="22"/>
          <w:szCs w:val="22"/>
        </w:rPr>
        <w:t xml:space="preserve">. </w:t>
      </w:r>
      <w:hyperlink r:id="rId21" w:tgtFrame="_new" w:history="1">
        <w:r w:rsidRPr="003B66BF">
          <w:rPr>
            <w:rStyle w:val="Hyperlink"/>
            <w:rFonts w:ascii="Arial" w:hAnsi="Arial" w:cs="Arial"/>
            <w:sz w:val="22"/>
            <w:szCs w:val="22"/>
          </w:rPr>
          <w:t>https://www.cambridge.org/core/journals/oryx/article/an-assessment-of-marine-turtle-population-status-and-conservation-in-cambodia/D34D3CA2C04E4742F553199F5658B0CF</w:t>
        </w:r>
      </w:hyperlink>
    </w:p>
    <w:p w14:paraId="48E4EF4A"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East Asian–Australasian Flyway Partnership (EAAFP). (2019). </w:t>
      </w:r>
      <w:r w:rsidRPr="003B66BF">
        <w:rPr>
          <w:rStyle w:val="Emphasis"/>
          <w:rFonts w:ascii="Arial" w:hAnsi="Arial" w:cs="Arial"/>
          <w:i w:val="0"/>
          <w:iCs w:val="0"/>
          <w:sz w:val="22"/>
          <w:szCs w:val="22"/>
        </w:rPr>
        <w:t>Anlung Pring site information sheet.</w:t>
      </w:r>
      <w:r w:rsidRPr="003B66BF">
        <w:rPr>
          <w:rFonts w:ascii="Arial" w:hAnsi="Arial" w:cs="Arial"/>
          <w:sz w:val="22"/>
          <w:szCs w:val="22"/>
        </w:rPr>
        <w:t xml:space="preserve"> </w:t>
      </w:r>
      <w:hyperlink r:id="rId22" w:tgtFrame="_new" w:history="1">
        <w:r w:rsidRPr="003B66BF">
          <w:rPr>
            <w:rStyle w:val="Hyperlink"/>
            <w:rFonts w:ascii="Arial" w:hAnsi="Arial" w:cs="Arial"/>
            <w:sz w:val="22"/>
            <w:szCs w:val="22"/>
          </w:rPr>
          <w:t>https://www.eaaflyway.net/fns-anlung-pring/</w:t>
        </w:r>
      </w:hyperlink>
    </w:p>
    <w:p w14:paraId="11BCCE5D"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FAO, 2024. Global capture production (1950–2022), FishStat. </w:t>
      </w:r>
      <w:hyperlink r:id="rId23" w:history="1">
        <w:r w:rsidRPr="003B66BF">
          <w:rPr>
            <w:rStyle w:val="Hyperlink"/>
            <w:rFonts w:ascii="Arial" w:hAnsi="Arial" w:cs="Arial"/>
            <w:sz w:val="22"/>
            <w:szCs w:val="22"/>
          </w:rPr>
          <w:t>https://www.fao.org/fishery/statistics-query/en/capture</w:t>
        </w:r>
      </w:hyperlink>
      <w:r w:rsidRPr="003B66BF">
        <w:rPr>
          <w:rFonts w:ascii="Arial" w:hAnsi="Arial" w:cs="Arial"/>
          <w:sz w:val="22"/>
          <w:szCs w:val="22"/>
        </w:rPr>
        <w:t xml:space="preserve"> </w:t>
      </w:r>
    </w:p>
    <w:p w14:paraId="13458F85"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FAO. (n.d.). Measuring the status of fishery resources (historic Gulf of Thailand trawl surveys). </w:t>
      </w:r>
      <w:hyperlink r:id="rId24" w:history="1">
        <w:r w:rsidRPr="003B66BF">
          <w:rPr>
            <w:rStyle w:val="Hyperlink"/>
            <w:rFonts w:ascii="Arial" w:hAnsi="Arial" w:cs="Arial"/>
            <w:sz w:val="22"/>
            <w:szCs w:val="22"/>
          </w:rPr>
          <w:t>https://www.fao.org/4/ad514e/ad514e06.htm</w:t>
        </w:r>
      </w:hyperlink>
      <w:r w:rsidRPr="003B66BF">
        <w:rPr>
          <w:rFonts w:ascii="Arial" w:hAnsi="Arial" w:cs="Arial"/>
          <w:sz w:val="22"/>
          <w:szCs w:val="22"/>
        </w:rPr>
        <w:t xml:space="preserve"> </w:t>
      </w:r>
    </w:p>
    <w:p w14:paraId="6E9F8A99"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Fauna &amp; Flora, 2020. Assessing the influence of four years of Marine Protected Area status in the Koh Rong Marine National Park. FFI Cambodia. </w:t>
      </w:r>
      <w:hyperlink r:id="rId25" w:history="1">
        <w:r w:rsidRPr="003B66BF">
          <w:rPr>
            <w:rStyle w:val="Hyperlink"/>
            <w:rFonts w:ascii="Arial" w:hAnsi="Arial" w:cs="Arial"/>
            <w:sz w:val="22"/>
            <w:szCs w:val="22"/>
          </w:rPr>
          <w:t>https://www.fauna-flora.org/wp-content/uploads/2023/05/FFI_2020_Koh-Rong-MPA.pdf</w:t>
        </w:r>
      </w:hyperlink>
      <w:r w:rsidRPr="003B66BF">
        <w:rPr>
          <w:rFonts w:ascii="Arial" w:hAnsi="Arial" w:cs="Arial"/>
          <w:sz w:val="22"/>
          <w:szCs w:val="22"/>
        </w:rPr>
        <w:t xml:space="preserve"> </w:t>
      </w:r>
    </w:p>
    <w:p w14:paraId="79951301"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Fauna &amp; Flora, 2024. </w:t>
      </w:r>
      <w:r w:rsidRPr="003B66BF">
        <w:rPr>
          <w:rStyle w:val="Emphasis"/>
          <w:rFonts w:ascii="Arial" w:hAnsi="Arial" w:cs="Arial"/>
          <w:i w:val="0"/>
          <w:iCs w:val="0"/>
          <w:sz w:val="22"/>
          <w:szCs w:val="22"/>
        </w:rPr>
        <w:t>Mangrove biodiversity survey report: Peam Krasop &amp; Koh Kapik Ramsar Site, Cambodia 2023.</w:t>
      </w:r>
      <w:r w:rsidRPr="003B66BF">
        <w:rPr>
          <w:rFonts w:ascii="Arial" w:hAnsi="Arial" w:cs="Arial"/>
          <w:sz w:val="22"/>
          <w:szCs w:val="22"/>
        </w:rPr>
        <w:t xml:space="preserve"> </w:t>
      </w:r>
      <w:hyperlink r:id="rId26" w:tgtFrame="_new" w:history="1">
        <w:r w:rsidRPr="003B66BF">
          <w:rPr>
            <w:rStyle w:val="Hyperlink"/>
            <w:rFonts w:ascii="Arial" w:hAnsi="Arial" w:cs="Arial"/>
            <w:sz w:val="22"/>
            <w:szCs w:val="22"/>
          </w:rPr>
          <w:t>https://www.fauna-flora.org/wp-content/uploads/2024/04/Mangrove-Biodiversity-Survey-Report.pdf</w:t>
        </w:r>
      </w:hyperlink>
    </w:p>
    <w:p w14:paraId="6706FE47"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FiA/MAFF, 2020a. National Plan of Action to Prevent, Deter and Eliminate IUU Fishing (2020–2024). </w:t>
      </w:r>
      <w:hyperlink r:id="rId27" w:history="1">
        <w:r w:rsidRPr="003B66BF">
          <w:rPr>
            <w:rStyle w:val="Hyperlink"/>
            <w:rFonts w:ascii="Arial" w:hAnsi="Arial" w:cs="Arial"/>
            <w:sz w:val="22"/>
            <w:szCs w:val="22"/>
          </w:rPr>
          <w:t>https://server.maff.gov.kh/parse/files/myAppId5hD7ypUYw61sTqML/63351774d0db6c6f8968fe4dde13f96e_1639471811.pdf</w:t>
        </w:r>
      </w:hyperlink>
      <w:r w:rsidRPr="003B66BF">
        <w:rPr>
          <w:rFonts w:ascii="Arial" w:hAnsi="Arial" w:cs="Arial"/>
          <w:sz w:val="22"/>
          <w:szCs w:val="22"/>
        </w:rPr>
        <w:t xml:space="preserve"> </w:t>
      </w:r>
    </w:p>
    <w:p w14:paraId="1255DFCF"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FiA/MAFF, 2020b. National Plan of Control and Inspection for Marine Fisheries (2020–2024). </w:t>
      </w:r>
      <w:hyperlink r:id="rId28" w:history="1">
        <w:r w:rsidRPr="003B66BF">
          <w:rPr>
            <w:rStyle w:val="Hyperlink"/>
            <w:rFonts w:ascii="Arial" w:hAnsi="Arial" w:cs="Arial"/>
            <w:sz w:val="22"/>
            <w:szCs w:val="22"/>
          </w:rPr>
          <w:t>https://faolex.fao.org/docs/pdf/cam219304.pdf</w:t>
        </w:r>
      </w:hyperlink>
      <w:r w:rsidRPr="003B66BF">
        <w:rPr>
          <w:rFonts w:ascii="Arial" w:hAnsi="Arial" w:cs="Arial"/>
          <w:sz w:val="22"/>
          <w:szCs w:val="22"/>
        </w:rPr>
        <w:t xml:space="preserve"> </w:t>
      </w:r>
    </w:p>
    <w:p w14:paraId="0377BEE7"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FiA/MAFF, 2023. </w:t>
      </w:r>
      <w:r w:rsidRPr="003B66BF">
        <w:rPr>
          <w:rStyle w:val="Emphasis"/>
          <w:rFonts w:ascii="Arial" w:hAnsi="Arial" w:cs="Arial"/>
          <w:i w:val="0"/>
          <w:iCs w:val="0"/>
          <w:sz w:val="22"/>
          <w:szCs w:val="22"/>
        </w:rPr>
        <w:t>Seagrass and Coral Reef distribution and monitoring in Cambodia.</w:t>
      </w:r>
      <w:r w:rsidRPr="003B66BF">
        <w:rPr>
          <w:rFonts w:ascii="Arial" w:hAnsi="Arial" w:cs="Arial"/>
          <w:sz w:val="22"/>
          <w:szCs w:val="22"/>
        </w:rPr>
        <w:t xml:space="preserve"> </w:t>
      </w:r>
      <w:hyperlink r:id="rId29" w:tgtFrame="_new" w:history="1">
        <w:r w:rsidRPr="003B66BF">
          <w:rPr>
            <w:rStyle w:val="Hyperlink"/>
            <w:rFonts w:ascii="Arial" w:hAnsi="Arial" w:cs="Arial"/>
            <w:sz w:val="22"/>
            <w:szCs w:val="22"/>
          </w:rPr>
          <w:t>https://data.opendevelopmentcambodia.net/en/dataset/de33097a-d9ad-44de-9ad3-3bcee8d4fb1e/resource/899515b9-590a-4566-b5c9-b06c4bdd9c25/download/01hym7xp4q9kwbvxm1kh5e1nfr.pdf</w:t>
        </w:r>
      </w:hyperlink>
    </w:p>
    <w:p w14:paraId="23E347F6"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Fourqurean, J. W., Duarte, C. M., Kennedy, H., et al., 2012. Seagrass ecosystems as globally significant carbon stocks. Nature Geoscience, 5(7), 505–509. </w:t>
      </w:r>
      <w:hyperlink r:id="rId30" w:history="1">
        <w:r w:rsidRPr="003B66BF">
          <w:rPr>
            <w:rStyle w:val="Hyperlink"/>
            <w:rFonts w:ascii="Arial" w:hAnsi="Arial" w:cs="Arial"/>
            <w:sz w:val="22"/>
            <w:szCs w:val="22"/>
          </w:rPr>
          <w:t>https://doi.org/10.1038/ngeo1477</w:t>
        </w:r>
      </w:hyperlink>
      <w:r w:rsidRPr="003B66BF">
        <w:rPr>
          <w:rFonts w:ascii="Arial" w:hAnsi="Arial" w:cs="Arial"/>
          <w:sz w:val="22"/>
          <w:szCs w:val="22"/>
        </w:rPr>
        <w:t xml:space="preserve"> </w:t>
      </w:r>
    </w:p>
    <w:p w14:paraId="614C6A01"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Girkin, N. T., et al., 2022. </w:t>
      </w:r>
      <w:r w:rsidRPr="003B66BF">
        <w:rPr>
          <w:rStyle w:val="Emphasis"/>
          <w:rFonts w:ascii="Arial" w:hAnsi="Arial" w:cs="Arial"/>
          <w:i w:val="0"/>
          <w:iCs w:val="0"/>
          <w:sz w:val="22"/>
          <w:szCs w:val="22"/>
        </w:rPr>
        <w:t>Tropical peatlands in the Anthropocene: The present and the future.</w:t>
      </w:r>
      <w:r w:rsidRPr="003B66BF">
        <w:rPr>
          <w:rFonts w:ascii="Arial" w:hAnsi="Arial" w:cs="Arial"/>
          <w:sz w:val="22"/>
          <w:szCs w:val="22"/>
        </w:rPr>
        <w:t xml:space="preserve"> </w:t>
      </w:r>
      <w:hyperlink r:id="rId31" w:tgtFrame="_new" w:history="1">
        <w:r w:rsidRPr="003B66BF">
          <w:rPr>
            <w:rStyle w:val="Hyperlink"/>
            <w:rFonts w:ascii="Arial" w:hAnsi="Arial" w:cs="Arial"/>
            <w:sz w:val="22"/>
            <w:szCs w:val="22"/>
          </w:rPr>
          <w:t>https://research-portal.st-andrews.ac.uk/files/282360347/Girkin_2022_Anthropocene_Tropical_peatlands_CC.pdf</w:t>
        </w:r>
      </w:hyperlink>
    </w:p>
    <w:p w14:paraId="4B8B86B3"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GIZ, 2024. Baseline study on microplastics in ASEAN. </w:t>
      </w:r>
      <w:hyperlink r:id="rId32" w:history="1">
        <w:r w:rsidRPr="003B66BF">
          <w:rPr>
            <w:rStyle w:val="Hyperlink"/>
            <w:rFonts w:ascii="Arial" w:hAnsi="Arial" w:cs="Arial"/>
            <w:sz w:val="22"/>
            <w:szCs w:val="22"/>
          </w:rPr>
          <w:t>https://www.giz.de/en/downloads/giz2024-en-baseline-study-on-microplastics.pdf</w:t>
        </w:r>
      </w:hyperlink>
      <w:r w:rsidRPr="003B66BF">
        <w:rPr>
          <w:rFonts w:ascii="Arial" w:hAnsi="Arial" w:cs="Arial"/>
          <w:sz w:val="22"/>
          <w:szCs w:val="22"/>
        </w:rPr>
        <w:t xml:space="preserve"> </w:t>
      </w:r>
    </w:p>
    <w:p w14:paraId="42BB4ECE"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IPCC, 2022. AR6 WGII – Chapter 10: Asia. Climate Change 2022: Impacts, Adaptation and Vulnerability. Contribution of Working Group II to the Sixth Assessment Report. Cambridge University Press, UK and New York, NY, USA, pp. 1457–1579 </w:t>
      </w:r>
      <w:hyperlink r:id="rId33" w:history="1">
        <w:r w:rsidRPr="003B66BF">
          <w:rPr>
            <w:rStyle w:val="Hyperlink"/>
            <w:rFonts w:ascii="Arial" w:hAnsi="Arial" w:cs="Arial"/>
            <w:sz w:val="22"/>
            <w:szCs w:val="22"/>
          </w:rPr>
          <w:t>https://www.ipcc.ch/report/ar6/wg2/chapter/chapter-10/</w:t>
        </w:r>
      </w:hyperlink>
      <w:r w:rsidRPr="003B66BF">
        <w:rPr>
          <w:rFonts w:ascii="Arial" w:hAnsi="Arial" w:cs="Arial"/>
          <w:sz w:val="22"/>
          <w:szCs w:val="22"/>
        </w:rPr>
        <w:t xml:space="preserve"> </w:t>
      </w:r>
    </w:p>
    <w:p w14:paraId="26CAFD25"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IUCN, 2017. </w:t>
      </w:r>
      <w:r w:rsidRPr="003B66BF">
        <w:rPr>
          <w:rStyle w:val="Emphasis"/>
          <w:rFonts w:ascii="Arial" w:hAnsi="Arial" w:cs="Arial"/>
          <w:i w:val="0"/>
          <w:iCs w:val="0"/>
          <w:sz w:val="22"/>
          <w:szCs w:val="22"/>
        </w:rPr>
        <w:t>Planning for the future of Peam Krasop Wildlife Sanctuary.</w:t>
      </w:r>
      <w:r w:rsidRPr="003B66BF">
        <w:rPr>
          <w:rFonts w:ascii="Arial" w:hAnsi="Arial" w:cs="Arial"/>
          <w:sz w:val="22"/>
          <w:szCs w:val="22"/>
        </w:rPr>
        <w:t xml:space="preserve"> </w:t>
      </w:r>
      <w:hyperlink r:id="rId34" w:tgtFrame="_new" w:history="1">
        <w:r w:rsidRPr="003B66BF">
          <w:rPr>
            <w:rStyle w:val="Hyperlink"/>
            <w:rFonts w:ascii="Arial" w:hAnsi="Arial" w:cs="Arial"/>
            <w:sz w:val="22"/>
            <w:szCs w:val="22"/>
          </w:rPr>
          <w:t>https://iucn.org/news/cambodia/201711/planning-future-peam-krasop-wildlife-sanctuary</w:t>
        </w:r>
      </w:hyperlink>
    </w:p>
    <w:p w14:paraId="545E32C8"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JICA, 2010. </w:t>
      </w:r>
      <w:r w:rsidRPr="003B66BF">
        <w:rPr>
          <w:rStyle w:val="Emphasis"/>
          <w:rFonts w:ascii="Arial" w:hAnsi="Arial" w:cs="Arial"/>
          <w:i w:val="0"/>
          <w:iCs w:val="0"/>
          <w:sz w:val="22"/>
          <w:szCs w:val="22"/>
        </w:rPr>
        <w:t xml:space="preserve">The study on national integrated strategy of coastal area and master plan of Sihanouk-ville for sustainable development. </w:t>
      </w:r>
      <w:hyperlink r:id="rId35" w:history="1">
        <w:r w:rsidRPr="003B66BF">
          <w:rPr>
            <w:rStyle w:val="Hyperlink"/>
            <w:rFonts w:ascii="Arial" w:hAnsi="Arial" w:cs="Arial"/>
            <w:sz w:val="22"/>
            <w:szCs w:val="22"/>
          </w:rPr>
          <w:t>https://openjicareport.jica.go.jp/pdf/12008819.pdf</w:t>
        </w:r>
      </w:hyperlink>
    </w:p>
    <w:p w14:paraId="3CCF014B"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Khmer Times / Marine Conservation Cambodia (MCC). (2025, Sept 3). Positive signs for dugongs with a new feeding trail in Cambodia’s seagrass beds. </w:t>
      </w:r>
      <w:hyperlink r:id="rId36" w:history="1">
        <w:r w:rsidRPr="003B66BF">
          <w:rPr>
            <w:rStyle w:val="Hyperlink"/>
            <w:rFonts w:ascii="Arial" w:hAnsi="Arial" w:cs="Arial"/>
            <w:sz w:val="22"/>
            <w:szCs w:val="22"/>
          </w:rPr>
          <w:t>https://www.khmertimeskh.com/501750614/positive-signs-for-dugongs-with-a-new-feeding-trail-in-cambodias-seagrass-beds/</w:t>
        </w:r>
      </w:hyperlink>
      <w:r w:rsidRPr="003B66BF">
        <w:rPr>
          <w:rFonts w:ascii="Arial" w:hAnsi="Arial" w:cs="Arial"/>
          <w:sz w:val="22"/>
          <w:szCs w:val="22"/>
        </w:rPr>
        <w:t xml:space="preserve"> </w:t>
      </w:r>
    </w:p>
    <w:p w14:paraId="6C715D88"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Khmer Times, 2025. </w:t>
      </w:r>
      <w:r w:rsidRPr="003B66BF">
        <w:rPr>
          <w:rStyle w:val="Emphasis"/>
          <w:rFonts w:ascii="Arial" w:hAnsi="Arial" w:cs="Arial"/>
          <w:i w:val="0"/>
          <w:iCs w:val="0"/>
          <w:sz w:val="22"/>
          <w:szCs w:val="22"/>
        </w:rPr>
        <w:t>12,500 mangrove saplings planted in Chumpou Khmao.</w:t>
      </w:r>
      <w:r w:rsidRPr="003B66BF">
        <w:rPr>
          <w:rFonts w:ascii="Arial" w:hAnsi="Arial" w:cs="Arial"/>
          <w:sz w:val="22"/>
          <w:szCs w:val="22"/>
        </w:rPr>
        <w:t xml:space="preserve"> </w:t>
      </w:r>
      <w:hyperlink r:id="rId37" w:tgtFrame="_new" w:history="1">
        <w:r w:rsidRPr="003B66BF">
          <w:rPr>
            <w:rStyle w:val="Hyperlink"/>
            <w:rFonts w:ascii="Arial" w:hAnsi="Arial" w:cs="Arial"/>
            <w:sz w:val="22"/>
            <w:szCs w:val="22"/>
          </w:rPr>
          <w:t>https://www.khmertimeskh.com/501674712/12500-mangrove-saplings-planted-in-chumpou-khmao-fishing-community-prey-nup-district/</w:t>
        </w:r>
      </w:hyperlink>
    </w:p>
    <w:p w14:paraId="541E0897"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Lo, E., Quoi, L., &amp; Visal, S. (2018). Peat-forming mangroves of Botum Sakor: Ecology, carbon and management implications. Royal University of Phnom Penh &amp; partners.</w:t>
      </w:r>
    </w:p>
    <w:p w14:paraId="1F3C6F23"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Lo, V. C., Quoi, L. P., &amp; Visal, S., 2018. </w:t>
      </w:r>
      <w:r w:rsidRPr="003B66BF">
        <w:rPr>
          <w:rStyle w:val="Emphasis"/>
          <w:rFonts w:ascii="Arial" w:hAnsi="Arial" w:cs="Arial"/>
          <w:i w:val="0"/>
          <w:iCs w:val="0"/>
          <w:sz w:val="22"/>
          <w:szCs w:val="22"/>
        </w:rPr>
        <w:t>Some preliminary observations on peat-forming mangroves in Botum Sakor, Cambodia.</w:t>
      </w:r>
      <w:r w:rsidRPr="003B66BF">
        <w:rPr>
          <w:rFonts w:ascii="Arial" w:hAnsi="Arial" w:cs="Arial"/>
          <w:sz w:val="22"/>
          <w:szCs w:val="22"/>
        </w:rPr>
        <w:t xml:space="preserve"> </w:t>
      </w:r>
      <w:r w:rsidRPr="003B66BF">
        <w:rPr>
          <w:rStyle w:val="Strong"/>
          <w:rFonts w:ascii="Arial" w:hAnsi="Arial" w:cs="Arial"/>
          <w:b w:val="0"/>
          <w:bCs w:val="0"/>
          <w:sz w:val="22"/>
          <w:szCs w:val="22"/>
        </w:rPr>
        <w:t>Mires and Peat</w:t>
      </w:r>
      <w:r w:rsidRPr="003B66BF">
        <w:rPr>
          <w:rFonts w:ascii="Arial" w:hAnsi="Arial" w:cs="Arial"/>
          <w:sz w:val="22"/>
          <w:szCs w:val="22"/>
        </w:rPr>
        <w:t xml:space="preserve">. </w:t>
      </w:r>
      <w:hyperlink r:id="rId38" w:tgtFrame="_new" w:history="1">
        <w:r w:rsidRPr="003B66BF">
          <w:rPr>
            <w:rStyle w:val="Hyperlink"/>
            <w:rFonts w:ascii="Arial" w:hAnsi="Arial" w:cs="Arial"/>
            <w:sz w:val="22"/>
            <w:szCs w:val="22"/>
          </w:rPr>
          <w:t>https://www.mires-and-peat.net/article/128945.pdf</w:t>
        </w:r>
      </w:hyperlink>
    </w:p>
    <w:p w14:paraId="6C8042DE"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Ly, P., et al. (2023). </w:t>
      </w:r>
      <w:r w:rsidRPr="003B66BF">
        <w:rPr>
          <w:rStyle w:val="Emphasis"/>
          <w:rFonts w:ascii="Arial" w:hAnsi="Arial" w:cs="Arial"/>
          <w:i w:val="0"/>
          <w:iCs w:val="0"/>
          <w:sz w:val="22"/>
          <w:szCs w:val="22"/>
        </w:rPr>
        <w:t>Socioeconomic dependence in Koh Kapik reserve</w:t>
      </w:r>
      <w:r w:rsidRPr="003B66BF">
        <w:rPr>
          <w:rFonts w:ascii="Arial" w:hAnsi="Arial" w:cs="Arial"/>
          <w:sz w:val="22"/>
          <w:szCs w:val="22"/>
        </w:rPr>
        <w:t xml:space="preserve"> (as cited in RIS &amp; local assessments). (See RIS 2012.)</w:t>
      </w:r>
    </w:p>
    <w:p w14:paraId="0F921E7C"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Mangrove Alliance. (2025). </w:t>
      </w:r>
      <w:r w:rsidRPr="003B66BF">
        <w:rPr>
          <w:rStyle w:val="Emphasis"/>
          <w:rFonts w:ascii="Arial" w:hAnsi="Arial" w:cs="Arial"/>
          <w:i w:val="0"/>
          <w:iCs w:val="0"/>
          <w:sz w:val="22"/>
          <w:szCs w:val="22"/>
        </w:rPr>
        <w:t>Blue carbon assessment: Case study—Prey Nup/Prek Kampong Smach MFMA.</w:t>
      </w:r>
      <w:r w:rsidRPr="003B66BF">
        <w:rPr>
          <w:rFonts w:ascii="Arial" w:hAnsi="Arial" w:cs="Arial"/>
          <w:sz w:val="22"/>
          <w:szCs w:val="22"/>
        </w:rPr>
        <w:t xml:space="preserve"> </w:t>
      </w:r>
      <w:hyperlink r:id="rId39" w:tgtFrame="_new" w:history="1">
        <w:r w:rsidRPr="003B66BF">
          <w:rPr>
            <w:rStyle w:val="Hyperlink"/>
            <w:rFonts w:ascii="Arial" w:hAnsi="Arial" w:cs="Arial"/>
            <w:sz w:val="22"/>
            <w:szCs w:val="22"/>
          </w:rPr>
          <w:t>https://www.mangrovealliance.org/wp-content/uploads/2025/01/Blue-Carbon-Assessment-Cambodia-Report-Case-Study-1.pdf</w:t>
        </w:r>
      </w:hyperlink>
    </w:p>
    <w:p w14:paraId="73A83ACF"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MCC &amp; FAO. (2023). </w:t>
      </w:r>
      <w:r w:rsidRPr="003B66BF">
        <w:rPr>
          <w:rStyle w:val="Emphasis"/>
          <w:rFonts w:ascii="Arial" w:hAnsi="Arial" w:cs="Arial"/>
          <w:i w:val="0"/>
          <w:iCs w:val="0"/>
          <w:sz w:val="22"/>
          <w:szCs w:val="22"/>
        </w:rPr>
        <w:t>Kep–Kampot marine habitat technical report.</w:t>
      </w:r>
      <w:r w:rsidRPr="003B66BF">
        <w:rPr>
          <w:rFonts w:ascii="Arial" w:hAnsi="Arial" w:cs="Arial"/>
          <w:sz w:val="22"/>
          <w:szCs w:val="22"/>
        </w:rPr>
        <w:t xml:space="preserve"> </w:t>
      </w:r>
      <w:hyperlink r:id="rId40" w:tgtFrame="_new" w:history="1">
        <w:r w:rsidRPr="003B66BF">
          <w:rPr>
            <w:rStyle w:val="Hyperlink"/>
            <w:rFonts w:ascii="Arial" w:hAnsi="Arial" w:cs="Arial"/>
            <w:sz w:val="22"/>
            <w:szCs w:val="22"/>
          </w:rPr>
          <w:t>https://marineconservationcambodia.org/wp-content/uploads/2023/06/MCCFAO-CAPFISH-Technical-report.pdf</w:t>
        </w:r>
      </w:hyperlink>
    </w:p>
    <w:p w14:paraId="17E50725"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MoE &amp; NOTC. (2018). </w:t>
      </w:r>
      <w:r w:rsidRPr="003B66BF">
        <w:rPr>
          <w:rStyle w:val="Emphasis"/>
          <w:rFonts w:ascii="Arial" w:hAnsi="Arial" w:cs="Arial"/>
          <w:i w:val="0"/>
          <w:iCs w:val="0"/>
          <w:sz w:val="22"/>
          <w:szCs w:val="22"/>
        </w:rPr>
        <w:t>Initial Cambodia Marine Spatial Planning (2018–2023).</w:t>
      </w:r>
      <w:r w:rsidRPr="003B66BF">
        <w:rPr>
          <w:rFonts w:ascii="Arial" w:hAnsi="Arial" w:cs="Arial"/>
          <w:sz w:val="22"/>
          <w:szCs w:val="22"/>
        </w:rPr>
        <w:t xml:space="preserve"> </w:t>
      </w:r>
      <w:hyperlink r:id="rId41" w:tgtFrame="_new" w:history="1">
        <w:r w:rsidRPr="003B66BF">
          <w:rPr>
            <w:rStyle w:val="Hyperlink"/>
            <w:rFonts w:ascii="Arial" w:hAnsi="Arial" w:cs="Arial"/>
            <w:sz w:val="22"/>
            <w:szCs w:val="22"/>
          </w:rPr>
          <w:t>https://documents1.worldbank.org/curated/en/099556207032341413/pdf/IDU00eec67aa0872b04096088cd02fda633553f1.pdf</w:t>
        </w:r>
      </w:hyperlink>
    </w:p>
    <w:p w14:paraId="484FD84E"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MoE &amp; NOTC. (2018). Marine spatial planning baselines for the Koh Rong Archipelago. Ministry of Environment &amp; National Oceanic Technical Committee.</w:t>
      </w:r>
    </w:p>
    <w:p w14:paraId="3A29F537"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MoE, 2018. National Waste Management Strategy and Action Plan 2018–2030.</w:t>
      </w:r>
    </w:p>
    <w:p w14:paraId="76B10064"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MoE, 2025a. Mangrove Assessment 2014–2025 (Sentinel-2, 10 m) [working draft].</w:t>
      </w:r>
    </w:p>
    <w:p w14:paraId="7F68EC1E"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MoE, 2025b. Seagrass Assessment (provincewide compilations and CFi portfolios) [working draft].</w:t>
      </w:r>
    </w:p>
    <w:p w14:paraId="77373B66"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MoE, 2025c. Coral Assessment (Koh Rong, Koh Sdach, Kep) 2014–2025 [working draft].</w:t>
      </w:r>
    </w:p>
    <w:p w14:paraId="1CEEA5AD"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MRC, 2024. The status and trends of riverine plastic pollution in the Lower Mekong Basin. </w:t>
      </w:r>
      <w:hyperlink r:id="rId42" w:history="1">
        <w:r w:rsidRPr="003B66BF">
          <w:rPr>
            <w:rStyle w:val="Hyperlink"/>
            <w:rFonts w:ascii="Arial" w:hAnsi="Arial" w:cs="Arial"/>
            <w:sz w:val="22"/>
            <w:szCs w:val="22"/>
          </w:rPr>
          <w:t>https://www.mrcmekong.org/wp-content/uploads/2024/08/PlasticReport2022.pdf</w:t>
        </w:r>
      </w:hyperlink>
      <w:r w:rsidRPr="003B66BF">
        <w:rPr>
          <w:rFonts w:ascii="Arial" w:hAnsi="Arial" w:cs="Arial"/>
          <w:sz w:val="22"/>
          <w:szCs w:val="22"/>
        </w:rPr>
        <w:t xml:space="preserve"> </w:t>
      </w:r>
    </w:p>
    <w:p w14:paraId="0A56ADCD"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Mukherjee, S., et al. (2018). </w:t>
      </w:r>
      <w:r w:rsidRPr="003B66BF">
        <w:rPr>
          <w:rStyle w:val="Emphasis"/>
          <w:rFonts w:ascii="Arial" w:hAnsi="Arial" w:cs="Arial"/>
          <w:i w:val="0"/>
          <w:iCs w:val="0"/>
          <w:sz w:val="22"/>
          <w:szCs w:val="22"/>
        </w:rPr>
        <w:t>Vulnerable fishing cat and other threatened species in Cambodia’s coastal mangroves.</w:t>
      </w:r>
      <w:r w:rsidRPr="003B66BF">
        <w:rPr>
          <w:rFonts w:ascii="Arial" w:hAnsi="Arial" w:cs="Arial"/>
          <w:sz w:val="22"/>
          <w:szCs w:val="22"/>
        </w:rPr>
        <w:t xml:space="preserve"> </w:t>
      </w:r>
      <w:r w:rsidRPr="003B66BF">
        <w:rPr>
          <w:rStyle w:val="Strong"/>
          <w:rFonts w:ascii="Arial" w:hAnsi="Arial" w:cs="Arial"/>
          <w:b w:val="0"/>
          <w:bCs w:val="0"/>
          <w:sz w:val="22"/>
          <w:szCs w:val="22"/>
        </w:rPr>
        <w:t>Oryx</w:t>
      </w:r>
      <w:r w:rsidRPr="003B66BF">
        <w:rPr>
          <w:rFonts w:ascii="Arial" w:hAnsi="Arial" w:cs="Arial"/>
          <w:b/>
          <w:bCs/>
          <w:sz w:val="22"/>
          <w:szCs w:val="22"/>
        </w:rPr>
        <w:t xml:space="preserve">. </w:t>
      </w:r>
      <w:hyperlink r:id="rId43" w:tgtFrame="_new" w:history="1">
        <w:r w:rsidRPr="003B66BF">
          <w:rPr>
            <w:rStyle w:val="Hyperlink"/>
            <w:rFonts w:ascii="Arial" w:hAnsi="Arial" w:cs="Arial"/>
            <w:sz w:val="22"/>
            <w:szCs w:val="22"/>
          </w:rPr>
          <w:t>https://www.cambridge.org/core/journals/oryx/article/vulnerable-fishing-cat-prionailurus-viverrinus-and-other-globally-threatened-species-in-cambodias-coastal-mangroves/57146D6098F3E454A4407A3C6B9918E7</w:t>
        </w:r>
      </w:hyperlink>
    </w:p>
    <w:p w14:paraId="3A563DAE"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Norrey, J., et al., 2023. </w:t>
      </w:r>
      <w:r w:rsidRPr="003B66BF">
        <w:rPr>
          <w:rStyle w:val="Emphasis"/>
          <w:rFonts w:ascii="Arial" w:hAnsi="Arial" w:cs="Arial"/>
          <w:i w:val="0"/>
          <w:iCs w:val="0"/>
          <w:sz w:val="22"/>
          <w:szCs w:val="22"/>
        </w:rPr>
        <w:t>Deploying conservation anti-trawling structures in Kep Province, Cambodia.</w:t>
      </w:r>
      <w:r w:rsidRPr="003B66BF">
        <w:rPr>
          <w:rFonts w:ascii="Arial" w:hAnsi="Arial" w:cs="Arial"/>
          <w:sz w:val="22"/>
          <w:szCs w:val="22"/>
        </w:rPr>
        <w:t xml:space="preserve"> </w:t>
      </w:r>
      <w:r w:rsidRPr="003B66BF">
        <w:rPr>
          <w:rStyle w:val="Strong"/>
          <w:rFonts w:ascii="Arial" w:hAnsi="Arial" w:cs="Arial"/>
          <w:b w:val="0"/>
          <w:bCs w:val="0"/>
          <w:sz w:val="22"/>
          <w:szCs w:val="22"/>
        </w:rPr>
        <w:t>ICES Journal of Marine Science, 80</w:t>
      </w:r>
      <w:r w:rsidRPr="003B66BF">
        <w:rPr>
          <w:rFonts w:ascii="Arial" w:hAnsi="Arial" w:cs="Arial"/>
          <w:sz w:val="22"/>
          <w:szCs w:val="22"/>
        </w:rPr>
        <w:t xml:space="preserve">(8), 2197–2213. </w:t>
      </w:r>
      <w:hyperlink r:id="rId44" w:tgtFrame="_new" w:history="1">
        <w:r w:rsidRPr="003B66BF">
          <w:rPr>
            <w:rStyle w:val="Hyperlink"/>
            <w:rFonts w:ascii="Arial" w:hAnsi="Arial" w:cs="Arial"/>
            <w:sz w:val="22"/>
            <w:szCs w:val="22"/>
          </w:rPr>
          <w:t>https://academic.oup.com/icesjms/article/80/8/2197/6511220</w:t>
        </w:r>
      </w:hyperlink>
    </w:p>
    <w:p w14:paraId="581908AD"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ODC, 2023c. Special economic zone and infrastructure footprints in Koh Kong.</w:t>
      </w:r>
    </w:p>
    <w:p w14:paraId="536EC34B"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ODC, 2023c. </w:t>
      </w:r>
      <w:r w:rsidRPr="003B66BF">
        <w:rPr>
          <w:rStyle w:val="Emphasis"/>
          <w:rFonts w:ascii="Arial" w:hAnsi="Arial" w:cs="Arial"/>
          <w:i w:val="0"/>
          <w:iCs w:val="0"/>
          <w:sz w:val="22"/>
          <w:szCs w:val="22"/>
        </w:rPr>
        <w:t>Union Development Group (Dara Sakor) concession profile.</w:t>
      </w:r>
      <w:r w:rsidRPr="003B66BF">
        <w:rPr>
          <w:rFonts w:ascii="Arial" w:hAnsi="Arial" w:cs="Arial"/>
          <w:sz w:val="22"/>
          <w:szCs w:val="22"/>
        </w:rPr>
        <w:t xml:space="preserve"> </w:t>
      </w:r>
      <w:hyperlink r:id="rId45" w:history="1">
        <w:r w:rsidRPr="003B66BF">
          <w:rPr>
            <w:rStyle w:val="Hyperlink"/>
            <w:rFonts w:ascii="Arial" w:hAnsi="Arial" w:cs="Arial"/>
            <w:sz w:val="22"/>
            <w:szCs w:val="22"/>
          </w:rPr>
          <w:t>https://opendevelopmentcambodia.net/profiles/economic-land-concessions/union-development-group-co-ltd/</w:t>
        </w:r>
      </w:hyperlink>
      <w:r w:rsidRPr="003B66BF">
        <w:rPr>
          <w:rFonts w:ascii="Arial" w:hAnsi="Arial" w:cs="Arial"/>
          <w:sz w:val="22"/>
          <w:szCs w:val="22"/>
        </w:rPr>
        <w:t xml:space="preserve"> </w:t>
      </w:r>
    </w:p>
    <w:p w14:paraId="5B46E40B"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PCAsia, 2024. Summary Report on Mangroves: Overview of Mangrove Governance and Lessons Learned in Cambodia, Thailand and Indonesia. </w:t>
      </w:r>
      <w:hyperlink r:id="rId46" w:history="1">
        <w:r w:rsidRPr="003B66BF">
          <w:rPr>
            <w:rStyle w:val="Hyperlink"/>
            <w:rFonts w:ascii="Arial" w:hAnsi="Arial" w:cs="Arial"/>
            <w:sz w:val="22"/>
            <w:szCs w:val="22"/>
          </w:rPr>
          <w:t>https://pcasia.org/wp-content/uploads/2024/08/20240813_Summary-report-on-Mangrove.pdf</w:t>
        </w:r>
      </w:hyperlink>
      <w:r w:rsidRPr="003B66BF">
        <w:rPr>
          <w:rFonts w:ascii="Arial" w:hAnsi="Arial" w:cs="Arial"/>
          <w:sz w:val="22"/>
          <w:szCs w:val="22"/>
        </w:rPr>
        <w:t xml:space="preserve"> </w:t>
      </w:r>
    </w:p>
    <w:p w14:paraId="49A764FE"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PEMSEA &amp; MoE, 2019. National State of the Oceans and Coasts 2018: Blue Economy Growth – Cambodia. </w:t>
      </w:r>
      <w:hyperlink r:id="rId47" w:history="1">
        <w:r w:rsidRPr="003B66BF">
          <w:rPr>
            <w:rStyle w:val="Hyperlink"/>
            <w:rFonts w:ascii="Arial" w:hAnsi="Arial" w:cs="Arial"/>
            <w:sz w:val="22"/>
            <w:szCs w:val="22"/>
          </w:rPr>
          <w:t>https://www.pemsea.org/sites/default/files/2023-12/NSOC%20Cambodia%202018%20%28FINAL%29%2009092020.pdf</w:t>
        </w:r>
      </w:hyperlink>
      <w:r w:rsidRPr="003B66BF">
        <w:rPr>
          <w:rFonts w:ascii="Arial" w:hAnsi="Arial" w:cs="Arial"/>
          <w:sz w:val="22"/>
          <w:szCs w:val="22"/>
        </w:rPr>
        <w:t xml:space="preserve"> </w:t>
      </w:r>
    </w:p>
    <w:p w14:paraId="35DA4CCD"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Pham, Q. T., et al., 2025. </w:t>
      </w:r>
      <w:r w:rsidRPr="003B66BF">
        <w:rPr>
          <w:rStyle w:val="Emphasis"/>
          <w:rFonts w:ascii="Arial" w:hAnsi="Arial" w:cs="Arial"/>
          <w:i w:val="0"/>
          <w:iCs w:val="0"/>
          <w:sz w:val="22"/>
          <w:szCs w:val="22"/>
        </w:rPr>
        <w:t>Coral community structure and health at Koh Seh, Kep.</w:t>
      </w:r>
      <w:r w:rsidRPr="003B66BF">
        <w:rPr>
          <w:rFonts w:ascii="Arial" w:hAnsi="Arial" w:cs="Arial"/>
          <w:sz w:val="22"/>
          <w:szCs w:val="22"/>
        </w:rPr>
        <w:t xml:space="preserve"> </w:t>
      </w:r>
      <w:r w:rsidRPr="003B66BF">
        <w:rPr>
          <w:rStyle w:val="Strong"/>
          <w:rFonts w:ascii="Arial" w:hAnsi="Arial" w:cs="Arial"/>
          <w:b w:val="0"/>
          <w:bCs w:val="0"/>
          <w:sz w:val="22"/>
          <w:szCs w:val="22"/>
        </w:rPr>
        <w:t>Journal of Marine Science and Engineering, 13</w:t>
      </w:r>
      <w:r w:rsidRPr="003B66BF">
        <w:rPr>
          <w:rFonts w:ascii="Arial" w:hAnsi="Arial" w:cs="Arial"/>
          <w:sz w:val="22"/>
          <w:szCs w:val="22"/>
        </w:rPr>
        <w:t xml:space="preserve">(9), 1644. </w:t>
      </w:r>
      <w:hyperlink r:id="rId48" w:tgtFrame="_new" w:history="1">
        <w:r w:rsidRPr="003B66BF">
          <w:rPr>
            <w:rStyle w:val="Hyperlink"/>
            <w:rFonts w:ascii="Arial" w:hAnsi="Arial" w:cs="Arial"/>
            <w:sz w:val="22"/>
            <w:szCs w:val="22"/>
          </w:rPr>
          <w:t>https://www.mdpi.com/2077-1312/13/9/1644</w:t>
        </w:r>
      </w:hyperlink>
    </w:p>
    <w:p w14:paraId="12C116DD"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Ramsar Secretariat, 2012. </w:t>
      </w:r>
      <w:r w:rsidRPr="003B66BF">
        <w:rPr>
          <w:rStyle w:val="Emphasis"/>
          <w:rFonts w:ascii="Arial" w:hAnsi="Arial" w:cs="Arial"/>
          <w:i w:val="0"/>
          <w:iCs w:val="0"/>
          <w:sz w:val="22"/>
          <w:szCs w:val="22"/>
        </w:rPr>
        <w:t>Ramsar Information Sheet: Site No. 998—Koh Kapik &amp; Associated Islets.</w:t>
      </w:r>
      <w:r w:rsidRPr="003B66BF">
        <w:rPr>
          <w:rFonts w:ascii="Arial" w:hAnsi="Arial" w:cs="Arial"/>
          <w:sz w:val="22"/>
          <w:szCs w:val="22"/>
        </w:rPr>
        <w:t xml:space="preserve"> </w:t>
      </w:r>
      <w:hyperlink r:id="rId49" w:tgtFrame="_new" w:history="1">
        <w:r w:rsidRPr="003B66BF">
          <w:rPr>
            <w:rStyle w:val="Hyperlink"/>
            <w:rFonts w:ascii="Arial" w:hAnsi="Arial" w:cs="Arial"/>
            <w:sz w:val="22"/>
            <w:szCs w:val="22"/>
          </w:rPr>
          <w:t>https://rsis.ramsar.org/RISapp/files/RISrep/KH998RIS.pdf</w:t>
        </w:r>
      </w:hyperlink>
    </w:p>
    <w:p w14:paraId="1496CD37"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Royal Government of Cambodia. (1999). Sub-Decree on Environmental Impact Assessment Process.</w:t>
      </w:r>
    </w:p>
    <w:p w14:paraId="784B81E8" w14:textId="779D90D6"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Royal Government of Cambodia</w:t>
      </w:r>
      <w:r w:rsidR="00312922" w:rsidRPr="003B66BF">
        <w:rPr>
          <w:rFonts w:ascii="Arial" w:hAnsi="Arial" w:cs="Arial"/>
          <w:sz w:val="22"/>
          <w:szCs w:val="22"/>
        </w:rPr>
        <w:t xml:space="preserve">, </w:t>
      </w:r>
      <w:r w:rsidRPr="003B66BF">
        <w:rPr>
          <w:rFonts w:ascii="Arial" w:hAnsi="Arial" w:cs="Arial"/>
          <w:sz w:val="22"/>
          <w:szCs w:val="22"/>
        </w:rPr>
        <w:t>2007. Law on Fisheries.</w:t>
      </w:r>
    </w:p>
    <w:p w14:paraId="03C393B3" w14:textId="1794F8A0"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Royal Government of Cambodia</w:t>
      </w:r>
      <w:r w:rsidR="00312922" w:rsidRPr="003B66BF">
        <w:rPr>
          <w:rFonts w:ascii="Arial" w:hAnsi="Arial" w:cs="Arial"/>
          <w:sz w:val="22"/>
          <w:szCs w:val="22"/>
        </w:rPr>
        <w:t xml:space="preserve">, </w:t>
      </w:r>
      <w:r w:rsidRPr="003B66BF">
        <w:rPr>
          <w:rFonts w:ascii="Arial" w:hAnsi="Arial" w:cs="Arial"/>
          <w:sz w:val="22"/>
          <w:szCs w:val="22"/>
        </w:rPr>
        <w:t>2008. Protected Areas Law.</w:t>
      </w:r>
    </w:p>
    <w:p w14:paraId="0105FB98" w14:textId="38BBD8A3"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Royal Government of Cambodia</w:t>
      </w:r>
      <w:r w:rsidR="00312922" w:rsidRPr="003B66BF">
        <w:rPr>
          <w:rFonts w:ascii="Arial" w:hAnsi="Arial" w:cs="Arial"/>
          <w:sz w:val="22"/>
          <w:szCs w:val="22"/>
        </w:rPr>
        <w:t xml:space="preserve">, </w:t>
      </w:r>
      <w:r w:rsidRPr="003B66BF">
        <w:rPr>
          <w:rFonts w:ascii="Arial" w:hAnsi="Arial" w:cs="Arial"/>
          <w:sz w:val="22"/>
          <w:szCs w:val="22"/>
        </w:rPr>
        <w:t>2023. Code on Environment and Natural Resources.</w:t>
      </w:r>
    </w:p>
    <w:p w14:paraId="5D91A738" w14:textId="2D4DE627" w:rsidR="00D64788" w:rsidRPr="003B66BF" w:rsidRDefault="00D64788" w:rsidP="00BD252F">
      <w:pPr>
        <w:pStyle w:val="NormalWeb"/>
        <w:adjustRightInd w:val="0"/>
        <w:snapToGrid w:val="0"/>
        <w:spacing w:before="0" w:beforeAutospacing="0" w:after="0" w:afterAutospacing="0"/>
        <w:ind w:left="567" w:hanging="567"/>
        <w:rPr>
          <w:rStyle w:val="Hyperlink"/>
          <w:rFonts w:ascii="Arial" w:hAnsi="Arial" w:cs="Arial"/>
          <w:sz w:val="22"/>
          <w:szCs w:val="22"/>
        </w:rPr>
      </w:pPr>
      <w:r w:rsidRPr="003B66BF">
        <w:rPr>
          <w:rFonts w:ascii="Arial" w:hAnsi="Arial" w:cs="Arial"/>
          <w:sz w:val="22"/>
          <w:szCs w:val="22"/>
        </w:rPr>
        <w:t>Royal Government of Cambodia</w:t>
      </w:r>
      <w:r w:rsidR="00312922" w:rsidRPr="003B66BF">
        <w:rPr>
          <w:rFonts w:ascii="Arial" w:hAnsi="Arial" w:cs="Arial"/>
          <w:sz w:val="22"/>
          <w:szCs w:val="22"/>
        </w:rPr>
        <w:t xml:space="preserve">, </w:t>
      </w:r>
      <w:r w:rsidRPr="003B66BF">
        <w:rPr>
          <w:rFonts w:ascii="Arial" w:hAnsi="Arial" w:cs="Arial"/>
          <w:sz w:val="22"/>
          <w:szCs w:val="22"/>
        </w:rPr>
        <w:t xml:space="preserve">2023. </w:t>
      </w:r>
      <w:r w:rsidRPr="003B66BF">
        <w:rPr>
          <w:rStyle w:val="Emphasis"/>
          <w:rFonts w:ascii="Arial" w:hAnsi="Arial" w:cs="Arial"/>
          <w:i w:val="0"/>
          <w:iCs w:val="0"/>
          <w:sz w:val="22"/>
          <w:szCs w:val="22"/>
        </w:rPr>
        <w:t>Sub-Decree 171—Anlung Pring Protected Landscape reclassification.</w:t>
      </w:r>
      <w:r w:rsidRPr="003B66BF">
        <w:rPr>
          <w:rFonts w:ascii="Arial" w:hAnsi="Arial" w:cs="Arial"/>
          <w:sz w:val="22"/>
          <w:szCs w:val="22"/>
        </w:rPr>
        <w:t xml:space="preserve"> </w:t>
      </w:r>
      <w:hyperlink r:id="rId50" w:tgtFrame="_new" w:history="1">
        <w:r w:rsidRPr="003B66BF">
          <w:rPr>
            <w:rStyle w:val="Hyperlink"/>
            <w:rFonts w:ascii="Arial" w:hAnsi="Arial" w:cs="Arial"/>
            <w:sz w:val="22"/>
            <w:szCs w:val="22"/>
          </w:rPr>
          <w:t>https://data.opendevelopmentcambodia.net/laws_record/sub-decree-no-171-on-reclassifying-anlung-pring-protected-landscape</w:t>
        </w:r>
      </w:hyperlink>
    </w:p>
    <w:p w14:paraId="6B7E6F20" w14:textId="6B5C2D05" w:rsidR="00312922" w:rsidRPr="003B66BF" w:rsidRDefault="00312922"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Royal Government of Cambodia, 2023. Sub-Decree no. 175 on reclassifying Botum Sakor National Park. ODC. </w:t>
      </w:r>
      <w:hyperlink r:id="rId51" w:history="1">
        <w:r w:rsidRPr="003B66BF">
          <w:rPr>
            <w:rStyle w:val="Hyperlink"/>
            <w:rFonts w:ascii="Arial" w:hAnsi="Arial" w:cs="Arial"/>
            <w:sz w:val="22"/>
            <w:szCs w:val="22"/>
          </w:rPr>
          <w:t>https://data.opendevelopmentcambodia.net/en/laws_record/sub-decree-no-175-on-reclassifying-botum-sakor-national-park/resource/a50208a5-5722-4e30-bd45-c2ea9bf0e304</w:t>
        </w:r>
      </w:hyperlink>
      <w:r w:rsidRPr="003B66BF">
        <w:rPr>
          <w:rFonts w:ascii="Arial" w:hAnsi="Arial" w:cs="Arial"/>
          <w:sz w:val="22"/>
          <w:szCs w:val="22"/>
        </w:rPr>
        <w:t xml:space="preserve"> </w:t>
      </w:r>
    </w:p>
    <w:p w14:paraId="37C9079B"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SCS-SAP, 2021. Cambodia National Profile. UNEP/GEF. </w:t>
      </w:r>
      <w:hyperlink r:id="rId52" w:history="1">
        <w:r w:rsidRPr="003B66BF">
          <w:rPr>
            <w:rStyle w:val="Hyperlink"/>
            <w:rFonts w:ascii="Arial" w:hAnsi="Arial" w:cs="Arial"/>
            <w:sz w:val="22"/>
            <w:szCs w:val="22"/>
          </w:rPr>
          <w:t>https://scssap.org/scs-sap-first-steering-committee-meeting/156-psc1-inf-3-cambodia-summary-profile/file</w:t>
        </w:r>
      </w:hyperlink>
      <w:r w:rsidRPr="003B66BF">
        <w:rPr>
          <w:rFonts w:ascii="Arial" w:hAnsi="Arial" w:cs="Arial"/>
          <w:sz w:val="22"/>
          <w:szCs w:val="22"/>
        </w:rPr>
        <w:t xml:space="preserve"> </w:t>
      </w:r>
    </w:p>
    <w:p w14:paraId="363598B4"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SEAFDEC, 2025. Regional progress on NPOA-IUU implementation in the Gulf of Thailand. Southeast Asian Fisheries Development Center.</w:t>
      </w:r>
    </w:p>
    <w:p w14:paraId="41301199"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Tubbs, S. E., et al., 2019. </w:t>
      </w:r>
      <w:r w:rsidRPr="003B66BF">
        <w:rPr>
          <w:rStyle w:val="Emphasis"/>
          <w:rFonts w:ascii="Arial" w:hAnsi="Arial" w:cs="Arial"/>
          <w:i w:val="0"/>
          <w:iCs w:val="0"/>
          <w:sz w:val="22"/>
          <w:szCs w:val="22"/>
        </w:rPr>
        <w:t>Sighting and Stranding Reports of Irrawaddy Dolphins (Orcaella brevirostris) and Dugongs (Dugong dugon) in Kep and Kampot, Cambodia.</w:t>
      </w:r>
      <w:r w:rsidRPr="003B66BF">
        <w:rPr>
          <w:rFonts w:ascii="Arial" w:hAnsi="Arial" w:cs="Arial"/>
          <w:sz w:val="22"/>
          <w:szCs w:val="22"/>
        </w:rPr>
        <w:t xml:space="preserve"> </w:t>
      </w:r>
      <w:r w:rsidRPr="003B66BF">
        <w:rPr>
          <w:rStyle w:val="Strong"/>
          <w:rFonts w:ascii="Arial" w:hAnsi="Arial" w:cs="Arial"/>
          <w:b w:val="0"/>
          <w:bCs w:val="0"/>
          <w:sz w:val="22"/>
          <w:szCs w:val="22"/>
        </w:rPr>
        <w:t>Aquatic Mammals, 45</w:t>
      </w:r>
      <w:r w:rsidRPr="003B66BF">
        <w:rPr>
          <w:rFonts w:ascii="Arial" w:hAnsi="Arial" w:cs="Arial"/>
          <w:sz w:val="22"/>
          <w:szCs w:val="22"/>
        </w:rPr>
        <w:t xml:space="preserve">(5), 573–582. </w:t>
      </w:r>
      <w:hyperlink r:id="rId53" w:history="1">
        <w:r w:rsidRPr="003B66BF">
          <w:rPr>
            <w:rStyle w:val="Hyperlink"/>
            <w:rFonts w:ascii="Arial" w:hAnsi="Arial" w:cs="Arial"/>
            <w:sz w:val="22"/>
            <w:szCs w:val="22"/>
          </w:rPr>
          <w:t>https://www.researchgate.net/publication/335829042_Sighting_and_Stranding_Reports_of_Irrawaddy_Dolphins_Orcaella_brevirostris_and_Dugongs_Dugong_dugon_in_Kep_and_Kampot_Cambodia</w:t>
        </w:r>
      </w:hyperlink>
      <w:r w:rsidRPr="003B66BF">
        <w:rPr>
          <w:rFonts w:ascii="Arial" w:hAnsi="Arial" w:cs="Arial"/>
          <w:sz w:val="22"/>
          <w:szCs w:val="22"/>
        </w:rPr>
        <w:t xml:space="preserve"> </w:t>
      </w:r>
    </w:p>
    <w:p w14:paraId="6C1FFD1C"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UN-Habitat, 2019. </w:t>
      </w:r>
      <w:r w:rsidRPr="003B66BF">
        <w:rPr>
          <w:rStyle w:val="Emphasis"/>
          <w:rFonts w:ascii="Arial" w:hAnsi="Arial" w:cs="Arial"/>
          <w:i w:val="0"/>
          <w:iCs w:val="0"/>
          <w:sz w:val="22"/>
          <w:szCs w:val="22"/>
        </w:rPr>
        <w:t>Cities and climate change initiative Sihanoukville, Cambodia: Climate change vulnerability assessment.</w:t>
      </w:r>
      <w:r w:rsidRPr="003B66BF">
        <w:rPr>
          <w:rFonts w:ascii="Arial" w:hAnsi="Arial" w:cs="Arial"/>
          <w:sz w:val="22"/>
          <w:szCs w:val="22"/>
        </w:rPr>
        <w:t xml:space="preserve"> </w:t>
      </w:r>
      <w:hyperlink r:id="rId54" w:history="1">
        <w:r w:rsidRPr="003B66BF">
          <w:rPr>
            <w:rStyle w:val="Hyperlink"/>
            <w:rFonts w:ascii="Arial" w:hAnsi="Arial" w:cs="Arial"/>
            <w:sz w:val="22"/>
            <w:szCs w:val="22"/>
          </w:rPr>
          <w:t>https://unhabitat.org/sites/default/files/documents/2019-04/sihanoukville_city_vulnerability_assessment.pdf</w:t>
        </w:r>
      </w:hyperlink>
    </w:p>
    <w:p w14:paraId="223E15E8"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UNEP/GEF SCS, 2008. National reports on seagrass in the South China Sea &amp; Cambodia national profile. </w:t>
      </w:r>
      <w:hyperlink r:id="rId55" w:history="1">
        <w:r w:rsidRPr="003B66BF">
          <w:rPr>
            <w:rStyle w:val="Hyperlink"/>
            <w:rFonts w:ascii="Arial" w:hAnsi="Arial" w:cs="Arial"/>
            <w:sz w:val="22"/>
            <w:szCs w:val="22"/>
          </w:rPr>
          <w:t>https://iwlearn.net/resolveuid/6abc857925542c108f72e2f1e9147b97</w:t>
        </w:r>
      </w:hyperlink>
      <w:r w:rsidRPr="003B66BF">
        <w:rPr>
          <w:rFonts w:ascii="Arial" w:hAnsi="Arial" w:cs="Arial"/>
          <w:sz w:val="22"/>
          <w:szCs w:val="22"/>
        </w:rPr>
        <w:t xml:space="preserve"> </w:t>
      </w:r>
    </w:p>
    <w:p w14:paraId="42DB2D23"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Wild Earth Allies, 2020. </w:t>
      </w:r>
      <w:r w:rsidRPr="003B66BF">
        <w:rPr>
          <w:rStyle w:val="Emphasis"/>
          <w:rFonts w:ascii="Arial" w:hAnsi="Arial" w:cs="Arial"/>
          <w:i w:val="0"/>
          <w:iCs w:val="0"/>
          <w:sz w:val="22"/>
          <w:szCs w:val="22"/>
        </w:rPr>
        <w:t xml:space="preserve">Marine Biodiversity Assessment, Kampot, Cambodia: Baseline Survey of Seagrass Beds, Coral Reefs and Dolphins.  </w:t>
      </w:r>
      <w:hyperlink r:id="rId56" w:history="1">
        <w:r w:rsidRPr="003B66BF">
          <w:rPr>
            <w:rStyle w:val="Hyperlink"/>
            <w:rFonts w:ascii="Arial" w:hAnsi="Arial" w:cs="Arial"/>
            <w:sz w:val="22"/>
            <w:szCs w:val="22"/>
          </w:rPr>
          <w:t>https://wildearthallies.org/wp-content/uploads/2020/10/Kampot-Marine-Biodiversity-Assessment-2020_FINAL.pdf</w:t>
        </w:r>
      </w:hyperlink>
    </w:p>
    <w:p w14:paraId="6D5F78F8"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World Bank Group; Asian Development Bank, 2021. Climate Risk Country Profile: Cambodia. © World Bank and Asian Development Bank. </w:t>
      </w:r>
      <w:hyperlink r:id="rId57" w:history="1">
        <w:r w:rsidRPr="003B66BF">
          <w:rPr>
            <w:rStyle w:val="Hyperlink"/>
            <w:rFonts w:ascii="Arial" w:hAnsi="Arial" w:cs="Arial"/>
            <w:sz w:val="22"/>
            <w:szCs w:val="22"/>
          </w:rPr>
          <w:t>https://openknowledge.worldbank.org/entities/publication/60408468-05b9-5d25-920e-ce7010462340</w:t>
        </w:r>
      </w:hyperlink>
      <w:r w:rsidRPr="003B66BF">
        <w:rPr>
          <w:rFonts w:ascii="Arial" w:hAnsi="Arial" w:cs="Arial"/>
          <w:sz w:val="22"/>
          <w:szCs w:val="22"/>
        </w:rPr>
        <w:t xml:space="preserve"> </w:t>
      </w:r>
    </w:p>
    <w:p w14:paraId="02B0B975" w14:textId="77777777" w:rsidR="00D64788" w:rsidRPr="003B66BF" w:rsidRDefault="00D64788" w:rsidP="00BD252F">
      <w:pPr>
        <w:pStyle w:val="NormalWeb"/>
        <w:adjustRightInd w:val="0"/>
        <w:snapToGrid w:val="0"/>
        <w:spacing w:before="0" w:beforeAutospacing="0" w:after="0" w:afterAutospacing="0"/>
        <w:ind w:left="567" w:hanging="567"/>
        <w:rPr>
          <w:rStyle w:val="Hyperlink"/>
          <w:rFonts w:ascii="Arial" w:hAnsi="Arial" w:cs="Arial"/>
          <w:sz w:val="22"/>
          <w:szCs w:val="22"/>
        </w:rPr>
      </w:pPr>
      <w:r w:rsidRPr="003B66BF">
        <w:rPr>
          <w:rFonts w:ascii="Arial" w:hAnsi="Arial" w:cs="Arial"/>
          <w:sz w:val="22"/>
          <w:szCs w:val="22"/>
        </w:rPr>
        <w:t xml:space="preserve">World Bank, 2020. </w:t>
      </w:r>
      <w:r w:rsidRPr="003B66BF">
        <w:rPr>
          <w:rStyle w:val="Emphasis"/>
          <w:rFonts w:ascii="Arial" w:hAnsi="Arial" w:cs="Arial"/>
          <w:i w:val="0"/>
          <w:iCs w:val="0"/>
          <w:sz w:val="22"/>
          <w:szCs w:val="22"/>
        </w:rPr>
        <w:t>Cambodia: Solid Waste and Plastic Management Improvement Project (P170976).</w:t>
      </w:r>
      <w:r w:rsidRPr="003B66BF">
        <w:rPr>
          <w:rFonts w:ascii="Arial" w:hAnsi="Arial" w:cs="Arial"/>
          <w:sz w:val="22"/>
          <w:szCs w:val="22"/>
        </w:rPr>
        <w:t xml:space="preserve"> </w:t>
      </w:r>
      <w:hyperlink r:id="rId58" w:tgtFrame="_new" w:history="1">
        <w:r w:rsidRPr="003B66BF">
          <w:rPr>
            <w:rStyle w:val="Hyperlink"/>
            <w:rFonts w:ascii="Arial" w:hAnsi="Arial" w:cs="Arial"/>
            <w:sz w:val="22"/>
            <w:szCs w:val="22"/>
          </w:rPr>
          <w:t>https://documents1.worldbank.org/curated/en/722141586260533194/pdf/Concept-Project-Information-Document-PID-Cambodia-Solid-Waste-and-Plastic-Management-Improvement-Project-P170976.pdf</w:t>
        </w:r>
      </w:hyperlink>
    </w:p>
    <w:p w14:paraId="50C77E9E" w14:textId="77777777" w:rsidR="00D64788" w:rsidRPr="003B66BF" w:rsidRDefault="00D64788" w:rsidP="00BD252F">
      <w:pPr>
        <w:pStyle w:val="NormalWeb"/>
        <w:adjustRightInd w:val="0"/>
        <w:snapToGrid w:val="0"/>
        <w:spacing w:before="0" w:beforeAutospacing="0" w:after="0" w:afterAutospacing="0"/>
        <w:ind w:left="567" w:hanging="567"/>
        <w:rPr>
          <w:rFonts w:ascii="Arial" w:hAnsi="Arial" w:cs="Arial"/>
          <w:sz w:val="22"/>
          <w:szCs w:val="22"/>
        </w:rPr>
      </w:pPr>
      <w:r w:rsidRPr="003B66BF">
        <w:rPr>
          <w:rFonts w:ascii="Arial" w:hAnsi="Arial" w:cs="Arial"/>
          <w:sz w:val="22"/>
          <w:szCs w:val="22"/>
        </w:rPr>
        <w:t xml:space="preserve">World Bank, 2021. Building a Blue Economy Roadmap for Cambodia. </w:t>
      </w:r>
      <w:hyperlink r:id="rId59" w:history="1">
        <w:r w:rsidRPr="003B66BF">
          <w:rPr>
            <w:rStyle w:val="Hyperlink"/>
            <w:rFonts w:ascii="Arial" w:hAnsi="Arial" w:cs="Arial"/>
            <w:sz w:val="22"/>
            <w:szCs w:val="22"/>
          </w:rPr>
          <w:t>https://documents1.worldbank.org/curated/en/099556207032341413/pdf/IDU00eec67aa0872b04096088cd02fda633553f1.pdf</w:t>
        </w:r>
      </w:hyperlink>
      <w:r w:rsidRPr="003B66BF">
        <w:rPr>
          <w:rFonts w:ascii="Arial" w:hAnsi="Arial" w:cs="Arial"/>
          <w:sz w:val="22"/>
          <w:szCs w:val="22"/>
        </w:rPr>
        <w:t xml:space="preserve"> </w:t>
      </w:r>
    </w:p>
    <w:p w14:paraId="10514753" w14:textId="56645806" w:rsidR="00BD252F" w:rsidRPr="003B66BF" w:rsidRDefault="00642707" w:rsidP="00642707">
      <w:pPr>
        <w:pStyle w:val="Heading2"/>
        <w:spacing w:before="240" w:after="240"/>
        <w:jc w:val="both"/>
        <w:rPr>
          <w:rFonts w:ascii="Arial" w:hAnsi="Arial" w:cs="Arial"/>
          <w:b/>
          <w:bCs/>
          <w:sz w:val="28"/>
          <w:szCs w:val="28"/>
        </w:rPr>
      </w:pPr>
      <w:r w:rsidRPr="003B66BF">
        <w:rPr>
          <w:rFonts w:ascii="Arial" w:hAnsi="Arial" w:cs="Arial"/>
          <w:sz w:val="22"/>
          <w:szCs w:val="22"/>
        </w:rPr>
        <w:br w:type="column"/>
      </w:r>
      <w:bookmarkStart w:id="32" w:name="_Toc217231962"/>
      <w:r w:rsidRPr="00E90C36">
        <w:rPr>
          <w:rFonts w:ascii="Arial" w:hAnsi="Arial" w:cs="Arial"/>
          <w:b/>
          <w:bCs/>
          <w:color w:val="auto"/>
          <w:sz w:val="28"/>
          <w:szCs w:val="28"/>
        </w:rPr>
        <w:t>Annex</w:t>
      </w:r>
      <w:r w:rsidR="00E90C36" w:rsidRPr="00E90C36">
        <w:rPr>
          <w:rFonts w:ascii="Arial" w:hAnsi="Arial" w:cs="Arial"/>
          <w:b/>
          <w:bCs/>
          <w:color w:val="auto"/>
          <w:sz w:val="28"/>
          <w:szCs w:val="28"/>
        </w:rPr>
        <w:t xml:space="preserve"> 4</w:t>
      </w:r>
      <w:bookmarkEnd w:id="32"/>
    </w:p>
    <w:sdt>
      <w:sdtPr>
        <w:rPr>
          <w:rFonts w:ascii="Arial" w:eastAsiaTheme="minorHAnsi" w:hAnsi="Arial" w:cs="Arial"/>
          <w:b w:val="0"/>
          <w:bCs w:val="0"/>
          <w:color w:val="auto"/>
          <w:kern w:val="2"/>
          <w:sz w:val="24"/>
          <w:szCs w:val="24"/>
          <w14:ligatures w14:val="standardContextual"/>
        </w:rPr>
        <w:id w:val="-1561476623"/>
        <w:docPartObj>
          <w:docPartGallery w:val="Table of Contents"/>
          <w:docPartUnique/>
        </w:docPartObj>
      </w:sdtPr>
      <w:sdtEndPr>
        <w:rPr>
          <w:rFonts w:eastAsia="Times New Roman"/>
          <w:noProof/>
          <w:kern w:val="0"/>
          <w14:ligatures w14:val="none"/>
        </w:rPr>
      </w:sdtEndPr>
      <w:sdtContent>
        <w:p w14:paraId="1929F00E" w14:textId="77777777" w:rsidR="009A2325" w:rsidRPr="003B66BF" w:rsidRDefault="009A2325" w:rsidP="009A2325">
          <w:pPr>
            <w:pStyle w:val="TOCHeading"/>
            <w:rPr>
              <w:rFonts w:ascii="Arial" w:hAnsi="Arial" w:cs="Arial"/>
              <w:sz w:val="24"/>
              <w:szCs w:val="24"/>
            </w:rPr>
          </w:pPr>
          <w:r w:rsidRPr="003B66BF">
            <w:rPr>
              <w:rFonts w:ascii="Arial" w:hAnsi="Arial" w:cs="Arial"/>
              <w:sz w:val="24"/>
              <w:szCs w:val="24"/>
            </w:rPr>
            <w:t>Table of Contents</w:t>
          </w:r>
        </w:p>
        <w:p w14:paraId="1C752B58" w14:textId="14F422B5" w:rsidR="00CD5F16" w:rsidRPr="00CD5F16" w:rsidRDefault="009A2325">
          <w:pPr>
            <w:pStyle w:val="TOC1"/>
            <w:tabs>
              <w:tab w:val="right" w:leader="dot" w:pos="9010"/>
            </w:tabs>
            <w:rPr>
              <w:rFonts w:ascii="Arial" w:eastAsiaTheme="minorEastAsia" w:hAnsi="Arial" w:cs="Arial"/>
              <w:b w:val="0"/>
              <w:bCs w:val="0"/>
              <w:i w:val="0"/>
              <w:iCs w:val="0"/>
              <w:noProof/>
              <w:kern w:val="2"/>
              <w14:ligatures w14:val="standardContextual"/>
            </w:rPr>
          </w:pPr>
          <w:r w:rsidRPr="00CD5F16">
            <w:rPr>
              <w:rFonts w:ascii="Arial" w:hAnsi="Arial" w:cs="Arial"/>
              <w:b w:val="0"/>
              <w:bCs w:val="0"/>
            </w:rPr>
            <w:fldChar w:fldCharType="begin"/>
          </w:r>
          <w:r w:rsidRPr="00CD5F16">
            <w:rPr>
              <w:rFonts w:ascii="Arial" w:hAnsi="Arial" w:cs="Arial"/>
            </w:rPr>
            <w:instrText xml:space="preserve"> TOC \o "1-3" \h \z \u </w:instrText>
          </w:r>
          <w:r w:rsidRPr="00CD5F16">
            <w:rPr>
              <w:rFonts w:ascii="Arial" w:hAnsi="Arial" w:cs="Arial"/>
              <w:b w:val="0"/>
              <w:bCs w:val="0"/>
            </w:rPr>
            <w:fldChar w:fldCharType="separate"/>
          </w:r>
          <w:hyperlink w:anchor="_Toc217231945" w:history="1">
            <w:r w:rsidR="00CD5F16" w:rsidRPr="00CD5F16">
              <w:rPr>
                <w:rStyle w:val="Hyperlink"/>
                <w:rFonts w:ascii="Arial" w:hAnsi="Arial" w:cs="Arial"/>
                <w:noProof/>
              </w:rPr>
              <w:t>4. Ecosystems</w:t>
            </w:r>
            <w:r w:rsidR="00CD5F16" w:rsidRPr="00CD5F16">
              <w:rPr>
                <w:rFonts w:ascii="Arial" w:hAnsi="Arial" w:cs="Arial"/>
                <w:noProof/>
                <w:webHidden/>
              </w:rPr>
              <w:tab/>
            </w:r>
            <w:r w:rsidR="00CD5F16" w:rsidRPr="00CD5F16">
              <w:rPr>
                <w:rFonts w:ascii="Arial" w:hAnsi="Arial" w:cs="Arial"/>
                <w:noProof/>
                <w:webHidden/>
              </w:rPr>
              <w:fldChar w:fldCharType="begin"/>
            </w:r>
            <w:r w:rsidR="00CD5F16" w:rsidRPr="00CD5F16">
              <w:rPr>
                <w:rFonts w:ascii="Arial" w:hAnsi="Arial" w:cs="Arial"/>
                <w:noProof/>
                <w:webHidden/>
              </w:rPr>
              <w:instrText xml:space="preserve"> PAGEREF _Toc217231945 \h </w:instrText>
            </w:r>
            <w:r w:rsidR="00CD5F16" w:rsidRPr="00CD5F16">
              <w:rPr>
                <w:rFonts w:ascii="Arial" w:hAnsi="Arial" w:cs="Arial"/>
                <w:noProof/>
                <w:webHidden/>
              </w:rPr>
            </w:r>
            <w:r w:rsidR="00CD5F16" w:rsidRPr="00CD5F16">
              <w:rPr>
                <w:rFonts w:ascii="Arial" w:hAnsi="Arial" w:cs="Arial"/>
                <w:noProof/>
                <w:webHidden/>
              </w:rPr>
              <w:fldChar w:fldCharType="separate"/>
            </w:r>
            <w:r w:rsidR="00802509">
              <w:rPr>
                <w:rFonts w:ascii="Arial" w:hAnsi="Arial" w:cs="Arial"/>
                <w:noProof/>
                <w:webHidden/>
              </w:rPr>
              <w:t>1</w:t>
            </w:r>
            <w:r w:rsidR="00CD5F16" w:rsidRPr="00CD5F16">
              <w:rPr>
                <w:rFonts w:ascii="Arial" w:hAnsi="Arial" w:cs="Arial"/>
                <w:noProof/>
                <w:webHidden/>
              </w:rPr>
              <w:fldChar w:fldCharType="end"/>
            </w:r>
          </w:hyperlink>
        </w:p>
        <w:p w14:paraId="560C9BEB" w14:textId="6FF2EA40" w:rsidR="00CD5F16" w:rsidRPr="00CD5F16" w:rsidRDefault="00CD5F16">
          <w:pPr>
            <w:pStyle w:val="TOC2"/>
            <w:tabs>
              <w:tab w:val="right" w:leader="dot" w:pos="9010"/>
            </w:tabs>
            <w:rPr>
              <w:rFonts w:ascii="Arial" w:eastAsiaTheme="minorEastAsia" w:hAnsi="Arial" w:cs="Arial"/>
              <w:b w:val="0"/>
              <w:bCs w:val="0"/>
              <w:noProof/>
              <w:kern w:val="2"/>
              <w:sz w:val="24"/>
              <w:szCs w:val="24"/>
              <w14:ligatures w14:val="standardContextual"/>
            </w:rPr>
          </w:pPr>
          <w:hyperlink w:anchor="_Toc217231946" w:history="1">
            <w:r w:rsidRPr="00CD5F16">
              <w:rPr>
                <w:rStyle w:val="Hyperlink"/>
                <w:rFonts w:ascii="Arial" w:hAnsi="Arial" w:cs="Arial"/>
                <w:noProof/>
              </w:rPr>
              <w:t>4.1 Key Findings</w:t>
            </w:r>
            <w:r w:rsidRPr="00CD5F16">
              <w:rPr>
                <w:rFonts w:ascii="Arial" w:hAnsi="Arial" w:cs="Arial"/>
                <w:noProof/>
                <w:webHidden/>
              </w:rPr>
              <w:tab/>
            </w:r>
            <w:r w:rsidRPr="00CD5F16">
              <w:rPr>
                <w:rFonts w:ascii="Arial" w:hAnsi="Arial" w:cs="Arial"/>
                <w:noProof/>
                <w:webHidden/>
              </w:rPr>
              <w:fldChar w:fldCharType="begin"/>
            </w:r>
            <w:r w:rsidRPr="00CD5F16">
              <w:rPr>
                <w:rFonts w:ascii="Arial" w:hAnsi="Arial" w:cs="Arial"/>
                <w:noProof/>
                <w:webHidden/>
              </w:rPr>
              <w:instrText xml:space="preserve"> PAGEREF _Toc217231946 \h </w:instrText>
            </w:r>
            <w:r w:rsidRPr="00CD5F16">
              <w:rPr>
                <w:rFonts w:ascii="Arial" w:hAnsi="Arial" w:cs="Arial"/>
                <w:noProof/>
                <w:webHidden/>
              </w:rPr>
            </w:r>
            <w:r w:rsidRPr="00CD5F16">
              <w:rPr>
                <w:rFonts w:ascii="Arial" w:hAnsi="Arial" w:cs="Arial"/>
                <w:noProof/>
                <w:webHidden/>
              </w:rPr>
              <w:fldChar w:fldCharType="separate"/>
            </w:r>
            <w:r w:rsidR="00802509">
              <w:rPr>
                <w:rFonts w:ascii="Arial" w:hAnsi="Arial" w:cs="Arial"/>
                <w:noProof/>
                <w:webHidden/>
              </w:rPr>
              <w:t>1</w:t>
            </w:r>
            <w:r w:rsidRPr="00CD5F16">
              <w:rPr>
                <w:rFonts w:ascii="Arial" w:hAnsi="Arial" w:cs="Arial"/>
                <w:noProof/>
                <w:webHidden/>
              </w:rPr>
              <w:fldChar w:fldCharType="end"/>
            </w:r>
          </w:hyperlink>
        </w:p>
        <w:p w14:paraId="3CC6751E" w14:textId="1DD458ED" w:rsidR="00CD5F16" w:rsidRPr="00CD5F16" w:rsidRDefault="00CD5F16">
          <w:pPr>
            <w:pStyle w:val="TOC2"/>
            <w:tabs>
              <w:tab w:val="right" w:leader="dot" w:pos="9010"/>
            </w:tabs>
            <w:rPr>
              <w:rFonts w:ascii="Arial" w:eastAsiaTheme="minorEastAsia" w:hAnsi="Arial" w:cs="Arial"/>
              <w:b w:val="0"/>
              <w:bCs w:val="0"/>
              <w:noProof/>
              <w:kern w:val="2"/>
              <w:sz w:val="24"/>
              <w:szCs w:val="24"/>
              <w14:ligatures w14:val="standardContextual"/>
            </w:rPr>
          </w:pPr>
          <w:hyperlink w:anchor="_Toc217231947" w:history="1">
            <w:r w:rsidRPr="00CD5F16">
              <w:rPr>
                <w:rStyle w:val="Hyperlink"/>
                <w:rFonts w:ascii="Arial" w:hAnsi="Arial" w:cs="Arial"/>
                <w:noProof/>
              </w:rPr>
              <w:t>4.2 Current Status</w:t>
            </w:r>
            <w:r w:rsidRPr="00CD5F16">
              <w:rPr>
                <w:rFonts w:ascii="Arial" w:hAnsi="Arial" w:cs="Arial"/>
                <w:noProof/>
                <w:webHidden/>
              </w:rPr>
              <w:tab/>
            </w:r>
            <w:r w:rsidRPr="00CD5F16">
              <w:rPr>
                <w:rFonts w:ascii="Arial" w:hAnsi="Arial" w:cs="Arial"/>
                <w:noProof/>
                <w:webHidden/>
              </w:rPr>
              <w:fldChar w:fldCharType="begin"/>
            </w:r>
            <w:r w:rsidRPr="00CD5F16">
              <w:rPr>
                <w:rFonts w:ascii="Arial" w:hAnsi="Arial" w:cs="Arial"/>
                <w:noProof/>
                <w:webHidden/>
              </w:rPr>
              <w:instrText xml:space="preserve"> PAGEREF _Toc217231947 \h </w:instrText>
            </w:r>
            <w:r w:rsidRPr="00CD5F16">
              <w:rPr>
                <w:rFonts w:ascii="Arial" w:hAnsi="Arial" w:cs="Arial"/>
                <w:noProof/>
                <w:webHidden/>
              </w:rPr>
            </w:r>
            <w:r w:rsidRPr="00CD5F16">
              <w:rPr>
                <w:rFonts w:ascii="Arial" w:hAnsi="Arial" w:cs="Arial"/>
                <w:noProof/>
                <w:webHidden/>
              </w:rPr>
              <w:fldChar w:fldCharType="separate"/>
            </w:r>
            <w:r w:rsidR="00802509">
              <w:rPr>
                <w:rFonts w:ascii="Arial" w:hAnsi="Arial" w:cs="Arial"/>
                <w:noProof/>
                <w:webHidden/>
              </w:rPr>
              <w:t>2</w:t>
            </w:r>
            <w:r w:rsidRPr="00CD5F16">
              <w:rPr>
                <w:rFonts w:ascii="Arial" w:hAnsi="Arial" w:cs="Arial"/>
                <w:noProof/>
                <w:webHidden/>
              </w:rPr>
              <w:fldChar w:fldCharType="end"/>
            </w:r>
          </w:hyperlink>
        </w:p>
        <w:p w14:paraId="2487C536" w14:textId="7F536B9C" w:rsidR="00CD5F16" w:rsidRPr="00CD5F16" w:rsidRDefault="00CD5F16">
          <w:pPr>
            <w:pStyle w:val="TOC3"/>
            <w:tabs>
              <w:tab w:val="right" w:leader="dot" w:pos="9010"/>
            </w:tabs>
            <w:rPr>
              <w:rFonts w:ascii="Arial" w:eastAsiaTheme="minorEastAsia" w:hAnsi="Arial" w:cs="Arial"/>
              <w:noProof/>
              <w:kern w:val="2"/>
              <w:sz w:val="24"/>
              <w:szCs w:val="24"/>
              <w14:ligatures w14:val="standardContextual"/>
            </w:rPr>
          </w:pPr>
          <w:hyperlink w:anchor="_Toc217231948" w:history="1">
            <w:r w:rsidRPr="00CD5F16">
              <w:rPr>
                <w:rStyle w:val="Hyperlink"/>
                <w:rFonts w:ascii="Arial" w:hAnsi="Arial" w:cs="Arial"/>
                <w:b/>
                <w:bCs/>
                <w:noProof/>
              </w:rPr>
              <w:t>4.2.1 Mangroves and Wetlands</w:t>
            </w:r>
            <w:r w:rsidRPr="00CD5F16">
              <w:rPr>
                <w:rFonts w:ascii="Arial" w:hAnsi="Arial" w:cs="Arial"/>
                <w:noProof/>
                <w:webHidden/>
              </w:rPr>
              <w:tab/>
            </w:r>
            <w:r w:rsidRPr="00CD5F16">
              <w:rPr>
                <w:rFonts w:ascii="Arial" w:hAnsi="Arial" w:cs="Arial"/>
                <w:noProof/>
                <w:webHidden/>
              </w:rPr>
              <w:fldChar w:fldCharType="begin"/>
            </w:r>
            <w:r w:rsidRPr="00CD5F16">
              <w:rPr>
                <w:rFonts w:ascii="Arial" w:hAnsi="Arial" w:cs="Arial"/>
                <w:noProof/>
                <w:webHidden/>
              </w:rPr>
              <w:instrText xml:space="preserve"> PAGEREF _Toc217231948 \h </w:instrText>
            </w:r>
            <w:r w:rsidRPr="00CD5F16">
              <w:rPr>
                <w:rFonts w:ascii="Arial" w:hAnsi="Arial" w:cs="Arial"/>
                <w:noProof/>
                <w:webHidden/>
              </w:rPr>
            </w:r>
            <w:r w:rsidRPr="00CD5F16">
              <w:rPr>
                <w:rFonts w:ascii="Arial" w:hAnsi="Arial" w:cs="Arial"/>
                <w:noProof/>
                <w:webHidden/>
              </w:rPr>
              <w:fldChar w:fldCharType="separate"/>
            </w:r>
            <w:r w:rsidR="00802509">
              <w:rPr>
                <w:rFonts w:ascii="Arial" w:hAnsi="Arial" w:cs="Arial"/>
                <w:noProof/>
                <w:webHidden/>
              </w:rPr>
              <w:t>2</w:t>
            </w:r>
            <w:r w:rsidRPr="00CD5F16">
              <w:rPr>
                <w:rFonts w:ascii="Arial" w:hAnsi="Arial" w:cs="Arial"/>
                <w:noProof/>
                <w:webHidden/>
              </w:rPr>
              <w:fldChar w:fldCharType="end"/>
            </w:r>
          </w:hyperlink>
        </w:p>
        <w:p w14:paraId="07A55CC5" w14:textId="414B8450" w:rsidR="00CD5F16" w:rsidRPr="00CD5F16" w:rsidRDefault="00CD5F16">
          <w:pPr>
            <w:pStyle w:val="TOC3"/>
            <w:tabs>
              <w:tab w:val="right" w:leader="dot" w:pos="9010"/>
            </w:tabs>
            <w:rPr>
              <w:rFonts w:ascii="Arial" w:eastAsiaTheme="minorEastAsia" w:hAnsi="Arial" w:cs="Arial"/>
              <w:noProof/>
              <w:kern w:val="2"/>
              <w:sz w:val="24"/>
              <w:szCs w:val="24"/>
              <w14:ligatures w14:val="standardContextual"/>
            </w:rPr>
          </w:pPr>
          <w:hyperlink w:anchor="_Toc217231949" w:history="1">
            <w:r w:rsidRPr="00CD5F16">
              <w:rPr>
                <w:rStyle w:val="Hyperlink"/>
                <w:rFonts w:ascii="Arial" w:hAnsi="Arial" w:cs="Arial"/>
                <w:b/>
                <w:bCs/>
                <w:noProof/>
              </w:rPr>
              <w:t>4.2.2 Coral Reefs and Seagrasses</w:t>
            </w:r>
            <w:r w:rsidRPr="00CD5F16">
              <w:rPr>
                <w:rFonts w:ascii="Arial" w:hAnsi="Arial" w:cs="Arial"/>
                <w:noProof/>
                <w:webHidden/>
              </w:rPr>
              <w:tab/>
            </w:r>
            <w:r w:rsidRPr="00CD5F16">
              <w:rPr>
                <w:rFonts w:ascii="Arial" w:hAnsi="Arial" w:cs="Arial"/>
                <w:noProof/>
                <w:webHidden/>
              </w:rPr>
              <w:fldChar w:fldCharType="begin"/>
            </w:r>
            <w:r w:rsidRPr="00CD5F16">
              <w:rPr>
                <w:rFonts w:ascii="Arial" w:hAnsi="Arial" w:cs="Arial"/>
                <w:noProof/>
                <w:webHidden/>
              </w:rPr>
              <w:instrText xml:space="preserve"> PAGEREF _Toc217231949 \h </w:instrText>
            </w:r>
            <w:r w:rsidRPr="00CD5F16">
              <w:rPr>
                <w:rFonts w:ascii="Arial" w:hAnsi="Arial" w:cs="Arial"/>
                <w:noProof/>
                <w:webHidden/>
              </w:rPr>
            </w:r>
            <w:r w:rsidRPr="00CD5F16">
              <w:rPr>
                <w:rFonts w:ascii="Arial" w:hAnsi="Arial" w:cs="Arial"/>
                <w:noProof/>
                <w:webHidden/>
              </w:rPr>
              <w:fldChar w:fldCharType="separate"/>
            </w:r>
            <w:r w:rsidR="00802509">
              <w:rPr>
                <w:rFonts w:ascii="Arial" w:hAnsi="Arial" w:cs="Arial"/>
                <w:noProof/>
                <w:webHidden/>
              </w:rPr>
              <w:t>4</w:t>
            </w:r>
            <w:r w:rsidRPr="00CD5F16">
              <w:rPr>
                <w:rFonts w:ascii="Arial" w:hAnsi="Arial" w:cs="Arial"/>
                <w:noProof/>
                <w:webHidden/>
              </w:rPr>
              <w:fldChar w:fldCharType="end"/>
            </w:r>
          </w:hyperlink>
        </w:p>
        <w:p w14:paraId="6DE4B539" w14:textId="21CC47B5" w:rsidR="00CD5F16" w:rsidRPr="00CD5F16" w:rsidRDefault="00CD5F16">
          <w:pPr>
            <w:pStyle w:val="TOC3"/>
            <w:tabs>
              <w:tab w:val="right" w:leader="dot" w:pos="9010"/>
            </w:tabs>
            <w:rPr>
              <w:rFonts w:ascii="Arial" w:eastAsiaTheme="minorEastAsia" w:hAnsi="Arial" w:cs="Arial"/>
              <w:noProof/>
              <w:kern w:val="2"/>
              <w:sz w:val="24"/>
              <w:szCs w:val="24"/>
              <w14:ligatures w14:val="standardContextual"/>
            </w:rPr>
          </w:pPr>
          <w:hyperlink w:anchor="_Toc217231950" w:history="1">
            <w:r w:rsidRPr="00CD5F16">
              <w:rPr>
                <w:rStyle w:val="Hyperlink"/>
                <w:rFonts w:ascii="Arial" w:hAnsi="Arial" w:cs="Arial"/>
                <w:b/>
                <w:bCs/>
                <w:noProof/>
              </w:rPr>
              <w:t>4.2.3 Biodiversity Hotspots and Sensitive Areas</w:t>
            </w:r>
            <w:r w:rsidRPr="00CD5F16">
              <w:rPr>
                <w:rFonts w:ascii="Arial" w:hAnsi="Arial" w:cs="Arial"/>
                <w:noProof/>
                <w:webHidden/>
              </w:rPr>
              <w:tab/>
            </w:r>
            <w:r w:rsidRPr="00CD5F16">
              <w:rPr>
                <w:rFonts w:ascii="Arial" w:hAnsi="Arial" w:cs="Arial"/>
                <w:noProof/>
                <w:webHidden/>
              </w:rPr>
              <w:fldChar w:fldCharType="begin"/>
            </w:r>
            <w:r w:rsidRPr="00CD5F16">
              <w:rPr>
                <w:rFonts w:ascii="Arial" w:hAnsi="Arial" w:cs="Arial"/>
                <w:noProof/>
                <w:webHidden/>
              </w:rPr>
              <w:instrText xml:space="preserve"> PAGEREF _Toc217231950 \h </w:instrText>
            </w:r>
            <w:r w:rsidRPr="00CD5F16">
              <w:rPr>
                <w:rFonts w:ascii="Arial" w:hAnsi="Arial" w:cs="Arial"/>
                <w:noProof/>
                <w:webHidden/>
              </w:rPr>
            </w:r>
            <w:r w:rsidRPr="00CD5F16">
              <w:rPr>
                <w:rFonts w:ascii="Arial" w:hAnsi="Arial" w:cs="Arial"/>
                <w:noProof/>
                <w:webHidden/>
              </w:rPr>
              <w:fldChar w:fldCharType="separate"/>
            </w:r>
            <w:r w:rsidR="00802509">
              <w:rPr>
                <w:rFonts w:ascii="Arial" w:hAnsi="Arial" w:cs="Arial"/>
                <w:noProof/>
                <w:webHidden/>
              </w:rPr>
              <w:t>7</w:t>
            </w:r>
            <w:r w:rsidRPr="00CD5F16">
              <w:rPr>
                <w:rFonts w:ascii="Arial" w:hAnsi="Arial" w:cs="Arial"/>
                <w:noProof/>
                <w:webHidden/>
              </w:rPr>
              <w:fldChar w:fldCharType="end"/>
            </w:r>
          </w:hyperlink>
        </w:p>
        <w:p w14:paraId="7A094CBB" w14:textId="36BC1771" w:rsidR="00CD5F16" w:rsidRPr="00CD5F16" w:rsidRDefault="00CD5F16">
          <w:pPr>
            <w:pStyle w:val="TOC3"/>
            <w:tabs>
              <w:tab w:val="left" w:pos="1200"/>
              <w:tab w:val="right" w:leader="dot" w:pos="9010"/>
            </w:tabs>
            <w:rPr>
              <w:rFonts w:ascii="Arial" w:eastAsiaTheme="minorEastAsia" w:hAnsi="Arial" w:cs="Arial"/>
              <w:noProof/>
              <w:kern w:val="2"/>
              <w:sz w:val="24"/>
              <w:szCs w:val="24"/>
              <w14:ligatures w14:val="standardContextual"/>
            </w:rPr>
          </w:pPr>
          <w:hyperlink w:anchor="_Toc217231951" w:history="1">
            <w:r w:rsidRPr="00CD5F16">
              <w:rPr>
                <w:rStyle w:val="Hyperlink"/>
                <w:rFonts w:ascii="Arial" w:hAnsi="Arial" w:cs="Arial"/>
                <w:b/>
                <w:bCs/>
                <w:noProof/>
              </w:rPr>
              <w:t>4.2.4</w:t>
            </w:r>
            <w:r w:rsidRPr="00CD5F16">
              <w:rPr>
                <w:rFonts w:ascii="Arial" w:eastAsiaTheme="minorEastAsia" w:hAnsi="Arial" w:cs="Arial"/>
                <w:noProof/>
                <w:kern w:val="2"/>
                <w:sz w:val="24"/>
                <w:szCs w:val="24"/>
                <w14:ligatures w14:val="standardContextual"/>
              </w:rPr>
              <w:tab/>
            </w:r>
            <w:r w:rsidRPr="00CD5F16">
              <w:rPr>
                <w:rStyle w:val="Hyperlink"/>
                <w:rFonts w:ascii="Arial" w:hAnsi="Arial" w:cs="Arial"/>
                <w:b/>
                <w:bCs/>
                <w:noProof/>
              </w:rPr>
              <w:t>Endemic, Endangered, Threatened species</w:t>
            </w:r>
            <w:r w:rsidRPr="00CD5F16">
              <w:rPr>
                <w:rFonts w:ascii="Arial" w:hAnsi="Arial" w:cs="Arial"/>
                <w:noProof/>
                <w:webHidden/>
              </w:rPr>
              <w:tab/>
            </w:r>
            <w:r w:rsidRPr="00CD5F16">
              <w:rPr>
                <w:rFonts w:ascii="Arial" w:hAnsi="Arial" w:cs="Arial"/>
                <w:noProof/>
                <w:webHidden/>
              </w:rPr>
              <w:fldChar w:fldCharType="begin"/>
            </w:r>
            <w:r w:rsidRPr="00CD5F16">
              <w:rPr>
                <w:rFonts w:ascii="Arial" w:hAnsi="Arial" w:cs="Arial"/>
                <w:noProof/>
                <w:webHidden/>
              </w:rPr>
              <w:instrText xml:space="preserve"> PAGEREF _Toc217231951 \h </w:instrText>
            </w:r>
            <w:r w:rsidRPr="00CD5F16">
              <w:rPr>
                <w:rFonts w:ascii="Arial" w:hAnsi="Arial" w:cs="Arial"/>
                <w:noProof/>
                <w:webHidden/>
              </w:rPr>
            </w:r>
            <w:r w:rsidRPr="00CD5F16">
              <w:rPr>
                <w:rFonts w:ascii="Arial" w:hAnsi="Arial" w:cs="Arial"/>
                <w:noProof/>
                <w:webHidden/>
              </w:rPr>
              <w:fldChar w:fldCharType="separate"/>
            </w:r>
            <w:r w:rsidR="00802509">
              <w:rPr>
                <w:rFonts w:ascii="Arial" w:hAnsi="Arial" w:cs="Arial"/>
                <w:noProof/>
                <w:webHidden/>
              </w:rPr>
              <w:t>8</w:t>
            </w:r>
            <w:r w:rsidRPr="00CD5F16">
              <w:rPr>
                <w:rFonts w:ascii="Arial" w:hAnsi="Arial" w:cs="Arial"/>
                <w:noProof/>
                <w:webHidden/>
              </w:rPr>
              <w:fldChar w:fldCharType="end"/>
            </w:r>
          </w:hyperlink>
        </w:p>
        <w:p w14:paraId="51D19A0B" w14:textId="5C7FBFDB" w:rsidR="00CD5F16" w:rsidRPr="00CD5F16" w:rsidRDefault="00CD5F16">
          <w:pPr>
            <w:pStyle w:val="TOC2"/>
            <w:tabs>
              <w:tab w:val="right" w:leader="dot" w:pos="9010"/>
            </w:tabs>
            <w:rPr>
              <w:rFonts w:ascii="Arial" w:eastAsiaTheme="minorEastAsia" w:hAnsi="Arial" w:cs="Arial"/>
              <w:b w:val="0"/>
              <w:bCs w:val="0"/>
              <w:noProof/>
              <w:kern w:val="2"/>
              <w:sz w:val="24"/>
              <w:szCs w:val="24"/>
              <w14:ligatures w14:val="standardContextual"/>
            </w:rPr>
          </w:pPr>
          <w:hyperlink w:anchor="_Toc217231952" w:history="1">
            <w:r w:rsidRPr="00CD5F16">
              <w:rPr>
                <w:rStyle w:val="Hyperlink"/>
                <w:rFonts w:ascii="Arial" w:hAnsi="Arial" w:cs="Arial"/>
                <w:noProof/>
              </w:rPr>
              <w:t>4.3 Discussion and conclusions</w:t>
            </w:r>
            <w:r w:rsidRPr="00CD5F16">
              <w:rPr>
                <w:rFonts w:ascii="Arial" w:hAnsi="Arial" w:cs="Arial"/>
                <w:noProof/>
                <w:webHidden/>
              </w:rPr>
              <w:tab/>
            </w:r>
            <w:r w:rsidRPr="00CD5F16">
              <w:rPr>
                <w:rFonts w:ascii="Arial" w:hAnsi="Arial" w:cs="Arial"/>
                <w:noProof/>
                <w:webHidden/>
              </w:rPr>
              <w:fldChar w:fldCharType="begin"/>
            </w:r>
            <w:r w:rsidRPr="00CD5F16">
              <w:rPr>
                <w:rFonts w:ascii="Arial" w:hAnsi="Arial" w:cs="Arial"/>
                <w:noProof/>
                <w:webHidden/>
              </w:rPr>
              <w:instrText xml:space="preserve"> PAGEREF _Toc217231952 \h </w:instrText>
            </w:r>
            <w:r w:rsidRPr="00CD5F16">
              <w:rPr>
                <w:rFonts w:ascii="Arial" w:hAnsi="Arial" w:cs="Arial"/>
                <w:noProof/>
                <w:webHidden/>
              </w:rPr>
            </w:r>
            <w:r w:rsidRPr="00CD5F16">
              <w:rPr>
                <w:rFonts w:ascii="Arial" w:hAnsi="Arial" w:cs="Arial"/>
                <w:noProof/>
                <w:webHidden/>
              </w:rPr>
              <w:fldChar w:fldCharType="separate"/>
            </w:r>
            <w:r w:rsidR="00802509">
              <w:rPr>
                <w:rFonts w:ascii="Arial" w:hAnsi="Arial" w:cs="Arial"/>
                <w:noProof/>
                <w:webHidden/>
              </w:rPr>
              <w:t>9</w:t>
            </w:r>
            <w:r w:rsidRPr="00CD5F16">
              <w:rPr>
                <w:rFonts w:ascii="Arial" w:hAnsi="Arial" w:cs="Arial"/>
                <w:noProof/>
                <w:webHidden/>
              </w:rPr>
              <w:fldChar w:fldCharType="end"/>
            </w:r>
          </w:hyperlink>
        </w:p>
        <w:p w14:paraId="710F786D" w14:textId="38309981" w:rsidR="00CD5F16" w:rsidRPr="00CD5F16" w:rsidRDefault="00CD5F16">
          <w:pPr>
            <w:pStyle w:val="TOC3"/>
            <w:tabs>
              <w:tab w:val="right" w:leader="dot" w:pos="9010"/>
            </w:tabs>
            <w:rPr>
              <w:rFonts w:ascii="Arial" w:eastAsiaTheme="minorEastAsia" w:hAnsi="Arial" w:cs="Arial"/>
              <w:noProof/>
              <w:kern w:val="2"/>
              <w:sz w:val="24"/>
              <w:szCs w:val="24"/>
              <w14:ligatures w14:val="standardContextual"/>
            </w:rPr>
          </w:pPr>
          <w:hyperlink w:anchor="_Toc217231953" w:history="1">
            <w:r w:rsidRPr="00CD5F16">
              <w:rPr>
                <w:rStyle w:val="Hyperlink"/>
                <w:rFonts w:ascii="Arial" w:hAnsi="Arial" w:cs="Arial"/>
                <w:b/>
                <w:bCs/>
                <w:noProof/>
              </w:rPr>
              <w:t>4.3.1 Priority transboundary biodiversity issues</w:t>
            </w:r>
            <w:r w:rsidRPr="00CD5F16">
              <w:rPr>
                <w:rFonts w:ascii="Arial" w:hAnsi="Arial" w:cs="Arial"/>
                <w:noProof/>
                <w:webHidden/>
              </w:rPr>
              <w:tab/>
            </w:r>
            <w:r w:rsidRPr="00CD5F16">
              <w:rPr>
                <w:rFonts w:ascii="Arial" w:hAnsi="Arial" w:cs="Arial"/>
                <w:noProof/>
                <w:webHidden/>
              </w:rPr>
              <w:fldChar w:fldCharType="begin"/>
            </w:r>
            <w:r w:rsidRPr="00CD5F16">
              <w:rPr>
                <w:rFonts w:ascii="Arial" w:hAnsi="Arial" w:cs="Arial"/>
                <w:noProof/>
                <w:webHidden/>
              </w:rPr>
              <w:instrText xml:space="preserve"> PAGEREF _Toc217231953 \h </w:instrText>
            </w:r>
            <w:r w:rsidRPr="00CD5F16">
              <w:rPr>
                <w:rFonts w:ascii="Arial" w:hAnsi="Arial" w:cs="Arial"/>
                <w:noProof/>
                <w:webHidden/>
              </w:rPr>
            </w:r>
            <w:r w:rsidRPr="00CD5F16">
              <w:rPr>
                <w:rFonts w:ascii="Arial" w:hAnsi="Arial" w:cs="Arial"/>
                <w:noProof/>
                <w:webHidden/>
              </w:rPr>
              <w:fldChar w:fldCharType="separate"/>
            </w:r>
            <w:r w:rsidR="00802509">
              <w:rPr>
                <w:rFonts w:ascii="Arial" w:hAnsi="Arial" w:cs="Arial"/>
                <w:noProof/>
                <w:webHidden/>
              </w:rPr>
              <w:t>9</w:t>
            </w:r>
            <w:r w:rsidRPr="00CD5F16">
              <w:rPr>
                <w:rFonts w:ascii="Arial" w:hAnsi="Arial" w:cs="Arial"/>
                <w:noProof/>
                <w:webHidden/>
              </w:rPr>
              <w:fldChar w:fldCharType="end"/>
            </w:r>
          </w:hyperlink>
        </w:p>
        <w:p w14:paraId="798BE508" w14:textId="6378FA2C" w:rsidR="00CD5F16" w:rsidRPr="00CD5F16" w:rsidRDefault="00CD5F16">
          <w:pPr>
            <w:pStyle w:val="TOC3"/>
            <w:tabs>
              <w:tab w:val="right" w:leader="dot" w:pos="9010"/>
            </w:tabs>
            <w:rPr>
              <w:rFonts w:ascii="Arial" w:eastAsiaTheme="minorEastAsia" w:hAnsi="Arial" w:cs="Arial"/>
              <w:noProof/>
              <w:kern w:val="2"/>
              <w:sz w:val="24"/>
              <w:szCs w:val="24"/>
              <w14:ligatures w14:val="standardContextual"/>
            </w:rPr>
          </w:pPr>
          <w:hyperlink w:anchor="_Toc217231954" w:history="1">
            <w:r w:rsidRPr="00CD5F16">
              <w:rPr>
                <w:rStyle w:val="Hyperlink"/>
                <w:rFonts w:ascii="Arial" w:hAnsi="Arial" w:cs="Arial"/>
                <w:b/>
                <w:bCs/>
                <w:noProof/>
              </w:rPr>
              <w:t>4.3.2 Risk Assessment and Valuation of Economic Losses</w:t>
            </w:r>
            <w:r w:rsidRPr="00CD5F16">
              <w:rPr>
                <w:rFonts w:ascii="Arial" w:hAnsi="Arial" w:cs="Arial"/>
                <w:noProof/>
                <w:webHidden/>
              </w:rPr>
              <w:tab/>
            </w:r>
            <w:r w:rsidRPr="00CD5F16">
              <w:rPr>
                <w:rFonts w:ascii="Arial" w:hAnsi="Arial" w:cs="Arial"/>
                <w:noProof/>
                <w:webHidden/>
              </w:rPr>
              <w:fldChar w:fldCharType="begin"/>
            </w:r>
            <w:r w:rsidRPr="00CD5F16">
              <w:rPr>
                <w:rFonts w:ascii="Arial" w:hAnsi="Arial" w:cs="Arial"/>
                <w:noProof/>
                <w:webHidden/>
              </w:rPr>
              <w:instrText xml:space="preserve"> PAGEREF _Toc217231954 \h </w:instrText>
            </w:r>
            <w:r w:rsidRPr="00CD5F16">
              <w:rPr>
                <w:rFonts w:ascii="Arial" w:hAnsi="Arial" w:cs="Arial"/>
                <w:noProof/>
                <w:webHidden/>
              </w:rPr>
            </w:r>
            <w:r w:rsidRPr="00CD5F16">
              <w:rPr>
                <w:rFonts w:ascii="Arial" w:hAnsi="Arial" w:cs="Arial"/>
                <w:noProof/>
                <w:webHidden/>
              </w:rPr>
              <w:fldChar w:fldCharType="separate"/>
            </w:r>
            <w:r w:rsidR="00802509">
              <w:rPr>
                <w:rFonts w:ascii="Arial" w:hAnsi="Arial" w:cs="Arial"/>
                <w:noProof/>
                <w:webHidden/>
              </w:rPr>
              <w:t>11</w:t>
            </w:r>
            <w:r w:rsidRPr="00CD5F16">
              <w:rPr>
                <w:rFonts w:ascii="Arial" w:hAnsi="Arial" w:cs="Arial"/>
                <w:noProof/>
                <w:webHidden/>
              </w:rPr>
              <w:fldChar w:fldCharType="end"/>
            </w:r>
          </w:hyperlink>
        </w:p>
        <w:p w14:paraId="06DE526E" w14:textId="4711CA7C" w:rsidR="00CD5F16" w:rsidRPr="00CD5F16" w:rsidRDefault="00CD5F16">
          <w:pPr>
            <w:pStyle w:val="TOC3"/>
            <w:tabs>
              <w:tab w:val="right" w:leader="dot" w:pos="9010"/>
            </w:tabs>
            <w:rPr>
              <w:rFonts w:ascii="Arial" w:eastAsiaTheme="minorEastAsia" w:hAnsi="Arial" w:cs="Arial"/>
              <w:noProof/>
              <w:kern w:val="2"/>
              <w:sz w:val="24"/>
              <w:szCs w:val="24"/>
              <w14:ligatures w14:val="standardContextual"/>
            </w:rPr>
          </w:pPr>
          <w:hyperlink w:anchor="_Toc217231955" w:history="1">
            <w:r w:rsidRPr="00CD5F16">
              <w:rPr>
                <w:rStyle w:val="Hyperlink"/>
                <w:rFonts w:ascii="Arial" w:hAnsi="Arial" w:cs="Arial"/>
                <w:b/>
                <w:bCs/>
                <w:noProof/>
              </w:rPr>
              <w:t>4.3.3 Current management and institutions</w:t>
            </w:r>
            <w:r w:rsidRPr="00CD5F16">
              <w:rPr>
                <w:rFonts w:ascii="Arial" w:hAnsi="Arial" w:cs="Arial"/>
                <w:noProof/>
                <w:webHidden/>
              </w:rPr>
              <w:tab/>
            </w:r>
            <w:r w:rsidRPr="00CD5F16">
              <w:rPr>
                <w:rFonts w:ascii="Arial" w:hAnsi="Arial" w:cs="Arial"/>
                <w:noProof/>
                <w:webHidden/>
              </w:rPr>
              <w:fldChar w:fldCharType="begin"/>
            </w:r>
            <w:r w:rsidRPr="00CD5F16">
              <w:rPr>
                <w:rFonts w:ascii="Arial" w:hAnsi="Arial" w:cs="Arial"/>
                <w:noProof/>
                <w:webHidden/>
              </w:rPr>
              <w:instrText xml:space="preserve"> PAGEREF _Toc217231955 \h </w:instrText>
            </w:r>
            <w:r w:rsidRPr="00CD5F16">
              <w:rPr>
                <w:rFonts w:ascii="Arial" w:hAnsi="Arial" w:cs="Arial"/>
                <w:noProof/>
                <w:webHidden/>
              </w:rPr>
            </w:r>
            <w:r w:rsidRPr="00CD5F16">
              <w:rPr>
                <w:rFonts w:ascii="Arial" w:hAnsi="Arial" w:cs="Arial"/>
                <w:noProof/>
                <w:webHidden/>
              </w:rPr>
              <w:fldChar w:fldCharType="separate"/>
            </w:r>
            <w:r w:rsidR="00802509">
              <w:rPr>
                <w:rFonts w:ascii="Arial" w:hAnsi="Arial" w:cs="Arial"/>
                <w:noProof/>
                <w:webHidden/>
              </w:rPr>
              <w:t>12</w:t>
            </w:r>
            <w:r w:rsidRPr="00CD5F16">
              <w:rPr>
                <w:rFonts w:ascii="Arial" w:hAnsi="Arial" w:cs="Arial"/>
                <w:noProof/>
                <w:webHidden/>
              </w:rPr>
              <w:fldChar w:fldCharType="end"/>
            </w:r>
          </w:hyperlink>
        </w:p>
        <w:p w14:paraId="1A0CF671" w14:textId="453843F0" w:rsidR="00CD5F16" w:rsidRPr="00CD5F16" w:rsidRDefault="00CD5F16">
          <w:pPr>
            <w:pStyle w:val="TOC3"/>
            <w:tabs>
              <w:tab w:val="right" w:leader="dot" w:pos="9010"/>
            </w:tabs>
            <w:rPr>
              <w:rFonts w:ascii="Arial" w:eastAsiaTheme="minorEastAsia" w:hAnsi="Arial" w:cs="Arial"/>
              <w:noProof/>
              <w:kern w:val="2"/>
              <w:sz w:val="24"/>
              <w:szCs w:val="24"/>
              <w14:ligatures w14:val="standardContextual"/>
            </w:rPr>
          </w:pPr>
          <w:hyperlink w:anchor="_Toc217231956" w:history="1">
            <w:r w:rsidRPr="00CD5F16">
              <w:rPr>
                <w:rStyle w:val="Hyperlink"/>
                <w:rFonts w:ascii="Arial" w:hAnsi="Arial" w:cs="Arial"/>
                <w:b/>
                <w:bCs/>
                <w:noProof/>
              </w:rPr>
              <w:t>4.3.4 Gaps and Priority Challenges</w:t>
            </w:r>
            <w:r w:rsidRPr="00CD5F16">
              <w:rPr>
                <w:rFonts w:ascii="Arial" w:hAnsi="Arial" w:cs="Arial"/>
                <w:noProof/>
                <w:webHidden/>
              </w:rPr>
              <w:tab/>
            </w:r>
            <w:r w:rsidRPr="00CD5F16">
              <w:rPr>
                <w:rFonts w:ascii="Arial" w:hAnsi="Arial" w:cs="Arial"/>
                <w:noProof/>
                <w:webHidden/>
              </w:rPr>
              <w:fldChar w:fldCharType="begin"/>
            </w:r>
            <w:r w:rsidRPr="00CD5F16">
              <w:rPr>
                <w:rFonts w:ascii="Arial" w:hAnsi="Arial" w:cs="Arial"/>
                <w:noProof/>
                <w:webHidden/>
              </w:rPr>
              <w:instrText xml:space="preserve"> PAGEREF _Toc217231956 \h </w:instrText>
            </w:r>
            <w:r w:rsidRPr="00CD5F16">
              <w:rPr>
                <w:rFonts w:ascii="Arial" w:hAnsi="Arial" w:cs="Arial"/>
                <w:noProof/>
                <w:webHidden/>
              </w:rPr>
            </w:r>
            <w:r w:rsidRPr="00CD5F16">
              <w:rPr>
                <w:rFonts w:ascii="Arial" w:hAnsi="Arial" w:cs="Arial"/>
                <w:noProof/>
                <w:webHidden/>
              </w:rPr>
              <w:fldChar w:fldCharType="separate"/>
            </w:r>
            <w:r w:rsidR="00802509">
              <w:rPr>
                <w:rFonts w:ascii="Arial" w:hAnsi="Arial" w:cs="Arial"/>
                <w:noProof/>
                <w:webHidden/>
              </w:rPr>
              <w:t>14</w:t>
            </w:r>
            <w:r w:rsidRPr="00CD5F16">
              <w:rPr>
                <w:rFonts w:ascii="Arial" w:hAnsi="Arial" w:cs="Arial"/>
                <w:noProof/>
                <w:webHidden/>
              </w:rPr>
              <w:fldChar w:fldCharType="end"/>
            </w:r>
          </w:hyperlink>
        </w:p>
        <w:p w14:paraId="7E571487" w14:textId="1B61FB7C" w:rsidR="00CD5F16" w:rsidRPr="00CD5F16" w:rsidRDefault="00CD5F16">
          <w:pPr>
            <w:pStyle w:val="TOC3"/>
            <w:tabs>
              <w:tab w:val="left" w:pos="1200"/>
              <w:tab w:val="right" w:leader="dot" w:pos="9010"/>
            </w:tabs>
            <w:rPr>
              <w:rFonts w:ascii="Arial" w:eastAsiaTheme="minorEastAsia" w:hAnsi="Arial" w:cs="Arial"/>
              <w:noProof/>
              <w:kern w:val="2"/>
              <w:sz w:val="24"/>
              <w:szCs w:val="24"/>
              <w14:ligatures w14:val="standardContextual"/>
            </w:rPr>
          </w:pPr>
          <w:hyperlink w:anchor="_Toc217231957" w:history="1">
            <w:r w:rsidRPr="00CD5F16">
              <w:rPr>
                <w:rStyle w:val="Hyperlink"/>
                <w:rFonts w:ascii="Arial" w:hAnsi="Arial" w:cs="Arial"/>
                <w:b/>
                <w:bCs/>
                <w:noProof/>
              </w:rPr>
              <w:t>4.3.5</w:t>
            </w:r>
            <w:r w:rsidRPr="00CD5F16">
              <w:rPr>
                <w:rFonts w:ascii="Arial" w:eastAsiaTheme="minorEastAsia" w:hAnsi="Arial" w:cs="Arial"/>
                <w:noProof/>
                <w:kern w:val="2"/>
                <w:sz w:val="24"/>
                <w:szCs w:val="24"/>
                <w14:ligatures w14:val="standardContextual"/>
              </w:rPr>
              <w:tab/>
            </w:r>
            <w:r w:rsidRPr="00CD5F16">
              <w:rPr>
                <w:rStyle w:val="Hyperlink"/>
                <w:rFonts w:ascii="Arial" w:hAnsi="Arial" w:cs="Arial"/>
                <w:b/>
                <w:bCs/>
                <w:noProof/>
              </w:rPr>
              <w:t>Recommended priority actions</w:t>
            </w:r>
            <w:r w:rsidRPr="00CD5F16">
              <w:rPr>
                <w:rFonts w:ascii="Arial" w:hAnsi="Arial" w:cs="Arial"/>
                <w:noProof/>
                <w:webHidden/>
              </w:rPr>
              <w:tab/>
            </w:r>
            <w:r w:rsidRPr="00CD5F16">
              <w:rPr>
                <w:rFonts w:ascii="Arial" w:hAnsi="Arial" w:cs="Arial"/>
                <w:noProof/>
                <w:webHidden/>
              </w:rPr>
              <w:fldChar w:fldCharType="begin"/>
            </w:r>
            <w:r w:rsidRPr="00CD5F16">
              <w:rPr>
                <w:rFonts w:ascii="Arial" w:hAnsi="Arial" w:cs="Arial"/>
                <w:noProof/>
                <w:webHidden/>
              </w:rPr>
              <w:instrText xml:space="preserve"> PAGEREF _Toc217231957 \h </w:instrText>
            </w:r>
            <w:r w:rsidRPr="00CD5F16">
              <w:rPr>
                <w:rFonts w:ascii="Arial" w:hAnsi="Arial" w:cs="Arial"/>
                <w:noProof/>
                <w:webHidden/>
              </w:rPr>
            </w:r>
            <w:r w:rsidRPr="00CD5F16">
              <w:rPr>
                <w:rFonts w:ascii="Arial" w:hAnsi="Arial" w:cs="Arial"/>
                <w:noProof/>
                <w:webHidden/>
              </w:rPr>
              <w:fldChar w:fldCharType="separate"/>
            </w:r>
            <w:r w:rsidR="00802509">
              <w:rPr>
                <w:rFonts w:ascii="Arial" w:hAnsi="Arial" w:cs="Arial"/>
                <w:noProof/>
                <w:webHidden/>
              </w:rPr>
              <w:t>15</w:t>
            </w:r>
            <w:r w:rsidRPr="00CD5F16">
              <w:rPr>
                <w:rFonts w:ascii="Arial" w:hAnsi="Arial" w:cs="Arial"/>
                <w:noProof/>
                <w:webHidden/>
              </w:rPr>
              <w:fldChar w:fldCharType="end"/>
            </w:r>
          </w:hyperlink>
        </w:p>
        <w:p w14:paraId="6DBB8A2F" w14:textId="35D57C91" w:rsidR="00CD5F16" w:rsidRPr="00CD5F16" w:rsidRDefault="00CD5F16">
          <w:pPr>
            <w:pStyle w:val="TOC2"/>
            <w:tabs>
              <w:tab w:val="right" w:leader="dot" w:pos="9010"/>
            </w:tabs>
            <w:rPr>
              <w:rFonts w:ascii="Arial" w:eastAsiaTheme="minorEastAsia" w:hAnsi="Arial" w:cs="Arial"/>
              <w:b w:val="0"/>
              <w:bCs w:val="0"/>
              <w:noProof/>
              <w:kern w:val="2"/>
              <w:sz w:val="24"/>
              <w:szCs w:val="24"/>
              <w14:ligatures w14:val="standardContextual"/>
            </w:rPr>
          </w:pPr>
          <w:hyperlink w:anchor="_Toc217231958" w:history="1">
            <w:r w:rsidRPr="00CD5F16">
              <w:rPr>
                <w:rStyle w:val="Hyperlink"/>
                <w:rFonts w:ascii="Arial" w:hAnsi="Arial" w:cs="Arial"/>
                <w:noProof/>
              </w:rPr>
              <w:t>4.4 Methodology and Analyses</w:t>
            </w:r>
            <w:r w:rsidRPr="00CD5F16">
              <w:rPr>
                <w:rFonts w:ascii="Arial" w:hAnsi="Arial" w:cs="Arial"/>
                <w:noProof/>
                <w:webHidden/>
              </w:rPr>
              <w:tab/>
            </w:r>
            <w:r w:rsidRPr="00CD5F16">
              <w:rPr>
                <w:rFonts w:ascii="Arial" w:hAnsi="Arial" w:cs="Arial"/>
                <w:noProof/>
                <w:webHidden/>
              </w:rPr>
              <w:fldChar w:fldCharType="begin"/>
            </w:r>
            <w:r w:rsidRPr="00CD5F16">
              <w:rPr>
                <w:rFonts w:ascii="Arial" w:hAnsi="Arial" w:cs="Arial"/>
                <w:noProof/>
                <w:webHidden/>
              </w:rPr>
              <w:instrText xml:space="preserve"> PAGEREF _Toc217231958 \h </w:instrText>
            </w:r>
            <w:r w:rsidRPr="00CD5F16">
              <w:rPr>
                <w:rFonts w:ascii="Arial" w:hAnsi="Arial" w:cs="Arial"/>
                <w:noProof/>
                <w:webHidden/>
              </w:rPr>
            </w:r>
            <w:r w:rsidRPr="00CD5F16">
              <w:rPr>
                <w:rFonts w:ascii="Arial" w:hAnsi="Arial" w:cs="Arial"/>
                <w:noProof/>
                <w:webHidden/>
              </w:rPr>
              <w:fldChar w:fldCharType="separate"/>
            </w:r>
            <w:r w:rsidR="00802509">
              <w:rPr>
                <w:rFonts w:ascii="Arial" w:hAnsi="Arial" w:cs="Arial"/>
                <w:noProof/>
                <w:webHidden/>
              </w:rPr>
              <w:t>16</w:t>
            </w:r>
            <w:r w:rsidRPr="00CD5F16">
              <w:rPr>
                <w:rFonts w:ascii="Arial" w:hAnsi="Arial" w:cs="Arial"/>
                <w:noProof/>
                <w:webHidden/>
              </w:rPr>
              <w:fldChar w:fldCharType="end"/>
            </w:r>
          </w:hyperlink>
        </w:p>
        <w:p w14:paraId="4EB112C0" w14:textId="7DE6D8B7" w:rsidR="00CD5F16" w:rsidRPr="00CD5F16" w:rsidRDefault="00CD5F16">
          <w:pPr>
            <w:pStyle w:val="TOC2"/>
            <w:tabs>
              <w:tab w:val="right" w:leader="dot" w:pos="9010"/>
            </w:tabs>
            <w:rPr>
              <w:rFonts w:ascii="Arial" w:eastAsiaTheme="minorEastAsia" w:hAnsi="Arial" w:cs="Arial"/>
              <w:b w:val="0"/>
              <w:bCs w:val="0"/>
              <w:noProof/>
              <w:kern w:val="2"/>
              <w:sz w:val="24"/>
              <w:szCs w:val="24"/>
              <w14:ligatures w14:val="standardContextual"/>
            </w:rPr>
          </w:pPr>
          <w:hyperlink w:anchor="_Toc217231959" w:history="1">
            <w:r w:rsidRPr="00CD5F16">
              <w:rPr>
                <w:rStyle w:val="Hyperlink"/>
                <w:rFonts w:ascii="Arial" w:hAnsi="Arial" w:cs="Arial"/>
                <w:noProof/>
              </w:rPr>
              <w:t>Glossary</w:t>
            </w:r>
            <w:r w:rsidRPr="00CD5F16">
              <w:rPr>
                <w:rFonts w:ascii="Arial" w:hAnsi="Arial" w:cs="Arial"/>
                <w:noProof/>
                <w:webHidden/>
              </w:rPr>
              <w:tab/>
            </w:r>
            <w:r w:rsidRPr="00CD5F16">
              <w:rPr>
                <w:rFonts w:ascii="Arial" w:hAnsi="Arial" w:cs="Arial"/>
                <w:noProof/>
                <w:webHidden/>
              </w:rPr>
              <w:fldChar w:fldCharType="begin"/>
            </w:r>
            <w:r w:rsidRPr="00CD5F16">
              <w:rPr>
                <w:rFonts w:ascii="Arial" w:hAnsi="Arial" w:cs="Arial"/>
                <w:noProof/>
                <w:webHidden/>
              </w:rPr>
              <w:instrText xml:space="preserve"> PAGEREF _Toc217231959 \h </w:instrText>
            </w:r>
            <w:r w:rsidRPr="00CD5F16">
              <w:rPr>
                <w:rFonts w:ascii="Arial" w:hAnsi="Arial" w:cs="Arial"/>
                <w:noProof/>
                <w:webHidden/>
              </w:rPr>
            </w:r>
            <w:r w:rsidRPr="00CD5F16">
              <w:rPr>
                <w:rFonts w:ascii="Arial" w:hAnsi="Arial" w:cs="Arial"/>
                <w:noProof/>
                <w:webHidden/>
              </w:rPr>
              <w:fldChar w:fldCharType="separate"/>
            </w:r>
            <w:r w:rsidR="00802509">
              <w:rPr>
                <w:rFonts w:ascii="Arial" w:hAnsi="Arial" w:cs="Arial"/>
                <w:noProof/>
                <w:webHidden/>
              </w:rPr>
              <w:t>17</w:t>
            </w:r>
            <w:r w:rsidRPr="00CD5F16">
              <w:rPr>
                <w:rFonts w:ascii="Arial" w:hAnsi="Arial" w:cs="Arial"/>
                <w:noProof/>
                <w:webHidden/>
              </w:rPr>
              <w:fldChar w:fldCharType="end"/>
            </w:r>
          </w:hyperlink>
        </w:p>
        <w:p w14:paraId="7A293C51" w14:textId="69F1AF98" w:rsidR="00CD5F16" w:rsidRPr="00CD5F16" w:rsidRDefault="00CD5F16">
          <w:pPr>
            <w:pStyle w:val="TOC2"/>
            <w:tabs>
              <w:tab w:val="right" w:leader="dot" w:pos="9010"/>
            </w:tabs>
            <w:rPr>
              <w:rFonts w:ascii="Arial" w:eastAsiaTheme="minorEastAsia" w:hAnsi="Arial" w:cs="Arial"/>
              <w:b w:val="0"/>
              <w:bCs w:val="0"/>
              <w:noProof/>
              <w:kern w:val="2"/>
              <w:sz w:val="24"/>
              <w:szCs w:val="24"/>
              <w14:ligatures w14:val="standardContextual"/>
            </w:rPr>
          </w:pPr>
          <w:hyperlink w:anchor="_Toc217231960" w:history="1">
            <w:r w:rsidRPr="00CD5F16">
              <w:rPr>
                <w:rStyle w:val="Hyperlink"/>
                <w:rFonts w:ascii="Arial" w:hAnsi="Arial" w:cs="Arial"/>
                <w:noProof/>
              </w:rPr>
              <w:t>Funding Sources</w:t>
            </w:r>
            <w:r w:rsidRPr="00CD5F16">
              <w:rPr>
                <w:rFonts w:ascii="Arial" w:hAnsi="Arial" w:cs="Arial"/>
                <w:noProof/>
                <w:webHidden/>
              </w:rPr>
              <w:tab/>
            </w:r>
            <w:r w:rsidRPr="00CD5F16">
              <w:rPr>
                <w:rFonts w:ascii="Arial" w:hAnsi="Arial" w:cs="Arial"/>
                <w:noProof/>
                <w:webHidden/>
              </w:rPr>
              <w:fldChar w:fldCharType="begin"/>
            </w:r>
            <w:r w:rsidRPr="00CD5F16">
              <w:rPr>
                <w:rFonts w:ascii="Arial" w:hAnsi="Arial" w:cs="Arial"/>
                <w:noProof/>
                <w:webHidden/>
              </w:rPr>
              <w:instrText xml:space="preserve"> PAGEREF _Toc217231960 \h </w:instrText>
            </w:r>
            <w:r w:rsidRPr="00CD5F16">
              <w:rPr>
                <w:rFonts w:ascii="Arial" w:hAnsi="Arial" w:cs="Arial"/>
                <w:noProof/>
                <w:webHidden/>
              </w:rPr>
            </w:r>
            <w:r w:rsidRPr="00CD5F16">
              <w:rPr>
                <w:rFonts w:ascii="Arial" w:hAnsi="Arial" w:cs="Arial"/>
                <w:noProof/>
                <w:webHidden/>
              </w:rPr>
              <w:fldChar w:fldCharType="separate"/>
            </w:r>
            <w:r w:rsidR="00802509">
              <w:rPr>
                <w:rFonts w:ascii="Arial" w:hAnsi="Arial" w:cs="Arial"/>
                <w:noProof/>
                <w:webHidden/>
              </w:rPr>
              <w:t>19</w:t>
            </w:r>
            <w:r w:rsidRPr="00CD5F16">
              <w:rPr>
                <w:rFonts w:ascii="Arial" w:hAnsi="Arial" w:cs="Arial"/>
                <w:noProof/>
                <w:webHidden/>
              </w:rPr>
              <w:fldChar w:fldCharType="end"/>
            </w:r>
          </w:hyperlink>
        </w:p>
        <w:p w14:paraId="1AFBF733" w14:textId="748D538D" w:rsidR="00CD5F16" w:rsidRPr="00CD5F16" w:rsidRDefault="00CD5F16">
          <w:pPr>
            <w:pStyle w:val="TOC2"/>
            <w:tabs>
              <w:tab w:val="right" w:leader="dot" w:pos="9010"/>
            </w:tabs>
            <w:rPr>
              <w:rFonts w:ascii="Arial" w:eastAsiaTheme="minorEastAsia" w:hAnsi="Arial" w:cs="Arial"/>
              <w:b w:val="0"/>
              <w:bCs w:val="0"/>
              <w:noProof/>
              <w:kern w:val="2"/>
              <w:sz w:val="24"/>
              <w:szCs w:val="24"/>
              <w14:ligatures w14:val="standardContextual"/>
            </w:rPr>
          </w:pPr>
          <w:hyperlink w:anchor="_Toc217231961" w:history="1">
            <w:r w:rsidRPr="00CD5F16">
              <w:rPr>
                <w:rStyle w:val="Hyperlink"/>
                <w:rFonts w:ascii="Arial" w:hAnsi="Arial" w:cs="Arial"/>
                <w:noProof/>
              </w:rPr>
              <w:t>References</w:t>
            </w:r>
            <w:r w:rsidRPr="00CD5F16">
              <w:rPr>
                <w:rFonts w:ascii="Arial" w:hAnsi="Arial" w:cs="Arial"/>
                <w:noProof/>
                <w:webHidden/>
              </w:rPr>
              <w:tab/>
            </w:r>
            <w:r w:rsidRPr="00CD5F16">
              <w:rPr>
                <w:rFonts w:ascii="Arial" w:hAnsi="Arial" w:cs="Arial"/>
                <w:noProof/>
                <w:webHidden/>
              </w:rPr>
              <w:fldChar w:fldCharType="begin"/>
            </w:r>
            <w:r w:rsidRPr="00CD5F16">
              <w:rPr>
                <w:rFonts w:ascii="Arial" w:hAnsi="Arial" w:cs="Arial"/>
                <w:noProof/>
                <w:webHidden/>
              </w:rPr>
              <w:instrText xml:space="preserve"> PAGEREF _Toc217231961 \h </w:instrText>
            </w:r>
            <w:r w:rsidRPr="00CD5F16">
              <w:rPr>
                <w:rFonts w:ascii="Arial" w:hAnsi="Arial" w:cs="Arial"/>
                <w:noProof/>
                <w:webHidden/>
              </w:rPr>
            </w:r>
            <w:r w:rsidRPr="00CD5F16">
              <w:rPr>
                <w:rFonts w:ascii="Arial" w:hAnsi="Arial" w:cs="Arial"/>
                <w:noProof/>
                <w:webHidden/>
              </w:rPr>
              <w:fldChar w:fldCharType="separate"/>
            </w:r>
            <w:r w:rsidR="00802509">
              <w:rPr>
                <w:rFonts w:ascii="Arial" w:hAnsi="Arial" w:cs="Arial"/>
                <w:noProof/>
                <w:webHidden/>
              </w:rPr>
              <w:t>20</w:t>
            </w:r>
            <w:r w:rsidRPr="00CD5F16">
              <w:rPr>
                <w:rFonts w:ascii="Arial" w:hAnsi="Arial" w:cs="Arial"/>
                <w:noProof/>
                <w:webHidden/>
              </w:rPr>
              <w:fldChar w:fldCharType="end"/>
            </w:r>
          </w:hyperlink>
        </w:p>
        <w:p w14:paraId="4F471819" w14:textId="4AEEAEA4" w:rsidR="00CD5F16" w:rsidRPr="00CD5F16" w:rsidRDefault="00CD5F16">
          <w:pPr>
            <w:pStyle w:val="TOC2"/>
            <w:tabs>
              <w:tab w:val="right" w:leader="dot" w:pos="9010"/>
            </w:tabs>
            <w:rPr>
              <w:rFonts w:ascii="Arial" w:eastAsiaTheme="minorEastAsia" w:hAnsi="Arial" w:cs="Arial"/>
              <w:b w:val="0"/>
              <w:bCs w:val="0"/>
              <w:noProof/>
              <w:kern w:val="2"/>
              <w:sz w:val="24"/>
              <w:szCs w:val="24"/>
              <w14:ligatures w14:val="standardContextual"/>
            </w:rPr>
          </w:pPr>
          <w:hyperlink w:anchor="_Toc217231962" w:history="1">
            <w:r w:rsidRPr="00CD5F16">
              <w:rPr>
                <w:rStyle w:val="Hyperlink"/>
                <w:rFonts w:ascii="Arial" w:hAnsi="Arial" w:cs="Arial"/>
                <w:noProof/>
              </w:rPr>
              <w:t>Annex 4</w:t>
            </w:r>
            <w:r w:rsidRPr="00CD5F16">
              <w:rPr>
                <w:rFonts w:ascii="Arial" w:hAnsi="Arial" w:cs="Arial"/>
                <w:noProof/>
                <w:webHidden/>
              </w:rPr>
              <w:tab/>
            </w:r>
            <w:r w:rsidRPr="00CD5F16">
              <w:rPr>
                <w:rFonts w:ascii="Arial" w:hAnsi="Arial" w:cs="Arial"/>
                <w:noProof/>
                <w:webHidden/>
              </w:rPr>
              <w:fldChar w:fldCharType="begin"/>
            </w:r>
            <w:r w:rsidRPr="00CD5F16">
              <w:rPr>
                <w:rFonts w:ascii="Arial" w:hAnsi="Arial" w:cs="Arial"/>
                <w:noProof/>
                <w:webHidden/>
              </w:rPr>
              <w:instrText xml:space="preserve"> PAGEREF _Toc217231962 \h </w:instrText>
            </w:r>
            <w:r w:rsidRPr="00CD5F16">
              <w:rPr>
                <w:rFonts w:ascii="Arial" w:hAnsi="Arial" w:cs="Arial"/>
                <w:noProof/>
                <w:webHidden/>
              </w:rPr>
            </w:r>
            <w:r w:rsidRPr="00CD5F16">
              <w:rPr>
                <w:rFonts w:ascii="Arial" w:hAnsi="Arial" w:cs="Arial"/>
                <w:noProof/>
                <w:webHidden/>
              </w:rPr>
              <w:fldChar w:fldCharType="separate"/>
            </w:r>
            <w:r w:rsidR="00802509">
              <w:rPr>
                <w:rFonts w:ascii="Arial" w:hAnsi="Arial" w:cs="Arial"/>
                <w:noProof/>
                <w:webHidden/>
              </w:rPr>
              <w:t>24</w:t>
            </w:r>
            <w:r w:rsidRPr="00CD5F16">
              <w:rPr>
                <w:rFonts w:ascii="Arial" w:hAnsi="Arial" w:cs="Arial"/>
                <w:noProof/>
                <w:webHidden/>
              </w:rPr>
              <w:fldChar w:fldCharType="end"/>
            </w:r>
          </w:hyperlink>
        </w:p>
        <w:p w14:paraId="265A706C" w14:textId="7574563D" w:rsidR="009A2325" w:rsidRPr="003B66BF" w:rsidRDefault="009A2325" w:rsidP="009A2325">
          <w:pPr>
            <w:rPr>
              <w:rFonts w:ascii="Arial" w:hAnsi="Arial" w:cs="Arial"/>
            </w:rPr>
          </w:pPr>
          <w:r w:rsidRPr="00CD5F16">
            <w:rPr>
              <w:rFonts w:ascii="Arial" w:hAnsi="Arial" w:cs="Arial"/>
              <w:b/>
              <w:bCs/>
              <w:noProof/>
            </w:rPr>
            <w:fldChar w:fldCharType="end"/>
          </w:r>
        </w:p>
      </w:sdtContent>
    </w:sdt>
    <w:p w14:paraId="7697AAD6" w14:textId="77777777" w:rsidR="009A2325" w:rsidRPr="003B66BF" w:rsidRDefault="009A2325" w:rsidP="009A2325">
      <w:pPr>
        <w:spacing w:line="276" w:lineRule="auto"/>
        <w:rPr>
          <w:rFonts w:ascii="Arial" w:hAnsi="Arial" w:cs="Arial"/>
          <w:b/>
          <w:bCs/>
        </w:rPr>
      </w:pPr>
    </w:p>
    <w:p w14:paraId="3381B826" w14:textId="77777777" w:rsidR="009A2325" w:rsidRPr="003B66BF" w:rsidRDefault="009A2325" w:rsidP="009A2325">
      <w:pPr>
        <w:pStyle w:val="Caption"/>
        <w:rPr>
          <w:rFonts w:ascii="Arial" w:hAnsi="Arial" w:cs="Arial"/>
          <w:b/>
          <w:bCs/>
          <w:i w:val="0"/>
          <w:iCs w:val="0"/>
          <w:color w:val="0070C0"/>
          <w:sz w:val="24"/>
          <w:szCs w:val="24"/>
        </w:rPr>
      </w:pPr>
      <w:r w:rsidRPr="003B66BF">
        <w:rPr>
          <w:rFonts w:ascii="Arial" w:hAnsi="Arial" w:cs="Arial"/>
          <w:b/>
          <w:bCs/>
          <w:i w:val="0"/>
          <w:iCs w:val="0"/>
          <w:color w:val="0070C0"/>
          <w:sz w:val="24"/>
          <w:szCs w:val="24"/>
        </w:rPr>
        <w:t>List of Figures</w:t>
      </w:r>
    </w:p>
    <w:p w14:paraId="12824C92" w14:textId="77777777" w:rsidR="009A2325" w:rsidRPr="003B66BF" w:rsidRDefault="009A2325" w:rsidP="009A2325">
      <w:pPr>
        <w:spacing w:line="276" w:lineRule="auto"/>
        <w:rPr>
          <w:rFonts w:ascii="Arial" w:hAnsi="Arial" w:cs="Arial"/>
          <w:b/>
          <w:bCs/>
        </w:rPr>
      </w:pPr>
    </w:p>
    <w:p w14:paraId="1AD63FCD" w14:textId="64B7466B" w:rsidR="00CA1A5A" w:rsidRPr="00CA1A5A" w:rsidRDefault="009A2325">
      <w:pPr>
        <w:pStyle w:val="TableofFigures"/>
        <w:tabs>
          <w:tab w:val="right" w:leader="dot" w:pos="9010"/>
        </w:tabs>
        <w:rPr>
          <w:rFonts w:ascii="Arial" w:eastAsiaTheme="minorEastAsia" w:hAnsi="Arial" w:cs="Arial"/>
          <w:noProof/>
          <w:kern w:val="2"/>
          <w:sz w:val="22"/>
          <w:szCs w:val="22"/>
          <w14:ligatures w14:val="standardContextual"/>
        </w:rPr>
      </w:pPr>
      <w:r w:rsidRPr="00CA1A5A">
        <w:rPr>
          <w:rFonts w:ascii="Arial" w:hAnsi="Arial" w:cs="Arial"/>
          <w:b/>
          <w:bCs/>
          <w:sz w:val="22"/>
          <w:szCs w:val="22"/>
        </w:rPr>
        <w:fldChar w:fldCharType="begin"/>
      </w:r>
      <w:r w:rsidRPr="00CA1A5A">
        <w:rPr>
          <w:rFonts w:ascii="Arial" w:hAnsi="Arial" w:cs="Arial"/>
          <w:b/>
          <w:bCs/>
          <w:sz w:val="22"/>
          <w:szCs w:val="22"/>
        </w:rPr>
        <w:instrText xml:space="preserve"> TOC \h \z \c "Figure 4-" </w:instrText>
      </w:r>
      <w:r w:rsidRPr="00CA1A5A">
        <w:rPr>
          <w:rFonts w:ascii="Arial" w:hAnsi="Arial" w:cs="Arial"/>
          <w:b/>
          <w:bCs/>
          <w:sz w:val="22"/>
          <w:szCs w:val="22"/>
        </w:rPr>
        <w:fldChar w:fldCharType="separate"/>
      </w:r>
      <w:hyperlink w:anchor="_Toc216612617" w:history="1">
        <w:r w:rsidR="00CA1A5A" w:rsidRPr="00CA1A5A">
          <w:rPr>
            <w:rStyle w:val="Hyperlink"/>
            <w:rFonts w:ascii="Arial" w:hAnsi="Arial" w:cs="Arial"/>
            <w:noProof/>
            <w:sz w:val="22"/>
            <w:szCs w:val="22"/>
          </w:rPr>
          <w:t>Figure 4-1 Maps of mangrove changes from 2014-2025</w:t>
        </w:r>
        <w:r w:rsidR="00CA1A5A" w:rsidRPr="00CA1A5A">
          <w:rPr>
            <w:rFonts w:ascii="Arial" w:hAnsi="Arial" w:cs="Arial"/>
            <w:noProof/>
            <w:webHidden/>
            <w:sz w:val="22"/>
            <w:szCs w:val="22"/>
          </w:rPr>
          <w:tab/>
        </w:r>
        <w:r w:rsidR="00CA1A5A" w:rsidRPr="00CA1A5A">
          <w:rPr>
            <w:rFonts w:ascii="Arial" w:hAnsi="Arial" w:cs="Arial"/>
            <w:noProof/>
            <w:webHidden/>
            <w:sz w:val="22"/>
            <w:szCs w:val="22"/>
          </w:rPr>
          <w:fldChar w:fldCharType="begin"/>
        </w:r>
        <w:r w:rsidR="00CA1A5A" w:rsidRPr="00CA1A5A">
          <w:rPr>
            <w:rFonts w:ascii="Arial" w:hAnsi="Arial" w:cs="Arial"/>
            <w:noProof/>
            <w:webHidden/>
            <w:sz w:val="22"/>
            <w:szCs w:val="22"/>
          </w:rPr>
          <w:instrText xml:space="preserve"> PAGEREF _Toc216612617 \h </w:instrText>
        </w:r>
        <w:r w:rsidR="00CA1A5A" w:rsidRPr="00CA1A5A">
          <w:rPr>
            <w:rFonts w:ascii="Arial" w:hAnsi="Arial" w:cs="Arial"/>
            <w:noProof/>
            <w:webHidden/>
            <w:sz w:val="22"/>
            <w:szCs w:val="22"/>
          </w:rPr>
        </w:r>
        <w:r w:rsidR="00CA1A5A" w:rsidRPr="00CA1A5A">
          <w:rPr>
            <w:rFonts w:ascii="Arial" w:hAnsi="Arial" w:cs="Arial"/>
            <w:noProof/>
            <w:webHidden/>
            <w:sz w:val="22"/>
            <w:szCs w:val="22"/>
          </w:rPr>
          <w:fldChar w:fldCharType="separate"/>
        </w:r>
        <w:r w:rsidR="00802509">
          <w:rPr>
            <w:rFonts w:ascii="Arial" w:hAnsi="Arial" w:cs="Arial"/>
            <w:noProof/>
            <w:webHidden/>
            <w:sz w:val="22"/>
            <w:szCs w:val="22"/>
          </w:rPr>
          <w:t>2</w:t>
        </w:r>
        <w:r w:rsidR="00CA1A5A" w:rsidRPr="00CA1A5A">
          <w:rPr>
            <w:rFonts w:ascii="Arial" w:hAnsi="Arial" w:cs="Arial"/>
            <w:noProof/>
            <w:webHidden/>
            <w:sz w:val="22"/>
            <w:szCs w:val="22"/>
          </w:rPr>
          <w:fldChar w:fldCharType="end"/>
        </w:r>
      </w:hyperlink>
    </w:p>
    <w:p w14:paraId="285A67C0" w14:textId="5F15F620" w:rsidR="00CA1A5A" w:rsidRPr="00CA1A5A" w:rsidRDefault="00000000">
      <w:pPr>
        <w:pStyle w:val="TableofFigures"/>
        <w:tabs>
          <w:tab w:val="right" w:leader="dot" w:pos="9010"/>
        </w:tabs>
        <w:rPr>
          <w:rFonts w:ascii="Arial" w:eastAsiaTheme="minorEastAsia" w:hAnsi="Arial" w:cs="Arial"/>
          <w:noProof/>
          <w:kern w:val="2"/>
          <w:sz w:val="22"/>
          <w:szCs w:val="22"/>
          <w14:ligatures w14:val="standardContextual"/>
        </w:rPr>
      </w:pPr>
      <w:hyperlink w:anchor="_Toc216612618" w:history="1">
        <w:r w:rsidR="00CA1A5A" w:rsidRPr="00CA1A5A">
          <w:rPr>
            <w:rStyle w:val="Hyperlink"/>
            <w:rFonts w:ascii="Arial" w:hAnsi="Arial" w:cs="Arial"/>
            <w:noProof/>
            <w:sz w:val="22"/>
            <w:szCs w:val="22"/>
          </w:rPr>
          <w:t>Figure 4-2 Location of coral reef distribution in Cambodia</w:t>
        </w:r>
        <w:r w:rsidR="00CA1A5A" w:rsidRPr="00CA1A5A">
          <w:rPr>
            <w:rFonts w:ascii="Arial" w:hAnsi="Arial" w:cs="Arial"/>
            <w:noProof/>
            <w:webHidden/>
            <w:sz w:val="22"/>
            <w:szCs w:val="22"/>
          </w:rPr>
          <w:tab/>
        </w:r>
        <w:r w:rsidR="00CA1A5A" w:rsidRPr="00CA1A5A">
          <w:rPr>
            <w:rFonts w:ascii="Arial" w:hAnsi="Arial" w:cs="Arial"/>
            <w:noProof/>
            <w:webHidden/>
            <w:sz w:val="22"/>
            <w:szCs w:val="22"/>
          </w:rPr>
          <w:fldChar w:fldCharType="begin"/>
        </w:r>
        <w:r w:rsidR="00CA1A5A" w:rsidRPr="00CA1A5A">
          <w:rPr>
            <w:rFonts w:ascii="Arial" w:hAnsi="Arial" w:cs="Arial"/>
            <w:noProof/>
            <w:webHidden/>
            <w:sz w:val="22"/>
            <w:szCs w:val="22"/>
          </w:rPr>
          <w:instrText xml:space="preserve"> PAGEREF _Toc216612618 \h </w:instrText>
        </w:r>
        <w:r w:rsidR="00CA1A5A" w:rsidRPr="00CA1A5A">
          <w:rPr>
            <w:rFonts w:ascii="Arial" w:hAnsi="Arial" w:cs="Arial"/>
            <w:noProof/>
            <w:webHidden/>
            <w:sz w:val="22"/>
            <w:szCs w:val="22"/>
          </w:rPr>
        </w:r>
        <w:r w:rsidR="00CA1A5A" w:rsidRPr="00CA1A5A">
          <w:rPr>
            <w:rFonts w:ascii="Arial" w:hAnsi="Arial" w:cs="Arial"/>
            <w:noProof/>
            <w:webHidden/>
            <w:sz w:val="22"/>
            <w:szCs w:val="22"/>
          </w:rPr>
          <w:fldChar w:fldCharType="separate"/>
        </w:r>
        <w:r w:rsidR="00802509">
          <w:rPr>
            <w:rFonts w:ascii="Arial" w:hAnsi="Arial" w:cs="Arial"/>
            <w:noProof/>
            <w:webHidden/>
            <w:sz w:val="22"/>
            <w:szCs w:val="22"/>
          </w:rPr>
          <w:t>5</w:t>
        </w:r>
        <w:r w:rsidR="00CA1A5A" w:rsidRPr="00CA1A5A">
          <w:rPr>
            <w:rFonts w:ascii="Arial" w:hAnsi="Arial" w:cs="Arial"/>
            <w:noProof/>
            <w:webHidden/>
            <w:sz w:val="22"/>
            <w:szCs w:val="22"/>
          </w:rPr>
          <w:fldChar w:fldCharType="end"/>
        </w:r>
      </w:hyperlink>
    </w:p>
    <w:p w14:paraId="2F4B0725" w14:textId="7C204D04" w:rsidR="00CA1A5A" w:rsidRPr="00CA1A5A" w:rsidRDefault="00000000">
      <w:pPr>
        <w:pStyle w:val="TableofFigures"/>
        <w:tabs>
          <w:tab w:val="right" w:leader="dot" w:pos="9010"/>
        </w:tabs>
        <w:rPr>
          <w:rFonts w:ascii="Arial" w:eastAsiaTheme="minorEastAsia" w:hAnsi="Arial" w:cs="Arial"/>
          <w:noProof/>
          <w:kern w:val="2"/>
          <w:sz w:val="22"/>
          <w:szCs w:val="22"/>
          <w14:ligatures w14:val="standardContextual"/>
        </w:rPr>
      </w:pPr>
      <w:hyperlink w:anchor="_Toc216612619" w:history="1">
        <w:r w:rsidR="00CA1A5A" w:rsidRPr="00CA1A5A">
          <w:rPr>
            <w:rStyle w:val="Hyperlink"/>
            <w:rFonts w:ascii="Arial" w:hAnsi="Arial" w:cs="Arial"/>
            <w:noProof/>
            <w:sz w:val="22"/>
            <w:szCs w:val="22"/>
          </w:rPr>
          <w:t>Figure 4-3 Location of Seagrass Distribution in Cambodia</w:t>
        </w:r>
        <w:r w:rsidR="00CA1A5A" w:rsidRPr="00CA1A5A">
          <w:rPr>
            <w:rFonts w:ascii="Arial" w:hAnsi="Arial" w:cs="Arial"/>
            <w:noProof/>
            <w:webHidden/>
            <w:sz w:val="22"/>
            <w:szCs w:val="22"/>
          </w:rPr>
          <w:tab/>
        </w:r>
        <w:r w:rsidR="00CA1A5A" w:rsidRPr="00CA1A5A">
          <w:rPr>
            <w:rFonts w:ascii="Arial" w:hAnsi="Arial" w:cs="Arial"/>
            <w:noProof/>
            <w:webHidden/>
            <w:sz w:val="22"/>
            <w:szCs w:val="22"/>
          </w:rPr>
          <w:fldChar w:fldCharType="begin"/>
        </w:r>
        <w:r w:rsidR="00CA1A5A" w:rsidRPr="00CA1A5A">
          <w:rPr>
            <w:rFonts w:ascii="Arial" w:hAnsi="Arial" w:cs="Arial"/>
            <w:noProof/>
            <w:webHidden/>
            <w:sz w:val="22"/>
            <w:szCs w:val="22"/>
          </w:rPr>
          <w:instrText xml:space="preserve"> PAGEREF _Toc216612619 \h </w:instrText>
        </w:r>
        <w:r w:rsidR="00CA1A5A" w:rsidRPr="00CA1A5A">
          <w:rPr>
            <w:rFonts w:ascii="Arial" w:hAnsi="Arial" w:cs="Arial"/>
            <w:noProof/>
            <w:webHidden/>
            <w:sz w:val="22"/>
            <w:szCs w:val="22"/>
          </w:rPr>
        </w:r>
        <w:r w:rsidR="00CA1A5A" w:rsidRPr="00CA1A5A">
          <w:rPr>
            <w:rFonts w:ascii="Arial" w:hAnsi="Arial" w:cs="Arial"/>
            <w:noProof/>
            <w:webHidden/>
            <w:sz w:val="22"/>
            <w:szCs w:val="22"/>
          </w:rPr>
          <w:fldChar w:fldCharType="separate"/>
        </w:r>
        <w:r w:rsidR="00802509">
          <w:rPr>
            <w:rFonts w:ascii="Arial" w:hAnsi="Arial" w:cs="Arial"/>
            <w:noProof/>
            <w:webHidden/>
            <w:sz w:val="22"/>
            <w:szCs w:val="22"/>
          </w:rPr>
          <w:t>6</w:t>
        </w:r>
        <w:r w:rsidR="00CA1A5A" w:rsidRPr="00CA1A5A">
          <w:rPr>
            <w:rFonts w:ascii="Arial" w:hAnsi="Arial" w:cs="Arial"/>
            <w:noProof/>
            <w:webHidden/>
            <w:sz w:val="22"/>
            <w:szCs w:val="22"/>
          </w:rPr>
          <w:fldChar w:fldCharType="end"/>
        </w:r>
      </w:hyperlink>
    </w:p>
    <w:p w14:paraId="6C5DDA79" w14:textId="3175B1A5" w:rsidR="00CA1A5A" w:rsidRPr="00CA1A5A" w:rsidRDefault="00000000">
      <w:pPr>
        <w:pStyle w:val="TableofFigures"/>
        <w:tabs>
          <w:tab w:val="right" w:leader="dot" w:pos="9010"/>
        </w:tabs>
        <w:rPr>
          <w:rFonts w:ascii="Arial" w:eastAsiaTheme="minorEastAsia" w:hAnsi="Arial" w:cs="Arial"/>
          <w:noProof/>
          <w:kern w:val="2"/>
          <w:sz w:val="22"/>
          <w:szCs w:val="22"/>
          <w14:ligatures w14:val="standardContextual"/>
        </w:rPr>
      </w:pPr>
      <w:hyperlink w:anchor="_Toc216612620" w:history="1">
        <w:r w:rsidR="00CA1A5A" w:rsidRPr="00CA1A5A">
          <w:rPr>
            <w:rStyle w:val="Hyperlink"/>
            <w:rFonts w:ascii="Arial" w:hAnsi="Arial" w:cs="Arial"/>
            <w:noProof/>
            <w:sz w:val="22"/>
            <w:szCs w:val="22"/>
          </w:rPr>
          <w:t>Figure 4-4 Dugongs with a new feeding trail in Cambodia’s seagrass beds</w:t>
        </w:r>
        <w:r w:rsidR="00CA1A5A" w:rsidRPr="00CA1A5A">
          <w:rPr>
            <w:rFonts w:ascii="Arial" w:hAnsi="Arial" w:cs="Arial"/>
            <w:noProof/>
            <w:webHidden/>
            <w:sz w:val="22"/>
            <w:szCs w:val="22"/>
          </w:rPr>
          <w:tab/>
        </w:r>
        <w:r w:rsidR="00CA1A5A" w:rsidRPr="00CA1A5A">
          <w:rPr>
            <w:rFonts w:ascii="Arial" w:hAnsi="Arial" w:cs="Arial"/>
            <w:noProof/>
            <w:webHidden/>
            <w:sz w:val="22"/>
            <w:szCs w:val="22"/>
          </w:rPr>
          <w:fldChar w:fldCharType="begin"/>
        </w:r>
        <w:r w:rsidR="00CA1A5A" w:rsidRPr="00CA1A5A">
          <w:rPr>
            <w:rFonts w:ascii="Arial" w:hAnsi="Arial" w:cs="Arial"/>
            <w:noProof/>
            <w:webHidden/>
            <w:sz w:val="22"/>
            <w:szCs w:val="22"/>
          </w:rPr>
          <w:instrText xml:space="preserve"> PAGEREF _Toc216612620 \h </w:instrText>
        </w:r>
        <w:r w:rsidR="00CA1A5A" w:rsidRPr="00CA1A5A">
          <w:rPr>
            <w:rFonts w:ascii="Arial" w:hAnsi="Arial" w:cs="Arial"/>
            <w:noProof/>
            <w:webHidden/>
            <w:sz w:val="22"/>
            <w:szCs w:val="22"/>
          </w:rPr>
        </w:r>
        <w:r w:rsidR="00CA1A5A" w:rsidRPr="00CA1A5A">
          <w:rPr>
            <w:rFonts w:ascii="Arial" w:hAnsi="Arial" w:cs="Arial"/>
            <w:noProof/>
            <w:webHidden/>
            <w:sz w:val="22"/>
            <w:szCs w:val="22"/>
          </w:rPr>
          <w:fldChar w:fldCharType="separate"/>
        </w:r>
        <w:r w:rsidR="00802509">
          <w:rPr>
            <w:rFonts w:ascii="Arial" w:hAnsi="Arial" w:cs="Arial"/>
            <w:noProof/>
            <w:webHidden/>
            <w:sz w:val="22"/>
            <w:szCs w:val="22"/>
          </w:rPr>
          <w:t>8</w:t>
        </w:r>
        <w:r w:rsidR="00CA1A5A" w:rsidRPr="00CA1A5A">
          <w:rPr>
            <w:rFonts w:ascii="Arial" w:hAnsi="Arial" w:cs="Arial"/>
            <w:noProof/>
            <w:webHidden/>
            <w:sz w:val="22"/>
            <w:szCs w:val="22"/>
          </w:rPr>
          <w:fldChar w:fldCharType="end"/>
        </w:r>
      </w:hyperlink>
    </w:p>
    <w:p w14:paraId="67935176" w14:textId="5464A291" w:rsidR="00CA1A5A" w:rsidRPr="00CA1A5A" w:rsidRDefault="00000000">
      <w:pPr>
        <w:pStyle w:val="TableofFigures"/>
        <w:tabs>
          <w:tab w:val="right" w:leader="dot" w:pos="9010"/>
        </w:tabs>
        <w:rPr>
          <w:rFonts w:ascii="Arial" w:eastAsiaTheme="minorEastAsia" w:hAnsi="Arial" w:cs="Arial"/>
          <w:noProof/>
          <w:kern w:val="2"/>
          <w:sz w:val="22"/>
          <w:szCs w:val="22"/>
          <w14:ligatures w14:val="standardContextual"/>
        </w:rPr>
      </w:pPr>
      <w:hyperlink w:anchor="_Toc216612621" w:history="1">
        <w:r w:rsidR="00CA1A5A" w:rsidRPr="00CA1A5A">
          <w:rPr>
            <w:rStyle w:val="Hyperlink"/>
            <w:rFonts w:ascii="Arial" w:hAnsi="Arial" w:cs="Arial"/>
            <w:noProof/>
            <w:sz w:val="22"/>
            <w:szCs w:val="22"/>
          </w:rPr>
          <w:t>Figure 4-5 Wastewater runoff discharging onto a tourist beachfront</w:t>
        </w:r>
        <w:r w:rsidR="00CA1A5A" w:rsidRPr="00CA1A5A">
          <w:rPr>
            <w:rFonts w:ascii="Arial" w:hAnsi="Arial" w:cs="Arial"/>
            <w:noProof/>
            <w:webHidden/>
            <w:sz w:val="22"/>
            <w:szCs w:val="22"/>
          </w:rPr>
          <w:tab/>
        </w:r>
        <w:r w:rsidR="00CA1A5A" w:rsidRPr="00CA1A5A">
          <w:rPr>
            <w:rFonts w:ascii="Arial" w:hAnsi="Arial" w:cs="Arial"/>
            <w:noProof/>
            <w:webHidden/>
            <w:sz w:val="22"/>
            <w:szCs w:val="22"/>
          </w:rPr>
          <w:fldChar w:fldCharType="begin"/>
        </w:r>
        <w:r w:rsidR="00CA1A5A" w:rsidRPr="00CA1A5A">
          <w:rPr>
            <w:rFonts w:ascii="Arial" w:hAnsi="Arial" w:cs="Arial"/>
            <w:noProof/>
            <w:webHidden/>
            <w:sz w:val="22"/>
            <w:szCs w:val="22"/>
          </w:rPr>
          <w:instrText xml:space="preserve"> PAGEREF _Toc216612621 \h </w:instrText>
        </w:r>
        <w:r w:rsidR="00CA1A5A" w:rsidRPr="00CA1A5A">
          <w:rPr>
            <w:rFonts w:ascii="Arial" w:hAnsi="Arial" w:cs="Arial"/>
            <w:noProof/>
            <w:webHidden/>
            <w:sz w:val="22"/>
            <w:szCs w:val="22"/>
          </w:rPr>
        </w:r>
        <w:r w:rsidR="00CA1A5A" w:rsidRPr="00CA1A5A">
          <w:rPr>
            <w:rFonts w:ascii="Arial" w:hAnsi="Arial" w:cs="Arial"/>
            <w:noProof/>
            <w:webHidden/>
            <w:sz w:val="22"/>
            <w:szCs w:val="22"/>
          </w:rPr>
          <w:fldChar w:fldCharType="separate"/>
        </w:r>
        <w:r w:rsidR="00802509">
          <w:rPr>
            <w:rFonts w:ascii="Arial" w:hAnsi="Arial" w:cs="Arial"/>
            <w:noProof/>
            <w:webHidden/>
            <w:sz w:val="22"/>
            <w:szCs w:val="22"/>
          </w:rPr>
          <w:t>9</w:t>
        </w:r>
        <w:r w:rsidR="00CA1A5A" w:rsidRPr="00CA1A5A">
          <w:rPr>
            <w:rFonts w:ascii="Arial" w:hAnsi="Arial" w:cs="Arial"/>
            <w:noProof/>
            <w:webHidden/>
            <w:sz w:val="22"/>
            <w:szCs w:val="22"/>
          </w:rPr>
          <w:fldChar w:fldCharType="end"/>
        </w:r>
      </w:hyperlink>
    </w:p>
    <w:p w14:paraId="174983BC" w14:textId="19A8FF4D" w:rsidR="009A2325" w:rsidRPr="003B66BF" w:rsidRDefault="009A2325" w:rsidP="009A2325">
      <w:pPr>
        <w:spacing w:after="240"/>
        <w:rPr>
          <w:rFonts w:ascii="Arial" w:hAnsi="Arial" w:cs="Arial"/>
          <w:b/>
          <w:bCs/>
        </w:rPr>
      </w:pPr>
      <w:r w:rsidRPr="00CA1A5A">
        <w:rPr>
          <w:rFonts w:ascii="Arial" w:hAnsi="Arial" w:cs="Arial"/>
          <w:b/>
          <w:bCs/>
          <w:sz w:val="22"/>
          <w:szCs w:val="22"/>
        </w:rPr>
        <w:fldChar w:fldCharType="end"/>
      </w:r>
    </w:p>
    <w:p w14:paraId="1452F41A" w14:textId="3D049F9E" w:rsidR="00BA2EEB" w:rsidRDefault="00BA2EEB" w:rsidP="00BA2EEB">
      <w:pPr>
        <w:pStyle w:val="Caption"/>
        <w:rPr>
          <w:rFonts w:ascii="Arial" w:hAnsi="Arial" w:cs="Arial"/>
          <w:b/>
          <w:bCs/>
          <w:i w:val="0"/>
          <w:iCs w:val="0"/>
          <w:color w:val="0070C0"/>
          <w:sz w:val="24"/>
          <w:szCs w:val="24"/>
        </w:rPr>
      </w:pPr>
      <w:r w:rsidRPr="003B66BF">
        <w:rPr>
          <w:rFonts w:ascii="Arial" w:hAnsi="Arial" w:cs="Arial"/>
          <w:b/>
          <w:bCs/>
          <w:i w:val="0"/>
          <w:iCs w:val="0"/>
          <w:color w:val="0070C0"/>
          <w:sz w:val="24"/>
          <w:szCs w:val="24"/>
        </w:rPr>
        <w:t xml:space="preserve">List of </w:t>
      </w:r>
      <w:r>
        <w:rPr>
          <w:rFonts w:ascii="Arial" w:hAnsi="Arial" w:cs="Arial"/>
          <w:b/>
          <w:bCs/>
          <w:i w:val="0"/>
          <w:iCs w:val="0"/>
          <w:color w:val="0070C0"/>
          <w:sz w:val="24"/>
          <w:szCs w:val="24"/>
        </w:rPr>
        <w:t>Tables</w:t>
      </w:r>
    </w:p>
    <w:p w14:paraId="01861D35" w14:textId="0864ABAD" w:rsidR="00BA2EEB" w:rsidRPr="00CA1A5A" w:rsidRDefault="00BA2EEB">
      <w:pPr>
        <w:pStyle w:val="TableofFigures"/>
        <w:tabs>
          <w:tab w:val="right" w:leader="dot" w:pos="9010"/>
        </w:tabs>
        <w:rPr>
          <w:rFonts w:ascii="Arial" w:eastAsiaTheme="minorEastAsia" w:hAnsi="Arial" w:cs="Arial"/>
          <w:noProof/>
          <w:kern w:val="2"/>
          <w:sz w:val="22"/>
          <w:szCs w:val="22"/>
          <w14:ligatures w14:val="standardContextual"/>
        </w:rPr>
      </w:pPr>
      <w:r w:rsidRPr="00CA1A5A">
        <w:rPr>
          <w:rFonts w:ascii="Arial" w:hAnsi="Arial" w:cs="Arial"/>
          <w:sz w:val="22"/>
          <w:szCs w:val="22"/>
        </w:rPr>
        <w:fldChar w:fldCharType="begin"/>
      </w:r>
      <w:r w:rsidRPr="00CA1A5A">
        <w:rPr>
          <w:rFonts w:ascii="Arial" w:hAnsi="Arial" w:cs="Arial"/>
          <w:sz w:val="22"/>
          <w:szCs w:val="22"/>
        </w:rPr>
        <w:instrText xml:space="preserve"> TOC \h \z \c "Table 4-" </w:instrText>
      </w:r>
      <w:r w:rsidRPr="00CA1A5A">
        <w:rPr>
          <w:rFonts w:ascii="Arial" w:hAnsi="Arial" w:cs="Arial"/>
          <w:sz w:val="22"/>
          <w:szCs w:val="22"/>
        </w:rPr>
        <w:fldChar w:fldCharType="separate"/>
      </w:r>
      <w:hyperlink w:anchor="_Toc216611664" w:history="1">
        <w:r w:rsidRPr="00CA1A5A">
          <w:rPr>
            <w:rStyle w:val="Hyperlink"/>
            <w:rFonts w:ascii="Arial" w:hAnsi="Arial" w:cs="Arial"/>
            <w:noProof/>
            <w:sz w:val="22"/>
            <w:szCs w:val="22"/>
          </w:rPr>
          <w:t>Table 4-1 Cambodian MPAs and OECMs: Coastal area-based management: MPAs, Ramsar systems, MFMAs/EAFM, and community co-management</w:t>
        </w:r>
        <w:r w:rsidRPr="00CA1A5A">
          <w:rPr>
            <w:rFonts w:ascii="Arial" w:hAnsi="Arial" w:cs="Arial"/>
            <w:noProof/>
            <w:webHidden/>
            <w:sz w:val="22"/>
            <w:szCs w:val="22"/>
          </w:rPr>
          <w:tab/>
        </w:r>
        <w:r w:rsidRPr="00CA1A5A">
          <w:rPr>
            <w:rFonts w:ascii="Arial" w:hAnsi="Arial" w:cs="Arial"/>
            <w:noProof/>
            <w:webHidden/>
            <w:sz w:val="22"/>
            <w:szCs w:val="22"/>
          </w:rPr>
          <w:fldChar w:fldCharType="begin"/>
        </w:r>
        <w:r w:rsidRPr="00CA1A5A">
          <w:rPr>
            <w:rFonts w:ascii="Arial" w:hAnsi="Arial" w:cs="Arial"/>
            <w:noProof/>
            <w:webHidden/>
            <w:sz w:val="22"/>
            <w:szCs w:val="22"/>
          </w:rPr>
          <w:instrText xml:space="preserve"> PAGEREF _Toc216611664 \h </w:instrText>
        </w:r>
        <w:r w:rsidRPr="00CA1A5A">
          <w:rPr>
            <w:rFonts w:ascii="Arial" w:hAnsi="Arial" w:cs="Arial"/>
            <w:noProof/>
            <w:webHidden/>
            <w:sz w:val="22"/>
            <w:szCs w:val="22"/>
          </w:rPr>
        </w:r>
        <w:r w:rsidRPr="00CA1A5A">
          <w:rPr>
            <w:rFonts w:ascii="Arial" w:hAnsi="Arial" w:cs="Arial"/>
            <w:noProof/>
            <w:webHidden/>
            <w:sz w:val="22"/>
            <w:szCs w:val="22"/>
          </w:rPr>
          <w:fldChar w:fldCharType="separate"/>
        </w:r>
        <w:r w:rsidR="00802509">
          <w:rPr>
            <w:rFonts w:ascii="Arial" w:hAnsi="Arial" w:cs="Arial"/>
            <w:noProof/>
            <w:webHidden/>
            <w:sz w:val="22"/>
            <w:szCs w:val="22"/>
          </w:rPr>
          <w:t>12</w:t>
        </w:r>
        <w:r w:rsidRPr="00CA1A5A">
          <w:rPr>
            <w:rFonts w:ascii="Arial" w:hAnsi="Arial" w:cs="Arial"/>
            <w:noProof/>
            <w:webHidden/>
            <w:sz w:val="22"/>
            <w:szCs w:val="22"/>
          </w:rPr>
          <w:fldChar w:fldCharType="end"/>
        </w:r>
      </w:hyperlink>
    </w:p>
    <w:p w14:paraId="5304BEE3" w14:textId="111B2B56" w:rsidR="00BA2EEB" w:rsidRPr="00BA2EEB" w:rsidRDefault="00BA2EEB" w:rsidP="00BA2EEB">
      <w:r w:rsidRPr="00CA1A5A">
        <w:rPr>
          <w:rFonts w:ascii="Arial" w:hAnsi="Arial" w:cs="Arial"/>
          <w:sz w:val="22"/>
          <w:szCs w:val="22"/>
        </w:rPr>
        <w:fldChar w:fldCharType="end"/>
      </w:r>
    </w:p>
    <w:p w14:paraId="7A4F8262" w14:textId="77777777" w:rsidR="00642707" w:rsidRPr="003B66BF" w:rsidRDefault="009A2325" w:rsidP="009A2325">
      <w:pPr>
        <w:pStyle w:val="Caption"/>
        <w:rPr>
          <w:rFonts w:ascii="Arial" w:hAnsi="Arial" w:cs="Arial"/>
          <w:b/>
          <w:bCs/>
        </w:rPr>
      </w:pPr>
      <w:r w:rsidRPr="003B66BF">
        <w:rPr>
          <w:rFonts w:ascii="Arial" w:hAnsi="Arial" w:cs="Arial"/>
          <w:b/>
          <w:bCs/>
        </w:rPr>
        <w:br w:type="column"/>
      </w:r>
      <w:r w:rsidR="001B3C78" w:rsidRPr="003B66BF">
        <w:rPr>
          <w:rFonts w:ascii="Arial" w:hAnsi="Arial" w:cs="Arial"/>
          <w:b/>
          <w:bCs/>
          <w:i w:val="0"/>
          <w:iCs w:val="0"/>
          <w:color w:val="0070C0"/>
          <w:sz w:val="24"/>
          <w:szCs w:val="24"/>
        </w:rPr>
        <w:t xml:space="preserve"> </w:t>
      </w:r>
      <w:r w:rsidR="00642707" w:rsidRPr="003B66BF">
        <w:rPr>
          <w:rFonts w:ascii="Arial" w:hAnsi="Arial" w:cs="Arial"/>
          <w:b/>
          <w:bCs/>
          <w:i w:val="0"/>
          <w:iCs w:val="0"/>
          <w:color w:val="0070C0"/>
          <w:sz w:val="24"/>
          <w:szCs w:val="24"/>
        </w:rPr>
        <w:t>List of Acronym</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18"/>
        <w:gridCol w:w="6584"/>
      </w:tblGrid>
      <w:tr w:rsidR="007C3A02" w:rsidRPr="003B66BF" w14:paraId="5190940D" w14:textId="77777777" w:rsidTr="00D64788">
        <w:trPr>
          <w:tblCellSpacing w:w="15" w:type="dxa"/>
        </w:trPr>
        <w:tc>
          <w:tcPr>
            <w:tcW w:w="1373" w:type="dxa"/>
            <w:vAlign w:val="center"/>
            <w:hideMark/>
          </w:tcPr>
          <w:p w14:paraId="47C6BA75"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ADB</w:t>
            </w:r>
          </w:p>
        </w:tc>
        <w:tc>
          <w:tcPr>
            <w:tcW w:w="6539" w:type="dxa"/>
            <w:vAlign w:val="center"/>
            <w:hideMark/>
          </w:tcPr>
          <w:p w14:paraId="2DEBFE89" w14:textId="77777777" w:rsidR="007C3A02" w:rsidRPr="003B66BF" w:rsidRDefault="007C3A02" w:rsidP="00D64788">
            <w:pPr>
              <w:rPr>
                <w:rFonts w:ascii="Arial" w:hAnsi="Arial" w:cs="Arial"/>
                <w:sz w:val="22"/>
                <w:szCs w:val="22"/>
              </w:rPr>
            </w:pPr>
            <w:r w:rsidRPr="003B66BF">
              <w:rPr>
                <w:rFonts w:ascii="Arial" w:hAnsi="Arial" w:cs="Arial"/>
                <w:sz w:val="22"/>
                <w:szCs w:val="22"/>
              </w:rPr>
              <w:t>Asian Development Bank</w:t>
            </w:r>
          </w:p>
        </w:tc>
      </w:tr>
      <w:tr w:rsidR="007C3A02" w:rsidRPr="003B66BF" w14:paraId="09B89CBB" w14:textId="77777777" w:rsidTr="00D64788">
        <w:trPr>
          <w:tblCellSpacing w:w="15" w:type="dxa"/>
        </w:trPr>
        <w:tc>
          <w:tcPr>
            <w:tcW w:w="1373" w:type="dxa"/>
            <w:vAlign w:val="center"/>
            <w:hideMark/>
          </w:tcPr>
          <w:p w14:paraId="328C9F19"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ASEAN</w:t>
            </w:r>
          </w:p>
        </w:tc>
        <w:tc>
          <w:tcPr>
            <w:tcW w:w="6539" w:type="dxa"/>
            <w:vAlign w:val="center"/>
            <w:hideMark/>
          </w:tcPr>
          <w:p w14:paraId="57C05CE5" w14:textId="77777777" w:rsidR="007C3A02" w:rsidRPr="003B66BF" w:rsidRDefault="007C3A02" w:rsidP="00D64788">
            <w:pPr>
              <w:rPr>
                <w:rFonts w:ascii="Arial" w:hAnsi="Arial" w:cs="Arial"/>
                <w:sz w:val="22"/>
                <w:szCs w:val="22"/>
              </w:rPr>
            </w:pPr>
            <w:r w:rsidRPr="003B66BF">
              <w:rPr>
                <w:rFonts w:ascii="Arial" w:hAnsi="Arial" w:cs="Arial"/>
                <w:sz w:val="22"/>
                <w:szCs w:val="22"/>
              </w:rPr>
              <w:t>Association of Southeast Asian Nations</w:t>
            </w:r>
          </w:p>
        </w:tc>
      </w:tr>
      <w:tr w:rsidR="007C3A02" w:rsidRPr="003B66BF" w14:paraId="13063E2B" w14:textId="77777777" w:rsidTr="00D64788">
        <w:trPr>
          <w:tblCellSpacing w:w="15" w:type="dxa"/>
        </w:trPr>
        <w:tc>
          <w:tcPr>
            <w:tcW w:w="1373" w:type="dxa"/>
            <w:vAlign w:val="center"/>
            <w:hideMark/>
          </w:tcPr>
          <w:p w14:paraId="0A6155C1"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BOD</w:t>
            </w:r>
          </w:p>
        </w:tc>
        <w:tc>
          <w:tcPr>
            <w:tcW w:w="6539" w:type="dxa"/>
            <w:vAlign w:val="center"/>
            <w:hideMark/>
          </w:tcPr>
          <w:p w14:paraId="532379D8" w14:textId="77777777" w:rsidR="007C3A02" w:rsidRPr="003B66BF" w:rsidRDefault="007C3A02" w:rsidP="00D64788">
            <w:pPr>
              <w:rPr>
                <w:rFonts w:ascii="Arial" w:hAnsi="Arial" w:cs="Arial"/>
                <w:sz w:val="22"/>
                <w:szCs w:val="22"/>
              </w:rPr>
            </w:pPr>
            <w:r w:rsidRPr="003B66BF">
              <w:rPr>
                <w:rFonts w:ascii="Arial" w:hAnsi="Arial" w:cs="Arial"/>
                <w:sz w:val="22"/>
                <w:szCs w:val="22"/>
              </w:rPr>
              <w:t>Biochemical Oxygen Demand</w:t>
            </w:r>
          </w:p>
        </w:tc>
      </w:tr>
      <w:tr w:rsidR="007C3A02" w:rsidRPr="003B66BF" w14:paraId="7AE153EA" w14:textId="77777777" w:rsidTr="00D64788">
        <w:trPr>
          <w:tblCellSpacing w:w="15" w:type="dxa"/>
        </w:trPr>
        <w:tc>
          <w:tcPr>
            <w:tcW w:w="1373" w:type="dxa"/>
            <w:vAlign w:val="center"/>
            <w:hideMark/>
          </w:tcPr>
          <w:p w14:paraId="718BC445"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CBD</w:t>
            </w:r>
          </w:p>
        </w:tc>
        <w:tc>
          <w:tcPr>
            <w:tcW w:w="6539" w:type="dxa"/>
            <w:vAlign w:val="center"/>
            <w:hideMark/>
          </w:tcPr>
          <w:p w14:paraId="19F5844E" w14:textId="77777777" w:rsidR="007C3A02" w:rsidRPr="003B66BF" w:rsidRDefault="007C3A02" w:rsidP="00D64788">
            <w:pPr>
              <w:rPr>
                <w:rFonts w:ascii="Arial" w:hAnsi="Arial" w:cs="Arial"/>
                <w:sz w:val="22"/>
                <w:szCs w:val="22"/>
              </w:rPr>
            </w:pPr>
            <w:r w:rsidRPr="003B66BF">
              <w:rPr>
                <w:rFonts w:ascii="Arial" w:hAnsi="Arial" w:cs="Arial"/>
                <w:sz w:val="22"/>
                <w:szCs w:val="22"/>
              </w:rPr>
              <w:t>Convention on Biological Diversity</w:t>
            </w:r>
          </w:p>
        </w:tc>
      </w:tr>
      <w:tr w:rsidR="007C3A02" w:rsidRPr="003B66BF" w14:paraId="3E23E7DC" w14:textId="77777777" w:rsidTr="00D64788">
        <w:trPr>
          <w:tblCellSpacing w:w="15" w:type="dxa"/>
        </w:trPr>
        <w:tc>
          <w:tcPr>
            <w:tcW w:w="1373" w:type="dxa"/>
            <w:vAlign w:val="center"/>
            <w:hideMark/>
          </w:tcPr>
          <w:p w14:paraId="315D1EF6"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CCRMN</w:t>
            </w:r>
          </w:p>
        </w:tc>
        <w:tc>
          <w:tcPr>
            <w:tcW w:w="6539" w:type="dxa"/>
            <w:vAlign w:val="center"/>
            <w:hideMark/>
          </w:tcPr>
          <w:p w14:paraId="5C798D05" w14:textId="77777777" w:rsidR="007C3A02" w:rsidRPr="003B66BF" w:rsidRDefault="007C3A02" w:rsidP="00D64788">
            <w:pPr>
              <w:rPr>
                <w:rFonts w:ascii="Arial" w:hAnsi="Arial" w:cs="Arial"/>
                <w:sz w:val="22"/>
                <w:szCs w:val="22"/>
              </w:rPr>
            </w:pPr>
            <w:r w:rsidRPr="003B66BF">
              <w:rPr>
                <w:rFonts w:ascii="Arial" w:hAnsi="Arial" w:cs="Arial"/>
                <w:sz w:val="22"/>
                <w:szCs w:val="22"/>
              </w:rPr>
              <w:t>Cambodian Coral Reef Monitoring Network</w:t>
            </w:r>
          </w:p>
        </w:tc>
      </w:tr>
      <w:tr w:rsidR="007C3A02" w:rsidRPr="003B66BF" w14:paraId="2F484245" w14:textId="77777777" w:rsidTr="00D64788">
        <w:trPr>
          <w:tblCellSpacing w:w="15" w:type="dxa"/>
        </w:trPr>
        <w:tc>
          <w:tcPr>
            <w:tcW w:w="1373" w:type="dxa"/>
            <w:vAlign w:val="center"/>
            <w:hideMark/>
          </w:tcPr>
          <w:p w14:paraId="0282C41C"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CFi</w:t>
            </w:r>
          </w:p>
        </w:tc>
        <w:tc>
          <w:tcPr>
            <w:tcW w:w="6539" w:type="dxa"/>
            <w:vAlign w:val="center"/>
            <w:hideMark/>
          </w:tcPr>
          <w:p w14:paraId="6DAA09D6" w14:textId="77777777" w:rsidR="007C3A02" w:rsidRPr="003B66BF" w:rsidRDefault="007C3A02" w:rsidP="00D64788">
            <w:pPr>
              <w:rPr>
                <w:rFonts w:ascii="Arial" w:hAnsi="Arial" w:cs="Arial"/>
                <w:sz w:val="22"/>
                <w:szCs w:val="22"/>
              </w:rPr>
            </w:pPr>
            <w:r w:rsidRPr="003B66BF">
              <w:rPr>
                <w:rFonts w:ascii="Arial" w:hAnsi="Arial" w:cs="Arial"/>
                <w:sz w:val="22"/>
                <w:szCs w:val="22"/>
              </w:rPr>
              <w:t>Community Fisheries</w:t>
            </w:r>
          </w:p>
        </w:tc>
      </w:tr>
      <w:tr w:rsidR="007C3A02" w:rsidRPr="003B66BF" w14:paraId="782482CC" w14:textId="77777777" w:rsidTr="00D64788">
        <w:trPr>
          <w:tblCellSpacing w:w="15" w:type="dxa"/>
        </w:trPr>
        <w:tc>
          <w:tcPr>
            <w:tcW w:w="1373" w:type="dxa"/>
            <w:vAlign w:val="center"/>
            <w:hideMark/>
          </w:tcPr>
          <w:p w14:paraId="02230E49"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COBSEA</w:t>
            </w:r>
          </w:p>
        </w:tc>
        <w:tc>
          <w:tcPr>
            <w:tcW w:w="6539" w:type="dxa"/>
            <w:vAlign w:val="center"/>
            <w:hideMark/>
          </w:tcPr>
          <w:p w14:paraId="15E7C95C" w14:textId="77777777" w:rsidR="007C3A02" w:rsidRPr="003B66BF" w:rsidRDefault="007C3A02" w:rsidP="00D64788">
            <w:pPr>
              <w:rPr>
                <w:rFonts w:ascii="Arial" w:hAnsi="Arial" w:cs="Arial"/>
                <w:sz w:val="22"/>
                <w:szCs w:val="22"/>
              </w:rPr>
            </w:pPr>
            <w:r w:rsidRPr="003B66BF">
              <w:rPr>
                <w:rFonts w:ascii="Arial" w:hAnsi="Arial" w:cs="Arial"/>
                <w:sz w:val="22"/>
                <w:szCs w:val="22"/>
              </w:rPr>
              <w:t>Coordinating Body on the Seas of East Asia</w:t>
            </w:r>
          </w:p>
        </w:tc>
      </w:tr>
      <w:tr w:rsidR="007C3A02" w:rsidRPr="003B66BF" w14:paraId="72F913D4" w14:textId="77777777" w:rsidTr="00D64788">
        <w:trPr>
          <w:tblCellSpacing w:w="15" w:type="dxa"/>
        </w:trPr>
        <w:tc>
          <w:tcPr>
            <w:tcW w:w="1373" w:type="dxa"/>
            <w:vAlign w:val="center"/>
            <w:hideMark/>
          </w:tcPr>
          <w:p w14:paraId="2BBABBAE"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CPA</w:t>
            </w:r>
          </w:p>
        </w:tc>
        <w:tc>
          <w:tcPr>
            <w:tcW w:w="6539" w:type="dxa"/>
            <w:vAlign w:val="center"/>
            <w:hideMark/>
          </w:tcPr>
          <w:p w14:paraId="35BEC785" w14:textId="77777777" w:rsidR="007C3A02" w:rsidRPr="003B66BF" w:rsidRDefault="007C3A02" w:rsidP="00D64788">
            <w:pPr>
              <w:rPr>
                <w:rFonts w:ascii="Arial" w:hAnsi="Arial" w:cs="Arial"/>
                <w:sz w:val="22"/>
                <w:szCs w:val="22"/>
              </w:rPr>
            </w:pPr>
            <w:r w:rsidRPr="003B66BF">
              <w:rPr>
                <w:rFonts w:ascii="Arial" w:hAnsi="Arial" w:cs="Arial"/>
                <w:sz w:val="22"/>
                <w:szCs w:val="22"/>
              </w:rPr>
              <w:t>Community Protected Area</w:t>
            </w:r>
          </w:p>
        </w:tc>
      </w:tr>
      <w:tr w:rsidR="007C3A02" w:rsidRPr="003B66BF" w14:paraId="73AB8D13" w14:textId="77777777" w:rsidTr="00D64788">
        <w:trPr>
          <w:tblCellSpacing w:w="15" w:type="dxa"/>
        </w:trPr>
        <w:tc>
          <w:tcPr>
            <w:tcW w:w="1373" w:type="dxa"/>
            <w:vAlign w:val="center"/>
            <w:hideMark/>
          </w:tcPr>
          <w:p w14:paraId="587A960A"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DO</w:t>
            </w:r>
          </w:p>
        </w:tc>
        <w:tc>
          <w:tcPr>
            <w:tcW w:w="6539" w:type="dxa"/>
            <w:vAlign w:val="center"/>
            <w:hideMark/>
          </w:tcPr>
          <w:p w14:paraId="71DAD85E" w14:textId="77777777" w:rsidR="007C3A02" w:rsidRPr="003B66BF" w:rsidRDefault="007C3A02" w:rsidP="00D64788">
            <w:pPr>
              <w:rPr>
                <w:rFonts w:ascii="Arial" w:hAnsi="Arial" w:cs="Arial"/>
                <w:sz w:val="22"/>
                <w:szCs w:val="22"/>
              </w:rPr>
            </w:pPr>
            <w:r w:rsidRPr="003B66BF">
              <w:rPr>
                <w:rFonts w:ascii="Arial" w:hAnsi="Arial" w:cs="Arial"/>
                <w:sz w:val="22"/>
                <w:szCs w:val="22"/>
              </w:rPr>
              <w:t>Dissolved Oxygen</w:t>
            </w:r>
          </w:p>
        </w:tc>
      </w:tr>
      <w:tr w:rsidR="007C3A02" w:rsidRPr="003B66BF" w14:paraId="5069B390" w14:textId="77777777" w:rsidTr="00D64788">
        <w:trPr>
          <w:tblCellSpacing w:w="15" w:type="dxa"/>
        </w:trPr>
        <w:tc>
          <w:tcPr>
            <w:tcW w:w="1373" w:type="dxa"/>
            <w:vAlign w:val="center"/>
            <w:hideMark/>
          </w:tcPr>
          <w:p w14:paraId="175006B8"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e-CDT</w:t>
            </w:r>
          </w:p>
        </w:tc>
        <w:tc>
          <w:tcPr>
            <w:tcW w:w="6539" w:type="dxa"/>
            <w:vAlign w:val="center"/>
            <w:hideMark/>
          </w:tcPr>
          <w:p w14:paraId="741E7B36" w14:textId="77777777" w:rsidR="007C3A02" w:rsidRPr="003B66BF" w:rsidRDefault="007C3A02" w:rsidP="00D64788">
            <w:pPr>
              <w:rPr>
                <w:rFonts w:ascii="Arial" w:hAnsi="Arial" w:cs="Arial"/>
                <w:sz w:val="22"/>
                <w:szCs w:val="22"/>
              </w:rPr>
            </w:pPr>
            <w:r w:rsidRPr="003B66BF">
              <w:rPr>
                <w:rFonts w:ascii="Arial" w:hAnsi="Arial" w:cs="Arial"/>
                <w:sz w:val="22"/>
                <w:szCs w:val="22"/>
              </w:rPr>
              <w:t>electronic Catch Documentation and Traceability</w:t>
            </w:r>
          </w:p>
        </w:tc>
      </w:tr>
      <w:tr w:rsidR="007C3A02" w:rsidRPr="003B66BF" w14:paraId="4F987D60" w14:textId="77777777" w:rsidTr="00D64788">
        <w:trPr>
          <w:tblCellSpacing w:w="15" w:type="dxa"/>
        </w:trPr>
        <w:tc>
          <w:tcPr>
            <w:tcW w:w="1373" w:type="dxa"/>
            <w:vAlign w:val="center"/>
            <w:hideMark/>
          </w:tcPr>
          <w:p w14:paraId="021A795A"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EAAFP</w:t>
            </w:r>
          </w:p>
        </w:tc>
        <w:tc>
          <w:tcPr>
            <w:tcW w:w="6539" w:type="dxa"/>
            <w:vAlign w:val="center"/>
            <w:hideMark/>
          </w:tcPr>
          <w:p w14:paraId="4CAE2399" w14:textId="77777777" w:rsidR="007C3A02" w:rsidRPr="003B66BF" w:rsidRDefault="007C3A02" w:rsidP="00D64788">
            <w:pPr>
              <w:rPr>
                <w:rFonts w:ascii="Arial" w:hAnsi="Arial" w:cs="Arial"/>
                <w:sz w:val="22"/>
                <w:szCs w:val="22"/>
              </w:rPr>
            </w:pPr>
            <w:r w:rsidRPr="003B66BF">
              <w:rPr>
                <w:rFonts w:ascii="Arial" w:hAnsi="Arial" w:cs="Arial"/>
                <w:sz w:val="22"/>
                <w:szCs w:val="22"/>
              </w:rPr>
              <w:t>East Asian–Australasian Flyway Partnership</w:t>
            </w:r>
          </w:p>
        </w:tc>
      </w:tr>
      <w:tr w:rsidR="007C3A02" w:rsidRPr="003B66BF" w14:paraId="5A34AD4E" w14:textId="77777777" w:rsidTr="00D64788">
        <w:trPr>
          <w:tblCellSpacing w:w="15" w:type="dxa"/>
        </w:trPr>
        <w:tc>
          <w:tcPr>
            <w:tcW w:w="1373" w:type="dxa"/>
            <w:vAlign w:val="center"/>
            <w:hideMark/>
          </w:tcPr>
          <w:p w14:paraId="280E9FB9"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EEZ</w:t>
            </w:r>
          </w:p>
        </w:tc>
        <w:tc>
          <w:tcPr>
            <w:tcW w:w="6539" w:type="dxa"/>
            <w:vAlign w:val="center"/>
            <w:hideMark/>
          </w:tcPr>
          <w:p w14:paraId="5412397F" w14:textId="77777777" w:rsidR="007C3A02" w:rsidRPr="003B66BF" w:rsidRDefault="007C3A02" w:rsidP="00D64788">
            <w:pPr>
              <w:rPr>
                <w:rFonts w:ascii="Arial" w:hAnsi="Arial" w:cs="Arial"/>
                <w:sz w:val="22"/>
                <w:szCs w:val="22"/>
              </w:rPr>
            </w:pPr>
            <w:r w:rsidRPr="003B66BF">
              <w:rPr>
                <w:rFonts w:ascii="Arial" w:hAnsi="Arial" w:cs="Arial"/>
                <w:sz w:val="22"/>
                <w:szCs w:val="22"/>
              </w:rPr>
              <w:t>Exclusive Economic Zone</w:t>
            </w:r>
          </w:p>
        </w:tc>
      </w:tr>
      <w:tr w:rsidR="007C3A02" w:rsidRPr="003B66BF" w14:paraId="2E0ADAE9" w14:textId="77777777" w:rsidTr="00D64788">
        <w:trPr>
          <w:tblCellSpacing w:w="15" w:type="dxa"/>
        </w:trPr>
        <w:tc>
          <w:tcPr>
            <w:tcW w:w="1373" w:type="dxa"/>
            <w:vAlign w:val="center"/>
            <w:hideMark/>
          </w:tcPr>
          <w:p w14:paraId="31E95FF4"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EIA</w:t>
            </w:r>
          </w:p>
        </w:tc>
        <w:tc>
          <w:tcPr>
            <w:tcW w:w="6539" w:type="dxa"/>
            <w:vAlign w:val="center"/>
            <w:hideMark/>
          </w:tcPr>
          <w:p w14:paraId="6112EC94" w14:textId="77777777" w:rsidR="007C3A02" w:rsidRPr="003B66BF" w:rsidRDefault="007C3A02" w:rsidP="00D64788">
            <w:pPr>
              <w:rPr>
                <w:rFonts w:ascii="Arial" w:hAnsi="Arial" w:cs="Arial"/>
                <w:sz w:val="22"/>
                <w:szCs w:val="22"/>
              </w:rPr>
            </w:pPr>
            <w:r w:rsidRPr="003B66BF">
              <w:rPr>
                <w:rFonts w:ascii="Arial" w:hAnsi="Arial" w:cs="Arial"/>
                <w:sz w:val="22"/>
                <w:szCs w:val="22"/>
              </w:rPr>
              <w:t>Environmental Impact Assessment</w:t>
            </w:r>
          </w:p>
        </w:tc>
      </w:tr>
      <w:tr w:rsidR="007C3A02" w:rsidRPr="003B66BF" w14:paraId="23AA94B1" w14:textId="77777777" w:rsidTr="00D64788">
        <w:trPr>
          <w:tblCellSpacing w:w="15" w:type="dxa"/>
        </w:trPr>
        <w:tc>
          <w:tcPr>
            <w:tcW w:w="1373" w:type="dxa"/>
            <w:vAlign w:val="center"/>
            <w:hideMark/>
          </w:tcPr>
          <w:p w14:paraId="717CDAC2"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FFI</w:t>
            </w:r>
          </w:p>
        </w:tc>
        <w:tc>
          <w:tcPr>
            <w:tcW w:w="6539" w:type="dxa"/>
            <w:vAlign w:val="center"/>
            <w:hideMark/>
          </w:tcPr>
          <w:p w14:paraId="5DE13491" w14:textId="77777777" w:rsidR="007C3A02" w:rsidRPr="003B66BF" w:rsidRDefault="007C3A02" w:rsidP="00D64788">
            <w:pPr>
              <w:rPr>
                <w:rFonts w:ascii="Arial" w:hAnsi="Arial" w:cs="Arial"/>
                <w:sz w:val="22"/>
                <w:szCs w:val="22"/>
              </w:rPr>
            </w:pPr>
            <w:r w:rsidRPr="003B66BF">
              <w:rPr>
                <w:rFonts w:ascii="Arial" w:hAnsi="Arial" w:cs="Arial"/>
                <w:sz w:val="22"/>
                <w:szCs w:val="22"/>
              </w:rPr>
              <w:t>Fauna &amp; Flora International</w:t>
            </w:r>
          </w:p>
        </w:tc>
      </w:tr>
      <w:tr w:rsidR="007C3A02" w:rsidRPr="003B66BF" w14:paraId="138A826C" w14:textId="77777777" w:rsidTr="00D64788">
        <w:trPr>
          <w:tblCellSpacing w:w="15" w:type="dxa"/>
        </w:trPr>
        <w:tc>
          <w:tcPr>
            <w:tcW w:w="1373" w:type="dxa"/>
            <w:vAlign w:val="center"/>
            <w:hideMark/>
          </w:tcPr>
          <w:p w14:paraId="621700FF"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FiA</w:t>
            </w:r>
          </w:p>
        </w:tc>
        <w:tc>
          <w:tcPr>
            <w:tcW w:w="6539" w:type="dxa"/>
            <w:vAlign w:val="center"/>
            <w:hideMark/>
          </w:tcPr>
          <w:p w14:paraId="278E2768" w14:textId="77777777" w:rsidR="007C3A02" w:rsidRPr="003B66BF" w:rsidRDefault="007C3A02" w:rsidP="00D64788">
            <w:pPr>
              <w:rPr>
                <w:rFonts w:ascii="Arial" w:hAnsi="Arial" w:cs="Arial"/>
                <w:sz w:val="22"/>
                <w:szCs w:val="22"/>
              </w:rPr>
            </w:pPr>
            <w:r w:rsidRPr="003B66BF">
              <w:rPr>
                <w:rFonts w:ascii="Arial" w:hAnsi="Arial" w:cs="Arial"/>
                <w:sz w:val="22"/>
                <w:szCs w:val="22"/>
              </w:rPr>
              <w:t>Fisheries Administration</w:t>
            </w:r>
          </w:p>
        </w:tc>
      </w:tr>
      <w:tr w:rsidR="007C3A02" w:rsidRPr="003B66BF" w14:paraId="3C724736" w14:textId="77777777" w:rsidTr="00D64788">
        <w:trPr>
          <w:tblCellSpacing w:w="15" w:type="dxa"/>
        </w:trPr>
        <w:tc>
          <w:tcPr>
            <w:tcW w:w="1373" w:type="dxa"/>
            <w:vAlign w:val="center"/>
            <w:hideMark/>
          </w:tcPr>
          <w:p w14:paraId="43BA2135"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GFDRR</w:t>
            </w:r>
          </w:p>
        </w:tc>
        <w:tc>
          <w:tcPr>
            <w:tcW w:w="6539" w:type="dxa"/>
            <w:vAlign w:val="center"/>
            <w:hideMark/>
          </w:tcPr>
          <w:p w14:paraId="5698BC07" w14:textId="77777777" w:rsidR="007C3A02" w:rsidRPr="003B66BF" w:rsidRDefault="007C3A02" w:rsidP="00D64788">
            <w:pPr>
              <w:rPr>
                <w:rFonts w:ascii="Arial" w:hAnsi="Arial" w:cs="Arial"/>
                <w:sz w:val="22"/>
                <w:szCs w:val="22"/>
              </w:rPr>
            </w:pPr>
            <w:r w:rsidRPr="003B66BF">
              <w:rPr>
                <w:rFonts w:ascii="Arial" w:hAnsi="Arial" w:cs="Arial"/>
                <w:sz w:val="22"/>
                <w:szCs w:val="22"/>
              </w:rPr>
              <w:t>Global Facility for Disaster Reduction and Recovery</w:t>
            </w:r>
          </w:p>
        </w:tc>
      </w:tr>
      <w:tr w:rsidR="007C3A02" w:rsidRPr="003B66BF" w14:paraId="6F69DFE1" w14:textId="77777777" w:rsidTr="00D64788">
        <w:trPr>
          <w:tblCellSpacing w:w="15" w:type="dxa"/>
        </w:trPr>
        <w:tc>
          <w:tcPr>
            <w:tcW w:w="1373" w:type="dxa"/>
            <w:vAlign w:val="center"/>
            <w:hideMark/>
          </w:tcPr>
          <w:p w14:paraId="0722C753"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GIS</w:t>
            </w:r>
          </w:p>
        </w:tc>
        <w:tc>
          <w:tcPr>
            <w:tcW w:w="6539" w:type="dxa"/>
            <w:vAlign w:val="center"/>
            <w:hideMark/>
          </w:tcPr>
          <w:p w14:paraId="5C45736C" w14:textId="77777777" w:rsidR="007C3A02" w:rsidRPr="003B66BF" w:rsidRDefault="007C3A02" w:rsidP="00D64788">
            <w:pPr>
              <w:rPr>
                <w:rFonts w:ascii="Arial" w:hAnsi="Arial" w:cs="Arial"/>
                <w:sz w:val="22"/>
                <w:szCs w:val="22"/>
              </w:rPr>
            </w:pPr>
            <w:r w:rsidRPr="003B66BF">
              <w:rPr>
                <w:rFonts w:ascii="Arial" w:hAnsi="Arial" w:cs="Arial"/>
                <w:sz w:val="22"/>
                <w:szCs w:val="22"/>
              </w:rPr>
              <w:t>Geographic Information Systems</w:t>
            </w:r>
          </w:p>
        </w:tc>
      </w:tr>
      <w:tr w:rsidR="007C3A02" w:rsidRPr="003B66BF" w14:paraId="495F1EA0" w14:textId="77777777" w:rsidTr="00D64788">
        <w:trPr>
          <w:tblCellSpacing w:w="15" w:type="dxa"/>
        </w:trPr>
        <w:tc>
          <w:tcPr>
            <w:tcW w:w="1373" w:type="dxa"/>
            <w:vAlign w:val="center"/>
            <w:hideMark/>
          </w:tcPr>
          <w:p w14:paraId="4BBEBF49"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GMW</w:t>
            </w:r>
          </w:p>
        </w:tc>
        <w:tc>
          <w:tcPr>
            <w:tcW w:w="6539" w:type="dxa"/>
            <w:vAlign w:val="center"/>
            <w:hideMark/>
          </w:tcPr>
          <w:p w14:paraId="6FBD39CB" w14:textId="77777777" w:rsidR="007C3A02" w:rsidRPr="003B66BF" w:rsidRDefault="007C3A02" w:rsidP="00D64788">
            <w:pPr>
              <w:rPr>
                <w:rFonts w:ascii="Arial" w:hAnsi="Arial" w:cs="Arial"/>
                <w:sz w:val="22"/>
                <w:szCs w:val="22"/>
              </w:rPr>
            </w:pPr>
            <w:r w:rsidRPr="003B66BF">
              <w:rPr>
                <w:rFonts w:ascii="Arial" w:hAnsi="Arial" w:cs="Arial"/>
                <w:sz w:val="22"/>
                <w:szCs w:val="22"/>
              </w:rPr>
              <w:t>Global Mangrove Watch</w:t>
            </w:r>
          </w:p>
        </w:tc>
      </w:tr>
      <w:tr w:rsidR="007C3A02" w:rsidRPr="003B66BF" w14:paraId="3CD20210" w14:textId="77777777" w:rsidTr="00D64788">
        <w:trPr>
          <w:tblCellSpacing w:w="15" w:type="dxa"/>
        </w:trPr>
        <w:tc>
          <w:tcPr>
            <w:tcW w:w="1373" w:type="dxa"/>
            <w:vAlign w:val="center"/>
            <w:hideMark/>
          </w:tcPr>
          <w:p w14:paraId="6126BFF5"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ICZM</w:t>
            </w:r>
          </w:p>
        </w:tc>
        <w:tc>
          <w:tcPr>
            <w:tcW w:w="6539" w:type="dxa"/>
            <w:vAlign w:val="center"/>
            <w:hideMark/>
          </w:tcPr>
          <w:p w14:paraId="269F000F" w14:textId="77777777" w:rsidR="007C3A02" w:rsidRPr="003B66BF" w:rsidRDefault="007C3A02" w:rsidP="00D64788">
            <w:pPr>
              <w:rPr>
                <w:rFonts w:ascii="Arial" w:hAnsi="Arial" w:cs="Arial"/>
                <w:sz w:val="22"/>
                <w:szCs w:val="22"/>
              </w:rPr>
            </w:pPr>
            <w:r w:rsidRPr="003B66BF">
              <w:rPr>
                <w:rFonts w:ascii="Arial" w:hAnsi="Arial" w:cs="Arial"/>
                <w:sz w:val="22"/>
                <w:szCs w:val="22"/>
              </w:rPr>
              <w:t>Integrated Coastal Zone Management</w:t>
            </w:r>
          </w:p>
        </w:tc>
      </w:tr>
      <w:tr w:rsidR="007C3A02" w:rsidRPr="003B66BF" w14:paraId="7B9E6B2F" w14:textId="77777777" w:rsidTr="00D64788">
        <w:trPr>
          <w:tblCellSpacing w:w="15" w:type="dxa"/>
        </w:trPr>
        <w:tc>
          <w:tcPr>
            <w:tcW w:w="1373" w:type="dxa"/>
            <w:vAlign w:val="center"/>
            <w:hideMark/>
          </w:tcPr>
          <w:p w14:paraId="5FA5E5A5"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IUCN</w:t>
            </w:r>
          </w:p>
        </w:tc>
        <w:tc>
          <w:tcPr>
            <w:tcW w:w="6539" w:type="dxa"/>
            <w:vAlign w:val="center"/>
            <w:hideMark/>
          </w:tcPr>
          <w:p w14:paraId="7A67CFDE" w14:textId="77777777" w:rsidR="007C3A02" w:rsidRPr="003B66BF" w:rsidRDefault="007C3A02" w:rsidP="00D64788">
            <w:pPr>
              <w:rPr>
                <w:rFonts w:ascii="Arial" w:hAnsi="Arial" w:cs="Arial"/>
                <w:sz w:val="22"/>
                <w:szCs w:val="22"/>
              </w:rPr>
            </w:pPr>
            <w:r w:rsidRPr="003B66BF">
              <w:rPr>
                <w:rFonts w:ascii="Arial" w:hAnsi="Arial" w:cs="Arial"/>
                <w:sz w:val="22"/>
                <w:szCs w:val="22"/>
              </w:rPr>
              <w:t>International Union for Conservation of Nature</w:t>
            </w:r>
          </w:p>
        </w:tc>
      </w:tr>
      <w:tr w:rsidR="007C3A02" w:rsidRPr="003B66BF" w14:paraId="3DC4A43E" w14:textId="77777777" w:rsidTr="00D64788">
        <w:trPr>
          <w:tblCellSpacing w:w="15" w:type="dxa"/>
        </w:trPr>
        <w:tc>
          <w:tcPr>
            <w:tcW w:w="1373" w:type="dxa"/>
            <w:vAlign w:val="center"/>
            <w:hideMark/>
          </w:tcPr>
          <w:p w14:paraId="0782EDE0"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IUU</w:t>
            </w:r>
          </w:p>
        </w:tc>
        <w:tc>
          <w:tcPr>
            <w:tcW w:w="6539" w:type="dxa"/>
            <w:vAlign w:val="center"/>
            <w:hideMark/>
          </w:tcPr>
          <w:p w14:paraId="44EC7155" w14:textId="77777777" w:rsidR="007C3A02" w:rsidRPr="003B66BF" w:rsidRDefault="007C3A02" w:rsidP="00D64788">
            <w:pPr>
              <w:rPr>
                <w:rFonts w:ascii="Arial" w:hAnsi="Arial" w:cs="Arial"/>
                <w:sz w:val="22"/>
                <w:szCs w:val="22"/>
              </w:rPr>
            </w:pPr>
            <w:r w:rsidRPr="003B66BF">
              <w:rPr>
                <w:rFonts w:ascii="Arial" w:hAnsi="Arial" w:cs="Arial"/>
                <w:sz w:val="22"/>
                <w:szCs w:val="22"/>
              </w:rPr>
              <w:t>Illegal, Unreported and Unregulated (fishing)</w:t>
            </w:r>
          </w:p>
        </w:tc>
      </w:tr>
      <w:tr w:rsidR="007C3A02" w:rsidRPr="003B66BF" w14:paraId="52AA5F9D" w14:textId="77777777" w:rsidTr="00D64788">
        <w:trPr>
          <w:tblCellSpacing w:w="15" w:type="dxa"/>
        </w:trPr>
        <w:tc>
          <w:tcPr>
            <w:tcW w:w="1373" w:type="dxa"/>
            <w:vAlign w:val="center"/>
            <w:hideMark/>
          </w:tcPr>
          <w:p w14:paraId="3BDDBA9C"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JICA</w:t>
            </w:r>
          </w:p>
        </w:tc>
        <w:tc>
          <w:tcPr>
            <w:tcW w:w="6539" w:type="dxa"/>
            <w:vAlign w:val="center"/>
            <w:hideMark/>
          </w:tcPr>
          <w:p w14:paraId="444CD594" w14:textId="77777777" w:rsidR="007C3A02" w:rsidRPr="003B66BF" w:rsidRDefault="007C3A02" w:rsidP="00D64788">
            <w:pPr>
              <w:rPr>
                <w:rFonts w:ascii="Arial" w:hAnsi="Arial" w:cs="Arial"/>
                <w:sz w:val="22"/>
                <w:szCs w:val="22"/>
              </w:rPr>
            </w:pPr>
            <w:r w:rsidRPr="003B66BF">
              <w:rPr>
                <w:rFonts w:ascii="Arial" w:hAnsi="Arial" w:cs="Arial"/>
                <w:sz w:val="22"/>
                <w:szCs w:val="22"/>
              </w:rPr>
              <w:t>Japan International Cooperation Agency</w:t>
            </w:r>
          </w:p>
        </w:tc>
      </w:tr>
      <w:tr w:rsidR="007C3A02" w:rsidRPr="003B66BF" w14:paraId="0535C660" w14:textId="77777777" w:rsidTr="00D64788">
        <w:trPr>
          <w:tblCellSpacing w:w="15" w:type="dxa"/>
        </w:trPr>
        <w:tc>
          <w:tcPr>
            <w:tcW w:w="1373" w:type="dxa"/>
            <w:vAlign w:val="center"/>
            <w:hideMark/>
          </w:tcPr>
          <w:p w14:paraId="6D22E37F"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Kd</w:t>
            </w:r>
          </w:p>
        </w:tc>
        <w:tc>
          <w:tcPr>
            <w:tcW w:w="6539" w:type="dxa"/>
            <w:vAlign w:val="center"/>
            <w:hideMark/>
          </w:tcPr>
          <w:p w14:paraId="6E7E7AB1" w14:textId="77777777" w:rsidR="007C3A02" w:rsidRPr="003B66BF" w:rsidRDefault="007C3A02" w:rsidP="00D64788">
            <w:pPr>
              <w:rPr>
                <w:rFonts w:ascii="Arial" w:hAnsi="Arial" w:cs="Arial"/>
                <w:sz w:val="22"/>
                <w:szCs w:val="22"/>
              </w:rPr>
            </w:pPr>
            <w:r w:rsidRPr="003B66BF">
              <w:rPr>
                <w:rFonts w:ascii="Arial" w:hAnsi="Arial" w:cs="Arial"/>
                <w:sz w:val="22"/>
                <w:szCs w:val="22"/>
              </w:rPr>
              <w:t>Light attenuation coefficient</w:t>
            </w:r>
          </w:p>
        </w:tc>
      </w:tr>
      <w:tr w:rsidR="007C3A02" w:rsidRPr="003B66BF" w14:paraId="4FD4D6F1" w14:textId="77777777" w:rsidTr="00D64788">
        <w:trPr>
          <w:tblCellSpacing w:w="15" w:type="dxa"/>
        </w:trPr>
        <w:tc>
          <w:tcPr>
            <w:tcW w:w="1373" w:type="dxa"/>
            <w:vAlign w:val="center"/>
            <w:hideMark/>
          </w:tcPr>
          <w:p w14:paraId="7B07FDE7"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MAFF</w:t>
            </w:r>
          </w:p>
        </w:tc>
        <w:tc>
          <w:tcPr>
            <w:tcW w:w="6539" w:type="dxa"/>
            <w:vAlign w:val="center"/>
            <w:hideMark/>
          </w:tcPr>
          <w:p w14:paraId="7CA48D7C" w14:textId="77777777" w:rsidR="007C3A02" w:rsidRPr="003B66BF" w:rsidRDefault="007C3A02" w:rsidP="00D64788">
            <w:pPr>
              <w:rPr>
                <w:rFonts w:ascii="Arial" w:hAnsi="Arial" w:cs="Arial"/>
                <w:sz w:val="22"/>
                <w:szCs w:val="22"/>
              </w:rPr>
            </w:pPr>
            <w:r w:rsidRPr="003B66BF">
              <w:rPr>
                <w:rFonts w:ascii="Arial" w:hAnsi="Arial" w:cs="Arial"/>
                <w:sz w:val="22"/>
                <w:szCs w:val="22"/>
              </w:rPr>
              <w:t>Ministry of Agriculture, Forestry and Fisheries</w:t>
            </w:r>
          </w:p>
        </w:tc>
      </w:tr>
      <w:tr w:rsidR="007C3A02" w:rsidRPr="003B66BF" w14:paraId="12120444" w14:textId="77777777" w:rsidTr="00D64788">
        <w:trPr>
          <w:tblCellSpacing w:w="15" w:type="dxa"/>
        </w:trPr>
        <w:tc>
          <w:tcPr>
            <w:tcW w:w="1373" w:type="dxa"/>
            <w:vAlign w:val="center"/>
            <w:hideMark/>
          </w:tcPr>
          <w:p w14:paraId="3346AFFF"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MCC</w:t>
            </w:r>
          </w:p>
        </w:tc>
        <w:tc>
          <w:tcPr>
            <w:tcW w:w="6539" w:type="dxa"/>
            <w:vAlign w:val="center"/>
            <w:hideMark/>
          </w:tcPr>
          <w:p w14:paraId="39DA9850" w14:textId="77777777" w:rsidR="007C3A02" w:rsidRPr="003B66BF" w:rsidRDefault="007C3A02" w:rsidP="00D64788">
            <w:pPr>
              <w:rPr>
                <w:rFonts w:ascii="Arial" w:hAnsi="Arial" w:cs="Arial"/>
                <w:sz w:val="22"/>
                <w:szCs w:val="22"/>
              </w:rPr>
            </w:pPr>
            <w:r w:rsidRPr="003B66BF">
              <w:rPr>
                <w:rFonts w:ascii="Arial" w:hAnsi="Arial" w:cs="Arial"/>
                <w:sz w:val="22"/>
                <w:szCs w:val="22"/>
              </w:rPr>
              <w:t>Marine Conservation Cambodia</w:t>
            </w:r>
          </w:p>
        </w:tc>
      </w:tr>
      <w:tr w:rsidR="007C3A02" w:rsidRPr="003B66BF" w14:paraId="143C8152" w14:textId="77777777" w:rsidTr="00D64788">
        <w:trPr>
          <w:tblCellSpacing w:w="15" w:type="dxa"/>
        </w:trPr>
        <w:tc>
          <w:tcPr>
            <w:tcW w:w="1373" w:type="dxa"/>
            <w:vAlign w:val="center"/>
            <w:hideMark/>
          </w:tcPr>
          <w:p w14:paraId="583A57F4"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MFMA</w:t>
            </w:r>
          </w:p>
        </w:tc>
        <w:tc>
          <w:tcPr>
            <w:tcW w:w="6539" w:type="dxa"/>
            <w:vAlign w:val="center"/>
            <w:hideMark/>
          </w:tcPr>
          <w:p w14:paraId="514D0EC5" w14:textId="77777777" w:rsidR="007C3A02" w:rsidRPr="003B66BF" w:rsidRDefault="007C3A02" w:rsidP="00D64788">
            <w:pPr>
              <w:rPr>
                <w:rFonts w:ascii="Arial" w:hAnsi="Arial" w:cs="Arial"/>
                <w:sz w:val="22"/>
                <w:szCs w:val="22"/>
              </w:rPr>
            </w:pPr>
            <w:r w:rsidRPr="003B66BF">
              <w:rPr>
                <w:rFonts w:ascii="Arial" w:hAnsi="Arial" w:cs="Arial"/>
                <w:sz w:val="22"/>
                <w:szCs w:val="22"/>
              </w:rPr>
              <w:t>Marine Fisheries Management Area</w:t>
            </w:r>
          </w:p>
        </w:tc>
      </w:tr>
      <w:tr w:rsidR="007C3A02" w:rsidRPr="003B66BF" w14:paraId="283296DF" w14:textId="77777777" w:rsidTr="00D64788">
        <w:trPr>
          <w:tblCellSpacing w:w="15" w:type="dxa"/>
        </w:trPr>
        <w:tc>
          <w:tcPr>
            <w:tcW w:w="1373" w:type="dxa"/>
            <w:vAlign w:val="center"/>
            <w:hideMark/>
          </w:tcPr>
          <w:p w14:paraId="7039F3E3"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MLMUPC</w:t>
            </w:r>
          </w:p>
        </w:tc>
        <w:tc>
          <w:tcPr>
            <w:tcW w:w="6539" w:type="dxa"/>
            <w:vAlign w:val="center"/>
            <w:hideMark/>
          </w:tcPr>
          <w:p w14:paraId="7A4E4824" w14:textId="77777777" w:rsidR="007C3A02" w:rsidRPr="003B66BF" w:rsidRDefault="007C3A02" w:rsidP="00D64788">
            <w:pPr>
              <w:rPr>
                <w:rFonts w:ascii="Arial" w:hAnsi="Arial" w:cs="Arial"/>
                <w:sz w:val="22"/>
                <w:szCs w:val="22"/>
              </w:rPr>
            </w:pPr>
            <w:r w:rsidRPr="003B66BF">
              <w:rPr>
                <w:rFonts w:ascii="Arial" w:hAnsi="Arial" w:cs="Arial"/>
                <w:sz w:val="22"/>
                <w:szCs w:val="22"/>
              </w:rPr>
              <w:t>Ministry of Land Management, Urban Planning and Construction</w:t>
            </w:r>
          </w:p>
        </w:tc>
      </w:tr>
      <w:tr w:rsidR="007C3A02" w:rsidRPr="003B66BF" w14:paraId="0450C1DB" w14:textId="77777777" w:rsidTr="00D64788">
        <w:trPr>
          <w:tblCellSpacing w:w="15" w:type="dxa"/>
        </w:trPr>
        <w:tc>
          <w:tcPr>
            <w:tcW w:w="1373" w:type="dxa"/>
            <w:vAlign w:val="center"/>
            <w:hideMark/>
          </w:tcPr>
          <w:p w14:paraId="37D2C45A"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MNP</w:t>
            </w:r>
          </w:p>
        </w:tc>
        <w:tc>
          <w:tcPr>
            <w:tcW w:w="6539" w:type="dxa"/>
            <w:vAlign w:val="center"/>
            <w:hideMark/>
          </w:tcPr>
          <w:p w14:paraId="2BC37448" w14:textId="77777777" w:rsidR="007C3A02" w:rsidRPr="003B66BF" w:rsidRDefault="007C3A02" w:rsidP="00D64788">
            <w:pPr>
              <w:rPr>
                <w:rFonts w:ascii="Arial" w:hAnsi="Arial" w:cs="Arial"/>
                <w:sz w:val="22"/>
                <w:szCs w:val="22"/>
              </w:rPr>
            </w:pPr>
            <w:r w:rsidRPr="003B66BF">
              <w:rPr>
                <w:rFonts w:ascii="Arial" w:hAnsi="Arial" w:cs="Arial"/>
                <w:sz w:val="22"/>
                <w:szCs w:val="22"/>
              </w:rPr>
              <w:t>Marine National Park</w:t>
            </w:r>
          </w:p>
        </w:tc>
      </w:tr>
      <w:tr w:rsidR="007C3A02" w:rsidRPr="003B66BF" w14:paraId="44BBAAF4" w14:textId="77777777" w:rsidTr="00D64788">
        <w:trPr>
          <w:tblCellSpacing w:w="15" w:type="dxa"/>
        </w:trPr>
        <w:tc>
          <w:tcPr>
            <w:tcW w:w="1373" w:type="dxa"/>
            <w:vAlign w:val="center"/>
            <w:hideMark/>
          </w:tcPr>
          <w:p w14:paraId="29299DEA"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MoE</w:t>
            </w:r>
          </w:p>
        </w:tc>
        <w:tc>
          <w:tcPr>
            <w:tcW w:w="6539" w:type="dxa"/>
            <w:vAlign w:val="center"/>
            <w:hideMark/>
          </w:tcPr>
          <w:p w14:paraId="3C9BEC0E" w14:textId="77777777" w:rsidR="007C3A02" w:rsidRPr="003B66BF" w:rsidRDefault="007C3A02" w:rsidP="00D64788">
            <w:pPr>
              <w:rPr>
                <w:rFonts w:ascii="Arial" w:hAnsi="Arial" w:cs="Arial"/>
                <w:sz w:val="22"/>
                <w:szCs w:val="22"/>
              </w:rPr>
            </w:pPr>
            <w:r w:rsidRPr="003B66BF">
              <w:rPr>
                <w:rFonts w:ascii="Arial" w:hAnsi="Arial" w:cs="Arial"/>
                <w:sz w:val="22"/>
                <w:szCs w:val="22"/>
              </w:rPr>
              <w:t>Ministry of Environment</w:t>
            </w:r>
          </w:p>
        </w:tc>
      </w:tr>
      <w:tr w:rsidR="007C3A02" w:rsidRPr="003B66BF" w14:paraId="690B337B" w14:textId="77777777" w:rsidTr="00D64788">
        <w:trPr>
          <w:tblCellSpacing w:w="15" w:type="dxa"/>
        </w:trPr>
        <w:tc>
          <w:tcPr>
            <w:tcW w:w="1373" w:type="dxa"/>
            <w:vAlign w:val="center"/>
            <w:hideMark/>
          </w:tcPr>
          <w:p w14:paraId="6E9A329F"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MOWRAM</w:t>
            </w:r>
          </w:p>
        </w:tc>
        <w:tc>
          <w:tcPr>
            <w:tcW w:w="6539" w:type="dxa"/>
            <w:vAlign w:val="center"/>
            <w:hideMark/>
          </w:tcPr>
          <w:p w14:paraId="2C94F1C1" w14:textId="77777777" w:rsidR="007C3A02" w:rsidRPr="003B66BF" w:rsidRDefault="007C3A02" w:rsidP="00D64788">
            <w:pPr>
              <w:rPr>
                <w:rFonts w:ascii="Arial" w:hAnsi="Arial" w:cs="Arial"/>
                <w:sz w:val="22"/>
                <w:szCs w:val="22"/>
              </w:rPr>
            </w:pPr>
            <w:r w:rsidRPr="003B66BF">
              <w:rPr>
                <w:rFonts w:ascii="Arial" w:hAnsi="Arial" w:cs="Arial"/>
                <w:sz w:val="22"/>
                <w:szCs w:val="22"/>
              </w:rPr>
              <w:t>Ministry of Water Resources and Meteorology</w:t>
            </w:r>
          </w:p>
        </w:tc>
      </w:tr>
      <w:tr w:rsidR="007C3A02" w:rsidRPr="003B66BF" w14:paraId="221CE548" w14:textId="77777777" w:rsidTr="00D64788">
        <w:trPr>
          <w:tblCellSpacing w:w="15" w:type="dxa"/>
        </w:trPr>
        <w:tc>
          <w:tcPr>
            <w:tcW w:w="1373" w:type="dxa"/>
            <w:vAlign w:val="center"/>
            <w:hideMark/>
          </w:tcPr>
          <w:p w14:paraId="6DC2E2A0"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MRV</w:t>
            </w:r>
          </w:p>
        </w:tc>
        <w:tc>
          <w:tcPr>
            <w:tcW w:w="6539" w:type="dxa"/>
            <w:vAlign w:val="center"/>
            <w:hideMark/>
          </w:tcPr>
          <w:p w14:paraId="687D185F" w14:textId="77777777" w:rsidR="007C3A02" w:rsidRPr="003B66BF" w:rsidRDefault="007C3A02" w:rsidP="00D64788">
            <w:pPr>
              <w:rPr>
                <w:rFonts w:ascii="Arial" w:hAnsi="Arial" w:cs="Arial"/>
                <w:sz w:val="22"/>
                <w:szCs w:val="22"/>
              </w:rPr>
            </w:pPr>
            <w:r w:rsidRPr="003B66BF">
              <w:rPr>
                <w:rFonts w:ascii="Arial" w:hAnsi="Arial" w:cs="Arial"/>
                <w:sz w:val="22"/>
                <w:szCs w:val="22"/>
              </w:rPr>
              <w:t>Measurement, Reporting and Verification</w:t>
            </w:r>
          </w:p>
        </w:tc>
      </w:tr>
      <w:tr w:rsidR="007C3A02" w:rsidRPr="003B66BF" w14:paraId="3F597168" w14:textId="77777777" w:rsidTr="00D64788">
        <w:trPr>
          <w:tblCellSpacing w:w="15" w:type="dxa"/>
        </w:trPr>
        <w:tc>
          <w:tcPr>
            <w:tcW w:w="1373" w:type="dxa"/>
            <w:vAlign w:val="center"/>
            <w:hideMark/>
          </w:tcPr>
          <w:p w14:paraId="4994BCCB"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MSP</w:t>
            </w:r>
          </w:p>
        </w:tc>
        <w:tc>
          <w:tcPr>
            <w:tcW w:w="6539" w:type="dxa"/>
            <w:vAlign w:val="center"/>
            <w:hideMark/>
          </w:tcPr>
          <w:p w14:paraId="6A1B9614" w14:textId="77777777" w:rsidR="007C3A02" w:rsidRPr="003B66BF" w:rsidRDefault="007C3A02" w:rsidP="00D64788">
            <w:pPr>
              <w:rPr>
                <w:rFonts w:ascii="Arial" w:hAnsi="Arial" w:cs="Arial"/>
                <w:sz w:val="22"/>
                <w:szCs w:val="22"/>
              </w:rPr>
            </w:pPr>
            <w:r w:rsidRPr="003B66BF">
              <w:rPr>
                <w:rFonts w:ascii="Arial" w:hAnsi="Arial" w:cs="Arial"/>
                <w:sz w:val="22"/>
                <w:szCs w:val="22"/>
              </w:rPr>
              <w:t>Marine Spatial Planning</w:t>
            </w:r>
          </w:p>
        </w:tc>
      </w:tr>
      <w:tr w:rsidR="007C3A02" w:rsidRPr="003B66BF" w14:paraId="73DBFE4C" w14:textId="77777777" w:rsidTr="00D64788">
        <w:trPr>
          <w:tblCellSpacing w:w="15" w:type="dxa"/>
        </w:trPr>
        <w:tc>
          <w:tcPr>
            <w:tcW w:w="1373" w:type="dxa"/>
            <w:vAlign w:val="center"/>
            <w:hideMark/>
          </w:tcPr>
          <w:p w14:paraId="65606B16"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NAP</w:t>
            </w:r>
          </w:p>
        </w:tc>
        <w:tc>
          <w:tcPr>
            <w:tcW w:w="6539" w:type="dxa"/>
            <w:vAlign w:val="center"/>
            <w:hideMark/>
          </w:tcPr>
          <w:p w14:paraId="3EF90FB2" w14:textId="77777777" w:rsidR="007C3A02" w:rsidRPr="003B66BF" w:rsidRDefault="007C3A02" w:rsidP="00D64788">
            <w:pPr>
              <w:rPr>
                <w:rFonts w:ascii="Arial" w:hAnsi="Arial" w:cs="Arial"/>
                <w:sz w:val="22"/>
                <w:szCs w:val="22"/>
              </w:rPr>
            </w:pPr>
            <w:r w:rsidRPr="003B66BF">
              <w:rPr>
                <w:rFonts w:ascii="Arial" w:hAnsi="Arial" w:cs="Arial"/>
                <w:sz w:val="22"/>
                <w:szCs w:val="22"/>
              </w:rPr>
              <w:t>National Adaptation Plan</w:t>
            </w:r>
          </w:p>
        </w:tc>
      </w:tr>
      <w:tr w:rsidR="007C3A02" w:rsidRPr="003B66BF" w14:paraId="78D2AFD6" w14:textId="77777777" w:rsidTr="00D64788">
        <w:trPr>
          <w:tblCellSpacing w:w="15" w:type="dxa"/>
        </w:trPr>
        <w:tc>
          <w:tcPr>
            <w:tcW w:w="1373" w:type="dxa"/>
            <w:vAlign w:val="center"/>
            <w:hideMark/>
          </w:tcPr>
          <w:p w14:paraId="59B79342"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NCCMD</w:t>
            </w:r>
          </w:p>
        </w:tc>
        <w:tc>
          <w:tcPr>
            <w:tcW w:w="6539" w:type="dxa"/>
            <w:vAlign w:val="center"/>
            <w:hideMark/>
          </w:tcPr>
          <w:p w14:paraId="7299294F" w14:textId="77777777" w:rsidR="007C3A02" w:rsidRPr="003B66BF" w:rsidRDefault="007C3A02" w:rsidP="00D64788">
            <w:pPr>
              <w:rPr>
                <w:rFonts w:ascii="Arial" w:hAnsi="Arial" w:cs="Arial"/>
                <w:sz w:val="22"/>
                <w:szCs w:val="22"/>
              </w:rPr>
            </w:pPr>
            <w:r w:rsidRPr="003B66BF">
              <w:rPr>
                <w:rFonts w:ascii="Arial" w:hAnsi="Arial" w:cs="Arial"/>
                <w:sz w:val="22"/>
                <w:szCs w:val="22"/>
              </w:rPr>
              <w:t>National Committee on Coastal Area Management and Development</w:t>
            </w:r>
          </w:p>
        </w:tc>
      </w:tr>
      <w:tr w:rsidR="007C3A02" w:rsidRPr="003B66BF" w14:paraId="520DA21E" w14:textId="77777777" w:rsidTr="00D64788">
        <w:trPr>
          <w:tblCellSpacing w:w="15" w:type="dxa"/>
        </w:trPr>
        <w:tc>
          <w:tcPr>
            <w:tcW w:w="1373" w:type="dxa"/>
            <w:vAlign w:val="center"/>
            <w:hideMark/>
          </w:tcPr>
          <w:p w14:paraId="45B09390"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NDC</w:t>
            </w:r>
          </w:p>
        </w:tc>
        <w:tc>
          <w:tcPr>
            <w:tcW w:w="6539" w:type="dxa"/>
            <w:vAlign w:val="center"/>
            <w:hideMark/>
          </w:tcPr>
          <w:p w14:paraId="2219C7AB" w14:textId="77777777" w:rsidR="007C3A02" w:rsidRPr="003B66BF" w:rsidRDefault="007C3A02" w:rsidP="00D64788">
            <w:pPr>
              <w:rPr>
                <w:rFonts w:ascii="Arial" w:hAnsi="Arial" w:cs="Arial"/>
                <w:sz w:val="22"/>
                <w:szCs w:val="22"/>
              </w:rPr>
            </w:pPr>
            <w:r w:rsidRPr="003B66BF">
              <w:rPr>
                <w:rFonts w:ascii="Arial" w:hAnsi="Arial" w:cs="Arial"/>
                <w:sz w:val="22"/>
                <w:szCs w:val="22"/>
              </w:rPr>
              <w:t>Nationally Determined Contribution</w:t>
            </w:r>
          </w:p>
        </w:tc>
      </w:tr>
      <w:tr w:rsidR="007C3A02" w:rsidRPr="003B66BF" w14:paraId="1376961F" w14:textId="77777777" w:rsidTr="00D64788">
        <w:trPr>
          <w:tblCellSpacing w:w="15" w:type="dxa"/>
        </w:trPr>
        <w:tc>
          <w:tcPr>
            <w:tcW w:w="1373" w:type="dxa"/>
            <w:vAlign w:val="center"/>
            <w:hideMark/>
          </w:tcPr>
          <w:p w14:paraId="70113F2C"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NPCI</w:t>
            </w:r>
          </w:p>
        </w:tc>
        <w:tc>
          <w:tcPr>
            <w:tcW w:w="6539" w:type="dxa"/>
            <w:vAlign w:val="center"/>
            <w:hideMark/>
          </w:tcPr>
          <w:p w14:paraId="60B178DD" w14:textId="77777777" w:rsidR="007C3A02" w:rsidRPr="003B66BF" w:rsidRDefault="007C3A02" w:rsidP="00D64788">
            <w:pPr>
              <w:rPr>
                <w:rFonts w:ascii="Arial" w:hAnsi="Arial" w:cs="Arial"/>
                <w:sz w:val="22"/>
                <w:szCs w:val="22"/>
              </w:rPr>
            </w:pPr>
            <w:r w:rsidRPr="003B66BF">
              <w:rPr>
                <w:rFonts w:ascii="Arial" w:hAnsi="Arial" w:cs="Arial"/>
                <w:sz w:val="22"/>
                <w:szCs w:val="22"/>
              </w:rPr>
              <w:t>National Plan of Control and Inspection (for Marine Fisheries)</w:t>
            </w:r>
          </w:p>
        </w:tc>
      </w:tr>
      <w:tr w:rsidR="007C3A02" w:rsidRPr="003B66BF" w14:paraId="2A501C73" w14:textId="77777777" w:rsidTr="00D64788">
        <w:trPr>
          <w:tblCellSpacing w:w="15" w:type="dxa"/>
        </w:trPr>
        <w:tc>
          <w:tcPr>
            <w:tcW w:w="1373" w:type="dxa"/>
            <w:vAlign w:val="center"/>
            <w:hideMark/>
          </w:tcPr>
          <w:p w14:paraId="4769E2F3"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NPOA-IUU</w:t>
            </w:r>
          </w:p>
        </w:tc>
        <w:tc>
          <w:tcPr>
            <w:tcW w:w="6539" w:type="dxa"/>
            <w:vAlign w:val="center"/>
            <w:hideMark/>
          </w:tcPr>
          <w:p w14:paraId="44346D40" w14:textId="77777777" w:rsidR="007C3A02" w:rsidRPr="003B66BF" w:rsidRDefault="007C3A02" w:rsidP="00D64788">
            <w:pPr>
              <w:rPr>
                <w:rFonts w:ascii="Arial" w:hAnsi="Arial" w:cs="Arial"/>
                <w:sz w:val="22"/>
                <w:szCs w:val="22"/>
              </w:rPr>
            </w:pPr>
            <w:r w:rsidRPr="003B66BF">
              <w:rPr>
                <w:rFonts w:ascii="Arial" w:hAnsi="Arial" w:cs="Arial"/>
                <w:sz w:val="22"/>
                <w:szCs w:val="22"/>
              </w:rPr>
              <w:t>National Plan of Action to Prevent, Deter and Eliminate IUU Fishing</w:t>
            </w:r>
          </w:p>
        </w:tc>
      </w:tr>
      <w:tr w:rsidR="007C3A02" w:rsidRPr="003B66BF" w14:paraId="3E9D27BA" w14:textId="77777777" w:rsidTr="00D64788">
        <w:trPr>
          <w:tblCellSpacing w:w="15" w:type="dxa"/>
        </w:trPr>
        <w:tc>
          <w:tcPr>
            <w:tcW w:w="1373" w:type="dxa"/>
            <w:vAlign w:val="center"/>
            <w:hideMark/>
          </w:tcPr>
          <w:p w14:paraId="5E602657"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NSOC</w:t>
            </w:r>
          </w:p>
        </w:tc>
        <w:tc>
          <w:tcPr>
            <w:tcW w:w="6539" w:type="dxa"/>
            <w:vAlign w:val="center"/>
            <w:hideMark/>
          </w:tcPr>
          <w:p w14:paraId="29ABCB26" w14:textId="77777777" w:rsidR="007C3A02" w:rsidRPr="003B66BF" w:rsidRDefault="007C3A02" w:rsidP="00D64788">
            <w:pPr>
              <w:rPr>
                <w:rFonts w:ascii="Arial" w:hAnsi="Arial" w:cs="Arial"/>
                <w:sz w:val="22"/>
                <w:szCs w:val="22"/>
              </w:rPr>
            </w:pPr>
            <w:r w:rsidRPr="003B66BF">
              <w:rPr>
                <w:rFonts w:ascii="Arial" w:hAnsi="Arial" w:cs="Arial"/>
                <w:sz w:val="22"/>
                <w:szCs w:val="22"/>
              </w:rPr>
              <w:t>National State of the Oceans and Coasts</w:t>
            </w:r>
          </w:p>
        </w:tc>
      </w:tr>
      <w:tr w:rsidR="007C3A02" w:rsidRPr="003B66BF" w14:paraId="32A59A56" w14:textId="77777777" w:rsidTr="00D64788">
        <w:trPr>
          <w:tblCellSpacing w:w="15" w:type="dxa"/>
        </w:trPr>
        <w:tc>
          <w:tcPr>
            <w:tcW w:w="1373" w:type="dxa"/>
            <w:vAlign w:val="center"/>
            <w:hideMark/>
          </w:tcPr>
          <w:p w14:paraId="2E09E9E1"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O&amp;M</w:t>
            </w:r>
          </w:p>
        </w:tc>
        <w:tc>
          <w:tcPr>
            <w:tcW w:w="6539" w:type="dxa"/>
            <w:vAlign w:val="center"/>
            <w:hideMark/>
          </w:tcPr>
          <w:p w14:paraId="4D5E3860" w14:textId="77777777" w:rsidR="007C3A02" w:rsidRPr="003B66BF" w:rsidRDefault="007C3A02" w:rsidP="00D64788">
            <w:pPr>
              <w:rPr>
                <w:rFonts w:ascii="Arial" w:hAnsi="Arial" w:cs="Arial"/>
                <w:sz w:val="22"/>
                <w:szCs w:val="22"/>
              </w:rPr>
            </w:pPr>
            <w:r w:rsidRPr="003B66BF">
              <w:rPr>
                <w:rFonts w:ascii="Arial" w:hAnsi="Arial" w:cs="Arial"/>
                <w:sz w:val="22"/>
                <w:szCs w:val="22"/>
              </w:rPr>
              <w:t>Operations and Maintenance</w:t>
            </w:r>
          </w:p>
        </w:tc>
      </w:tr>
      <w:tr w:rsidR="007C3A02" w:rsidRPr="003B66BF" w14:paraId="4DC89A62" w14:textId="77777777" w:rsidTr="00D64788">
        <w:trPr>
          <w:tblCellSpacing w:w="15" w:type="dxa"/>
        </w:trPr>
        <w:tc>
          <w:tcPr>
            <w:tcW w:w="1373" w:type="dxa"/>
            <w:vAlign w:val="center"/>
            <w:hideMark/>
          </w:tcPr>
          <w:p w14:paraId="161E9875"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ODC</w:t>
            </w:r>
          </w:p>
        </w:tc>
        <w:tc>
          <w:tcPr>
            <w:tcW w:w="6539" w:type="dxa"/>
            <w:vAlign w:val="center"/>
            <w:hideMark/>
          </w:tcPr>
          <w:p w14:paraId="2ECB715C" w14:textId="77777777" w:rsidR="007C3A02" w:rsidRPr="003B66BF" w:rsidRDefault="007C3A02" w:rsidP="00D64788">
            <w:pPr>
              <w:rPr>
                <w:rFonts w:ascii="Arial" w:hAnsi="Arial" w:cs="Arial"/>
                <w:sz w:val="22"/>
                <w:szCs w:val="22"/>
              </w:rPr>
            </w:pPr>
            <w:r w:rsidRPr="003B66BF">
              <w:rPr>
                <w:rFonts w:ascii="Arial" w:hAnsi="Arial" w:cs="Arial"/>
                <w:sz w:val="22"/>
                <w:szCs w:val="22"/>
              </w:rPr>
              <w:t>Open Development Cambodia</w:t>
            </w:r>
          </w:p>
        </w:tc>
      </w:tr>
      <w:tr w:rsidR="007C3A02" w:rsidRPr="003B66BF" w14:paraId="4CFA89B3" w14:textId="77777777" w:rsidTr="00D64788">
        <w:trPr>
          <w:tblCellSpacing w:w="15" w:type="dxa"/>
        </w:trPr>
        <w:tc>
          <w:tcPr>
            <w:tcW w:w="1373" w:type="dxa"/>
            <w:vAlign w:val="center"/>
            <w:hideMark/>
          </w:tcPr>
          <w:p w14:paraId="23D771C7"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PEMSEA</w:t>
            </w:r>
          </w:p>
        </w:tc>
        <w:tc>
          <w:tcPr>
            <w:tcW w:w="6539" w:type="dxa"/>
            <w:vAlign w:val="center"/>
            <w:hideMark/>
          </w:tcPr>
          <w:p w14:paraId="1B34A069" w14:textId="77777777" w:rsidR="007C3A02" w:rsidRPr="003B66BF" w:rsidRDefault="007C3A02" w:rsidP="00D64788">
            <w:pPr>
              <w:rPr>
                <w:rFonts w:ascii="Arial" w:hAnsi="Arial" w:cs="Arial"/>
                <w:sz w:val="22"/>
                <w:szCs w:val="22"/>
              </w:rPr>
            </w:pPr>
            <w:r w:rsidRPr="003B66BF">
              <w:rPr>
                <w:rFonts w:ascii="Arial" w:hAnsi="Arial" w:cs="Arial"/>
                <w:sz w:val="22"/>
                <w:szCs w:val="22"/>
              </w:rPr>
              <w:t>Partnerships in Environmental Management for the Seas of East Asia</w:t>
            </w:r>
          </w:p>
        </w:tc>
      </w:tr>
      <w:tr w:rsidR="007C3A02" w:rsidRPr="003B66BF" w14:paraId="66C681AF" w14:textId="77777777" w:rsidTr="00D64788">
        <w:trPr>
          <w:tblCellSpacing w:w="15" w:type="dxa"/>
        </w:trPr>
        <w:tc>
          <w:tcPr>
            <w:tcW w:w="1373" w:type="dxa"/>
            <w:vAlign w:val="center"/>
            <w:hideMark/>
          </w:tcPr>
          <w:p w14:paraId="428182A7"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PES</w:t>
            </w:r>
          </w:p>
        </w:tc>
        <w:tc>
          <w:tcPr>
            <w:tcW w:w="6539" w:type="dxa"/>
            <w:vAlign w:val="center"/>
            <w:hideMark/>
          </w:tcPr>
          <w:p w14:paraId="7D7E0659" w14:textId="77777777" w:rsidR="007C3A02" w:rsidRPr="003B66BF" w:rsidRDefault="007C3A02" w:rsidP="00D64788">
            <w:pPr>
              <w:rPr>
                <w:rFonts w:ascii="Arial" w:hAnsi="Arial" w:cs="Arial"/>
                <w:sz w:val="22"/>
                <w:szCs w:val="22"/>
              </w:rPr>
            </w:pPr>
            <w:r w:rsidRPr="003B66BF">
              <w:rPr>
                <w:rFonts w:ascii="Arial" w:hAnsi="Arial" w:cs="Arial"/>
                <w:sz w:val="22"/>
                <w:szCs w:val="22"/>
              </w:rPr>
              <w:t>Payment for Ecosystem Services</w:t>
            </w:r>
          </w:p>
        </w:tc>
      </w:tr>
      <w:tr w:rsidR="007C3A02" w:rsidRPr="003B66BF" w14:paraId="09765C77" w14:textId="77777777" w:rsidTr="00D64788">
        <w:trPr>
          <w:tblCellSpacing w:w="15" w:type="dxa"/>
        </w:trPr>
        <w:tc>
          <w:tcPr>
            <w:tcW w:w="1373" w:type="dxa"/>
            <w:vAlign w:val="center"/>
            <w:hideMark/>
          </w:tcPr>
          <w:p w14:paraId="686A126E"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RIS</w:t>
            </w:r>
          </w:p>
        </w:tc>
        <w:tc>
          <w:tcPr>
            <w:tcW w:w="6539" w:type="dxa"/>
            <w:vAlign w:val="center"/>
            <w:hideMark/>
          </w:tcPr>
          <w:p w14:paraId="4851E977" w14:textId="77777777" w:rsidR="007C3A02" w:rsidRPr="003B66BF" w:rsidRDefault="007C3A02" w:rsidP="00D64788">
            <w:pPr>
              <w:rPr>
                <w:rFonts w:ascii="Arial" w:hAnsi="Arial" w:cs="Arial"/>
                <w:sz w:val="22"/>
                <w:szCs w:val="22"/>
              </w:rPr>
            </w:pPr>
            <w:r w:rsidRPr="003B66BF">
              <w:rPr>
                <w:rFonts w:ascii="Arial" w:hAnsi="Arial" w:cs="Arial"/>
                <w:sz w:val="22"/>
                <w:szCs w:val="22"/>
              </w:rPr>
              <w:t>Ramsar Information Sheet</w:t>
            </w:r>
          </w:p>
        </w:tc>
      </w:tr>
      <w:tr w:rsidR="007C3A02" w:rsidRPr="003B66BF" w14:paraId="0B6406AA" w14:textId="77777777" w:rsidTr="00D64788">
        <w:trPr>
          <w:tblCellSpacing w:w="15" w:type="dxa"/>
        </w:trPr>
        <w:tc>
          <w:tcPr>
            <w:tcW w:w="1373" w:type="dxa"/>
            <w:vAlign w:val="center"/>
            <w:hideMark/>
          </w:tcPr>
          <w:p w14:paraId="1CC5F9BB"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RS</w:t>
            </w:r>
          </w:p>
        </w:tc>
        <w:tc>
          <w:tcPr>
            <w:tcW w:w="6539" w:type="dxa"/>
            <w:vAlign w:val="center"/>
            <w:hideMark/>
          </w:tcPr>
          <w:p w14:paraId="720A2CC2" w14:textId="77777777" w:rsidR="007C3A02" w:rsidRPr="003B66BF" w:rsidRDefault="007C3A02" w:rsidP="00D64788">
            <w:pPr>
              <w:rPr>
                <w:rFonts w:ascii="Arial" w:hAnsi="Arial" w:cs="Arial"/>
                <w:sz w:val="22"/>
                <w:szCs w:val="22"/>
              </w:rPr>
            </w:pPr>
            <w:r w:rsidRPr="003B66BF">
              <w:rPr>
                <w:rFonts w:ascii="Arial" w:hAnsi="Arial" w:cs="Arial"/>
                <w:sz w:val="22"/>
                <w:szCs w:val="22"/>
              </w:rPr>
              <w:t>Remote Sensing</w:t>
            </w:r>
          </w:p>
        </w:tc>
      </w:tr>
      <w:tr w:rsidR="007C3A02" w:rsidRPr="003B66BF" w14:paraId="1B1DEF4E" w14:textId="77777777" w:rsidTr="00D64788">
        <w:trPr>
          <w:tblCellSpacing w:w="15" w:type="dxa"/>
        </w:trPr>
        <w:tc>
          <w:tcPr>
            <w:tcW w:w="1373" w:type="dxa"/>
            <w:vAlign w:val="center"/>
            <w:hideMark/>
          </w:tcPr>
          <w:p w14:paraId="176068B9"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SDG</w:t>
            </w:r>
          </w:p>
        </w:tc>
        <w:tc>
          <w:tcPr>
            <w:tcW w:w="6539" w:type="dxa"/>
            <w:vAlign w:val="center"/>
            <w:hideMark/>
          </w:tcPr>
          <w:p w14:paraId="689E4730" w14:textId="77777777" w:rsidR="007C3A02" w:rsidRPr="003B66BF" w:rsidRDefault="007C3A02" w:rsidP="00D64788">
            <w:pPr>
              <w:rPr>
                <w:rFonts w:ascii="Arial" w:hAnsi="Arial" w:cs="Arial"/>
                <w:sz w:val="22"/>
                <w:szCs w:val="22"/>
              </w:rPr>
            </w:pPr>
            <w:r w:rsidRPr="003B66BF">
              <w:rPr>
                <w:rFonts w:ascii="Arial" w:hAnsi="Arial" w:cs="Arial"/>
                <w:sz w:val="22"/>
                <w:szCs w:val="22"/>
              </w:rPr>
              <w:t>Sustainable Development Goal</w:t>
            </w:r>
          </w:p>
        </w:tc>
      </w:tr>
      <w:tr w:rsidR="007C3A02" w:rsidRPr="003B66BF" w14:paraId="6B3F86B5" w14:textId="77777777" w:rsidTr="00D64788">
        <w:trPr>
          <w:tblCellSpacing w:w="15" w:type="dxa"/>
        </w:trPr>
        <w:tc>
          <w:tcPr>
            <w:tcW w:w="1373" w:type="dxa"/>
            <w:vAlign w:val="center"/>
            <w:hideMark/>
          </w:tcPr>
          <w:p w14:paraId="66724845"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SEZ</w:t>
            </w:r>
          </w:p>
        </w:tc>
        <w:tc>
          <w:tcPr>
            <w:tcW w:w="6539" w:type="dxa"/>
            <w:vAlign w:val="center"/>
            <w:hideMark/>
          </w:tcPr>
          <w:p w14:paraId="494B5D1A" w14:textId="77777777" w:rsidR="007C3A02" w:rsidRPr="003B66BF" w:rsidRDefault="007C3A02" w:rsidP="00D64788">
            <w:pPr>
              <w:rPr>
                <w:rFonts w:ascii="Arial" w:hAnsi="Arial" w:cs="Arial"/>
                <w:sz w:val="22"/>
                <w:szCs w:val="22"/>
              </w:rPr>
            </w:pPr>
            <w:r w:rsidRPr="003B66BF">
              <w:rPr>
                <w:rFonts w:ascii="Arial" w:hAnsi="Arial" w:cs="Arial"/>
                <w:sz w:val="22"/>
                <w:szCs w:val="22"/>
              </w:rPr>
              <w:t>Special Economic Zone</w:t>
            </w:r>
          </w:p>
        </w:tc>
      </w:tr>
      <w:tr w:rsidR="007C3A02" w:rsidRPr="003B66BF" w14:paraId="0BCF38B8" w14:textId="77777777" w:rsidTr="00D64788">
        <w:trPr>
          <w:tblCellSpacing w:w="15" w:type="dxa"/>
        </w:trPr>
        <w:tc>
          <w:tcPr>
            <w:tcW w:w="1373" w:type="dxa"/>
            <w:vAlign w:val="center"/>
            <w:hideMark/>
          </w:tcPr>
          <w:p w14:paraId="7F1FCCE7"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SLR</w:t>
            </w:r>
          </w:p>
        </w:tc>
        <w:tc>
          <w:tcPr>
            <w:tcW w:w="6539" w:type="dxa"/>
            <w:vAlign w:val="center"/>
            <w:hideMark/>
          </w:tcPr>
          <w:p w14:paraId="0204C391" w14:textId="77777777" w:rsidR="007C3A02" w:rsidRPr="003B66BF" w:rsidRDefault="007C3A02" w:rsidP="00D64788">
            <w:pPr>
              <w:rPr>
                <w:rFonts w:ascii="Arial" w:hAnsi="Arial" w:cs="Arial"/>
                <w:sz w:val="22"/>
                <w:szCs w:val="22"/>
              </w:rPr>
            </w:pPr>
            <w:r w:rsidRPr="003B66BF">
              <w:rPr>
                <w:rFonts w:ascii="Arial" w:hAnsi="Arial" w:cs="Arial"/>
                <w:sz w:val="22"/>
                <w:szCs w:val="22"/>
              </w:rPr>
              <w:t>Sea-level rise</w:t>
            </w:r>
          </w:p>
        </w:tc>
      </w:tr>
      <w:tr w:rsidR="007C3A02" w:rsidRPr="003B66BF" w14:paraId="325B2807" w14:textId="77777777" w:rsidTr="00D64788">
        <w:trPr>
          <w:tblCellSpacing w:w="15" w:type="dxa"/>
        </w:trPr>
        <w:tc>
          <w:tcPr>
            <w:tcW w:w="1373" w:type="dxa"/>
            <w:vAlign w:val="center"/>
            <w:hideMark/>
          </w:tcPr>
          <w:p w14:paraId="27BF9050"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SOP</w:t>
            </w:r>
          </w:p>
        </w:tc>
        <w:tc>
          <w:tcPr>
            <w:tcW w:w="6539" w:type="dxa"/>
            <w:vAlign w:val="center"/>
            <w:hideMark/>
          </w:tcPr>
          <w:p w14:paraId="7B1010A3" w14:textId="77777777" w:rsidR="007C3A02" w:rsidRPr="003B66BF" w:rsidRDefault="007C3A02" w:rsidP="00D64788">
            <w:pPr>
              <w:rPr>
                <w:rFonts w:ascii="Arial" w:hAnsi="Arial" w:cs="Arial"/>
                <w:sz w:val="22"/>
                <w:szCs w:val="22"/>
              </w:rPr>
            </w:pPr>
            <w:r w:rsidRPr="003B66BF">
              <w:rPr>
                <w:rFonts w:ascii="Arial" w:hAnsi="Arial" w:cs="Arial"/>
                <w:sz w:val="22"/>
                <w:szCs w:val="22"/>
              </w:rPr>
              <w:t>Standard Operating Procedures</w:t>
            </w:r>
          </w:p>
        </w:tc>
      </w:tr>
      <w:tr w:rsidR="007C3A02" w:rsidRPr="003B66BF" w14:paraId="06A9C9E6" w14:textId="77777777" w:rsidTr="00D64788">
        <w:trPr>
          <w:tblCellSpacing w:w="15" w:type="dxa"/>
        </w:trPr>
        <w:tc>
          <w:tcPr>
            <w:tcW w:w="1373" w:type="dxa"/>
            <w:vAlign w:val="center"/>
            <w:hideMark/>
          </w:tcPr>
          <w:p w14:paraId="6E1B5880"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UN-Habitat</w:t>
            </w:r>
          </w:p>
        </w:tc>
        <w:tc>
          <w:tcPr>
            <w:tcW w:w="6539" w:type="dxa"/>
            <w:vAlign w:val="center"/>
            <w:hideMark/>
          </w:tcPr>
          <w:p w14:paraId="2A1F1D0A" w14:textId="77777777" w:rsidR="007C3A02" w:rsidRPr="003B66BF" w:rsidRDefault="007C3A02" w:rsidP="00D64788">
            <w:pPr>
              <w:rPr>
                <w:rFonts w:ascii="Arial" w:hAnsi="Arial" w:cs="Arial"/>
                <w:sz w:val="22"/>
                <w:szCs w:val="22"/>
              </w:rPr>
            </w:pPr>
            <w:r w:rsidRPr="003B66BF">
              <w:rPr>
                <w:rFonts w:ascii="Arial" w:hAnsi="Arial" w:cs="Arial"/>
                <w:sz w:val="22"/>
                <w:szCs w:val="22"/>
              </w:rPr>
              <w:t>United Nations Human Settlements Programme</w:t>
            </w:r>
          </w:p>
        </w:tc>
      </w:tr>
      <w:tr w:rsidR="007C3A02" w:rsidRPr="003B66BF" w14:paraId="4C616D75" w14:textId="77777777" w:rsidTr="00D64788">
        <w:trPr>
          <w:tblCellSpacing w:w="15" w:type="dxa"/>
        </w:trPr>
        <w:tc>
          <w:tcPr>
            <w:tcW w:w="1373" w:type="dxa"/>
            <w:vAlign w:val="center"/>
            <w:hideMark/>
          </w:tcPr>
          <w:p w14:paraId="3AB3380C" w14:textId="77777777" w:rsidR="007C3A02" w:rsidRPr="003B66BF" w:rsidRDefault="007C3A02" w:rsidP="00D64788">
            <w:pPr>
              <w:rPr>
                <w:rFonts w:ascii="Arial" w:hAnsi="Arial" w:cs="Arial"/>
                <w:b/>
                <w:bCs/>
                <w:sz w:val="22"/>
                <w:szCs w:val="22"/>
              </w:rPr>
            </w:pPr>
            <w:r w:rsidRPr="003B66BF">
              <w:rPr>
                <w:rFonts w:ascii="Arial" w:hAnsi="Arial" w:cs="Arial"/>
                <w:b/>
                <w:bCs/>
                <w:sz w:val="22"/>
                <w:szCs w:val="22"/>
              </w:rPr>
              <w:t>VMS</w:t>
            </w:r>
          </w:p>
        </w:tc>
        <w:tc>
          <w:tcPr>
            <w:tcW w:w="6539" w:type="dxa"/>
            <w:vAlign w:val="center"/>
            <w:hideMark/>
          </w:tcPr>
          <w:p w14:paraId="087A06BE" w14:textId="77777777" w:rsidR="007C3A02" w:rsidRPr="003B66BF" w:rsidRDefault="007C3A02" w:rsidP="00D64788">
            <w:pPr>
              <w:rPr>
                <w:rFonts w:ascii="Arial" w:hAnsi="Arial" w:cs="Arial"/>
                <w:sz w:val="22"/>
                <w:szCs w:val="22"/>
              </w:rPr>
            </w:pPr>
            <w:r w:rsidRPr="003B66BF">
              <w:rPr>
                <w:rFonts w:ascii="Arial" w:hAnsi="Arial" w:cs="Arial"/>
                <w:sz w:val="22"/>
                <w:szCs w:val="22"/>
              </w:rPr>
              <w:t>Vessel Monitoring System</w:t>
            </w:r>
          </w:p>
        </w:tc>
      </w:tr>
    </w:tbl>
    <w:p w14:paraId="53C35ED1" w14:textId="77777777" w:rsidR="008B747D" w:rsidRPr="003B66BF" w:rsidRDefault="008B747D" w:rsidP="00642707">
      <w:pPr>
        <w:rPr>
          <w:rFonts w:ascii="Arial" w:hAnsi="Arial" w:cs="Arial"/>
          <w:b/>
          <w:bCs/>
        </w:rPr>
      </w:pPr>
    </w:p>
    <w:p w14:paraId="0919651A" w14:textId="21A8DD33" w:rsidR="008B747D" w:rsidRPr="00BA2EEB" w:rsidRDefault="009C30D3" w:rsidP="009C30D3">
      <w:pPr>
        <w:pStyle w:val="NormalWeb"/>
        <w:jc w:val="both"/>
        <w:rPr>
          <w:rFonts w:ascii="Arial" w:hAnsi="Arial" w:cs="Arial"/>
          <w:b/>
          <w:bCs/>
          <w:color w:val="0070C0"/>
        </w:rPr>
      </w:pPr>
      <w:r w:rsidRPr="00BA2EEB">
        <w:rPr>
          <w:rFonts w:ascii="Arial" w:hAnsi="Arial" w:cs="Arial"/>
          <w:b/>
          <w:bCs/>
          <w:color w:val="0070C0"/>
        </w:rPr>
        <w:t>Annex 4-</w:t>
      </w:r>
      <w:r w:rsidRPr="00BA2EEB">
        <w:rPr>
          <w:rFonts w:ascii="Arial" w:hAnsi="Arial" w:cs="Arial"/>
          <w:b/>
          <w:bCs/>
          <w:color w:val="0070C0"/>
        </w:rPr>
        <w:fldChar w:fldCharType="begin"/>
      </w:r>
      <w:r w:rsidRPr="00BA2EEB">
        <w:rPr>
          <w:rFonts w:ascii="Arial" w:hAnsi="Arial" w:cs="Arial"/>
          <w:b/>
          <w:bCs/>
          <w:color w:val="0070C0"/>
        </w:rPr>
        <w:instrText xml:space="preserve"> SEQ Annex_4- \* ARABIC </w:instrText>
      </w:r>
      <w:r w:rsidRPr="00BA2EEB">
        <w:rPr>
          <w:rFonts w:ascii="Arial" w:hAnsi="Arial" w:cs="Arial"/>
          <w:b/>
          <w:bCs/>
          <w:color w:val="0070C0"/>
        </w:rPr>
        <w:fldChar w:fldCharType="separate"/>
      </w:r>
      <w:r w:rsidR="00802509">
        <w:rPr>
          <w:rFonts w:ascii="Arial" w:hAnsi="Arial" w:cs="Arial"/>
          <w:b/>
          <w:bCs/>
          <w:noProof/>
          <w:color w:val="0070C0"/>
        </w:rPr>
        <w:t>1</w:t>
      </w:r>
      <w:r w:rsidRPr="00BA2EEB">
        <w:rPr>
          <w:rFonts w:ascii="Arial" w:hAnsi="Arial" w:cs="Arial"/>
          <w:b/>
          <w:bCs/>
          <w:color w:val="0070C0"/>
        </w:rPr>
        <w:fldChar w:fldCharType="end"/>
      </w:r>
      <w:r w:rsidR="009A2325" w:rsidRPr="00BA2EEB">
        <w:rPr>
          <w:rFonts w:ascii="Arial" w:hAnsi="Arial" w:cs="Arial"/>
          <w:b/>
          <w:bCs/>
          <w:color w:val="0070C0"/>
        </w:rPr>
        <w:t xml:space="preserve"> </w:t>
      </w:r>
      <w:r w:rsidR="008B747D" w:rsidRPr="00BA2EEB">
        <w:rPr>
          <w:rFonts w:ascii="Arial" w:hAnsi="Arial" w:cs="Arial"/>
          <w:b/>
          <w:bCs/>
          <w:color w:val="0070C0"/>
        </w:rPr>
        <w:t xml:space="preserve">Data sources </w:t>
      </w:r>
    </w:p>
    <w:p w14:paraId="2E483C83" w14:textId="776848BD" w:rsidR="008B747D" w:rsidRPr="003B66BF" w:rsidRDefault="008B747D" w:rsidP="008B747D">
      <w:pPr>
        <w:pStyle w:val="NormalWeb"/>
        <w:jc w:val="both"/>
        <w:rPr>
          <w:rFonts w:ascii="Arial" w:hAnsi="Arial" w:cs="Arial"/>
          <w:sz w:val="22"/>
          <w:szCs w:val="22"/>
        </w:rPr>
      </w:pPr>
      <w:r w:rsidRPr="003B66BF">
        <w:rPr>
          <w:rStyle w:val="Strong"/>
          <w:rFonts w:ascii="Arial" w:eastAsiaTheme="majorEastAsia" w:hAnsi="Arial" w:cs="Arial"/>
          <w:sz w:val="22"/>
          <w:szCs w:val="22"/>
        </w:rPr>
        <w:t>Mangroves</w:t>
      </w:r>
    </w:p>
    <w:p w14:paraId="24462B8F" w14:textId="77777777" w:rsidR="008B747D" w:rsidRPr="003B66BF" w:rsidRDefault="008B747D" w:rsidP="008B747D">
      <w:pPr>
        <w:pStyle w:val="NormalWeb"/>
        <w:numPr>
          <w:ilvl w:val="0"/>
          <w:numId w:val="27"/>
        </w:numPr>
        <w:jc w:val="both"/>
        <w:rPr>
          <w:rFonts w:ascii="Arial" w:hAnsi="Arial" w:cs="Arial"/>
          <w:sz w:val="22"/>
          <w:szCs w:val="22"/>
        </w:rPr>
      </w:pPr>
      <w:r w:rsidRPr="003B66BF">
        <w:rPr>
          <w:rStyle w:val="Strong"/>
          <w:rFonts w:ascii="Arial" w:eastAsiaTheme="majorEastAsia" w:hAnsi="Arial" w:cs="Arial"/>
          <w:sz w:val="22"/>
          <w:szCs w:val="22"/>
        </w:rPr>
        <w:t>MoE Mangrove Assessment (2014, 2025):</w:t>
      </w:r>
      <w:r w:rsidRPr="003B66BF">
        <w:rPr>
          <w:rFonts w:ascii="Arial" w:hAnsi="Arial" w:cs="Arial"/>
          <w:sz w:val="22"/>
          <w:szCs w:val="22"/>
        </w:rPr>
        <w:t xml:space="preserve"> national wall-to-wall mapping (Sentinel-2, 10 m) with consistent methods—chosen as the primary pair for recent trend detection and provincial disaggregation.</w:t>
      </w:r>
    </w:p>
    <w:p w14:paraId="3301C8BE" w14:textId="77777777" w:rsidR="008B747D" w:rsidRPr="003B66BF" w:rsidRDefault="008B747D" w:rsidP="008B747D">
      <w:pPr>
        <w:pStyle w:val="NormalWeb"/>
        <w:numPr>
          <w:ilvl w:val="0"/>
          <w:numId w:val="27"/>
        </w:numPr>
        <w:jc w:val="both"/>
        <w:rPr>
          <w:rFonts w:ascii="Arial" w:hAnsi="Arial" w:cs="Arial"/>
          <w:sz w:val="22"/>
          <w:szCs w:val="22"/>
        </w:rPr>
      </w:pPr>
      <w:r w:rsidRPr="003B66BF">
        <w:rPr>
          <w:rStyle w:val="Strong"/>
          <w:rFonts w:ascii="Arial" w:eastAsiaTheme="majorEastAsia" w:hAnsi="Arial" w:cs="Arial"/>
          <w:sz w:val="22"/>
          <w:szCs w:val="22"/>
        </w:rPr>
        <w:t>NSOC/PEMSEA compilations (1997, 2011):</w:t>
      </w:r>
      <w:r w:rsidRPr="003B66BF">
        <w:rPr>
          <w:rFonts w:ascii="Arial" w:hAnsi="Arial" w:cs="Arial"/>
          <w:sz w:val="22"/>
          <w:szCs w:val="22"/>
        </w:rPr>
        <w:t xml:space="preserve"> used to contextualize the earlier contraction phase and to compare long-run magnitudes.</w:t>
      </w:r>
    </w:p>
    <w:p w14:paraId="667EF8EA" w14:textId="77777777" w:rsidR="008B747D" w:rsidRPr="003B66BF" w:rsidRDefault="008B747D" w:rsidP="008B747D">
      <w:pPr>
        <w:pStyle w:val="NormalWeb"/>
        <w:numPr>
          <w:ilvl w:val="0"/>
          <w:numId w:val="27"/>
        </w:numPr>
        <w:jc w:val="both"/>
        <w:rPr>
          <w:rFonts w:ascii="Arial" w:hAnsi="Arial" w:cs="Arial"/>
          <w:sz w:val="22"/>
          <w:szCs w:val="22"/>
        </w:rPr>
      </w:pPr>
      <w:r w:rsidRPr="003B66BF">
        <w:rPr>
          <w:rStyle w:val="Strong"/>
          <w:rFonts w:ascii="Arial" w:eastAsiaTheme="majorEastAsia" w:hAnsi="Arial" w:cs="Arial"/>
          <w:sz w:val="22"/>
          <w:szCs w:val="22"/>
        </w:rPr>
        <w:t>Global Mangrove Watch (v3.0):</w:t>
      </w:r>
      <w:r w:rsidRPr="003B66BF">
        <w:rPr>
          <w:rFonts w:ascii="Arial" w:hAnsi="Arial" w:cs="Arial"/>
          <w:sz w:val="22"/>
          <w:szCs w:val="22"/>
        </w:rPr>
        <w:t xml:space="preserve"> global consistency check on 1996–2020 trajectories and spatial plausibility.</w:t>
      </w:r>
    </w:p>
    <w:p w14:paraId="30200552" w14:textId="13F9F63D" w:rsidR="008B747D" w:rsidRPr="003B66BF" w:rsidRDefault="008B747D" w:rsidP="008B747D">
      <w:pPr>
        <w:pStyle w:val="NormalWeb"/>
        <w:jc w:val="both"/>
        <w:rPr>
          <w:rFonts w:ascii="Arial" w:hAnsi="Arial" w:cs="Arial"/>
          <w:sz w:val="22"/>
          <w:szCs w:val="22"/>
        </w:rPr>
      </w:pPr>
      <w:r w:rsidRPr="003B66BF">
        <w:rPr>
          <w:rStyle w:val="Strong"/>
          <w:rFonts w:ascii="Arial" w:eastAsiaTheme="majorEastAsia" w:hAnsi="Arial" w:cs="Arial"/>
          <w:sz w:val="22"/>
          <w:szCs w:val="22"/>
        </w:rPr>
        <w:t>Coral reefs</w:t>
      </w:r>
    </w:p>
    <w:p w14:paraId="5778EC3C" w14:textId="77777777" w:rsidR="008B747D" w:rsidRPr="003B66BF" w:rsidRDefault="008B747D" w:rsidP="008B747D">
      <w:pPr>
        <w:pStyle w:val="NormalWeb"/>
        <w:numPr>
          <w:ilvl w:val="0"/>
          <w:numId w:val="28"/>
        </w:numPr>
        <w:jc w:val="both"/>
        <w:rPr>
          <w:rFonts w:ascii="Arial" w:hAnsi="Arial" w:cs="Arial"/>
          <w:sz w:val="22"/>
          <w:szCs w:val="22"/>
        </w:rPr>
      </w:pPr>
      <w:r w:rsidRPr="003B66BF">
        <w:rPr>
          <w:rStyle w:val="Strong"/>
          <w:rFonts w:ascii="Arial" w:eastAsiaTheme="majorEastAsia" w:hAnsi="Arial" w:cs="Arial"/>
          <w:sz w:val="22"/>
          <w:szCs w:val="22"/>
        </w:rPr>
        <w:t>CCRMN / FiA national monitoring (since 2019):</w:t>
      </w:r>
      <w:r w:rsidRPr="003B66BF">
        <w:rPr>
          <w:rFonts w:ascii="Arial" w:hAnsi="Arial" w:cs="Arial"/>
          <w:sz w:val="22"/>
          <w:szCs w:val="22"/>
        </w:rPr>
        <w:t xml:space="preserve"> standardized line-intercept/photo-quadrats and belt transects for fish/invertebrates—used for mean live cover, life-form composition, and qualitative trend signals.</w:t>
      </w:r>
    </w:p>
    <w:p w14:paraId="550BA4A5" w14:textId="77777777" w:rsidR="008B747D" w:rsidRPr="003B66BF" w:rsidRDefault="008B747D" w:rsidP="008B747D">
      <w:pPr>
        <w:pStyle w:val="NormalWeb"/>
        <w:numPr>
          <w:ilvl w:val="0"/>
          <w:numId w:val="28"/>
        </w:numPr>
        <w:jc w:val="both"/>
        <w:rPr>
          <w:rFonts w:ascii="Arial" w:hAnsi="Arial" w:cs="Arial"/>
          <w:sz w:val="22"/>
          <w:szCs w:val="22"/>
        </w:rPr>
      </w:pPr>
      <w:r w:rsidRPr="003B66BF">
        <w:rPr>
          <w:rStyle w:val="Strong"/>
          <w:rFonts w:ascii="Arial" w:eastAsiaTheme="majorEastAsia" w:hAnsi="Arial" w:cs="Arial"/>
          <w:sz w:val="22"/>
          <w:szCs w:val="22"/>
        </w:rPr>
        <w:t>Legacy site surveys (Koh Rong/Kep/Kampot/Koh Sdach):</w:t>
      </w:r>
      <w:r w:rsidRPr="003B66BF">
        <w:rPr>
          <w:rFonts w:ascii="Arial" w:hAnsi="Arial" w:cs="Arial"/>
          <w:sz w:val="22"/>
          <w:szCs w:val="22"/>
        </w:rPr>
        <w:t xml:space="preserve"> provide pre-2019 context and species-level richness.</w:t>
      </w:r>
    </w:p>
    <w:p w14:paraId="3AB82888" w14:textId="1FD6F176" w:rsidR="008B747D" w:rsidRPr="003B66BF" w:rsidRDefault="008B747D" w:rsidP="008B747D">
      <w:pPr>
        <w:pStyle w:val="NormalWeb"/>
        <w:jc w:val="both"/>
        <w:rPr>
          <w:rFonts w:ascii="Arial" w:hAnsi="Arial" w:cs="Arial"/>
          <w:sz w:val="22"/>
          <w:szCs w:val="22"/>
        </w:rPr>
      </w:pPr>
      <w:r w:rsidRPr="003B66BF">
        <w:rPr>
          <w:rStyle w:val="Strong"/>
          <w:rFonts w:ascii="Arial" w:eastAsiaTheme="majorEastAsia" w:hAnsi="Arial" w:cs="Arial"/>
          <w:sz w:val="22"/>
          <w:szCs w:val="22"/>
        </w:rPr>
        <w:t>Seagrass</w:t>
      </w:r>
    </w:p>
    <w:p w14:paraId="45F7B409" w14:textId="77777777" w:rsidR="008B747D" w:rsidRPr="003B66BF" w:rsidRDefault="008B747D" w:rsidP="008B747D">
      <w:pPr>
        <w:pStyle w:val="NormalWeb"/>
        <w:numPr>
          <w:ilvl w:val="0"/>
          <w:numId w:val="29"/>
        </w:numPr>
        <w:jc w:val="both"/>
        <w:rPr>
          <w:rFonts w:ascii="Arial" w:hAnsi="Arial" w:cs="Arial"/>
          <w:sz w:val="22"/>
          <w:szCs w:val="22"/>
        </w:rPr>
      </w:pPr>
      <w:r w:rsidRPr="003B66BF">
        <w:rPr>
          <w:rStyle w:val="Strong"/>
          <w:rFonts w:ascii="Arial" w:eastAsiaTheme="majorEastAsia" w:hAnsi="Arial" w:cs="Arial"/>
          <w:sz w:val="22"/>
          <w:szCs w:val="22"/>
        </w:rPr>
        <w:t>MoE Seagrass Assessment (2014, 2025):</w:t>
      </w:r>
      <w:r w:rsidRPr="003B66BF">
        <w:rPr>
          <w:rFonts w:ascii="Arial" w:hAnsi="Arial" w:cs="Arial"/>
          <w:sz w:val="22"/>
          <w:szCs w:val="22"/>
        </w:rPr>
        <w:t xml:space="preserve"> provincewide tallies with CFi-resolved meadows (Kep–Kampot) to support management-relevant accounting.</w:t>
      </w:r>
    </w:p>
    <w:p w14:paraId="4AC293D0" w14:textId="77777777" w:rsidR="008B747D" w:rsidRPr="003B66BF" w:rsidRDefault="008B747D" w:rsidP="008B747D">
      <w:pPr>
        <w:pStyle w:val="NormalWeb"/>
        <w:numPr>
          <w:ilvl w:val="0"/>
          <w:numId w:val="29"/>
        </w:numPr>
        <w:jc w:val="both"/>
        <w:rPr>
          <w:rFonts w:ascii="Arial" w:hAnsi="Arial" w:cs="Arial"/>
          <w:sz w:val="22"/>
          <w:szCs w:val="22"/>
        </w:rPr>
      </w:pPr>
      <w:r w:rsidRPr="003B66BF">
        <w:rPr>
          <w:rStyle w:val="Strong"/>
          <w:rFonts w:ascii="Arial" w:eastAsiaTheme="majorEastAsia" w:hAnsi="Arial" w:cs="Arial"/>
          <w:sz w:val="22"/>
          <w:szCs w:val="22"/>
        </w:rPr>
        <w:t>FFI–FiA 2021–2023 mapping (Koh Kong–Preah Sihanouk):</w:t>
      </w:r>
      <w:r w:rsidRPr="003B66BF">
        <w:rPr>
          <w:rFonts w:ascii="Arial" w:hAnsi="Arial" w:cs="Arial"/>
          <w:sz w:val="22"/>
          <w:szCs w:val="22"/>
        </w:rPr>
        <w:t xml:space="preserve"> eleven-site campaign (e.g., Chrouy Pros, Steung Hav, Prey Nob) for area/patch morphology and ground validation.</w:t>
      </w:r>
    </w:p>
    <w:p w14:paraId="25AD6489" w14:textId="77777777" w:rsidR="008B747D" w:rsidRPr="003B66BF" w:rsidRDefault="008B747D" w:rsidP="008B747D">
      <w:pPr>
        <w:pStyle w:val="NormalWeb"/>
        <w:numPr>
          <w:ilvl w:val="0"/>
          <w:numId w:val="29"/>
        </w:numPr>
        <w:jc w:val="both"/>
        <w:rPr>
          <w:rFonts w:ascii="Arial" w:hAnsi="Arial" w:cs="Arial"/>
          <w:sz w:val="22"/>
          <w:szCs w:val="22"/>
        </w:rPr>
      </w:pPr>
      <w:r w:rsidRPr="003B66BF">
        <w:rPr>
          <w:rStyle w:val="Strong"/>
          <w:rFonts w:ascii="Arial" w:eastAsiaTheme="majorEastAsia" w:hAnsi="Arial" w:cs="Arial"/>
          <w:sz w:val="22"/>
          <w:szCs w:val="22"/>
        </w:rPr>
        <w:t>MCC/FAO and partner baselines:</w:t>
      </w:r>
      <w:r w:rsidRPr="003B66BF">
        <w:rPr>
          <w:rFonts w:ascii="Arial" w:hAnsi="Arial" w:cs="Arial"/>
          <w:sz w:val="22"/>
          <w:szCs w:val="22"/>
        </w:rPr>
        <w:t xml:space="preserve"> used where community patrol and anti-trawl pilots supply fine-scale edges and scars.</w:t>
      </w:r>
    </w:p>
    <w:p w14:paraId="07F6AAAC" w14:textId="784C3D41" w:rsidR="008B747D" w:rsidRPr="003B66BF" w:rsidRDefault="008B747D" w:rsidP="008B747D">
      <w:pPr>
        <w:pStyle w:val="NormalWeb"/>
        <w:jc w:val="both"/>
        <w:rPr>
          <w:rFonts w:ascii="Arial" w:hAnsi="Arial" w:cs="Arial"/>
          <w:sz w:val="22"/>
          <w:szCs w:val="22"/>
        </w:rPr>
      </w:pPr>
      <w:r w:rsidRPr="003B66BF">
        <w:rPr>
          <w:rStyle w:val="Strong"/>
          <w:rFonts w:ascii="Arial" w:eastAsiaTheme="majorEastAsia" w:hAnsi="Arial" w:cs="Arial"/>
          <w:sz w:val="22"/>
          <w:szCs w:val="22"/>
        </w:rPr>
        <w:t>Wetlands/biodiversity &amp; governance</w:t>
      </w:r>
    </w:p>
    <w:p w14:paraId="1CFE463A" w14:textId="77777777" w:rsidR="008B747D" w:rsidRPr="003B66BF" w:rsidRDefault="008B747D" w:rsidP="008B747D">
      <w:pPr>
        <w:pStyle w:val="NormalWeb"/>
        <w:numPr>
          <w:ilvl w:val="0"/>
          <w:numId w:val="30"/>
        </w:numPr>
        <w:jc w:val="both"/>
        <w:rPr>
          <w:rFonts w:ascii="Arial" w:hAnsi="Arial" w:cs="Arial"/>
          <w:sz w:val="22"/>
          <w:szCs w:val="22"/>
        </w:rPr>
      </w:pPr>
      <w:r w:rsidRPr="003B66BF">
        <w:rPr>
          <w:rStyle w:val="Strong"/>
          <w:rFonts w:ascii="Arial" w:eastAsiaTheme="majorEastAsia" w:hAnsi="Arial" w:cs="Arial"/>
          <w:sz w:val="22"/>
          <w:szCs w:val="22"/>
        </w:rPr>
        <w:t>Ramsar (Koh Kapik &amp; Associated Islets) and Peam Krasop WS documents:</w:t>
      </w:r>
      <w:r w:rsidRPr="003B66BF">
        <w:rPr>
          <w:rFonts w:ascii="Arial" w:hAnsi="Arial" w:cs="Arial"/>
          <w:sz w:val="22"/>
          <w:szCs w:val="22"/>
        </w:rPr>
        <w:t xml:space="preserve"> ecological function and household dependence.</w:t>
      </w:r>
    </w:p>
    <w:p w14:paraId="61D8EC52" w14:textId="77777777" w:rsidR="008B747D" w:rsidRPr="003B66BF" w:rsidRDefault="008B747D" w:rsidP="008B747D">
      <w:pPr>
        <w:pStyle w:val="NormalWeb"/>
        <w:numPr>
          <w:ilvl w:val="0"/>
          <w:numId w:val="30"/>
        </w:numPr>
        <w:jc w:val="both"/>
        <w:rPr>
          <w:rFonts w:ascii="Arial" w:hAnsi="Arial" w:cs="Arial"/>
          <w:sz w:val="22"/>
          <w:szCs w:val="22"/>
        </w:rPr>
      </w:pPr>
      <w:r w:rsidRPr="003B66BF">
        <w:rPr>
          <w:rStyle w:val="Strong"/>
          <w:rFonts w:ascii="Arial" w:eastAsiaTheme="majorEastAsia" w:hAnsi="Arial" w:cs="Arial"/>
          <w:sz w:val="22"/>
          <w:szCs w:val="22"/>
        </w:rPr>
        <w:t>Protected-area legal updates (ODC) &amp; management plans:</w:t>
      </w:r>
      <w:r w:rsidRPr="003B66BF">
        <w:rPr>
          <w:rFonts w:ascii="Arial" w:hAnsi="Arial" w:cs="Arial"/>
          <w:sz w:val="22"/>
          <w:szCs w:val="22"/>
        </w:rPr>
        <w:t xml:space="preserve"> boundary changes, governance status.</w:t>
      </w:r>
    </w:p>
    <w:p w14:paraId="59EEEA0B" w14:textId="77777777" w:rsidR="008B747D" w:rsidRPr="003B66BF" w:rsidRDefault="008B747D" w:rsidP="008B747D">
      <w:pPr>
        <w:pStyle w:val="NormalWeb"/>
        <w:numPr>
          <w:ilvl w:val="0"/>
          <w:numId w:val="30"/>
        </w:numPr>
        <w:jc w:val="both"/>
        <w:rPr>
          <w:rFonts w:ascii="Arial" w:hAnsi="Arial" w:cs="Arial"/>
          <w:sz w:val="22"/>
          <w:szCs w:val="22"/>
        </w:rPr>
      </w:pPr>
      <w:r w:rsidRPr="003B66BF">
        <w:rPr>
          <w:rStyle w:val="Strong"/>
          <w:rFonts w:ascii="Arial" w:eastAsiaTheme="majorEastAsia" w:hAnsi="Arial" w:cs="Arial"/>
          <w:sz w:val="22"/>
          <w:szCs w:val="22"/>
        </w:rPr>
        <w:t>Bycatch/megafauna records:</w:t>
      </w:r>
      <w:r w:rsidRPr="003B66BF">
        <w:rPr>
          <w:rFonts w:ascii="Arial" w:hAnsi="Arial" w:cs="Arial"/>
          <w:sz w:val="22"/>
          <w:szCs w:val="22"/>
        </w:rPr>
        <w:t xml:space="preserve"> peer-reviewed/technical notes (Irrawaddy dolphins, dugongs, turtles) to anchor risk pathways.</w:t>
      </w:r>
    </w:p>
    <w:p w14:paraId="3D95832F" w14:textId="02A7BEB8" w:rsidR="008B747D" w:rsidRPr="003B66BF" w:rsidRDefault="008B747D" w:rsidP="008B747D">
      <w:pPr>
        <w:pStyle w:val="NormalWeb"/>
        <w:jc w:val="both"/>
        <w:rPr>
          <w:rFonts w:ascii="Arial" w:hAnsi="Arial" w:cs="Arial"/>
          <w:sz w:val="22"/>
          <w:szCs w:val="22"/>
        </w:rPr>
      </w:pPr>
      <w:r w:rsidRPr="003B66BF">
        <w:rPr>
          <w:rStyle w:val="Strong"/>
          <w:rFonts w:ascii="Arial" w:eastAsiaTheme="majorEastAsia" w:hAnsi="Arial" w:cs="Arial"/>
          <w:sz w:val="22"/>
          <w:szCs w:val="22"/>
        </w:rPr>
        <w:t>Water quality/pollution (context)</w:t>
      </w:r>
    </w:p>
    <w:p w14:paraId="2BD67E16" w14:textId="77777777" w:rsidR="008B747D" w:rsidRPr="003B66BF" w:rsidRDefault="008B747D" w:rsidP="008B747D">
      <w:pPr>
        <w:pStyle w:val="NormalWeb"/>
        <w:numPr>
          <w:ilvl w:val="0"/>
          <w:numId w:val="31"/>
        </w:numPr>
        <w:jc w:val="both"/>
        <w:rPr>
          <w:rFonts w:ascii="Arial" w:hAnsi="Arial" w:cs="Arial"/>
          <w:sz w:val="22"/>
          <w:szCs w:val="22"/>
        </w:rPr>
      </w:pPr>
      <w:r w:rsidRPr="003B66BF">
        <w:rPr>
          <w:rStyle w:val="Strong"/>
          <w:rFonts w:ascii="Arial" w:eastAsiaTheme="majorEastAsia" w:hAnsi="Arial" w:cs="Arial"/>
          <w:sz w:val="22"/>
          <w:szCs w:val="22"/>
        </w:rPr>
        <w:t>ASEAN Marine Water Quality Guidelines</w:t>
      </w:r>
      <w:r w:rsidRPr="003B66BF">
        <w:rPr>
          <w:rFonts w:ascii="Arial" w:hAnsi="Arial" w:cs="Arial"/>
          <w:sz w:val="22"/>
          <w:szCs w:val="22"/>
        </w:rPr>
        <w:t xml:space="preserve"> and MoE routine checks (nutrients, BOD, coliforms) to interpret pressures on reefs/seagrass near growth nodes.</w:t>
      </w:r>
    </w:p>
    <w:p w14:paraId="5EAFEDED" w14:textId="77777777" w:rsidR="008B747D" w:rsidRPr="003B66BF" w:rsidRDefault="008B747D" w:rsidP="008B747D">
      <w:pPr>
        <w:pStyle w:val="NormalWeb"/>
        <w:jc w:val="both"/>
        <w:rPr>
          <w:rFonts w:ascii="Arial" w:hAnsi="Arial" w:cs="Arial"/>
          <w:sz w:val="22"/>
          <w:szCs w:val="22"/>
        </w:rPr>
      </w:pPr>
      <w:r w:rsidRPr="003B66BF">
        <w:rPr>
          <w:rFonts w:ascii="Arial" w:hAnsi="Arial" w:cs="Arial"/>
          <w:sz w:val="22"/>
          <w:szCs w:val="22"/>
        </w:rPr>
        <w:t>These sources were chosen for (i) national coverage with recent vintages, (ii) method transparency enabling cross-walks, and (iii) direct linkage to management units (MFMAs/CFis/CPAs/MNPs).</w:t>
      </w:r>
    </w:p>
    <w:p w14:paraId="1E47986F" w14:textId="6297B75E" w:rsidR="008B747D" w:rsidRPr="00BA2EEB" w:rsidRDefault="009C30D3" w:rsidP="009C30D3">
      <w:pPr>
        <w:pStyle w:val="NormalWeb"/>
        <w:jc w:val="both"/>
        <w:rPr>
          <w:rFonts w:ascii="Arial" w:hAnsi="Arial" w:cs="Arial"/>
          <w:b/>
          <w:bCs/>
          <w:color w:val="0070C0"/>
        </w:rPr>
      </w:pPr>
      <w:r w:rsidRPr="00BA2EEB">
        <w:rPr>
          <w:rFonts w:ascii="Arial" w:hAnsi="Arial" w:cs="Arial"/>
          <w:b/>
          <w:bCs/>
          <w:color w:val="0070C0"/>
        </w:rPr>
        <w:t>Annex 4-</w:t>
      </w:r>
      <w:r w:rsidRPr="00BA2EEB">
        <w:rPr>
          <w:rFonts w:ascii="Arial" w:hAnsi="Arial" w:cs="Arial"/>
          <w:b/>
          <w:bCs/>
          <w:color w:val="0070C0"/>
        </w:rPr>
        <w:fldChar w:fldCharType="begin"/>
      </w:r>
      <w:r w:rsidRPr="00BA2EEB">
        <w:rPr>
          <w:rFonts w:ascii="Arial" w:hAnsi="Arial" w:cs="Arial"/>
          <w:b/>
          <w:bCs/>
          <w:color w:val="0070C0"/>
        </w:rPr>
        <w:instrText xml:space="preserve"> SEQ Annex_4- \* ARABIC </w:instrText>
      </w:r>
      <w:r w:rsidRPr="00BA2EEB">
        <w:rPr>
          <w:rFonts w:ascii="Arial" w:hAnsi="Arial" w:cs="Arial"/>
          <w:b/>
          <w:bCs/>
          <w:color w:val="0070C0"/>
        </w:rPr>
        <w:fldChar w:fldCharType="separate"/>
      </w:r>
      <w:r w:rsidR="00802509">
        <w:rPr>
          <w:rFonts w:ascii="Arial" w:hAnsi="Arial" w:cs="Arial"/>
          <w:b/>
          <w:bCs/>
          <w:noProof/>
          <w:color w:val="0070C0"/>
        </w:rPr>
        <w:t>2</w:t>
      </w:r>
      <w:r w:rsidRPr="00BA2EEB">
        <w:rPr>
          <w:rFonts w:ascii="Arial" w:hAnsi="Arial" w:cs="Arial"/>
          <w:b/>
          <w:bCs/>
          <w:color w:val="0070C0"/>
        </w:rPr>
        <w:fldChar w:fldCharType="end"/>
      </w:r>
      <w:r w:rsidRPr="00BA2EEB">
        <w:rPr>
          <w:rFonts w:ascii="Arial" w:hAnsi="Arial" w:cs="Arial"/>
          <w:b/>
          <w:bCs/>
          <w:color w:val="0070C0"/>
        </w:rPr>
        <w:t xml:space="preserve"> </w:t>
      </w:r>
      <w:r w:rsidR="008B747D" w:rsidRPr="00BA2EEB">
        <w:rPr>
          <w:rFonts w:ascii="Arial" w:hAnsi="Arial" w:cs="Arial"/>
          <w:b/>
          <w:bCs/>
          <w:color w:val="0070C0"/>
        </w:rPr>
        <w:t>Indicator construction &amp; computations</w:t>
      </w:r>
    </w:p>
    <w:p w14:paraId="3BAF8D0D" w14:textId="049FD47F" w:rsidR="008B747D" w:rsidRPr="003B66BF" w:rsidRDefault="008B747D" w:rsidP="008B747D">
      <w:pPr>
        <w:pStyle w:val="NormalWeb"/>
        <w:jc w:val="both"/>
        <w:rPr>
          <w:rFonts w:ascii="Arial" w:hAnsi="Arial" w:cs="Arial"/>
          <w:sz w:val="22"/>
          <w:szCs w:val="22"/>
        </w:rPr>
      </w:pPr>
      <w:r w:rsidRPr="003B66BF">
        <w:rPr>
          <w:rStyle w:val="Strong"/>
          <w:rFonts w:ascii="Arial" w:eastAsiaTheme="majorEastAsia" w:hAnsi="Arial" w:cs="Arial"/>
          <w:sz w:val="22"/>
          <w:szCs w:val="22"/>
        </w:rPr>
        <w:t>Change in mangrove extent (2014→2025)</w:t>
      </w:r>
    </w:p>
    <w:p w14:paraId="58C30470" w14:textId="77777777" w:rsidR="008B747D" w:rsidRPr="003B66BF" w:rsidRDefault="008B747D" w:rsidP="008B747D">
      <w:pPr>
        <w:pStyle w:val="NormalWeb"/>
        <w:numPr>
          <w:ilvl w:val="0"/>
          <w:numId w:val="32"/>
        </w:numPr>
        <w:jc w:val="both"/>
        <w:rPr>
          <w:rFonts w:ascii="Arial" w:hAnsi="Arial" w:cs="Arial"/>
          <w:sz w:val="22"/>
          <w:szCs w:val="22"/>
        </w:rPr>
      </w:pPr>
      <w:r w:rsidRPr="003B66BF">
        <w:rPr>
          <w:rFonts w:ascii="Arial" w:hAnsi="Arial" w:cs="Arial"/>
          <w:sz w:val="22"/>
          <w:szCs w:val="22"/>
        </w:rPr>
        <w:t>Harmonized class keys across the two MoE epochs; excluded known reclass artifacts (e.g., aquaculture pond edges, nipa-dominant fringes misread as non-mangrove).</w:t>
      </w:r>
    </w:p>
    <w:p w14:paraId="4C8E18EC" w14:textId="77777777" w:rsidR="008B747D" w:rsidRPr="003B66BF" w:rsidRDefault="008B747D" w:rsidP="008B747D">
      <w:pPr>
        <w:pStyle w:val="NormalWeb"/>
        <w:numPr>
          <w:ilvl w:val="0"/>
          <w:numId w:val="32"/>
        </w:numPr>
        <w:jc w:val="both"/>
        <w:rPr>
          <w:rFonts w:ascii="Arial" w:hAnsi="Arial" w:cs="Arial"/>
          <w:sz w:val="22"/>
          <w:szCs w:val="22"/>
        </w:rPr>
      </w:pPr>
      <w:r w:rsidRPr="003B66BF">
        <w:rPr>
          <w:rFonts w:ascii="Arial" w:hAnsi="Arial" w:cs="Arial"/>
          <w:sz w:val="22"/>
          <w:szCs w:val="22"/>
        </w:rPr>
        <w:t>Reported both absolute (ha) and relative (%) change; flagged hotspot polygons where losses cluster (&gt;500 ha within a 5-km radius).</w:t>
      </w:r>
    </w:p>
    <w:p w14:paraId="025F0695" w14:textId="446D9A3A" w:rsidR="008B747D" w:rsidRPr="003B66BF" w:rsidRDefault="008B747D" w:rsidP="008B747D">
      <w:pPr>
        <w:pStyle w:val="NormalWeb"/>
        <w:jc w:val="both"/>
        <w:rPr>
          <w:rFonts w:ascii="Arial" w:hAnsi="Arial" w:cs="Arial"/>
          <w:sz w:val="22"/>
          <w:szCs w:val="22"/>
        </w:rPr>
      </w:pPr>
      <w:r w:rsidRPr="003B66BF">
        <w:rPr>
          <w:rStyle w:val="Strong"/>
          <w:rFonts w:ascii="Arial" w:eastAsiaTheme="majorEastAsia" w:hAnsi="Arial" w:cs="Arial"/>
          <w:sz w:val="22"/>
          <w:szCs w:val="22"/>
        </w:rPr>
        <w:t>Coral condition &amp; structure</w:t>
      </w:r>
    </w:p>
    <w:p w14:paraId="128C2460" w14:textId="77777777" w:rsidR="008B747D" w:rsidRPr="003B66BF" w:rsidRDefault="008B747D" w:rsidP="008B747D">
      <w:pPr>
        <w:pStyle w:val="NormalWeb"/>
        <w:numPr>
          <w:ilvl w:val="0"/>
          <w:numId w:val="33"/>
        </w:numPr>
        <w:jc w:val="both"/>
        <w:rPr>
          <w:rFonts w:ascii="Arial" w:hAnsi="Arial" w:cs="Arial"/>
          <w:sz w:val="22"/>
          <w:szCs w:val="22"/>
        </w:rPr>
      </w:pPr>
      <w:r w:rsidRPr="003B66BF">
        <w:rPr>
          <w:rStyle w:val="Strong"/>
          <w:rFonts w:ascii="Arial" w:eastAsiaTheme="majorEastAsia" w:hAnsi="Arial" w:cs="Arial"/>
          <w:sz w:val="22"/>
          <w:szCs w:val="22"/>
        </w:rPr>
        <w:t>Live coral cover (%):</w:t>
      </w:r>
      <w:r w:rsidRPr="003B66BF">
        <w:rPr>
          <w:rFonts w:ascii="Arial" w:hAnsi="Arial" w:cs="Arial"/>
          <w:sz w:val="22"/>
          <w:szCs w:val="22"/>
        </w:rPr>
        <w:t xml:space="preserve"> site means (±SD) from line-intercept/photo-quadrats; aggregated to island groups and provinces (inverse-variance weighting where available).</w:t>
      </w:r>
    </w:p>
    <w:p w14:paraId="255C2ABB" w14:textId="77777777" w:rsidR="008B747D" w:rsidRPr="003B66BF" w:rsidRDefault="008B747D" w:rsidP="008B747D">
      <w:pPr>
        <w:pStyle w:val="NormalWeb"/>
        <w:numPr>
          <w:ilvl w:val="0"/>
          <w:numId w:val="33"/>
        </w:numPr>
        <w:jc w:val="both"/>
        <w:rPr>
          <w:rFonts w:ascii="Arial" w:hAnsi="Arial" w:cs="Arial"/>
          <w:sz w:val="22"/>
          <w:szCs w:val="22"/>
        </w:rPr>
      </w:pPr>
      <w:r w:rsidRPr="003B66BF">
        <w:rPr>
          <w:rStyle w:val="Strong"/>
          <w:rFonts w:ascii="Arial" w:eastAsiaTheme="majorEastAsia" w:hAnsi="Arial" w:cs="Arial"/>
          <w:sz w:val="22"/>
          <w:szCs w:val="22"/>
        </w:rPr>
        <w:t>Life-form composition:</w:t>
      </w:r>
      <w:r w:rsidRPr="003B66BF">
        <w:rPr>
          <w:rFonts w:ascii="Arial" w:hAnsi="Arial" w:cs="Arial"/>
          <w:sz w:val="22"/>
          <w:szCs w:val="22"/>
        </w:rPr>
        <w:t xml:space="preserve"> massive/encrusting vs branching/foliose shares to infer sediment/light stress.</w:t>
      </w:r>
    </w:p>
    <w:p w14:paraId="5BE006B9" w14:textId="77777777" w:rsidR="008B747D" w:rsidRPr="003B66BF" w:rsidRDefault="008B747D" w:rsidP="008B747D">
      <w:pPr>
        <w:pStyle w:val="NormalWeb"/>
        <w:numPr>
          <w:ilvl w:val="0"/>
          <w:numId w:val="33"/>
        </w:numPr>
        <w:jc w:val="both"/>
        <w:rPr>
          <w:rFonts w:ascii="Arial" w:hAnsi="Arial" w:cs="Arial"/>
          <w:sz w:val="22"/>
          <w:szCs w:val="22"/>
        </w:rPr>
      </w:pPr>
      <w:r w:rsidRPr="003B66BF">
        <w:rPr>
          <w:rStyle w:val="Strong"/>
          <w:rFonts w:ascii="Arial" w:eastAsiaTheme="majorEastAsia" w:hAnsi="Arial" w:cs="Arial"/>
          <w:sz w:val="22"/>
          <w:szCs w:val="22"/>
        </w:rPr>
        <w:t>Fish/invertebrate indicators:</w:t>
      </w:r>
      <w:r w:rsidRPr="003B66BF">
        <w:rPr>
          <w:rFonts w:ascii="Arial" w:hAnsi="Arial" w:cs="Arial"/>
          <w:sz w:val="22"/>
          <w:szCs w:val="22"/>
        </w:rPr>
        <w:t xml:space="preserve"> density/biomass summarized by functional groups when transect lengths and ID levels were consistent; otherwise used qualitative categories (low/moderate/high relative to Gulf references).</w:t>
      </w:r>
    </w:p>
    <w:p w14:paraId="3C6EC94A" w14:textId="3BC286BA" w:rsidR="008B747D" w:rsidRPr="003B66BF" w:rsidRDefault="008B747D" w:rsidP="008B747D">
      <w:pPr>
        <w:pStyle w:val="NormalWeb"/>
        <w:jc w:val="both"/>
        <w:rPr>
          <w:rFonts w:ascii="Arial" w:hAnsi="Arial" w:cs="Arial"/>
          <w:sz w:val="22"/>
          <w:szCs w:val="22"/>
        </w:rPr>
      </w:pPr>
      <w:r w:rsidRPr="003B66BF">
        <w:rPr>
          <w:rStyle w:val="Strong"/>
          <w:rFonts w:ascii="Arial" w:eastAsiaTheme="majorEastAsia" w:hAnsi="Arial" w:cs="Arial"/>
          <w:sz w:val="22"/>
          <w:szCs w:val="22"/>
        </w:rPr>
        <w:t>Seagrass extent &amp; sensitivity</w:t>
      </w:r>
    </w:p>
    <w:p w14:paraId="012CECCF" w14:textId="77777777" w:rsidR="008B747D" w:rsidRPr="003B66BF" w:rsidRDefault="008B747D" w:rsidP="008B747D">
      <w:pPr>
        <w:pStyle w:val="NormalWeb"/>
        <w:numPr>
          <w:ilvl w:val="0"/>
          <w:numId w:val="34"/>
        </w:numPr>
        <w:jc w:val="both"/>
        <w:rPr>
          <w:rFonts w:ascii="Arial" w:hAnsi="Arial" w:cs="Arial"/>
          <w:sz w:val="22"/>
          <w:szCs w:val="22"/>
        </w:rPr>
      </w:pPr>
      <w:r w:rsidRPr="003B66BF">
        <w:rPr>
          <w:rStyle w:val="Strong"/>
          <w:rFonts w:ascii="Arial" w:eastAsiaTheme="majorEastAsia" w:hAnsi="Arial" w:cs="Arial"/>
          <w:sz w:val="22"/>
          <w:szCs w:val="22"/>
        </w:rPr>
        <w:t>Area (ha):</w:t>
      </w:r>
      <w:r w:rsidRPr="003B66BF">
        <w:rPr>
          <w:rFonts w:ascii="Arial" w:hAnsi="Arial" w:cs="Arial"/>
          <w:sz w:val="22"/>
          <w:szCs w:val="22"/>
        </w:rPr>
        <w:t xml:space="preserve"> meadow polygons merged per CFi; overlaps resolved by priority to the most recent, ground-validated layer.</w:t>
      </w:r>
    </w:p>
    <w:p w14:paraId="33857B45" w14:textId="77777777" w:rsidR="008B747D" w:rsidRPr="003B66BF" w:rsidRDefault="008B747D" w:rsidP="008B747D">
      <w:pPr>
        <w:pStyle w:val="NormalWeb"/>
        <w:numPr>
          <w:ilvl w:val="0"/>
          <w:numId w:val="34"/>
        </w:numPr>
        <w:jc w:val="both"/>
        <w:rPr>
          <w:rFonts w:ascii="Arial" w:hAnsi="Arial" w:cs="Arial"/>
          <w:sz w:val="22"/>
          <w:szCs w:val="22"/>
        </w:rPr>
      </w:pPr>
      <w:r w:rsidRPr="003B66BF">
        <w:rPr>
          <w:rStyle w:val="Strong"/>
          <w:rFonts w:ascii="Arial" w:eastAsiaTheme="majorEastAsia" w:hAnsi="Arial" w:cs="Arial"/>
          <w:sz w:val="22"/>
          <w:szCs w:val="22"/>
        </w:rPr>
        <w:t>Edge stability &amp; trawl scars:</w:t>
      </w:r>
      <w:r w:rsidRPr="003B66BF">
        <w:rPr>
          <w:rFonts w:ascii="Arial" w:hAnsi="Arial" w:cs="Arial"/>
          <w:sz w:val="22"/>
          <w:szCs w:val="22"/>
        </w:rPr>
        <w:t xml:space="preserve"> where GPS patrol tracks and drone imagery existed, computed edge retreat/advance (m·yr</w:t>
      </w:r>
      <w:r w:rsidRPr="003B66BF">
        <w:rPr>
          <w:rFonts w:ascii="Cambria Math" w:hAnsi="Cambria Math" w:cs="Cambria Math"/>
          <w:sz w:val="22"/>
          <w:szCs w:val="22"/>
        </w:rPr>
        <w:t>⁻</w:t>
      </w:r>
      <w:r w:rsidRPr="003B66BF">
        <w:rPr>
          <w:rFonts w:ascii="Arial" w:hAnsi="Arial" w:cs="Arial"/>
          <w:sz w:val="22"/>
          <w:szCs w:val="22"/>
        </w:rPr>
        <w:t>¹) and scar density (km·km</w:t>
      </w:r>
      <w:r w:rsidRPr="003B66BF">
        <w:rPr>
          <w:rFonts w:ascii="Cambria Math" w:hAnsi="Cambria Math" w:cs="Cambria Math"/>
          <w:sz w:val="22"/>
          <w:szCs w:val="22"/>
        </w:rPr>
        <w:t>⁻</w:t>
      </w:r>
      <w:r w:rsidRPr="003B66BF">
        <w:rPr>
          <w:rFonts w:ascii="Arial" w:hAnsi="Arial" w:cs="Arial"/>
          <w:sz w:val="22"/>
          <w:szCs w:val="22"/>
        </w:rPr>
        <w:t>²).</w:t>
      </w:r>
    </w:p>
    <w:p w14:paraId="22D6D724" w14:textId="77777777" w:rsidR="008B747D" w:rsidRPr="003B66BF" w:rsidRDefault="008B747D" w:rsidP="008B747D">
      <w:pPr>
        <w:pStyle w:val="NormalWeb"/>
        <w:numPr>
          <w:ilvl w:val="0"/>
          <w:numId w:val="34"/>
        </w:numPr>
        <w:jc w:val="both"/>
        <w:rPr>
          <w:rFonts w:ascii="Arial" w:hAnsi="Arial" w:cs="Arial"/>
          <w:sz w:val="22"/>
          <w:szCs w:val="22"/>
        </w:rPr>
      </w:pPr>
      <w:r w:rsidRPr="003B66BF">
        <w:rPr>
          <w:rStyle w:val="Strong"/>
          <w:rFonts w:ascii="Arial" w:eastAsiaTheme="majorEastAsia" w:hAnsi="Arial" w:cs="Arial"/>
          <w:sz w:val="22"/>
          <w:szCs w:val="22"/>
        </w:rPr>
        <w:t>Light limitation proxy:</w:t>
      </w:r>
      <w:r w:rsidRPr="003B66BF">
        <w:rPr>
          <w:rFonts w:ascii="Arial" w:hAnsi="Arial" w:cs="Arial"/>
          <w:sz w:val="22"/>
          <w:szCs w:val="22"/>
        </w:rPr>
        <w:t xml:space="preserve"> used turbidity notes and depth-of-occurrence shifts (when repeated depth belts were available) as qualitative Kd proxies.</w:t>
      </w:r>
    </w:p>
    <w:p w14:paraId="27085396" w14:textId="30B75760" w:rsidR="008B747D" w:rsidRPr="003B66BF" w:rsidRDefault="008B747D" w:rsidP="008B747D">
      <w:pPr>
        <w:pStyle w:val="NormalWeb"/>
        <w:jc w:val="both"/>
        <w:rPr>
          <w:rFonts w:ascii="Arial" w:hAnsi="Arial" w:cs="Arial"/>
          <w:sz w:val="22"/>
          <w:szCs w:val="22"/>
        </w:rPr>
      </w:pPr>
      <w:r w:rsidRPr="003B66BF">
        <w:rPr>
          <w:rStyle w:val="Strong"/>
          <w:rFonts w:ascii="Arial" w:eastAsiaTheme="majorEastAsia" w:hAnsi="Arial" w:cs="Arial"/>
          <w:sz w:val="22"/>
          <w:szCs w:val="22"/>
        </w:rPr>
        <w:t>Blue-carbon screening (order-of-magnitude)</w:t>
      </w:r>
    </w:p>
    <w:p w14:paraId="057B78FA" w14:textId="77777777" w:rsidR="008B747D" w:rsidRPr="003B66BF" w:rsidRDefault="008B747D" w:rsidP="008B747D">
      <w:pPr>
        <w:pStyle w:val="NormalWeb"/>
        <w:numPr>
          <w:ilvl w:val="0"/>
          <w:numId w:val="35"/>
        </w:numPr>
        <w:jc w:val="both"/>
        <w:rPr>
          <w:rFonts w:ascii="Arial" w:hAnsi="Arial" w:cs="Arial"/>
          <w:sz w:val="22"/>
          <w:szCs w:val="22"/>
        </w:rPr>
      </w:pPr>
      <w:r w:rsidRPr="003B66BF">
        <w:rPr>
          <w:rFonts w:ascii="Arial" w:hAnsi="Arial" w:cs="Arial"/>
          <w:sz w:val="22"/>
          <w:szCs w:val="22"/>
        </w:rPr>
        <w:t xml:space="preserve">For policy framing only (not crediting): multiplied areas by Tier-1/2 stock factors from peer-reviewed syntheses for </w:t>
      </w:r>
      <w:r w:rsidRPr="003B66BF">
        <w:rPr>
          <w:rStyle w:val="Strong"/>
          <w:rFonts w:ascii="Arial" w:eastAsiaTheme="majorEastAsia" w:hAnsi="Arial" w:cs="Arial"/>
          <w:sz w:val="22"/>
          <w:szCs w:val="22"/>
        </w:rPr>
        <w:t>mangrove peat</w:t>
      </w:r>
      <w:r w:rsidRPr="003B66BF">
        <w:rPr>
          <w:rFonts w:ascii="Arial" w:hAnsi="Arial" w:cs="Arial"/>
          <w:sz w:val="22"/>
          <w:szCs w:val="22"/>
        </w:rPr>
        <w:t xml:space="preserve"> and </w:t>
      </w:r>
      <w:r w:rsidRPr="003B66BF">
        <w:rPr>
          <w:rStyle w:val="Strong"/>
          <w:rFonts w:ascii="Arial" w:eastAsiaTheme="majorEastAsia" w:hAnsi="Arial" w:cs="Arial"/>
          <w:sz w:val="22"/>
          <w:szCs w:val="22"/>
        </w:rPr>
        <w:t>seagrass soils</w:t>
      </w:r>
      <w:r w:rsidRPr="003B66BF">
        <w:rPr>
          <w:rFonts w:ascii="Arial" w:hAnsi="Arial" w:cs="Arial"/>
          <w:sz w:val="22"/>
          <w:szCs w:val="22"/>
        </w:rPr>
        <w:t xml:space="preserve">; reported as ranges (±25–50%) and </w:t>
      </w:r>
      <w:r w:rsidRPr="003B66BF">
        <w:rPr>
          <w:rStyle w:val="Strong"/>
          <w:rFonts w:ascii="Arial" w:eastAsiaTheme="majorEastAsia" w:hAnsi="Arial" w:cs="Arial"/>
          <w:sz w:val="22"/>
          <w:szCs w:val="22"/>
        </w:rPr>
        <w:t>not</w:t>
      </w:r>
      <w:r w:rsidRPr="003B66BF">
        <w:rPr>
          <w:rFonts w:ascii="Arial" w:hAnsi="Arial" w:cs="Arial"/>
          <w:sz w:val="22"/>
          <w:szCs w:val="22"/>
        </w:rPr>
        <w:t xml:space="preserve"> used for valuation without site-level MRV.</w:t>
      </w:r>
    </w:p>
    <w:p w14:paraId="6CDCB19F" w14:textId="590D51A7" w:rsidR="008B747D" w:rsidRPr="003B66BF" w:rsidRDefault="008B747D" w:rsidP="008B747D">
      <w:pPr>
        <w:pStyle w:val="NormalWeb"/>
        <w:jc w:val="both"/>
        <w:rPr>
          <w:rFonts w:ascii="Arial" w:hAnsi="Arial" w:cs="Arial"/>
          <w:sz w:val="22"/>
          <w:szCs w:val="22"/>
        </w:rPr>
      </w:pPr>
      <w:r w:rsidRPr="003B66BF">
        <w:rPr>
          <w:rStyle w:val="Strong"/>
          <w:rFonts w:ascii="Arial" w:eastAsiaTheme="majorEastAsia" w:hAnsi="Arial" w:cs="Arial"/>
          <w:sz w:val="22"/>
          <w:szCs w:val="22"/>
        </w:rPr>
        <w:t>Socio-ecological coupling</w:t>
      </w:r>
    </w:p>
    <w:p w14:paraId="69971C0E" w14:textId="77777777" w:rsidR="008B747D" w:rsidRPr="003B66BF" w:rsidRDefault="008B747D" w:rsidP="008B747D">
      <w:pPr>
        <w:pStyle w:val="NormalWeb"/>
        <w:numPr>
          <w:ilvl w:val="0"/>
          <w:numId w:val="36"/>
        </w:numPr>
        <w:jc w:val="both"/>
        <w:rPr>
          <w:rFonts w:ascii="Arial" w:hAnsi="Arial" w:cs="Arial"/>
          <w:sz w:val="22"/>
          <w:szCs w:val="22"/>
        </w:rPr>
      </w:pPr>
      <w:r w:rsidRPr="003B66BF">
        <w:rPr>
          <w:rFonts w:ascii="Arial" w:hAnsi="Arial" w:cs="Arial"/>
          <w:sz w:val="22"/>
          <w:szCs w:val="22"/>
        </w:rPr>
        <w:t xml:space="preserve">Linked habitat units to adjacent CFis/settlements (2-km coastal buffer) to flag livelihood exposure where </w:t>
      </w:r>
      <w:r w:rsidRPr="003B66BF">
        <w:rPr>
          <w:rStyle w:val="Strong"/>
          <w:rFonts w:ascii="Arial" w:eastAsiaTheme="majorEastAsia" w:hAnsi="Arial" w:cs="Arial"/>
          <w:sz w:val="22"/>
          <w:szCs w:val="22"/>
        </w:rPr>
        <w:t>&gt;50%</w:t>
      </w:r>
      <w:r w:rsidRPr="003B66BF">
        <w:rPr>
          <w:rFonts w:ascii="Arial" w:hAnsi="Arial" w:cs="Arial"/>
          <w:sz w:val="22"/>
          <w:szCs w:val="22"/>
        </w:rPr>
        <w:t xml:space="preserve"> of local income is wetland/fishery-derived (per Ramsar/field studies).</w:t>
      </w:r>
    </w:p>
    <w:p w14:paraId="651C2DE9" w14:textId="77777777" w:rsidR="008B747D" w:rsidRPr="003B66BF" w:rsidRDefault="008B747D" w:rsidP="008B747D">
      <w:pPr>
        <w:pStyle w:val="NormalWeb"/>
        <w:numPr>
          <w:ilvl w:val="0"/>
          <w:numId w:val="36"/>
        </w:numPr>
        <w:jc w:val="both"/>
        <w:rPr>
          <w:rFonts w:ascii="Arial" w:hAnsi="Arial" w:cs="Arial"/>
          <w:sz w:val="22"/>
          <w:szCs w:val="22"/>
        </w:rPr>
      </w:pPr>
      <w:r w:rsidRPr="003B66BF">
        <w:rPr>
          <w:rFonts w:ascii="Arial" w:hAnsi="Arial" w:cs="Arial"/>
          <w:sz w:val="22"/>
          <w:szCs w:val="22"/>
        </w:rPr>
        <w:t>For hotspot narratives, combined hydrologic connectivity (freshwater inlets, tidal prisms), nursery adjacency (mangrove</w:t>
      </w:r>
      <w:r w:rsidRPr="003B66BF">
        <w:rPr>
          <w:rFonts w:ascii="Cambria Math" w:hAnsi="Cambria Math" w:cs="Cambria Math"/>
          <w:sz w:val="22"/>
          <w:szCs w:val="22"/>
        </w:rPr>
        <w:t>⇄</w:t>
      </w:r>
      <w:r w:rsidRPr="003B66BF">
        <w:rPr>
          <w:rFonts w:ascii="Arial" w:hAnsi="Arial" w:cs="Arial"/>
          <w:sz w:val="22"/>
          <w:szCs w:val="22"/>
        </w:rPr>
        <w:t>seagrass corridors), and enforcement footprint (patrol hours, anti-trawl deployments).</w:t>
      </w:r>
    </w:p>
    <w:p w14:paraId="051A21E9" w14:textId="6F0251A1" w:rsidR="008B747D" w:rsidRPr="003B66BF" w:rsidRDefault="008B747D" w:rsidP="008B747D">
      <w:pPr>
        <w:pStyle w:val="NormalWeb"/>
        <w:jc w:val="both"/>
        <w:rPr>
          <w:rFonts w:ascii="Arial" w:hAnsi="Arial" w:cs="Arial"/>
          <w:sz w:val="22"/>
          <w:szCs w:val="22"/>
        </w:rPr>
      </w:pPr>
      <w:r w:rsidRPr="003B66BF">
        <w:rPr>
          <w:rStyle w:val="Strong"/>
          <w:rFonts w:ascii="Arial" w:eastAsiaTheme="majorEastAsia" w:hAnsi="Arial" w:cs="Arial"/>
          <w:sz w:val="22"/>
          <w:szCs w:val="22"/>
        </w:rPr>
        <w:t>Trend language</w:t>
      </w:r>
    </w:p>
    <w:p w14:paraId="56938816" w14:textId="77777777" w:rsidR="008B747D" w:rsidRPr="003B66BF" w:rsidRDefault="008B747D" w:rsidP="008B747D">
      <w:pPr>
        <w:pStyle w:val="NormalWeb"/>
        <w:numPr>
          <w:ilvl w:val="0"/>
          <w:numId w:val="37"/>
        </w:numPr>
        <w:jc w:val="both"/>
        <w:rPr>
          <w:rFonts w:ascii="Arial" w:hAnsi="Arial" w:cs="Arial"/>
          <w:sz w:val="22"/>
          <w:szCs w:val="22"/>
        </w:rPr>
      </w:pPr>
      <w:r w:rsidRPr="003B66BF">
        <w:rPr>
          <w:rFonts w:ascii="Arial" w:hAnsi="Arial" w:cs="Arial"/>
          <w:sz w:val="22"/>
          <w:szCs w:val="22"/>
        </w:rPr>
        <w:t>“Decline/Recovery” used only when (a) at least two independent observations with consistent method exist, or (b) one observation with strong ancillary evidence (e.g., trawl-scar proliferation, dredging chronology) and expert validation.</w:t>
      </w:r>
    </w:p>
    <w:p w14:paraId="74D8A6C8" w14:textId="48547EE4" w:rsidR="001B3C78" w:rsidRPr="00BA2EEB" w:rsidRDefault="009C30D3" w:rsidP="009C30D3">
      <w:pPr>
        <w:pStyle w:val="NormalWeb"/>
        <w:jc w:val="both"/>
        <w:rPr>
          <w:rFonts w:ascii="Arial" w:hAnsi="Arial" w:cs="Arial"/>
          <w:b/>
          <w:bCs/>
          <w:color w:val="0070C0"/>
        </w:rPr>
      </w:pPr>
      <w:r w:rsidRPr="00BA2EEB">
        <w:rPr>
          <w:rFonts w:ascii="Arial" w:hAnsi="Arial" w:cs="Arial"/>
          <w:b/>
          <w:bCs/>
          <w:color w:val="0070C0"/>
        </w:rPr>
        <w:t>Annex 4-</w:t>
      </w:r>
      <w:r w:rsidRPr="00BA2EEB">
        <w:rPr>
          <w:rFonts w:ascii="Arial" w:hAnsi="Arial" w:cs="Arial"/>
          <w:b/>
          <w:bCs/>
          <w:color w:val="0070C0"/>
        </w:rPr>
        <w:fldChar w:fldCharType="begin"/>
      </w:r>
      <w:r w:rsidRPr="00BA2EEB">
        <w:rPr>
          <w:rFonts w:ascii="Arial" w:hAnsi="Arial" w:cs="Arial"/>
          <w:b/>
          <w:bCs/>
          <w:color w:val="0070C0"/>
        </w:rPr>
        <w:instrText xml:space="preserve"> SEQ Annex_4- \* ARABIC </w:instrText>
      </w:r>
      <w:r w:rsidRPr="00BA2EEB">
        <w:rPr>
          <w:rFonts w:ascii="Arial" w:hAnsi="Arial" w:cs="Arial"/>
          <w:b/>
          <w:bCs/>
          <w:color w:val="0070C0"/>
        </w:rPr>
        <w:fldChar w:fldCharType="separate"/>
      </w:r>
      <w:r w:rsidR="00802509">
        <w:rPr>
          <w:rFonts w:ascii="Arial" w:hAnsi="Arial" w:cs="Arial"/>
          <w:b/>
          <w:bCs/>
          <w:noProof/>
          <w:color w:val="0070C0"/>
        </w:rPr>
        <w:t>3</w:t>
      </w:r>
      <w:r w:rsidRPr="00BA2EEB">
        <w:rPr>
          <w:rFonts w:ascii="Arial" w:hAnsi="Arial" w:cs="Arial"/>
          <w:b/>
          <w:bCs/>
          <w:color w:val="0070C0"/>
        </w:rPr>
        <w:fldChar w:fldCharType="end"/>
      </w:r>
      <w:r w:rsidRPr="00BA2EEB">
        <w:rPr>
          <w:rFonts w:ascii="Arial" w:hAnsi="Arial" w:cs="Arial"/>
          <w:b/>
          <w:bCs/>
          <w:color w:val="0070C0"/>
        </w:rPr>
        <w:t xml:space="preserve"> </w:t>
      </w:r>
      <w:r w:rsidR="001B3C78" w:rsidRPr="00BA2EEB">
        <w:rPr>
          <w:rFonts w:ascii="Arial" w:hAnsi="Arial" w:cs="Arial"/>
          <w:b/>
          <w:bCs/>
          <w:color w:val="0070C0"/>
        </w:rPr>
        <w:t>Spatial &amp; temporal frame</w:t>
      </w:r>
    </w:p>
    <w:p w14:paraId="36832AFC" w14:textId="77777777" w:rsidR="001B3C78" w:rsidRPr="003B66BF" w:rsidRDefault="001B3C78" w:rsidP="001B3C78">
      <w:pPr>
        <w:pStyle w:val="NormalWeb"/>
        <w:jc w:val="both"/>
        <w:rPr>
          <w:rFonts w:ascii="Arial" w:hAnsi="Arial" w:cs="Arial"/>
          <w:sz w:val="22"/>
          <w:szCs w:val="22"/>
        </w:rPr>
      </w:pPr>
      <w:r w:rsidRPr="003B66BF">
        <w:rPr>
          <w:rStyle w:val="Strong"/>
          <w:rFonts w:ascii="Arial" w:eastAsiaTheme="majorEastAsia" w:hAnsi="Arial" w:cs="Arial"/>
          <w:sz w:val="22"/>
          <w:szCs w:val="22"/>
        </w:rPr>
        <w:t>Spatial definitions.</w:t>
      </w:r>
      <w:r w:rsidRPr="003B66BF">
        <w:rPr>
          <w:rFonts w:ascii="Arial" w:hAnsi="Arial" w:cs="Arial"/>
          <w:sz w:val="22"/>
          <w:szCs w:val="22"/>
        </w:rPr>
        <w:t xml:space="preserve"> Provincial boundaries follow official census geographies. Ecosystem units combine (i) national/provincial extents (mangroves, coral, seagrass, wetlands), (ii) legally designated areas (MNPs, MFMAs, Ramsar/WS/NP/PL), and (iii) community zones (CFis/CPAs) for co-management analyses. Where zoning overlaps (e.g., Koh Rong MNP over earlier MFMA), rules are harmonized by the most recent legal designation for maps/tables.</w:t>
      </w:r>
    </w:p>
    <w:p w14:paraId="6114E7C7" w14:textId="470275CA" w:rsidR="001B3C78" w:rsidRPr="003B66BF" w:rsidRDefault="001B3C78" w:rsidP="001B3C78">
      <w:pPr>
        <w:pStyle w:val="NormalWeb"/>
        <w:jc w:val="both"/>
        <w:rPr>
          <w:rFonts w:ascii="Arial" w:hAnsi="Arial" w:cs="Arial"/>
          <w:sz w:val="22"/>
          <w:szCs w:val="22"/>
        </w:rPr>
      </w:pPr>
      <w:r w:rsidRPr="003B66BF">
        <w:rPr>
          <w:rStyle w:val="Strong"/>
          <w:rFonts w:ascii="Arial" w:eastAsiaTheme="majorEastAsia" w:hAnsi="Arial" w:cs="Arial"/>
          <w:sz w:val="22"/>
          <w:szCs w:val="22"/>
        </w:rPr>
        <w:t>Time horizon</w:t>
      </w:r>
    </w:p>
    <w:p w14:paraId="7A0C9C26" w14:textId="77777777" w:rsidR="001B3C78" w:rsidRPr="003B66BF" w:rsidRDefault="001B3C78" w:rsidP="001B3C78">
      <w:pPr>
        <w:pStyle w:val="NormalWeb"/>
        <w:numPr>
          <w:ilvl w:val="0"/>
          <w:numId w:val="26"/>
        </w:numPr>
        <w:jc w:val="both"/>
        <w:rPr>
          <w:rFonts w:ascii="Arial" w:hAnsi="Arial" w:cs="Arial"/>
          <w:sz w:val="22"/>
          <w:szCs w:val="22"/>
        </w:rPr>
      </w:pPr>
      <w:r w:rsidRPr="003B66BF">
        <w:rPr>
          <w:rStyle w:val="Strong"/>
          <w:rFonts w:ascii="Arial" w:eastAsiaTheme="majorEastAsia" w:hAnsi="Arial" w:cs="Arial"/>
          <w:sz w:val="22"/>
          <w:szCs w:val="22"/>
        </w:rPr>
        <w:t>Mangroves:</w:t>
      </w:r>
      <w:r w:rsidRPr="003B66BF">
        <w:rPr>
          <w:rFonts w:ascii="Arial" w:hAnsi="Arial" w:cs="Arial"/>
          <w:sz w:val="22"/>
          <w:szCs w:val="22"/>
        </w:rPr>
        <w:t xml:space="preserve"> long-run references (1997–2011) from NSOC compilations; recent change from </w:t>
      </w:r>
      <w:r w:rsidRPr="003B66BF">
        <w:rPr>
          <w:rStyle w:val="Strong"/>
          <w:rFonts w:ascii="Arial" w:eastAsiaTheme="majorEastAsia" w:hAnsi="Arial" w:cs="Arial"/>
          <w:sz w:val="22"/>
          <w:szCs w:val="22"/>
        </w:rPr>
        <w:t>2014–2025</w:t>
      </w:r>
      <w:r w:rsidRPr="003B66BF">
        <w:rPr>
          <w:rFonts w:ascii="Arial" w:hAnsi="Arial" w:cs="Arial"/>
          <w:sz w:val="22"/>
          <w:szCs w:val="22"/>
        </w:rPr>
        <w:t xml:space="preserve"> using MoE’s ongoing Mangrove Assessment (Sentinel-2, 10 m).</w:t>
      </w:r>
    </w:p>
    <w:p w14:paraId="50CF5C5C" w14:textId="77777777" w:rsidR="001B3C78" w:rsidRPr="003B66BF" w:rsidRDefault="001B3C78" w:rsidP="001B3C78">
      <w:pPr>
        <w:pStyle w:val="NormalWeb"/>
        <w:numPr>
          <w:ilvl w:val="0"/>
          <w:numId w:val="26"/>
        </w:numPr>
        <w:jc w:val="both"/>
        <w:rPr>
          <w:rFonts w:ascii="Arial" w:hAnsi="Arial" w:cs="Arial"/>
          <w:sz w:val="22"/>
          <w:szCs w:val="22"/>
        </w:rPr>
      </w:pPr>
      <w:r w:rsidRPr="003B66BF">
        <w:rPr>
          <w:rStyle w:val="Strong"/>
          <w:rFonts w:ascii="Arial" w:eastAsiaTheme="majorEastAsia" w:hAnsi="Arial" w:cs="Arial"/>
          <w:sz w:val="22"/>
          <w:szCs w:val="22"/>
        </w:rPr>
        <w:t>Coral reefs:</w:t>
      </w:r>
      <w:r w:rsidRPr="003B66BF">
        <w:rPr>
          <w:rFonts w:ascii="Arial" w:hAnsi="Arial" w:cs="Arial"/>
          <w:sz w:val="22"/>
          <w:szCs w:val="22"/>
        </w:rPr>
        <w:t xml:space="preserve"> condition/cover from 2010–2025 (legacy baselines; standardized national series since ~2019 with CCRMN).</w:t>
      </w:r>
    </w:p>
    <w:p w14:paraId="3E170752" w14:textId="77777777" w:rsidR="001B3C78" w:rsidRPr="003B66BF" w:rsidRDefault="001B3C78" w:rsidP="001B3C78">
      <w:pPr>
        <w:pStyle w:val="NormalWeb"/>
        <w:numPr>
          <w:ilvl w:val="0"/>
          <w:numId w:val="26"/>
        </w:numPr>
        <w:jc w:val="both"/>
        <w:rPr>
          <w:rFonts w:ascii="Arial" w:hAnsi="Arial" w:cs="Arial"/>
          <w:sz w:val="22"/>
          <w:szCs w:val="22"/>
        </w:rPr>
      </w:pPr>
      <w:r w:rsidRPr="003B66BF">
        <w:rPr>
          <w:rStyle w:val="Strong"/>
          <w:rFonts w:ascii="Arial" w:eastAsiaTheme="majorEastAsia" w:hAnsi="Arial" w:cs="Arial"/>
          <w:sz w:val="22"/>
          <w:szCs w:val="22"/>
        </w:rPr>
        <w:t>Seagrass:</w:t>
      </w:r>
      <w:r w:rsidRPr="003B66BF">
        <w:rPr>
          <w:rFonts w:ascii="Arial" w:hAnsi="Arial" w:cs="Arial"/>
          <w:sz w:val="22"/>
          <w:szCs w:val="22"/>
        </w:rPr>
        <w:t xml:space="preserve"> extent/condition anchored on </w:t>
      </w:r>
      <w:r w:rsidRPr="003B66BF">
        <w:rPr>
          <w:rStyle w:val="Strong"/>
          <w:rFonts w:ascii="Arial" w:eastAsiaTheme="majorEastAsia" w:hAnsi="Arial" w:cs="Arial"/>
          <w:sz w:val="22"/>
          <w:szCs w:val="22"/>
        </w:rPr>
        <w:t>2014–2025</w:t>
      </w:r>
      <w:r w:rsidRPr="003B66BF">
        <w:rPr>
          <w:rFonts w:ascii="Arial" w:hAnsi="Arial" w:cs="Arial"/>
          <w:sz w:val="22"/>
          <w:szCs w:val="22"/>
        </w:rPr>
        <w:t xml:space="preserve"> (provincewide compilations plus 2021–2023 mapping in Koh Kong/Preah Sihanouk; 2014 &amp; 2025 for Kep–Kampot).</w:t>
      </w:r>
    </w:p>
    <w:p w14:paraId="14809CB9" w14:textId="77777777" w:rsidR="001B3C78" w:rsidRPr="003B66BF" w:rsidRDefault="001B3C78" w:rsidP="001B3C78">
      <w:pPr>
        <w:pStyle w:val="NormalWeb"/>
        <w:numPr>
          <w:ilvl w:val="0"/>
          <w:numId w:val="26"/>
        </w:numPr>
        <w:jc w:val="both"/>
        <w:rPr>
          <w:rFonts w:ascii="Arial" w:hAnsi="Arial" w:cs="Arial"/>
          <w:sz w:val="22"/>
          <w:szCs w:val="22"/>
        </w:rPr>
      </w:pPr>
      <w:r w:rsidRPr="003B66BF">
        <w:rPr>
          <w:rStyle w:val="Strong"/>
          <w:rFonts w:ascii="Arial" w:eastAsiaTheme="majorEastAsia" w:hAnsi="Arial" w:cs="Arial"/>
          <w:sz w:val="22"/>
          <w:szCs w:val="22"/>
        </w:rPr>
        <w:t>Wetlands/biodiversity:</w:t>
      </w:r>
      <w:r w:rsidRPr="003B66BF">
        <w:rPr>
          <w:rFonts w:ascii="Arial" w:hAnsi="Arial" w:cs="Arial"/>
          <w:sz w:val="22"/>
          <w:szCs w:val="22"/>
        </w:rPr>
        <w:t xml:space="preserve"> site dossiers use source-year snapshots (Ramsar sheets, management plans, recent field reports).</w:t>
      </w:r>
    </w:p>
    <w:p w14:paraId="25092712" w14:textId="77777777" w:rsidR="001B3C78" w:rsidRPr="003B66BF" w:rsidRDefault="001B3C78" w:rsidP="001B3C78">
      <w:pPr>
        <w:pStyle w:val="NormalWeb"/>
        <w:jc w:val="both"/>
        <w:rPr>
          <w:rFonts w:ascii="Arial" w:hAnsi="Arial" w:cs="Arial"/>
          <w:sz w:val="22"/>
          <w:szCs w:val="22"/>
        </w:rPr>
      </w:pPr>
      <w:r w:rsidRPr="003B66BF">
        <w:rPr>
          <w:rStyle w:val="Strong"/>
          <w:rFonts w:ascii="Arial" w:eastAsiaTheme="majorEastAsia" w:hAnsi="Arial" w:cs="Arial"/>
          <w:sz w:val="22"/>
          <w:szCs w:val="22"/>
        </w:rPr>
        <w:t>Conflict/definition discontinuities.</w:t>
      </w:r>
      <w:r w:rsidRPr="003B66BF">
        <w:rPr>
          <w:rFonts w:ascii="Arial" w:hAnsi="Arial" w:cs="Arial"/>
          <w:sz w:val="22"/>
          <w:szCs w:val="22"/>
        </w:rPr>
        <w:t xml:space="preserve"> Where historical land-cover/extent products used different class keys (e.g., “mangrove woody wetland” vs “mangrove forest”), we built a cross-walk and report uncertainties with ranges rather than single-point change rates.</w:t>
      </w:r>
    </w:p>
    <w:p w14:paraId="6B2CAA6A" w14:textId="6F1C834C" w:rsidR="001B3C78" w:rsidRPr="00BA2EEB" w:rsidRDefault="009C30D3" w:rsidP="009C30D3">
      <w:pPr>
        <w:pStyle w:val="NormalWeb"/>
        <w:jc w:val="both"/>
        <w:rPr>
          <w:rFonts w:ascii="Arial" w:hAnsi="Arial" w:cs="Arial"/>
          <w:b/>
          <w:bCs/>
          <w:color w:val="0070C0"/>
        </w:rPr>
      </w:pPr>
      <w:r w:rsidRPr="00BA2EEB">
        <w:rPr>
          <w:rFonts w:ascii="Arial" w:hAnsi="Arial" w:cs="Arial"/>
          <w:b/>
          <w:bCs/>
          <w:color w:val="0070C0"/>
        </w:rPr>
        <w:t>Annex 4-</w:t>
      </w:r>
      <w:r w:rsidRPr="00BA2EEB">
        <w:rPr>
          <w:rFonts w:ascii="Arial" w:hAnsi="Arial" w:cs="Arial"/>
          <w:b/>
          <w:bCs/>
          <w:color w:val="0070C0"/>
        </w:rPr>
        <w:fldChar w:fldCharType="begin"/>
      </w:r>
      <w:r w:rsidRPr="00BA2EEB">
        <w:rPr>
          <w:rFonts w:ascii="Arial" w:hAnsi="Arial" w:cs="Arial"/>
          <w:b/>
          <w:bCs/>
          <w:color w:val="0070C0"/>
        </w:rPr>
        <w:instrText xml:space="preserve"> SEQ Annex_4- \* ARABIC </w:instrText>
      </w:r>
      <w:r w:rsidRPr="00BA2EEB">
        <w:rPr>
          <w:rFonts w:ascii="Arial" w:hAnsi="Arial" w:cs="Arial"/>
          <w:b/>
          <w:bCs/>
          <w:color w:val="0070C0"/>
        </w:rPr>
        <w:fldChar w:fldCharType="separate"/>
      </w:r>
      <w:r w:rsidR="00802509">
        <w:rPr>
          <w:rFonts w:ascii="Arial" w:hAnsi="Arial" w:cs="Arial"/>
          <w:b/>
          <w:bCs/>
          <w:noProof/>
          <w:color w:val="0070C0"/>
        </w:rPr>
        <w:t>4</w:t>
      </w:r>
      <w:r w:rsidRPr="00BA2EEB">
        <w:rPr>
          <w:rFonts w:ascii="Arial" w:hAnsi="Arial" w:cs="Arial"/>
          <w:b/>
          <w:bCs/>
          <w:color w:val="0070C0"/>
        </w:rPr>
        <w:fldChar w:fldCharType="end"/>
      </w:r>
      <w:r w:rsidRPr="00BA2EEB">
        <w:rPr>
          <w:rFonts w:ascii="Arial" w:hAnsi="Arial" w:cs="Arial"/>
          <w:b/>
          <w:bCs/>
          <w:color w:val="0070C0"/>
        </w:rPr>
        <w:t xml:space="preserve"> </w:t>
      </w:r>
      <w:r w:rsidR="001B3C78" w:rsidRPr="00BA2EEB">
        <w:rPr>
          <w:rFonts w:ascii="Arial" w:hAnsi="Arial" w:cs="Arial"/>
          <w:b/>
          <w:bCs/>
          <w:color w:val="0070C0"/>
        </w:rPr>
        <w:t>Quality assurance, triangulation &amp; treatment of uncertainty</w:t>
      </w:r>
    </w:p>
    <w:p w14:paraId="2B928C49" w14:textId="77777777" w:rsidR="001B3C78" w:rsidRPr="003B66BF" w:rsidRDefault="001B3C78" w:rsidP="001B3C78">
      <w:pPr>
        <w:pStyle w:val="NormalWeb"/>
        <w:spacing w:before="240" w:beforeAutospacing="0" w:after="240" w:afterAutospacing="0"/>
        <w:jc w:val="both"/>
        <w:rPr>
          <w:rFonts w:ascii="Arial" w:hAnsi="Arial" w:cs="Arial"/>
          <w:sz w:val="22"/>
          <w:szCs w:val="22"/>
        </w:rPr>
      </w:pPr>
      <w:r w:rsidRPr="003B66BF">
        <w:rPr>
          <w:rStyle w:val="Strong"/>
          <w:rFonts w:ascii="Arial" w:eastAsiaTheme="majorEastAsia" w:hAnsi="Arial" w:cs="Arial"/>
          <w:sz w:val="22"/>
          <w:szCs w:val="22"/>
        </w:rPr>
        <w:t>Cross-source checks.</w:t>
      </w:r>
      <w:r w:rsidRPr="003B66BF">
        <w:rPr>
          <w:rFonts w:ascii="Arial" w:hAnsi="Arial" w:cs="Arial"/>
          <w:sz w:val="22"/>
          <w:szCs w:val="22"/>
        </w:rPr>
        <w:t xml:space="preserve"> Mangrove totals were compared against GMW v3.0 tiles and legacy NSOC figures to validate provincial magnitudes and loss geography; discrepancies &gt;5% triggered manual inspection (cloud/shadow, aquaculture glare, tidal phase). For seagrass, MoE polygons were cross-checked with FFI–FiA site campaigns and CFi sketch maps; conflicts favored the most recent ground-validated layer.</w:t>
      </w:r>
    </w:p>
    <w:p w14:paraId="301C9607" w14:textId="77777777" w:rsidR="001B3C78" w:rsidRPr="003B66BF" w:rsidRDefault="001B3C78" w:rsidP="001B3C78">
      <w:pPr>
        <w:pStyle w:val="NormalWeb"/>
        <w:jc w:val="both"/>
        <w:rPr>
          <w:rFonts w:ascii="Arial" w:hAnsi="Arial" w:cs="Arial"/>
          <w:sz w:val="22"/>
          <w:szCs w:val="22"/>
        </w:rPr>
      </w:pPr>
      <w:r w:rsidRPr="003B66BF">
        <w:rPr>
          <w:rStyle w:val="Strong"/>
          <w:rFonts w:ascii="Arial" w:eastAsiaTheme="majorEastAsia" w:hAnsi="Arial" w:cs="Arial"/>
          <w:sz w:val="22"/>
          <w:szCs w:val="22"/>
        </w:rPr>
        <w:t>Method consistency.</w:t>
      </w:r>
      <w:r w:rsidRPr="003B66BF">
        <w:rPr>
          <w:rFonts w:ascii="Arial" w:hAnsi="Arial" w:cs="Arial"/>
          <w:sz w:val="22"/>
          <w:szCs w:val="22"/>
        </w:rPr>
        <w:t xml:space="preserve"> Coral cover aggregates only pooled transects with matching protocols; when methods differed, we presented site-level values and refrained from computing provincial means.</w:t>
      </w:r>
    </w:p>
    <w:p w14:paraId="53B44549" w14:textId="77777777" w:rsidR="001B3C78" w:rsidRPr="003B66BF" w:rsidRDefault="001B3C78" w:rsidP="001B3C78">
      <w:pPr>
        <w:pStyle w:val="NormalWeb"/>
        <w:jc w:val="both"/>
        <w:rPr>
          <w:rFonts w:ascii="Arial" w:hAnsi="Arial" w:cs="Arial"/>
          <w:sz w:val="22"/>
          <w:szCs w:val="22"/>
        </w:rPr>
      </w:pPr>
      <w:r w:rsidRPr="003B66BF">
        <w:rPr>
          <w:rStyle w:val="Strong"/>
          <w:rFonts w:ascii="Arial" w:eastAsiaTheme="majorEastAsia" w:hAnsi="Arial" w:cs="Arial"/>
          <w:sz w:val="22"/>
          <w:szCs w:val="22"/>
        </w:rPr>
        <w:t>Administrative and zoning changes.</w:t>
      </w:r>
      <w:r w:rsidRPr="003B66BF">
        <w:rPr>
          <w:rFonts w:ascii="Arial" w:hAnsi="Arial" w:cs="Arial"/>
          <w:sz w:val="22"/>
          <w:szCs w:val="22"/>
        </w:rPr>
        <w:t xml:space="preserve"> Where protected-area boundaries changed (e.g., Peam Krasop WS, Botum Sakor NP), historical extents were re-tabulated to the </w:t>
      </w:r>
      <w:r w:rsidRPr="003B66BF">
        <w:rPr>
          <w:rStyle w:val="Strong"/>
          <w:rFonts w:ascii="Arial" w:eastAsiaTheme="majorEastAsia" w:hAnsi="Arial" w:cs="Arial"/>
          <w:sz w:val="22"/>
          <w:szCs w:val="22"/>
        </w:rPr>
        <w:t>then-current</w:t>
      </w:r>
      <w:r w:rsidRPr="003B66BF">
        <w:rPr>
          <w:rFonts w:ascii="Arial" w:hAnsi="Arial" w:cs="Arial"/>
          <w:sz w:val="22"/>
          <w:szCs w:val="22"/>
        </w:rPr>
        <w:t xml:space="preserve"> boundary for time-slice comparisons; we avoid per-hectare inferences across moving denominators.</w:t>
      </w:r>
    </w:p>
    <w:p w14:paraId="45D2EAF2" w14:textId="77777777" w:rsidR="001B3C78" w:rsidRPr="003B66BF" w:rsidRDefault="001B3C78" w:rsidP="001B3C78">
      <w:pPr>
        <w:pStyle w:val="NormalWeb"/>
        <w:jc w:val="both"/>
        <w:rPr>
          <w:rFonts w:ascii="Arial" w:hAnsi="Arial" w:cs="Arial"/>
          <w:sz w:val="22"/>
          <w:szCs w:val="22"/>
        </w:rPr>
      </w:pPr>
      <w:r w:rsidRPr="003B66BF">
        <w:rPr>
          <w:rStyle w:val="Strong"/>
          <w:rFonts w:ascii="Arial" w:eastAsiaTheme="majorEastAsia" w:hAnsi="Arial" w:cs="Arial"/>
          <w:sz w:val="22"/>
          <w:szCs w:val="22"/>
        </w:rPr>
        <w:t>Small-area volatility.</w:t>
      </w:r>
      <w:r w:rsidRPr="003B66BF">
        <w:rPr>
          <w:rFonts w:ascii="Arial" w:hAnsi="Arial" w:cs="Arial"/>
          <w:sz w:val="22"/>
          <w:szCs w:val="22"/>
        </w:rPr>
        <w:t xml:space="preserve"> Kep’s small base and patchy nearshore reefs/meadows produce larger percentage swings; interpretations emphasize direction and management implications rather than fine-grained year-to-year rates.</w:t>
      </w:r>
    </w:p>
    <w:p w14:paraId="478C0F32" w14:textId="77777777" w:rsidR="001B3C78" w:rsidRPr="003B66BF" w:rsidRDefault="001B3C78" w:rsidP="001B3C78">
      <w:pPr>
        <w:pStyle w:val="NormalWeb"/>
        <w:jc w:val="both"/>
        <w:rPr>
          <w:rFonts w:ascii="Arial" w:hAnsi="Arial" w:cs="Arial"/>
          <w:sz w:val="22"/>
          <w:szCs w:val="22"/>
        </w:rPr>
      </w:pPr>
      <w:r w:rsidRPr="003B66BF">
        <w:rPr>
          <w:rStyle w:val="Strong"/>
          <w:rFonts w:ascii="Arial" w:eastAsiaTheme="majorEastAsia" w:hAnsi="Arial" w:cs="Arial"/>
          <w:sz w:val="22"/>
          <w:szCs w:val="22"/>
        </w:rPr>
        <w:t>Attribution limits.</w:t>
      </w:r>
      <w:r w:rsidRPr="003B66BF">
        <w:rPr>
          <w:rFonts w:ascii="Arial" w:hAnsi="Arial" w:cs="Arial"/>
          <w:sz w:val="22"/>
          <w:szCs w:val="22"/>
        </w:rPr>
        <w:t xml:space="preserve"> We avoid over-attributing change to single drivers when co-varying pressures (trawling, turbidity, shoreline works, heat stress) are plausible; language remains conditional (“consistent with…”, “suggests…”), pending targeted studies.</w:t>
      </w:r>
    </w:p>
    <w:p w14:paraId="632FBD5D" w14:textId="77777777" w:rsidR="001B3C78" w:rsidRPr="003B66BF" w:rsidRDefault="001B3C78" w:rsidP="001B3C78">
      <w:pPr>
        <w:pStyle w:val="NormalWeb"/>
        <w:jc w:val="both"/>
        <w:rPr>
          <w:rFonts w:ascii="Arial" w:hAnsi="Arial" w:cs="Arial"/>
          <w:sz w:val="22"/>
          <w:szCs w:val="22"/>
        </w:rPr>
      </w:pPr>
      <w:r w:rsidRPr="003B66BF">
        <w:rPr>
          <w:rStyle w:val="Strong"/>
          <w:rFonts w:ascii="Arial" w:eastAsiaTheme="majorEastAsia" w:hAnsi="Arial" w:cs="Arial"/>
          <w:sz w:val="22"/>
          <w:szCs w:val="22"/>
        </w:rPr>
        <w:t>Uncertainty reporting.</w:t>
      </w:r>
    </w:p>
    <w:p w14:paraId="39808E93" w14:textId="77777777" w:rsidR="001B3C78" w:rsidRPr="003B66BF" w:rsidRDefault="001B3C78" w:rsidP="001B3C78">
      <w:pPr>
        <w:pStyle w:val="NormalWeb"/>
        <w:numPr>
          <w:ilvl w:val="0"/>
          <w:numId w:val="38"/>
        </w:numPr>
        <w:jc w:val="both"/>
        <w:rPr>
          <w:rFonts w:ascii="Arial" w:hAnsi="Arial" w:cs="Arial"/>
          <w:sz w:val="22"/>
          <w:szCs w:val="22"/>
        </w:rPr>
      </w:pPr>
      <w:r w:rsidRPr="003B66BF">
        <w:rPr>
          <w:rFonts w:ascii="Arial" w:hAnsi="Arial" w:cs="Arial"/>
          <w:sz w:val="22"/>
          <w:szCs w:val="22"/>
        </w:rPr>
        <w:t xml:space="preserve">Mapping: report class-level error where available (user’s/producer’s accuracy); otherwise qualify results as </w:t>
      </w:r>
      <w:r w:rsidRPr="003B66BF">
        <w:rPr>
          <w:rStyle w:val="Strong"/>
          <w:rFonts w:ascii="Arial" w:eastAsiaTheme="majorEastAsia" w:hAnsi="Arial" w:cs="Arial"/>
          <w:sz w:val="22"/>
          <w:szCs w:val="22"/>
        </w:rPr>
        <w:t>indicative</w:t>
      </w:r>
      <w:r w:rsidRPr="003B66BF">
        <w:rPr>
          <w:rFonts w:ascii="Arial" w:hAnsi="Arial" w:cs="Arial"/>
          <w:sz w:val="22"/>
          <w:szCs w:val="22"/>
        </w:rPr>
        <w:t xml:space="preserve"> and present rounded totals.</w:t>
      </w:r>
    </w:p>
    <w:p w14:paraId="13EA6590" w14:textId="77777777" w:rsidR="001B3C78" w:rsidRPr="003B66BF" w:rsidRDefault="001B3C78" w:rsidP="001B3C78">
      <w:pPr>
        <w:pStyle w:val="NormalWeb"/>
        <w:numPr>
          <w:ilvl w:val="0"/>
          <w:numId w:val="38"/>
        </w:numPr>
        <w:jc w:val="both"/>
        <w:rPr>
          <w:rFonts w:ascii="Arial" w:hAnsi="Arial" w:cs="Arial"/>
          <w:sz w:val="22"/>
          <w:szCs w:val="22"/>
        </w:rPr>
      </w:pPr>
      <w:r w:rsidRPr="003B66BF">
        <w:rPr>
          <w:rFonts w:ascii="Arial" w:hAnsi="Arial" w:cs="Arial"/>
          <w:sz w:val="22"/>
          <w:szCs w:val="22"/>
        </w:rPr>
        <w:t>Blue-carbon: provide wide ranges and flag the need for site MRV (plots/cores, hydrology) before any crediting or firm valuation.</w:t>
      </w:r>
    </w:p>
    <w:p w14:paraId="2246F5B8" w14:textId="77777777" w:rsidR="001B3C78" w:rsidRPr="003B66BF" w:rsidRDefault="001B3C78" w:rsidP="001B3C78">
      <w:pPr>
        <w:pStyle w:val="NormalWeb"/>
        <w:numPr>
          <w:ilvl w:val="0"/>
          <w:numId w:val="38"/>
        </w:numPr>
        <w:jc w:val="both"/>
        <w:rPr>
          <w:rFonts w:ascii="Arial" w:hAnsi="Arial" w:cs="Arial"/>
          <w:sz w:val="22"/>
          <w:szCs w:val="22"/>
        </w:rPr>
      </w:pPr>
      <w:r w:rsidRPr="003B66BF">
        <w:rPr>
          <w:rFonts w:ascii="Arial" w:hAnsi="Arial" w:cs="Arial"/>
          <w:sz w:val="22"/>
          <w:szCs w:val="22"/>
        </w:rPr>
        <w:t>Biodiversity/bycatch: rely on documented events and conservative inference for risk pathways.</w:t>
      </w:r>
    </w:p>
    <w:p w14:paraId="174D545C" w14:textId="77777777" w:rsidR="001B3C78" w:rsidRPr="003B66BF" w:rsidRDefault="001B3C78" w:rsidP="001B3C78">
      <w:pPr>
        <w:pStyle w:val="NormalWeb"/>
        <w:jc w:val="both"/>
        <w:rPr>
          <w:rFonts w:ascii="Arial" w:hAnsi="Arial" w:cs="Arial"/>
          <w:sz w:val="22"/>
          <w:szCs w:val="22"/>
        </w:rPr>
      </w:pPr>
      <w:r w:rsidRPr="003B66BF">
        <w:rPr>
          <w:rStyle w:val="Strong"/>
          <w:rFonts w:ascii="Arial" w:eastAsiaTheme="majorEastAsia" w:hAnsi="Arial" w:cs="Arial"/>
          <w:sz w:val="22"/>
          <w:szCs w:val="22"/>
        </w:rPr>
        <w:t>Reproducibility.</w:t>
      </w:r>
      <w:r w:rsidRPr="003B66BF">
        <w:rPr>
          <w:rFonts w:ascii="Arial" w:hAnsi="Arial" w:cs="Arial"/>
          <w:sz w:val="22"/>
          <w:szCs w:val="22"/>
        </w:rPr>
        <w:t xml:space="preserve"> Spatial layers and tabulations are archived with metadata on source, date, method, CRS, and any edits (smoothing, gap-filling). Summary scripts (where used) are versioned to regenerate province and hotspot tables/figures.</w:t>
      </w:r>
    </w:p>
    <w:p w14:paraId="1F34F496" w14:textId="32E615BE" w:rsidR="00A968A6" w:rsidRPr="00BA2EEB" w:rsidRDefault="00A968A6" w:rsidP="001B3C78">
      <w:pPr>
        <w:pStyle w:val="NormalWeb"/>
        <w:jc w:val="both"/>
        <w:rPr>
          <w:rFonts w:ascii="Arial" w:hAnsi="Arial" w:cs="Arial"/>
          <w:b/>
          <w:bCs/>
          <w:color w:val="0070C0"/>
        </w:rPr>
      </w:pPr>
      <w:bookmarkStart w:id="33" w:name="_Ref216612174"/>
      <w:r w:rsidRPr="00BA2EEB">
        <w:rPr>
          <w:rFonts w:ascii="Arial" w:hAnsi="Arial" w:cs="Arial"/>
          <w:b/>
          <w:bCs/>
          <w:color w:val="0070C0"/>
        </w:rPr>
        <w:t>Annex 4-</w:t>
      </w:r>
      <w:r w:rsidRPr="00BA2EEB">
        <w:rPr>
          <w:rFonts w:ascii="Arial" w:hAnsi="Arial" w:cs="Arial"/>
          <w:b/>
          <w:bCs/>
          <w:color w:val="0070C0"/>
        </w:rPr>
        <w:fldChar w:fldCharType="begin"/>
      </w:r>
      <w:r w:rsidRPr="00BA2EEB">
        <w:rPr>
          <w:rFonts w:ascii="Arial" w:hAnsi="Arial" w:cs="Arial"/>
          <w:b/>
          <w:bCs/>
          <w:color w:val="0070C0"/>
        </w:rPr>
        <w:instrText xml:space="preserve"> SEQ Annex_4- \* ARABIC </w:instrText>
      </w:r>
      <w:r w:rsidRPr="00BA2EEB">
        <w:rPr>
          <w:rFonts w:ascii="Arial" w:hAnsi="Arial" w:cs="Arial"/>
          <w:b/>
          <w:bCs/>
          <w:color w:val="0070C0"/>
        </w:rPr>
        <w:fldChar w:fldCharType="separate"/>
      </w:r>
      <w:r w:rsidR="00802509">
        <w:rPr>
          <w:rFonts w:ascii="Arial" w:hAnsi="Arial" w:cs="Arial"/>
          <w:b/>
          <w:bCs/>
          <w:noProof/>
          <w:color w:val="0070C0"/>
        </w:rPr>
        <w:t>5</w:t>
      </w:r>
      <w:r w:rsidRPr="00BA2EEB">
        <w:rPr>
          <w:rFonts w:ascii="Arial" w:hAnsi="Arial" w:cs="Arial"/>
          <w:b/>
          <w:bCs/>
          <w:color w:val="0070C0"/>
        </w:rPr>
        <w:fldChar w:fldCharType="end"/>
      </w:r>
      <w:bookmarkEnd w:id="33"/>
      <w:r w:rsidRPr="00BA2EEB">
        <w:rPr>
          <w:rFonts w:ascii="Arial" w:hAnsi="Arial" w:cs="Arial"/>
          <w:b/>
          <w:bCs/>
          <w:color w:val="0070C0"/>
        </w:rPr>
        <w:t xml:space="preserve"> Extended explanatory note on </w:t>
      </w:r>
      <w:r w:rsidR="001C028F" w:rsidRPr="001C028F">
        <w:rPr>
          <w:rFonts w:ascii="Arial" w:hAnsi="Arial" w:cs="Arial"/>
          <w:b/>
          <w:bCs/>
          <w:color w:val="0070C0"/>
        </w:rPr>
        <w:t>mangrove</w:t>
      </w:r>
      <w:r w:rsidR="001C028F">
        <w:rPr>
          <w:rFonts w:ascii="Arial" w:hAnsi="Arial" w:cs="Arial"/>
          <w:b/>
          <w:bCs/>
          <w:color w:val="0070C0"/>
        </w:rPr>
        <w:t xml:space="preserve"> and wetland</w:t>
      </w:r>
      <w:r w:rsidRPr="00BA2EEB">
        <w:rPr>
          <w:rFonts w:ascii="Arial" w:hAnsi="Arial" w:cs="Arial"/>
          <w:b/>
          <w:bCs/>
          <w:color w:val="0070C0"/>
        </w:rPr>
        <w:t xml:space="preserve"> status and site pressures</w:t>
      </w:r>
    </w:p>
    <w:p w14:paraId="3485549E" w14:textId="3D547A37"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i/>
          <w:iCs/>
          <w:sz w:val="22"/>
          <w:szCs w:val="22"/>
        </w:rPr>
        <w:t>(Supporting Sections 4.2.</w:t>
      </w:r>
      <w:r>
        <w:rPr>
          <w:rFonts w:ascii="Arial" w:hAnsi="Arial" w:cs="Arial"/>
          <w:i/>
          <w:iCs/>
          <w:sz w:val="22"/>
          <w:szCs w:val="22"/>
        </w:rPr>
        <w:t>1</w:t>
      </w:r>
      <w:r w:rsidRPr="003B66BF">
        <w:rPr>
          <w:rFonts w:ascii="Arial" w:hAnsi="Arial" w:cs="Arial"/>
          <w:i/>
          <w:iCs/>
          <w:sz w:val="22"/>
          <w:szCs w:val="22"/>
        </w:rPr>
        <w:t>.1 and 4.2.</w:t>
      </w:r>
      <w:r>
        <w:rPr>
          <w:rFonts w:ascii="Arial" w:hAnsi="Arial" w:cs="Arial"/>
          <w:i/>
          <w:iCs/>
          <w:sz w:val="22"/>
          <w:szCs w:val="22"/>
        </w:rPr>
        <w:t>1</w:t>
      </w:r>
      <w:r w:rsidRPr="003B66BF">
        <w:rPr>
          <w:rFonts w:ascii="Arial" w:hAnsi="Arial" w:cs="Arial"/>
          <w:i/>
          <w:iCs/>
          <w:sz w:val="22"/>
          <w:szCs w:val="22"/>
        </w:rPr>
        <w:t>.2 of the main chapter)</w:t>
      </w:r>
    </w:p>
    <w:p w14:paraId="593C979E" w14:textId="77777777" w:rsidR="003B66BF" w:rsidRPr="003B66BF" w:rsidRDefault="003B66BF" w:rsidP="003B66BF">
      <w:pPr>
        <w:jc w:val="both"/>
        <w:rPr>
          <w:rFonts w:ascii="Arial" w:hAnsi="Arial" w:cs="Arial"/>
          <w:b/>
          <w:bCs/>
          <w:sz w:val="22"/>
          <w:szCs w:val="22"/>
        </w:rPr>
      </w:pPr>
      <w:r w:rsidRPr="003B66BF">
        <w:rPr>
          <w:rFonts w:ascii="Arial" w:hAnsi="Arial" w:cs="Arial"/>
          <w:b/>
          <w:bCs/>
          <w:sz w:val="22"/>
          <w:szCs w:val="22"/>
        </w:rPr>
        <w:t>A) Mangrove extent datasets and historical change</w:t>
      </w:r>
    </w:p>
    <w:p w14:paraId="4DA70E8F" w14:textId="4A8F583D" w:rsidR="00BA2EEB" w:rsidRPr="00BA2EEB" w:rsidRDefault="003B66BF" w:rsidP="003B66BF">
      <w:pPr>
        <w:pStyle w:val="NormalWeb"/>
        <w:jc w:val="both"/>
        <w:rPr>
          <w:rStyle w:val="Strong"/>
          <w:rFonts w:eastAsiaTheme="majorEastAsia"/>
          <w:color w:val="0070C0"/>
        </w:rPr>
      </w:pPr>
      <w:r w:rsidRPr="00BA2EEB">
        <w:rPr>
          <w:rStyle w:val="Strong"/>
          <w:rFonts w:ascii="Arial" w:eastAsiaTheme="majorEastAsia" w:hAnsi="Arial" w:cs="Arial"/>
          <w:b w:val="0"/>
          <w:bCs w:val="0"/>
          <w:color w:val="0070C0"/>
          <w:sz w:val="22"/>
          <w:szCs w:val="22"/>
        </w:rPr>
        <w:t>A1. Why national mangrove estimates differ</w:t>
      </w:r>
    </w:p>
    <w:p w14:paraId="04915B33" w14:textId="5407E347" w:rsidR="003B66BF" w:rsidRPr="003B66BF" w:rsidRDefault="003B66BF" w:rsidP="003B66BF">
      <w:pPr>
        <w:pStyle w:val="NormalWeb"/>
        <w:jc w:val="both"/>
        <w:rPr>
          <w:rFonts w:ascii="Arial" w:hAnsi="Arial" w:cs="Arial"/>
          <w:sz w:val="22"/>
          <w:szCs w:val="22"/>
        </w:rPr>
      </w:pPr>
      <w:r w:rsidRPr="003B66BF">
        <w:rPr>
          <w:rFonts w:ascii="Arial" w:hAnsi="Arial" w:cs="Arial"/>
          <w:sz w:val="22"/>
          <w:szCs w:val="22"/>
        </w:rPr>
        <w:t xml:space="preserve">National mangrove extent varies widely (≈45,000–63,000 ha) because estimates depend on (i) the classification rules used to separate mangroves from other coastal woody vegetation, (ii) sensor resolution and cloud/tide conditions, and (iii) whether narrow fringing stands and mixed mangrove–scrub mosaics are included. Despite these differences, all sources agree that mangroves are concentrated in </w:t>
      </w:r>
      <w:r w:rsidRPr="003B66BF">
        <w:rPr>
          <w:rStyle w:val="Strong"/>
          <w:rFonts w:ascii="Arial" w:eastAsiaTheme="majorEastAsia" w:hAnsi="Arial" w:cs="Arial"/>
          <w:sz w:val="22"/>
          <w:szCs w:val="22"/>
        </w:rPr>
        <w:t>Koh Kong</w:t>
      </w:r>
      <w:r w:rsidRPr="003B66BF">
        <w:rPr>
          <w:rFonts w:ascii="Arial" w:hAnsi="Arial" w:cs="Arial"/>
          <w:sz w:val="22"/>
          <w:szCs w:val="22"/>
        </w:rPr>
        <w:t xml:space="preserve">, with smaller estuarine belts in </w:t>
      </w:r>
      <w:r w:rsidRPr="003B66BF">
        <w:rPr>
          <w:rStyle w:val="Strong"/>
          <w:rFonts w:ascii="Arial" w:eastAsiaTheme="majorEastAsia" w:hAnsi="Arial" w:cs="Arial"/>
          <w:sz w:val="22"/>
          <w:szCs w:val="22"/>
        </w:rPr>
        <w:t>Kampot–Preah Sihanouk</w:t>
      </w:r>
      <w:r w:rsidRPr="003B66BF">
        <w:rPr>
          <w:rFonts w:ascii="Arial" w:hAnsi="Arial" w:cs="Arial"/>
          <w:sz w:val="22"/>
          <w:szCs w:val="22"/>
        </w:rPr>
        <w:t xml:space="preserve"> and minor patches in </w:t>
      </w:r>
      <w:r w:rsidRPr="003B66BF">
        <w:rPr>
          <w:rStyle w:val="Strong"/>
          <w:rFonts w:ascii="Arial" w:eastAsiaTheme="majorEastAsia" w:hAnsi="Arial" w:cs="Arial"/>
          <w:sz w:val="22"/>
          <w:szCs w:val="22"/>
        </w:rPr>
        <w:t>Kep</w:t>
      </w:r>
      <w:r w:rsidRPr="003B66BF">
        <w:rPr>
          <w:rFonts w:ascii="Arial" w:hAnsi="Arial" w:cs="Arial"/>
          <w:sz w:val="22"/>
          <w:szCs w:val="22"/>
        </w:rPr>
        <w:t xml:space="preserve">. Dominant genera commonly reported include </w:t>
      </w:r>
      <w:r w:rsidRPr="003B66BF">
        <w:rPr>
          <w:rStyle w:val="Emphasis"/>
          <w:rFonts w:ascii="Arial" w:hAnsi="Arial" w:cs="Arial"/>
          <w:sz w:val="22"/>
          <w:szCs w:val="22"/>
        </w:rPr>
        <w:t>Rhizophora</w:t>
      </w:r>
      <w:r w:rsidRPr="003B66BF">
        <w:rPr>
          <w:rFonts w:ascii="Arial" w:hAnsi="Arial" w:cs="Arial"/>
          <w:sz w:val="22"/>
          <w:szCs w:val="22"/>
        </w:rPr>
        <w:t xml:space="preserve">, </w:t>
      </w:r>
      <w:r w:rsidRPr="003B66BF">
        <w:rPr>
          <w:rStyle w:val="Emphasis"/>
          <w:rFonts w:ascii="Arial" w:hAnsi="Arial" w:cs="Arial"/>
          <w:sz w:val="22"/>
          <w:szCs w:val="22"/>
        </w:rPr>
        <w:t>Avicennia</w:t>
      </w:r>
      <w:r w:rsidRPr="003B66BF">
        <w:rPr>
          <w:rFonts w:ascii="Arial" w:hAnsi="Arial" w:cs="Arial"/>
          <w:sz w:val="22"/>
          <w:szCs w:val="22"/>
        </w:rPr>
        <w:t xml:space="preserve"> and </w:t>
      </w:r>
      <w:r w:rsidRPr="003B66BF">
        <w:rPr>
          <w:rStyle w:val="Emphasis"/>
          <w:rFonts w:ascii="Arial" w:hAnsi="Arial" w:cs="Arial"/>
          <w:sz w:val="22"/>
          <w:szCs w:val="22"/>
        </w:rPr>
        <w:t>Sonneratia</w:t>
      </w:r>
      <w:r w:rsidRPr="003B66BF">
        <w:rPr>
          <w:rFonts w:ascii="Arial" w:hAnsi="Arial" w:cs="Arial"/>
          <w:sz w:val="22"/>
          <w:szCs w:val="22"/>
        </w:rPr>
        <w:t>.</w:t>
      </w:r>
    </w:p>
    <w:p w14:paraId="650BFB0E" w14:textId="5A60F0EF" w:rsidR="00BA2EEB" w:rsidRPr="00BA2EEB" w:rsidRDefault="003B66BF" w:rsidP="003B66BF">
      <w:pPr>
        <w:pStyle w:val="NormalWeb"/>
        <w:jc w:val="both"/>
        <w:rPr>
          <w:rStyle w:val="Strong"/>
          <w:rFonts w:eastAsiaTheme="majorEastAsia"/>
          <w:color w:val="0070C0"/>
        </w:rPr>
      </w:pPr>
      <w:r w:rsidRPr="00BA2EEB">
        <w:rPr>
          <w:rStyle w:val="Strong"/>
          <w:rFonts w:ascii="Arial" w:eastAsiaTheme="majorEastAsia" w:hAnsi="Arial" w:cs="Arial"/>
          <w:b w:val="0"/>
          <w:bCs w:val="0"/>
          <w:color w:val="0070C0"/>
          <w:sz w:val="22"/>
          <w:szCs w:val="22"/>
        </w:rPr>
        <w:t>A2. Historic decline (NSOC baseline) and likely drivers</w:t>
      </w:r>
    </w:p>
    <w:p w14:paraId="57645BFD" w14:textId="16D0D870" w:rsidR="003B66BF" w:rsidRPr="003B66BF" w:rsidRDefault="003B66BF" w:rsidP="003B66BF">
      <w:pPr>
        <w:pStyle w:val="NormalWeb"/>
        <w:jc w:val="both"/>
        <w:rPr>
          <w:rFonts w:ascii="Arial" w:hAnsi="Arial" w:cs="Arial"/>
          <w:sz w:val="22"/>
          <w:szCs w:val="22"/>
        </w:rPr>
      </w:pPr>
      <w:r w:rsidRPr="003B66BF">
        <w:rPr>
          <w:rFonts w:ascii="Arial" w:hAnsi="Arial" w:cs="Arial"/>
          <w:sz w:val="22"/>
          <w:szCs w:val="22"/>
        </w:rPr>
        <w:t xml:space="preserve">Historic statistics compiled in NSOC 2018 indicate that Cambodia’s coastal mangroves declined from </w:t>
      </w:r>
      <w:r w:rsidRPr="003B66BF">
        <w:rPr>
          <w:rStyle w:val="Strong"/>
          <w:rFonts w:ascii="Arial" w:eastAsiaTheme="majorEastAsia" w:hAnsi="Arial" w:cs="Arial"/>
          <w:sz w:val="22"/>
          <w:szCs w:val="22"/>
        </w:rPr>
        <w:t>63,041 ha (1997)</w:t>
      </w:r>
      <w:r w:rsidRPr="003B66BF">
        <w:rPr>
          <w:rFonts w:ascii="Arial" w:hAnsi="Arial" w:cs="Arial"/>
          <w:sz w:val="22"/>
          <w:szCs w:val="22"/>
        </w:rPr>
        <w:t xml:space="preserve"> to </w:t>
      </w:r>
      <w:r w:rsidRPr="003B66BF">
        <w:rPr>
          <w:rStyle w:val="Strong"/>
          <w:rFonts w:ascii="Arial" w:eastAsiaTheme="majorEastAsia" w:hAnsi="Arial" w:cs="Arial"/>
          <w:sz w:val="22"/>
          <w:szCs w:val="22"/>
        </w:rPr>
        <w:t>50,860 ha (2011)</w:t>
      </w:r>
      <w:r w:rsidRPr="003B66BF">
        <w:rPr>
          <w:rFonts w:ascii="Arial" w:hAnsi="Arial" w:cs="Arial"/>
          <w:sz w:val="22"/>
          <w:szCs w:val="22"/>
        </w:rPr>
        <w:t xml:space="preserve">—a net loss of </w:t>
      </w:r>
      <w:r w:rsidRPr="003B66BF">
        <w:rPr>
          <w:rStyle w:val="Strong"/>
          <w:rFonts w:ascii="Arial" w:eastAsiaTheme="majorEastAsia" w:hAnsi="Arial" w:cs="Arial"/>
          <w:sz w:val="22"/>
          <w:szCs w:val="22"/>
        </w:rPr>
        <w:t>12,181 ha</w:t>
      </w:r>
      <w:r w:rsidRPr="003B66BF">
        <w:rPr>
          <w:rFonts w:ascii="Arial" w:hAnsi="Arial" w:cs="Arial"/>
          <w:sz w:val="22"/>
          <w:szCs w:val="22"/>
        </w:rPr>
        <w:t xml:space="preserve"> over 14 years (≈</w:t>
      </w:r>
      <w:r w:rsidRPr="003B66BF">
        <w:rPr>
          <w:rStyle w:val="Strong"/>
          <w:rFonts w:ascii="Arial" w:eastAsiaTheme="majorEastAsia" w:hAnsi="Arial" w:cs="Arial"/>
          <w:sz w:val="22"/>
          <w:szCs w:val="22"/>
        </w:rPr>
        <w:t>−870 ha/year</w:t>
      </w:r>
      <w:r w:rsidRPr="003B66BF">
        <w:rPr>
          <w:rFonts w:ascii="Arial" w:hAnsi="Arial" w:cs="Arial"/>
          <w:sz w:val="22"/>
          <w:szCs w:val="22"/>
        </w:rPr>
        <w:t xml:space="preserve">; </w:t>
      </w:r>
      <w:r w:rsidRPr="003B66BF">
        <w:rPr>
          <w:rStyle w:val="Strong"/>
          <w:rFonts w:ascii="Arial" w:eastAsiaTheme="majorEastAsia" w:hAnsi="Arial" w:cs="Arial"/>
          <w:sz w:val="22"/>
          <w:szCs w:val="22"/>
        </w:rPr>
        <w:t>−19.3%</w:t>
      </w:r>
      <w:r w:rsidRPr="003B66BF">
        <w:rPr>
          <w:rFonts w:ascii="Arial" w:hAnsi="Arial" w:cs="Arial"/>
          <w:sz w:val="22"/>
          <w:szCs w:val="22"/>
        </w:rPr>
        <w:t xml:space="preserve"> from the 1997 baseline). Spatially, the steepest contractions were reported in the </w:t>
      </w:r>
      <w:r w:rsidRPr="003B66BF">
        <w:rPr>
          <w:rStyle w:val="Strong"/>
          <w:rFonts w:ascii="Arial" w:eastAsiaTheme="majorEastAsia" w:hAnsi="Arial" w:cs="Arial"/>
          <w:sz w:val="22"/>
          <w:szCs w:val="22"/>
        </w:rPr>
        <w:t>Botum Sakor/Koh Kong complex</w:t>
      </w:r>
      <w:r w:rsidRPr="003B66BF">
        <w:rPr>
          <w:rFonts w:ascii="Arial" w:hAnsi="Arial" w:cs="Arial"/>
          <w:sz w:val="22"/>
          <w:szCs w:val="22"/>
        </w:rPr>
        <w:t xml:space="preserve"> and </w:t>
      </w:r>
      <w:r w:rsidRPr="003B66BF">
        <w:rPr>
          <w:rStyle w:val="Strong"/>
          <w:rFonts w:ascii="Arial" w:eastAsiaTheme="majorEastAsia" w:hAnsi="Arial" w:cs="Arial"/>
          <w:sz w:val="22"/>
          <w:szCs w:val="22"/>
        </w:rPr>
        <w:t>Kampong Trach (Kampot)</w:t>
      </w:r>
      <w:r w:rsidRPr="003B66BF">
        <w:rPr>
          <w:rFonts w:ascii="Arial" w:hAnsi="Arial" w:cs="Arial"/>
          <w:sz w:val="22"/>
          <w:szCs w:val="22"/>
        </w:rPr>
        <w:t>, which align with known fronts of aquaculture/estate expansion, settlement growth and charcoal production during the late-1990s to mid-2000s period (PEMSEA &amp; MoE, 2019). This historic interval is important for interpretation: it suggests that a large share of national mangrove loss occurred during earlier development phases, and that present-day loss rates should be interpreted against this longer-term trajectory.</w:t>
      </w:r>
    </w:p>
    <w:p w14:paraId="4CE20B1B" w14:textId="1E1E51CB" w:rsidR="00BA2EEB" w:rsidRPr="00BA2EEB" w:rsidRDefault="003B66BF" w:rsidP="003B66BF">
      <w:pPr>
        <w:pStyle w:val="NormalWeb"/>
        <w:jc w:val="both"/>
        <w:rPr>
          <w:rStyle w:val="Strong"/>
          <w:rFonts w:eastAsiaTheme="majorEastAsia"/>
          <w:color w:val="0070C0"/>
        </w:rPr>
      </w:pPr>
      <w:r w:rsidRPr="00BA2EEB">
        <w:rPr>
          <w:rStyle w:val="Strong"/>
          <w:rFonts w:ascii="Arial" w:eastAsiaTheme="majorEastAsia" w:hAnsi="Arial" w:cs="Arial"/>
          <w:b w:val="0"/>
          <w:bCs w:val="0"/>
          <w:color w:val="0070C0"/>
          <w:sz w:val="22"/>
          <w:szCs w:val="22"/>
        </w:rPr>
        <w:t>A3. Recent mapping (MoE Mangrove Assessment 2014–2025) and provincial pattern</w:t>
      </w:r>
    </w:p>
    <w:p w14:paraId="4029D60C" w14:textId="2A7B07AC" w:rsidR="003B66BF" w:rsidRPr="003B66BF" w:rsidRDefault="003B66BF" w:rsidP="003B66BF">
      <w:pPr>
        <w:pStyle w:val="NormalWeb"/>
        <w:jc w:val="both"/>
        <w:rPr>
          <w:rFonts w:ascii="Arial" w:hAnsi="Arial" w:cs="Arial"/>
          <w:sz w:val="22"/>
          <w:szCs w:val="22"/>
        </w:rPr>
      </w:pPr>
      <w:r w:rsidRPr="003B66BF">
        <w:rPr>
          <w:rFonts w:ascii="Arial" w:hAnsi="Arial" w:cs="Arial"/>
          <w:sz w:val="22"/>
          <w:szCs w:val="22"/>
        </w:rPr>
        <w:t xml:space="preserve">According to MoE’s ongoing Mangrove Assessment (Sentinel-2, 10 m), national mangrove extent declined from </w:t>
      </w:r>
      <w:r w:rsidRPr="003B66BF">
        <w:rPr>
          <w:rStyle w:val="Strong"/>
          <w:rFonts w:ascii="Arial" w:eastAsiaTheme="majorEastAsia" w:hAnsi="Arial" w:cs="Arial"/>
          <w:sz w:val="22"/>
          <w:szCs w:val="22"/>
        </w:rPr>
        <w:t>58,866 ha (2014)</w:t>
      </w:r>
      <w:r w:rsidRPr="003B66BF">
        <w:rPr>
          <w:rFonts w:ascii="Arial" w:hAnsi="Arial" w:cs="Arial"/>
          <w:sz w:val="22"/>
          <w:szCs w:val="22"/>
        </w:rPr>
        <w:t xml:space="preserve"> to </w:t>
      </w:r>
      <w:r w:rsidRPr="003B66BF">
        <w:rPr>
          <w:rStyle w:val="Strong"/>
          <w:rFonts w:ascii="Arial" w:eastAsiaTheme="majorEastAsia" w:hAnsi="Arial" w:cs="Arial"/>
          <w:sz w:val="22"/>
          <w:szCs w:val="22"/>
        </w:rPr>
        <w:t>55,355 ha (2025)</w:t>
      </w:r>
      <w:r w:rsidRPr="003B66BF">
        <w:rPr>
          <w:rFonts w:ascii="Arial" w:hAnsi="Arial" w:cs="Arial"/>
          <w:sz w:val="22"/>
          <w:szCs w:val="22"/>
        </w:rPr>
        <w:t xml:space="preserve">—a net loss of </w:t>
      </w:r>
      <w:r w:rsidRPr="003B66BF">
        <w:rPr>
          <w:rStyle w:val="Strong"/>
          <w:rFonts w:ascii="Arial" w:eastAsiaTheme="majorEastAsia" w:hAnsi="Arial" w:cs="Arial"/>
          <w:sz w:val="22"/>
          <w:szCs w:val="22"/>
        </w:rPr>
        <w:t>3,510 ha</w:t>
      </w:r>
      <w:r w:rsidRPr="003B66BF">
        <w:rPr>
          <w:rFonts w:ascii="Arial" w:hAnsi="Arial" w:cs="Arial"/>
          <w:sz w:val="22"/>
          <w:szCs w:val="22"/>
        </w:rPr>
        <w:t xml:space="preserve"> across 11 years (≈</w:t>
      </w:r>
      <w:r w:rsidRPr="003B66BF">
        <w:rPr>
          <w:rStyle w:val="Strong"/>
          <w:rFonts w:ascii="Arial" w:eastAsiaTheme="majorEastAsia" w:hAnsi="Arial" w:cs="Arial"/>
          <w:sz w:val="22"/>
          <w:szCs w:val="22"/>
        </w:rPr>
        <w:t>−319 ha/year</w:t>
      </w:r>
      <w:r w:rsidRPr="003B66BF">
        <w:rPr>
          <w:rFonts w:ascii="Arial" w:hAnsi="Arial" w:cs="Arial"/>
          <w:sz w:val="22"/>
          <w:szCs w:val="22"/>
        </w:rPr>
        <w:t xml:space="preserve">; </w:t>
      </w:r>
      <w:r w:rsidRPr="003B66BF">
        <w:rPr>
          <w:rStyle w:val="Strong"/>
          <w:rFonts w:ascii="Arial" w:eastAsiaTheme="majorEastAsia" w:hAnsi="Arial" w:cs="Arial"/>
          <w:sz w:val="22"/>
          <w:szCs w:val="22"/>
        </w:rPr>
        <w:t>−6.0%</w:t>
      </w:r>
      <w:r w:rsidRPr="003B66BF">
        <w:rPr>
          <w:rFonts w:ascii="Arial" w:hAnsi="Arial" w:cs="Arial"/>
          <w:sz w:val="22"/>
          <w:szCs w:val="22"/>
        </w:rPr>
        <w:t xml:space="preserve"> relative to the 2014 baseline). Losses are uneven: </w:t>
      </w:r>
      <w:r w:rsidRPr="003B66BF">
        <w:rPr>
          <w:rStyle w:val="Strong"/>
          <w:rFonts w:ascii="Arial" w:eastAsiaTheme="majorEastAsia" w:hAnsi="Arial" w:cs="Arial"/>
          <w:sz w:val="22"/>
          <w:szCs w:val="22"/>
        </w:rPr>
        <w:t>Koh Kong accounts for ~2,259 ha (≈64%)</w:t>
      </w:r>
      <w:r w:rsidRPr="003B66BF">
        <w:rPr>
          <w:rFonts w:ascii="Arial" w:hAnsi="Arial" w:cs="Arial"/>
          <w:sz w:val="22"/>
          <w:szCs w:val="22"/>
        </w:rPr>
        <w:t xml:space="preserve"> of total loss and </w:t>
      </w:r>
      <w:r w:rsidRPr="003B66BF">
        <w:rPr>
          <w:rStyle w:val="Strong"/>
          <w:rFonts w:ascii="Arial" w:eastAsiaTheme="majorEastAsia" w:hAnsi="Arial" w:cs="Arial"/>
          <w:sz w:val="22"/>
          <w:szCs w:val="22"/>
        </w:rPr>
        <w:t>Preah Sihanouk ~383 ha (≈11%)</w:t>
      </w:r>
      <w:r w:rsidRPr="003B66BF">
        <w:rPr>
          <w:rFonts w:ascii="Arial" w:hAnsi="Arial" w:cs="Arial"/>
          <w:sz w:val="22"/>
          <w:szCs w:val="22"/>
        </w:rPr>
        <w:t xml:space="preserve">, with remaining losses dispersed across </w:t>
      </w:r>
      <w:r w:rsidRPr="003B66BF">
        <w:rPr>
          <w:rStyle w:val="Strong"/>
          <w:rFonts w:ascii="Arial" w:eastAsiaTheme="majorEastAsia" w:hAnsi="Arial" w:cs="Arial"/>
          <w:sz w:val="22"/>
          <w:szCs w:val="22"/>
        </w:rPr>
        <w:t>Kampot and Kep</w:t>
      </w:r>
      <w:r w:rsidRPr="003B66BF">
        <w:rPr>
          <w:rFonts w:ascii="Arial" w:hAnsi="Arial" w:cs="Arial"/>
          <w:sz w:val="22"/>
          <w:szCs w:val="22"/>
        </w:rPr>
        <w:t xml:space="preserve"> as smaller, discontinuous parcels (MoE, 2025). The lower absolute rate compared with the 1997–2011 interval may reflect improved protection and co-management in some areas, but it may also partly reflect differences in methods and mapping thresholds; therefore, extent trends should be triangulated with field evidence on fragmentation, hydrologic change, and land conversion.</w:t>
      </w:r>
    </w:p>
    <w:p w14:paraId="7CAC0B26" w14:textId="7E76B141" w:rsidR="00BA2EEB" w:rsidRPr="00BA2EEB" w:rsidRDefault="003B66BF" w:rsidP="003B66BF">
      <w:pPr>
        <w:pStyle w:val="NormalWeb"/>
        <w:jc w:val="both"/>
        <w:rPr>
          <w:rStyle w:val="Strong"/>
          <w:rFonts w:eastAsiaTheme="majorEastAsia"/>
          <w:color w:val="0070C0"/>
        </w:rPr>
      </w:pPr>
      <w:r w:rsidRPr="00BA2EEB">
        <w:rPr>
          <w:rStyle w:val="Strong"/>
          <w:rFonts w:ascii="Arial" w:eastAsiaTheme="majorEastAsia" w:hAnsi="Arial" w:cs="Arial"/>
          <w:b w:val="0"/>
          <w:bCs w:val="0"/>
          <w:color w:val="0070C0"/>
          <w:sz w:val="22"/>
          <w:szCs w:val="22"/>
        </w:rPr>
        <w:t>A4. Interpretation note</w:t>
      </w:r>
    </w:p>
    <w:p w14:paraId="089CF8D1" w14:textId="6F9D32A0" w:rsidR="003B66BF" w:rsidRPr="003B66BF" w:rsidRDefault="003B66BF" w:rsidP="003B66BF">
      <w:pPr>
        <w:pStyle w:val="NormalWeb"/>
        <w:jc w:val="both"/>
        <w:rPr>
          <w:rFonts w:ascii="Arial" w:hAnsi="Arial" w:cs="Arial"/>
          <w:sz w:val="22"/>
          <w:szCs w:val="22"/>
        </w:rPr>
      </w:pPr>
      <w:r w:rsidRPr="003B66BF">
        <w:rPr>
          <w:rFonts w:ascii="Arial" w:hAnsi="Arial" w:cs="Arial"/>
          <w:sz w:val="22"/>
          <w:szCs w:val="22"/>
        </w:rPr>
        <w:t>For the main chapter, it is best to report (i) the MoE 2014–2025 trend as the most current national mapping signal, and (ii) the NSOC 1997–2011 trend as historical context. These two together show a long-term decline with evidence of slower recent net loss, while emphasizing that “extent” alone does not capture degradation from hydrologic disruption, pollution stress, or fragmentation.</w:t>
      </w:r>
    </w:p>
    <w:p w14:paraId="09022247" w14:textId="77777777" w:rsidR="003B66BF" w:rsidRPr="003B66BF" w:rsidRDefault="003B66BF" w:rsidP="003B66BF">
      <w:pPr>
        <w:jc w:val="both"/>
        <w:rPr>
          <w:rFonts w:ascii="Arial" w:hAnsi="Arial" w:cs="Arial"/>
          <w:b/>
          <w:bCs/>
          <w:sz w:val="22"/>
          <w:szCs w:val="22"/>
        </w:rPr>
      </w:pPr>
      <w:r w:rsidRPr="003B66BF">
        <w:rPr>
          <w:rFonts w:ascii="Arial" w:hAnsi="Arial" w:cs="Arial"/>
          <w:b/>
          <w:bCs/>
          <w:sz w:val="22"/>
          <w:szCs w:val="22"/>
        </w:rPr>
        <w:t>B) Coastal wetlands and estuarine systems (Ramsar complexes and livelihood dependence)</w:t>
      </w:r>
    </w:p>
    <w:p w14:paraId="6827F9E0" w14:textId="60A9F33E" w:rsidR="00BA2EEB" w:rsidRPr="00BA2EEB" w:rsidRDefault="003B66BF" w:rsidP="003B66BF">
      <w:pPr>
        <w:pStyle w:val="NormalWeb"/>
        <w:jc w:val="both"/>
        <w:rPr>
          <w:rStyle w:val="Strong"/>
          <w:rFonts w:eastAsiaTheme="majorEastAsia"/>
          <w:color w:val="0070C0"/>
        </w:rPr>
      </w:pPr>
      <w:r w:rsidRPr="00BA2EEB">
        <w:rPr>
          <w:rStyle w:val="Strong"/>
          <w:rFonts w:ascii="Arial" w:eastAsiaTheme="majorEastAsia" w:hAnsi="Arial" w:cs="Arial"/>
          <w:b w:val="0"/>
          <w:bCs w:val="0"/>
          <w:color w:val="0070C0"/>
          <w:sz w:val="22"/>
          <w:szCs w:val="22"/>
        </w:rPr>
        <w:t>B1. What is included as “coastal wetlands”</w:t>
      </w:r>
      <w:r w:rsidRPr="00BA2EEB">
        <w:rPr>
          <w:rStyle w:val="Strong"/>
          <w:rFonts w:eastAsiaTheme="majorEastAsia"/>
          <w:color w:val="0070C0"/>
        </w:rPr>
        <w:t xml:space="preserve"> </w:t>
      </w:r>
    </w:p>
    <w:p w14:paraId="31E9A1AF" w14:textId="24FF107B" w:rsidR="003B66BF" w:rsidRPr="003B66BF" w:rsidRDefault="003B66BF" w:rsidP="003B66BF">
      <w:pPr>
        <w:pStyle w:val="NormalWeb"/>
        <w:jc w:val="both"/>
        <w:rPr>
          <w:rFonts w:ascii="Arial" w:hAnsi="Arial" w:cs="Arial"/>
          <w:sz w:val="22"/>
          <w:szCs w:val="22"/>
        </w:rPr>
      </w:pPr>
      <w:r w:rsidRPr="003B66BF">
        <w:rPr>
          <w:rFonts w:ascii="Arial" w:hAnsi="Arial" w:cs="Arial"/>
          <w:sz w:val="22"/>
          <w:szCs w:val="22"/>
        </w:rPr>
        <w:t>Cambodia’s coastal wetlands include estuaries, tidal flats, mangrove-lined channels, brackish lagoons and associated floodplain mosaics. These systems provide core ecosystem services: filtering sediments and nutrients, buffering storm surges, supporting high nursery productivity for fisheries, and maintaining habitat for migratory waterbirds along the East Asian–Australasian Flyway.</w:t>
      </w:r>
    </w:p>
    <w:p w14:paraId="36F82668" w14:textId="1AF786E7" w:rsidR="00BA2EEB" w:rsidRPr="00BA2EEB" w:rsidRDefault="003B66BF" w:rsidP="003B66BF">
      <w:pPr>
        <w:pStyle w:val="NormalWeb"/>
        <w:jc w:val="both"/>
        <w:rPr>
          <w:rStyle w:val="Strong"/>
          <w:rFonts w:eastAsiaTheme="majorEastAsia"/>
          <w:color w:val="0070C0"/>
        </w:rPr>
      </w:pPr>
      <w:r w:rsidRPr="00BA2EEB">
        <w:rPr>
          <w:rStyle w:val="Strong"/>
          <w:rFonts w:ascii="Arial" w:eastAsiaTheme="majorEastAsia" w:hAnsi="Arial" w:cs="Arial"/>
          <w:b w:val="0"/>
          <w:bCs w:val="0"/>
          <w:color w:val="0070C0"/>
          <w:sz w:val="22"/>
          <w:szCs w:val="22"/>
        </w:rPr>
        <w:t>B2. Peam Krasaop–Koh Kapik as the national flagship wetland complex</w:t>
      </w:r>
    </w:p>
    <w:p w14:paraId="6AEC90A3" w14:textId="207EAE79" w:rsidR="003B66BF" w:rsidRPr="003B66BF" w:rsidRDefault="003B66BF" w:rsidP="003B66BF">
      <w:pPr>
        <w:pStyle w:val="NormalWeb"/>
        <w:jc w:val="both"/>
        <w:rPr>
          <w:rFonts w:ascii="Arial" w:hAnsi="Arial" w:cs="Arial"/>
          <w:sz w:val="22"/>
          <w:szCs w:val="22"/>
        </w:rPr>
      </w:pPr>
      <w:r w:rsidRPr="003B66BF">
        <w:rPr>
          <w:rFonts w:ascii="Arial" w:hAnsi="Arial" w:cs="Arial"/>
          <w:sz w:val="22"/>
          <w:szCs w:val="22"/>
        </w:rPr>
        <w:t xml:space="preserve">The </w:t>
      </w:r>
      <w:r w:rsidRPr="003B66BF">
        <w:rPr>
          <w:rStyle w:val="Strong"/>
          <w:rFonts w:ascii="Arial" w:eastAsiaTheme="majorEastAsia" w:hAnsi="Arial" w:cs="Arial"/>
          <w:sz w:val="22"/>
          <w:szCs w:val="22"/>
        </w:rPr>
        <w:t>Peam Krasaop Wildlife Sanctuary</w:t>
      </w:r>
      <w:r w:rsidRPr="003B66BF">
        <w:rPr>
          <w:rFonts w:ascii="Arial" w:hAnsi="Arial" w:cs="Arial"/>
          <w:sz w:val="22"/>
          <w:szCs w:val="22"/>
        </w:rPr>
        <w:t xml:space="preserve"> and the </w:t>
      </w:r>
      <w:r w:rsidRPr="003B66BF">
        <w:rPr>
          <w:rStyle w:val="Strong"/>
          <w:rFonts w:ascii="Arial" w:eastAsiaTheme="majorEastAsia" w:hAnsi="Arial" w:cs="Arial"/>
          <w:sz w:val="22"/>
          <w:szCs w:val="22"/>
        </w:rPr>
        <w:t>Koh Kapik &amp; Associated Islets Ramsar Site</w:t>
      </w:r>
      <w:r w:rsidRPr="003B66BF">
        <w:rPr>
          <w:rFonts w:ascii="Arial" w:hAnsi="Arial" w:cs="Arial"/>
          <w:sz w:val="22"/>
          <w:szCs w:val="22"/>
        </w:rPr>
        <w:t xml:space="preserve"> form a connected mangrove–intertidal landscape recognized for international importance. The system’s productivity depends on the balance between </w:t>
      </w:r>
      <w:r w:rsidRPr="003B66BF">
        <w:rPr>
          <w:rStyle w:val="Strong"/>
          <w:rFonts w:ascii="Arial" w:eastAsiaTheme="majorEastAsia" w:hAnsi="Arial" w:cs="Arial"/>
          <w:sz w:val="22"/>
          <w:szCs w:val="22"/>
        </w:rPr>
        <w:t>freshwater inflows</w:t>
      </w:r>
      <w:r w:rsidRPr="003B66BF">
        <w:rPr>
          <w:rFonts w:ascii="Arial" w:hAnsi="Arial" w:cs="Arial"/>
          <w:sz w:val="22"/>
          <w:szCs w:val="22"/>
        </w:rPr>
        <w:t xml:space="preserve"> and </w:t>
      </w:r>
      <w:r w:rsidRPr="003B66BF">
        <w:rPr>
          <w:rStyle w:val="Strong"/>
          <w:rFonts w:ascii="Arial" w:eastAsiaTheme="majorEastAsia" w:hAnsi="Arial" w:cs="Arial"/>
          <w:sz w:val="22"/>
          <w:szCs w:val="22"/>
        </w:rPr>
        <w:t>tidal exchange</w:t>
      </w:r>
      <w:r w:rsidRPr="003B66BF">
        <w:rPr>
          <w:rFonts w:ascii="Arial" w:hAnsi="Arial" w:cs="Arial"/>
          <w:sz w:val="22"/>
          <w:szCs w:val="22"/>
        </w:rPr>
        <w:t>, which maintains brackish conditions that support plankton production and fish recruitment. Intertidal flats and island channels are especially important for waterbird feeding and for small-scale fisheries (Ramsar Secretariat, 2012; Fauna &amp; Flora, 2024).</w:t>
      </w:r>
    </w:p>
    <w:p w14:paraId="63475869" w14:textId="7AD6E0E5" w:rsidR="00BA2EEB" w:rsidRPr="00BA2EEB" w:rsidRDefault="003B66BF" w:rsidP="003B66BF">
      <w:pPr>
        <w:pStyle w:val="NormalWeb"/>
        <w:jc w:val="both"/>
        <w:rPr>
          <w:rFonts w:ascii="Arial" w:hAnsi="Arial" w:cs="Arial"/>
          <w:b/>
          <w:bCs/>
          <w:color w:val="0070C0"/>
          <w:sz w:val="22"/>
          <w:szCs w:val="22"/>
        </w:rPr>
      </w:pPr>
      <w:r w:rsidRPr="00BA2EEB">
        <w:rPr>
          <w:rStyle w:val="Strong"/>
          <w:rFonts w:ascii="Arial" w:eastAsiaTheme="majorEastAsia" w:hAnsi="Arial" w:cs="Arial"/>
          <w:b w:val="0"/>
          <w:bCs w:val="0"/>
          <w:color w:val="0070C0"/>
          <w:sz w:val="22"/>
          <w:szCs w:val="22"/>
        </w:rPr>
        <w:t>B3. Livelihood linkage and sensitivity</w:t>
      </w:r>
    </w:p>
    <w:p w14:paraId="1075A3CB" w14:textId="524CB1A1" w:rsidR="003B66BF" w:rsidRPr="003B66BF" w:rsidRDefault="003B66BF" w:rsidP="003B66BF">
      <w:pPr>
        <w:pStyle w:val="NormalWeb"/>
        <w:jc w:val="both"/>
        <w:rPr>
          <w:rFonts w:ascii="Arial" w:hAnsi="Arial" w:cs="Arial"/>
          <w:sz w:val="22"/>
          <w:szCs w:val="22"/>
        </w:rPr>
      </w:pPr>
      <w:r w:rsidRPr="003B66BF">
        <w:rPr>
          <w:rFonts w:ascii="Arial" w:hAnsi="Arial" w:cs="Arial"/>
          <w:sz w:val="22"/>
          <w:szCs w:val="22"/>
        </w:rPr>
        <w:t>Coastal wetland households around the Koh Kapik–Peam Krasaop system exhibit high dependence on wetland resources, meaning that changes in nursery function, salinity regimes or channel morphology can translate rapidly into income and food-security impacts. This is why wetland protection is not only a biodiversity priority but also a direct livelihood-risk management measure in Koh Kong.</w:t>
      </w:r>
    </w:p>
    <w:p w14:paraId="0FF35218" w14:textId="33BAA3E1" w:rsidR="00BA2EEB" w:rsidRPr="00BA2EEB" w:rsidRDefault="003B66BF" w:rsidP="00BA2EEB">
      <w:pPr>
        <w:keepNext/>
        <w:adjustRightInd w:val="0"/>
        <w:snapToGrid w:val="0"/>
        <w:spacing w:before="240" w:after="120"/>
        <w:jc w:val="both"/>
        <w:rPr>
          <w:rFonts w:ascii="Arial" w:hAnsi="Arial" w:cs="Arial"/>
          <w:color w:val="0070C0"/>
          <w:sz w:val="22"/>
          <w:szCs w:val="22"/>
        </w:rPr>
      </w:pPr>
      <w:r w:rsidRPr="00BA2EEB">
        <w:rPr>
          <w:rFonts w:ascii="Arial" w:hAnsi="Arial" w:cs="Arial"/>
          <w:color w:val="0070C0"/>
          <w:sz w:val="22"/>
          <w:szCs w:val="22"/>
        </w:rPr>
        <w:t>B4. Community co-management and operational challenges</w:t>
      </w:r>
    </w:p>
    <w:p w14:paraId="0C196FDA" w14:textId="531962E2" w:rsidR="003B66BF" w:rsidRPr="003B66BF" w:rsidRDefault="003B66BF" w:rsidP="003B66BF">
      <w:pPr>
        <w:pStyle w:val="NormalWeb"/>
        <w:jc w:val="both"/>
        <w:rPr>
          <w:rFonts w:ascii="Arial" w:hAnsi="Arial" w:cs="Arial"/>
          <w:sz w:val="22"/>
          <w:szCs w:val="22"/>
        </w:rPr>
      </w:pPr>
      <w:r w:rsidRPr="003B66BF">
        <w:rPr>
          <w:rFonts w:ascii="Arial" w:hAnsi="Arial" w:cs="Arial"/>
          <w:sz w:val="22"/>
          <w:szCs w:val="22"/>
        </w:rPr>
        <w:t>The Peam Krasaop wetland system includes community fisheries (CFis) that support participatory management and improve compliance where patrol resources and clear rules are sustained. Key operational challenges include (i) cross-boundary enforcement where parts of the Ramsar landscape extend beyond protected-area boundaries, and (ii) maintaining hydrologic connectivity where roads, embankments, canalization or shoreline works reduce tidal prism and alter flushing.</w:t>
      </w:r>
    </w:p>
    <w:p w14:paraId="39281E26" w14:textId="67D3DA30" w:rsidR="00BA2EEB" w:rsidRPr="00BA2EEB" w:rsidRDefault="003B66BF" w:rsidP="00BA2EEB">
      <w:pPr>
        <w:keepNext/>
        <w:adjustRightInd w:val="0"/>
        <w:snapToGrid w:val="0"/>
        <w:spacing w:before="240" w:after="120"/>
        <w:jc w:val="both"/>
        <w:rPr>
          <w:rFonts w:ascii="Arial" w:hAnsi="Arial" w:cs="Arial"/>
          <w:color w:val="0070C0"/>
          <w:sz w:val="22"/>
          <w:szCs w:val="22"/>
        </w:rPr>
      </w:pPr>
      <w:r w:rsidRPr="00BA2EEB">
        <w:rPr>
          <w:rFonts w:ascii="Arial" w:hAnsi="Arial" w:cs="Arial"/>
          <w:color w:val="0070C0"/>
          <w:sz w:val="22"/>
          <w:szCs w:val="22"/>
        </w:rPr>
        <w:t>B5. Planning relevance (SCS SAP and integrated wetland management)</w:t>
      </w:r>
    </w:p>
    <w:p w14:paraId="46E4AE26" w14:textId="6A14C074" w:rsidR="003B66BF" w:rsidRPr="003B66BF" w:rsidRDefault="003B66BF" w:rsidP="003B66BF">
      <w:pPr>
        <w:pStyle w:val="NormalWeb"/>
        <w:jc w:val="both"/>
        <w:rPr>
          <w:rFonts w:ascii="Arial" w:hAnsi="Arial" w:cs="Arial"/>
          <w:sz w:val="22"/>
          <w:szCs w:val="22"/>
        </w:rPr>
      </w:pPr>
      <w:r w:rsidRPr="003B66BF">
        <w:rPr>
          <w:rFonts w:ascii="Arial" w:hAnsi="Arial" w:cs="Arial"/>
          <w:sz w:val="22"/>
          <w:szCs w:val="22"/>
        </w:rPr>
        <w:t>Under the SCS SAP, planning efforts emphasize integrated wetland management at local and regional levels, including management plans that align protected areas, fisheries zoning and community rules. Priority management themes typically include: maintaining tidal connectivity and freshwater inflows, preventing conversion of intertidal flats and mangrove edges, improving water-quality controls in upstream catchments, and sustaining community patrol capacity to deter illegal cutting and destructive fishing.</w:t>
      </w:r>
    </w:p>
    <w:p w14:paraId="391B64FF" w14:textId="13315DF2" w:rsidR="00795321" w:rsidRPr="003B66BF" w:rsidRDefault="003B66BF" w:rsidP="00BA2EEB">
      <w:pPr>
        <w:keepNext/>
        <w:rPr>
          <w:rFonts w:ascii="Arial" w:hAnsi="Arial" w:cs="Arial"/>
          <w:b/>
          <w:bCs/>
          <w:sz w:val="22"/>
          <w:szCs w:val="22"/>
        </w:rPr>
      </w:pPr>
      <w:r w:rsidRPr="003B66BF">
        <w:rPr>
          <w:rFonts w:ascii="Arial" w:hAnsi="Arial" w:cs="Arial"/>
          <w:b/>
          <w:bCs/>
          <w:sz w:val="22"/>
          <w:szCs w:val="22"/>
        </w:rPr>
        <w:t>C</w:t>
      </w:r>
      <w:r w:rsidR="00BA2EEB">
        <w:rPr>
          <w:rFonts w:ascii="Arial" w:hAnsi="Arial" w:cs="Arial"/>
          <w:b/>
          <w:bCs/>
          <w:sz w:val="22"/>
          <w:szCs w:val="22"/>
        </w:rPr>
        <w:t>.</w:t>
      </w:r>
      <w:r w:rsidR="00795321" w:rsidRPr="003B66BF">
        <w:rPr>
          <w:rFonts w:ascii="Arial" w:hAnsi="Arial" w:cs="Arial"/>
          <w:b/>
          <w:bCs/>
          <w:sz w:val="22"/>
          <w:szCs w:val="22"/>
        </w:rPr>
        <w:t xml:space="preserve"> </w:t>
      </w:r>
      <w:r w:rsidRPr="003B66BF">
        <w:rPr>
          <w:rFonts w:ascii="Arial" w:hAnsi="Arial" w:cs="Arial"/>
          <w:b/>
          <w:bCs/>
          <w:sz w:val="22"/>
          <w:szCs w:val="22"/>
        </w:rPr>
        <w:t>Selected site-specific status and pressures — expanded notes</w:t>
      </w:r>
    </w:p>
    <w:p w14:paraId="58EAD8F2" w14:textId="672BC4A0" w:rsidR="00795321" w:rsidRPr="003B66BF" w:rsidRDefault="003B66BF" w:rsidP="00BA2EEB">
      <w:pPr>
        <w:keepNext/>
        <w:adjustRightInd w:val="0"/>
        <w:snapToGrid w:val="0"/>
        <w:spacing w:before="240" w:after="120"/>
        <w:jc w:val="both"/>
        <w:rPr>
          <w:rFonts w:ascii="Arial" w:hAnsi="Arial" w:cs="Arial"/>
          <w:color w:val="0070C0"/>
          <w:sz w:val="22"/>
          <w:szCs w:val="22"/>
        </w:rPr>
      </w:pPr>
      <w:r w:rsidRPr="003B66BF">
        <w:rPr>
          <w:rFonts w:ascii="Arial" w:hAnsi="Arial" w:cs="Arial"/>
          <w:color w:val="0070C0"/>
          <w:sz w:val="22"/>
          <w:szCs w:val="22"/>
        </w:rPr>
        <w:t>C</w:t>
      </w:r>
      <w:r w:rsidR="00795321" w:rsidRPr="003B66BF">
        <w:rPr>
          <w:rFonts w:ascii="Arial" w:hAnsi="Arial" w:cs="Arial"/>
          <w:color w:val="0070C0"/>
          <w:sz w:val="22"/>
          <w:szCs w:val="22"/>
        </w:rPr>
        <w:t>1. Site 1. Botum Sakor National Park (Koh Kong)</w:t>
      </w:r>
    </w:p>
    <w:p w14:paraId="44919262" w14:textId="77777777" w:rsidR="00795321" w:rsidRPr="003B66BF" w:rsidRDefault="00795321" w:rsidP="00795321">
      <w:pPr>
        <w:pStyle w:val="NormalWeb"/>
        <w:jc w:val="both"/>
        <w:rPr>
          <w:rFonts w:ascii="Arial" w:hAnsi="Arial" w:cs="Arial"/>
          <w:sz w:val="22"/>
          <w:szCs w:val="22"/>
        </w:rPr>
      </w:pPr>
      <w:r w:rsidRPr="003B66BF">
        <w:rPr>
          <w:rStyle w:val="Strong"/>
          <w:rFonts w:ascii="Arial" w:eastAsiaTheme="majorEastAsia" w:hAnsi="Arial" w:cs="Arial"/>
          <w:sz w:val="22"/>
          <w:szCs w:val="22"/>
        </w:rPr>
        <w:t>Status &amp; ecological importance.</w:t>
      </w:r>
      <w:r w:rsidRPr="003B66BF">
        <w:rPr>
          <w:rFonts w:ascii="Arial" w:hAnsi="Arial" w:cs="Arial"/>
          <w:sz w:val="22"/>
          <w:szCs w:val="22"/>
        </w:rPr>
        <w:t xml:space="preserve"> Botum Sakor is a very large protected landscape following the 2023 reclassification (143,895 ha). Within its estuarine apron, peat-forming mangroves (~4,768 ha) sit over marine clay and contain deep organic soils, making them an exceptional </w:t>
      </w:r>
      <w:r w:rsidRPr="003B66BF">
        <w:rPr>
          <w:rStyle w:val="Strong"/>
          <w:rFonts w:ascii="Arial" w:eastAsiaTheme="majorEastAsia" w:hAnsi="Arial" w:cs="Arial"/>
          <w:sz w:val="22"/>
          <w:szCs w:val="22"/>
        </w:rPr>
        <w:t>blue-carbon reservoir</w:t>
      </w:r>
      <w:r w:rsidRPr="003B66BF">
        <w:rPr>
          <w:rFonts w:ascii="Arial" w:hAnsi="Arial" w:cs="Arial"/>
          <w:sz w:val="22"/>
          <w:szCs w:val="22"/>
        </w:rPr>
        <w:t xml:space="preserve"> and a high-value “natural infrastructure” for storm buffering. The defining feature is that peat stability depends on </w:t>
      </w:r>
      <w:r w:rsidRPr="003B66BF">
        <w:rPr>
          <w:rStyle w:val="Strong"/>
          <w:rFonts w:ascii="Arial" w:eastAsiaTheme="majorEastAsia" w:hAnsi="Arial" w:cs="Arial"/>
          <w:sz w:val="22"/>
          <w:szCs w:val="22"/>
        </w:rPr>
        <w:t>continuous tidal exchange and high water tables</w:t>
      </w:r>
      <w:r w:rsidRPr="003B66BF">
        <w:rPr>
          <w:rFonts w:ascii="Arial" w:hAnsi="Arial" w:cs="Arial"/>
          <w:sz w:val="22"/>
          <w:szCs w:val="22"/>
        </w:rPr>
        <w:t>—once peat dries, oxidation and subsidence can cause long-lived carbon loss and weakened coastal protection.</w:t>
      </w:r>
    </w:p>
    <w:p w14:paraId="1FA9849B" w14:textId="2732FCB0" w:rsidR="00795321" w:rsidRPr="00BA2EEB" w:rsidRDefault="00795321" w:rsidP="00795321">
      <w:pPr>
        <w:pStyle w:val="NormalWeb"/>
        <w:jc w:val="both"/>
        <w:rPr>
          <w:rFonts w:ascii="Arial" w:hAnsi="Arial" w:cs="Arial"/>
          <w:i/>
          <w:iCs/>
          <w:sz w:val="22"/>
          <w:szCs w:val="22"/>
        </w:rPr>
      </w:pPr>
      <w:r w:rsidRPr="00BA2EEB">
        <w:rPr>
          <w:rStyle w:val="Strong"/>
          <w:rFonts w:ascii="Arial" w:eastAsiaTheme="majorEastAsia" w:hAnsi="Arial" w:cs="Arial"/>
          <w:i/>
          <w:iCs/>
          <w:sz w:val="22"/>
          <w:szCs w:val="22"/>
        </w:rPr>
        <w:t>Main pressures</w:t>
      </w:r>
    </w:p>
    <w:p w14:paraId="45510154" w14:textId="77777777" w:rsidR="00795321" w:rsidRPr="003B66BF" w:rsidRDefault="00795321" w:rsidP="00795321">
      <w:pPr>
        <w:pStyle w:val="NormalWeb"/>
        <w:numPr>
          <w:ilvl w:val="0"/>
          <w:numId w:val="45"/>
        </w:numPr>
        <w:jc w:val="both"/>
        <w:rPr>
          <w:rFonts w:ascii="Arial" w:hAnsi="Arial" w:cs="Arial"/>
          <w:sz w:val="22"/>
          <w:szCs w:val="22"/>
        </w:rPr>
      </w:pPr>
      <w:r w:rsidRPr="003B66BF">
        <w:rPr>
          <w:rStyle w:val="Strong"/>
          <w:rFonts w:ascii="Arial" w:eastAsiaTheme="majorEastAsia" w:hAnsi="Arial" w:cs="Arial"/>
          <w:sz w:val="22"/>
          <w:szCs w:val="22"/>
        </w:rPr>
        <w:t>Hydrologic restriction</w:t>
      </w:r>
      <w:r w:rsidRPr="003B66BF">
        <w:rPr>
          <w:rFonts w:ascii="Arial" w:hAnsi="Arial" w:cs="Arial"/>
          <w:sz w:val="22"/>
          <w:szCs w:val="22"/>
        </w:rPr>
        <w:t xml:space="preserve"> from roads/embankments and undersized culverts can reduce tidal prism, trap sediments, shift salinity bands, and lower water tables—directly threatening peat integrity.</w:t>
      </w:r>
    </w:p>
    <w:p w14:paraId="4FACD73F" w14:textId="77777777" w:rsidR="00795321" w:rsidRPr="003B66BF" w:rsidRDefault="00795321" w:rsidP="00795321">
      <w:pPr>
        <w:pStyle w:val="NormalWeb"/>
        <w:numPr>
          <w:ilvl w:val="0"/>
          <w:numId w:val="45"/>
        </w:numPr>
        <w:jc w:val="both"/>
        <w:rPr>
          <w:rFonts w:ascii="Arial" w:hAnsi="Arial" w:cs="Arial"/>
          <w:sz w:val="22"/>
          <w:szCs w:val="22"/>
        </w:rPr>
      </w:pPr>
      <w:r w:rsidRPr="003B66BF">
        <w:rPr>
          <w:rStyle w:val="Strong"/>
          <w:rFonts w:ascii="Arial" w:eastAsiaTheme="majorEastAsia" w:hAnsi="Arial" w:cs="Arial"/>
          <w:sz w:val="22"/>
          <w:szCs w:val="22"/>
        </w:rPr>
        <w:t>Concessionary development and associated access roads</w:t>
      </w:r>
      <w:r w:rsidRPr="003B66BF">
        <w:rPr>
          <w:rFonts w:ascii="Arial" w:hAnsi="Arial" w:cs="Arial"/>
          <w:sz w:val="22"/>
          <w:szCs w:val="22"/>
        </w:rPr>
        <w:t xml:space="preserve"> increase fragmentation risk and accelerate edge effects (clearing, disturbance, easier entry).</w:t>
      </w:r>
    </w:p>
    <w:p w14:paraId="34CA5CA9" w14:textId="77777777" w:rsidR="00795321" w:rsidRPr="003B66BF" w:rsidRDefault="00795321" w:rsidP="00795321">
      <w:pPr>
        <w:pStyle w:val="NormalWeb"/>
        <w:numPr>
          <w:ilvl w:val="0"/>
          <w:numId w:val="45"/>
        </w:numPr>
        <w:jc w:val="both"/>
        <w:rPr>
          <w:rFonts w:ascii="Arial" w:hAnsi="Arial" w:cs="Arial"/>
          <w:sz w:val="22"/>
          <w:szCs w:val="22"/>
        </w:rPr>
      </w:pPr>
      <w:r w:rsidRPr="003B66BF">
        <w:rPr>
          <w:rStyle w:val="Strong"/>
          <w:rFonts w:ascii="Arial" w:eastAsiaTheme="majorEastAsia" w:hAnsi="Arial" w:cs="Arial"/>
          <w:sz w:val="22"/>
          <w:szCs w:val="22"/>
        </w:rPr>
        <w:t>Legacy charcoal production and local extraction pressure</w:t>
      </w:r>
      <w:r w:rsidRPr="003B66BF">
        <w:rPr>
          <w:rFonts w:ascii="Arial" w:hAnsi="Arial" w:cs="Arial"/>
          <w:sz w:val="22"/>
          <w:szCs w:val="22"/>
        </w:rPr>
        <w:t xml:space="preserve"> can simplify stand structure and increase vulnerability to storms and erosion.</w:t>
      </w:r>
    </w:p>
    <w:p w14:paraId="525191E4" w14:textId="77777777" w:rsidR="00795321" w:rsidRPr="003B66BF" w:rsidRDefault="00795321" w:rsidP="00795321">
      <w:pPr>
        <w:pStyle w:val="NormalWeb"/>
        <w:numPr>
          <w:ilvl w:val="0"/>
          <w:numId w:val="45"/>
        </w:numPr>
        <w:jc w:val="both"/>
        <w:rPr>
          <w:rFonts w:ascii="Arial" w:hAnsi="Arial" w:cs="Arial"/>
          <w:sz w:val="22"/>
          <w:szCs w:val="22"/>
        </w:rPr>
      </w:pPr>
      <w:r w:rsidRPr="003B66BF">
        <w:rPr>
          <w:rStyle w:val="Strong"/>
          <w:rFonts w:ascii="Arial" w:eastAsiaTheme="majorEastAsia" w:hAnsi="Arial" w:cs="Arial"/>
          <w:sz w:val="22"/>
          <w:szCs w:val="22"/>
        </w:rPr>
        <w:t>Poaching and wildlife disturbance</w:t>
      </w:r>
      <w:r w:rsidRPr="003B66BF">
        <w:rPr>
          <w:rFonts w:ascii="Arial" w:hAnsi="Arial" w:cs="Arial"/>
          <w:sz w:val="22"/>
          <w:szCs w:val="22"/>
        </w:rPr>
        <w:t xml:space="preserve"> rise when access expands, undermining biodiversity values that support conservation legitimacy.</w:t>
      </w:r>
    </w:p>
    <w:p w14:paraId="1E56B125" w14:textId="45DB7E17" w:rsidR="00795321" w:rsidRPr="00BA2EEB" w:rsidRDefault="00795321" w:rsidP="00795321">
      <w:pPr>
        <w:pStyle w:val="NormalWeb"/>
        <w:jc w:val="both"/>
        <w:rPr>
          <w:rFonts w:ascii="Arial" w:hAnsi="Arial" w:cs="Arial"/>
          <w:i/>
          <w:iCs/>
          <w:sz w:val="22"/>
          <w:szCs w:val="22"/>
        </w:rPr>
      </w:pPr>
      <w:r w:rsidRPr="00BA2EEB">
        <w:rPr>
          <w:rStyle w:val="Strong"/>
          <w:rFonts w:ascii="Arial" w:eastAsiaTheme="majorEastAsia" w:hAnsi="Arial" w:cs="Arial"/>
          <w:i/>
          <w:iCs/>
          <w:sz w:val="22"/>
          <w:szCs w:val="22"/>
        </w:rPr>
        <w:t xml:space="preserve">Management implications </w:t>
      </w:r>
    </w:p>
    <w:p w14:paraId="7ED69FB2" w14:textId="77777777" w:rsidR="00795321" w:rsidRPr="003B66BF" w:rsidRDefault="00795321" w:rsidP="00795321">
      <w:pPr>
        <w:pStyle w:val="NormalWeb"/>
        <w:numPr>
          <w:ilvl w:val="0"/>
          <w:numId w:val="46"/>
        </w:numPr>
        <w:jc w:val="both"/>
        <w:rPr>
          <w:rFonts w:ascii="Arial" w:hAnsi="Arial" w:cs="Arial"/>
          <w:sz w:val="22"/>
          <w:szCs w:val="22"/>
        </w:rPr>
      </w:pPr>
      <w:r w:rsidRPr="003B66BF">
        <w:rPr>
          <w:rFonts w:ascii="Arial" w:hAnsi="Arial" w:cs="Arial"/>
          <w:sz w:val="22"/>
          <w:szCs w:val="22"/>
        </w:rPr>
        <w:t xml:space="preserve">Apply a </w:t>
      </w:r>
      <w:r w:rsidRPr="003B66BF">
        <w:rPr>
          <w:rStyle w:val="Strong"/>
          <w:rFonts w:ascii="Arial" w:eastAsiaTheme="majorEastAsia" w:hAnsi="Arial" w:cs="Arial"/>
          <w:sz w:val="22"/>
          <w:szCs w:val="22"/>
        </w:rPr>
        <w:t>“hydrology-first” rule</w:t>
      </w:r>
      <w:r w:rsidRPr="003B66BF">
        <w:rPr>
          <w:rFonts w:ascii="Arial" w:hAnsi="Arial" w:cs="Arial"/>
          <w:sz w:val="22"/>
          <w:szCs w:val="22"/>
        </w:rPr>
        <w:t>: protect tidal connectivity as the primary management objective in peat zones.</w:t>
      </w:r>
    </w:p>
    <w:p w14:paraId="0AB965E8" w14:textId="77777777" w:rsidR="00795321" w:rsidRPr="003B66BF" w:rsidRDefault="00795321" w:rsidP="00795321">
      <w:pPr>
        <w:pStyle w:val="NormalWeb"/>
        <w:numPr>
          <w:ilvl w:val="0"/>
          <w:numId w:val="46"/>
        </w:numPr>
        <w:jc w:val="both"/>
        <w:rPr>
          <w:rFonts w:ascii="Arial" w:hAnsi="Arial" w:cs="Arial"/>
          <w:sz w:val="22"/>
          <w:szCs w:val="22"/>
        </w:rPr>
      </w:pPr>
      <w:r w:rsidRPr="003B66BF">
        <w:rPr>
          <w:rFonts w:ascii="Arial" w:hAnsi="Arial" w:cs="Arial"/>
          <w:sz w:val="22"/>
          <w:szCs w:val="22"/>
        </w:rPr>
        <w:t xml:space="preserve">Use </w:t>
      </w:r>
      <w:r w:rsidRPr="003B66BF">
        <w:rPr>
          <w:rStyle w:val="Strong"/>
          <w:rFonts w:ascii="Arial" w:eastAsiaTheme="majorEastAsia" w:hAnsi="Arial" w:cs="Arial"/>
          <w:sz w:val="22"/>
          <w:szCs w:val="22"/>
        </w:rPr>
        <w:t>no-conversion cores</w:t>
      </w:r>
      <w:r w:rsidRPr="003B66BF">
        <w:rPr>
          <w:rFonts w:ascii="Arial" w:hAnsi="Arial" w:cs="Arial"/>
          <w:sz w:val="22"/>
          <w:szCs w:val="22"/>
        </w:rPr>
        <w:t xml:space="preserve"> over peat tongues; treat drainage/canalization as “high risk” activities.</w:t>
      </w:r>
    </w:p>
    <w:p w14:paraId="05871AAD" w14:textId="77777777" w:rsidR="00795321" w:rsidRPr="003B66BF" w:rsidRDefault="00795321" w:rsidP="00795321">
      <w:pPr>
        <w:pStyle w:val="NormalWeb"/>
        <w:numPr>
          <w:ilvl w:val="0"/>
          <w:numId w:val="46"/>
        </w:numPr>
        <w:jc w:val="both"/>
        <w:rPr>
          <w:rFonts w:ascii="Arial" w:hAnsi="Arial" w:cs="Arial"/>
          <w:sz w:val="22"/>
          <w:szCs w:val="22"/>
        </w:rPr>
      </w:pPr>
      <w:r w:rsidRPr="003B66BF">
        <w:rPr>
          <w:rFonts w:ascii="Arial" w:hAnsi="Arial" w:cs="Arial"/>
          <w:sz w:val="22"/>
          <w:szCs w:val="22"/>
        </w:rPr>
        <w:t xml:space="preserve">Require </w:t>
      </w:r>
      <w:r w:rsidRPr="003B66BF">
        <w:rPr>
          <w:rStyle w:val="Strong"/>
          <w:rFonts w:ascii="Arial" w:eastAsiaTheme="majorEastAsia" w:hAnsi="Arial" w:cs="Arial"/>
          <w:sz w:val="22"/>
          <w:szCs w:val="22"/>
        </w:rPr>
        <w:t>culvert/bridge sizing and maintenance</w:t>
      </w:r>
      <w:r w:rsidRPr="003B66BF">
        <w:rPr>
          <w:rFonts w:ascii="Arial" w:hAnsi="Arial" w:cs="Arial"/>
          <w:sz w:val="22"/>
          <w:szCs w:val="22"/>
        </w:rPr>
        <w:t xml:space="preserve"> to maintain tidal exchange and water levels.</w:t>
      </w:r>
    </w:p>
    <w:p w14:paraId="2B170477" w14:textId="77777777" w:rsidR="00795321" w:rsidRPr="003B66BF" w:rsidRDefault="00795321" w:rsidP="00795321">
      <w:pPr>
        <w:pStyle w:val="NormalWeb"/>
        <w:numPr>
          <w:ilvl w:val="0"/>
          <w:numId w:val="46"/>
        </w:numPr>
        <w:jc w:val="both"/>
        <w:rPr>
          <w:rFonts w:ascii="Arial" w:hAnsi="Arial" w:cs="Arial"/>
          <w:sz w:val="22"/>
          <w:szCs w:val="22"/>
        </w:rPr>
      </w:pPr>
      <w:r w:rsidRPr="003B66BF">
        <w:rPr>
          <w:rFonts w:ascii="Arial" w:hAnsi="Arial" w:cs="Arial"/>
          <w:sz w:val="22"/>
          <w:szCs w:val="22"/>
        </w:rPr>
        <w:t>Establish a simple compliance package: zoning map + signage + joint patrol priorities focused on peat blocks and tidal creeks.</w:t>
      </w:r>
    </w:p>
    <w:p w14:paraId="2D1303C0" w14:textId="1081041C" w:rsidR="00795321" w:rsidRPr="00BA2EEB" w:rsidRDefault="00795321" w:rsidP="00795321">
      <w:pPr>
        <w:pStyle w:val="NormalWeb"/>
        <w:jc w:val="both"/>
        <w:rPr>
          <w:rFonts w:ascii="Arial" w:hAnsi="Arial" w:cs="Arial"/>
          <w:i/>
          <w:iCs/>
          <w:sz w:val="22"/>
          <w:szCs w:val="22"/>
        </w:rPr>
      </w:pPr>
      <w:r w:rsidRPr="00BA2EEB">
        <w:rPr>
          <w:rStyle w:val="Strong"/>
          <w:rFonts w:ascii="Arial" w:eastAsiaTheme="majorEastAsia" w:hAnsi="Arial" w:cs="Arial"/>
          <w:i/>
          <w:iCs/>
          <w:sz w:val="22"/>
          <w:szCs w:val="22"/>
        </w:rPr>
        <w:t xml:space="preserve">Priority indicators </w:t>
      </w:r>
    </w:p>
    <w:p w14:paraId="503479B5" w14:textId="17B5DE63" w:rsidR="00795321" w:rsidRPr="003B66BF" w:rsidRDefault="00795321" w:rsidP="00795321">
      <w:pPr>
        <w:pStyle w:val="NormalWeb"/>
        <w:numPr>
          <w:ilvl w:val="0"/>
          <w:numId w:val="47"/>
        </w:numPr>
        <w:jc w:val="both"/>
        <w:rPr>
          <w:rFonts w:ascii="Arial" w:hAnsi="Arial" w:cs="Arial"/>
          <w:sz w:val="22"/>
          <w:szCs w:val="22"/>
        </w:rPr>
      </w:pPr>
      <w:r w:rsidRPr="003B66BF">
        <w:rPr>
          <w:rFonts w:ascii="Arial" w:hAnsi="Arial" w:cs="Arial"/>
          <w:sz w:val="22"/>
          <w:szCs w:val="22"/>
        </w:rPr>
        <w:t>Water level in peat-zone creeks, salinity in creek heads, canopy density/fragmentation, evidence of drainage/blocked culverts, and shoreline erosion/accretion near outlets.</w:t>
      </w:r>
    </w:p>
    <w:p w14:paraId="082E0633" w14:textId="7F3CBAA3" w:rsidR="00795321" w:rsidRPr="003B66BF" w:rsidRDefault="003B66BF" w:rsidP="00795321">
      <w:pPr>
        <w:jc w:val="both"/>
        <w:rPr>
          <w:rFonts w:ascii="Arial" w:hAnsi="Arial" w:cs="Arial"/>
          <w:color w:val="0070C0"/>
          <w:sz w:val="22"/>
          <w:szCs w:val="22"/>
        </w:rPr>
      </w:pPr>
      <w:r w:rsidRPr="003B66BF">
        <w:rPr>
          <w:rFonts w:ascii="Arial" w:hAnsi="Arial" w:cs="Arial"/>
          <w:color w:val="0070C0"/>
          <w:sz w:val="22"/>
          <w:szCs w:val="22"/>
        </w:rPr>
        <w:t>C</w:t>
      </w:r>
      <w:r w:rsidR="00795321" w:rsidRPr="003B66BF">
        <w:rPr>
          <w:rFonts w:ascii="Arial" w:hAnsi="Arial" w:cs="Arial"/>
          <w:color w:val="0070C0"/>
          <w:sz w:val="22"/>
          <w:szCs w:val="22"/>
        </w:rPr>
        <w:t>2. Site 2. Peam Krasaop Wildlife Sanctuary (Koh Kong)</w:t>
      </w:r>
    </w:p>
    <w:p w14:paraId="68B08627" w14:textId="77777777" w:rsidR="00795321" w:rsidRPr="003B66BF" w:rsidRDefault="00795321" w:rsidP="00795321">
      <w:pPr>
        <w:pStyle w:val="NormalWeb"/>
        <w:jc w:val="both"/>
        <w:rPr>
          <w:rFonts w:ascii="Arial" w:hAnsi="Arial" w:cs="Arial"/>
          <w:sz w:val="22"/>
          <w:szCs w:val="22"/>
        </w:rPr>
      </w:pPr>
      <w:r w:rsidRPr="003B66BF">
        <w:rPr>
          <w:rStyle w:val="Strong"/>
          <w:rFonts w:ascii="Arial" w:eastAsiaTheme="majorEastAsia" w:hAnsi="Arial" w:cs="Arial"/>
          <w:sz w:val="22"/>
          <w:szCs w:val="22"/>
        </w:rPr>
        <w:t>Status &amp; ecological importance.</w:t>
      </w:r>
      <w:r w:rsidRPr="003B66BF">
        <w:rPr>
          <w:rFonts w:ascii="Arial" w:hAnsi="Arial" w:cs="Arial"/>
          <w:sz w:val="22"/>
          <w:szCs w:val="22"/>
        </w:rPr>
        <w:t xml:space="preserve"> Peam Krasaop is a mangrove-dominated archipelago with strong tidal and upstream freshwater influence; it supports fisheries and livelihoods for local residents, and is now 16,982 ha after downsizing. The site contains multiple mangrove structural zones, indicating ecological gradients from intertidal flats through short-stature stands to taller riverine stands. Its key significance is </w:t>
      </w:r>
      <w:r w:rsidRPr="003B66BF">
        <w:rPr>
          <w:rStyle w:val="Strong"/>
          <w:rFonts w:ascii="Arial" w:eastAsiaTheme="majorEastAsia" w:hAnsi="Arial" w:cs="Arial"/>
          <w:sz w:val="22"/>
          <w:szCs w:val="22"/>
        </w:rPr>
        <w:t>connectivity</w:t>
      </w:r>
      <w:r w:rsidRPr="003B66BF">
        <w:rPr>
          <w:rFonts w:ascii="Arial" w:hAnsi="Arial" w:cs="Arial"/>
          <w:sz w:val="22"/>
          <w:szCs w:val="22"/>
        </w:rPr>
        <w:t>: Peam Krasaop links with the Koh Kapik Ramsar system and nearshore habitats, forming one of Cambodia’s most important mangrove–estuarine complexes for nursery functions and surge attenuation.</w:t>
      </w:r>
    </w:p>
    <w:p w14:paraId="571765C6" w14:textId="2941D137" w:rsidR="00795321" w:rsidRPr="00BA2EEB" w:rsidRDefault="00795321" w:rsidP="00795321">
      <w:pPr>
        <w:pStyle w:val="NormalWeb"/>
        <w:jc w:val="both"/>
        <w:rPr>
          <w:rFonts w:ascii="Arial" w:hAnsi="Arial" w:cs="Arial"/>
          <w:i/>
          <w:iCs/>
          <w:sz w:val="22"/>
          <w:szCs w:val="22"/>
        </w:rPr>
      </w:pPr>
      <w:r w:rsidRPr="00BA2EEB">
        <w:rPr>
          <w:rStyle w:val="Strong"/>
          <w:rFonts w:ascii="Arial" w:eastAsiaTheme="majorEastAsia" w:hAnsi="Arial" w:cs="Arial"/>
          <w:i/>
          <w:iCs/>
          <w:sz w:val="22"/>
          <w:szCs w:val="22"/>
        </w:rPr>
        <w:t>Main pressures</w:t>
      </w:r>
    </w:p>
    <w:p w14:paraId="37A85471" w14:textId="77777777" w:rsidR="00795321" w:rsidRPr="003B66BF" w:rsidRDefault="00795321" w:rsidP="00795321">
      <w:pPr>
        <w:pStyle w:val="NormalWeb"/>
        <w:numPr>
          <w:ilvl w:val="0"/>
          <w:numId w:val="48"/>
        </w:numPr>
        <w:jc w:val="both"/>
        <w:rPr>
          <w:rFonts w:ascii="Arial" w:hAnsi="Arial" w:cs="Arial"/>
          <w:sz w:val="22"/>
          <w:szCs w:val="22"/>
        </w:rPr>
      </w:pPr>
      <w:r w:rsidRPr="003B66BF">
        <w:rPr>
          <w:rStyle w:val="Strong"/>
          <w:rFonts w:ascii="Arial" w:eastAsiaTheme="majorEastAsia" w:hAnsi="Arial" w:cs="Arial"/>
          <w:sz w:val="22"/>
          <w:szCs w:val="22"/>
        </w:rPr>
        <w:t>Water-quality and hydrology stress</w:t>
      </w:r>
      <w:r w:rsidRPr="003B66BF">
        <w:rPr>
          <w:rFonts w:ascii="Arial" w:hAnsi="Arial" w:cs="Arial"/>
          <w:sz w:val="22"/>
          <w:szCs w:val="22"/>
        </w:rPr>
        <w:t xml:space="preserve"> from surrounding development: increased runoff, sediment, and nutrient inputs can reduce mangrove vigor and nursery productivity.</w:t>
      </w:r>
    </w:p>
    <w:p w14:paraId="4FBC4206" w14:textId="77777777" w:rsidR="00795321" w:rsidRPr="003B66BF" w:rsidRDefault="00795321" w:rsidP="00795321">
      <w:pPr>
        <w:pStyle w:val="NormalWeb"/>
        <w:numPr>
          <w:ilvl w:val="0"/>
          <w:numId w:val="48"/>
        </w:numPr>
        <w:jc w:val="both"/>
        <w:rPr>
          <w:rFonts w:ascii="Arial" w:hAnsi="Arial" w:cs="Arial"/>
          <w:sz w:val="22"/>
          <w:szCs w:val="22"/>
        </w:rPr>
      </w:pPr>
      <w:r w:rsidRPr="003B66BF">
        <w:rPr>
          <w:rStyle w:val="Strong"/>
          <w:rFonts w:ascii="Arial" w:eastAsiaTheme="majorEastAsia" w:hAnsi="Arial" w:cs="Arial"/>
          <w:sz w:val="22"/>
          <w:szCs w:val="22"/>
        </w:rPr>
        <w:t>Aquaculture expansion and land conversion risk</w:t>
      </w:r>
      <w:r w:rsidRPr="003B66BF">
        <w:rPr>
          <w:rFonts w:ascii="Arial" w:hAnsi="Arial" w:cs="Arial"/>
          <w:sz w:val="22"/>
          <w:szCs w:val="22"/>
        </w:rPr>
        <w:t xml:space="preserve"> can fragment mangroves and alter flushing patterns.</w:t>
      </w:r>
    </w:p>
    <w:p w14:paraId="043DCB42" w14:textId="77777777" w:rsidR="00795321" w:rsidRPr="003B66BF" w:rsidRDefault="00795321" w:rsidP="00795321">
      <w:pPr>
        <w:pStyle w:val="NormalWeb"/>
        <w:numPr>
          <w:ilvl w:val="0"/>
          <w:numId w:val="48"/>
        </w:numPr>
        <w:jc w:val="both"/>
        <w:rPr>
          <w:rFonts w:ascii="Arial" w:hAnsi="Arial" w:cs="Arial"/>
          <w:sz w:val="22"/>
          <w:szCs w:val="22"/>
        </w:rPr>
      </w:pPr>
      <w:r w:rsidRPr="003B66BF">
        <w:rPr>
          <w:rStyle w:val="Strong"/>
          <w:rFonts w:ascii="Arial" w:eastAsiaTheme="majorEastAsia" w:hAnsi="Arial" w:cs="Arial"/>
          <w:sz w:val="22"/>
          <w:szCs w:val="22"/>
        </w:rPr>
        <w:t>Transport infrastructure</w:t>
      </w:r>
      <w:r w:rsidRPr="003B66BF">
        <w:rPr>
          <w:rFonts w:ascii="Arial" w:hAnsi="Arial" w:cs="Arial"/>
          <w:sz w:val="22"/>
          <w:szCs w:val="22"/>
        </w:rPr>
        <w:t xml:space="preserve"> can reshape channels and tidal exchange, affecting salinity and sediment budgets.</w:t>
      </w:r>
    </w:p>
    <w:p w14:paraId="51AB45BE" w14:textId="77777777" w:rsidR="00795321" w:rsidRPr="003B66BF" w:rsidRDefault="00795321" w:rsidP="00795321">
      <w:pPr>
        <w:pStyle w:val="NormalWeb"/>
        <w:numPr>
          <w:ilvl w:val="0"/>
          <w:numId w:val="48"/>
        </w:numPr>
        <w:jc w:val="both"/>
        <w:rPr>
          <w:rFonts w:ascii="Arial" w:hAnsi="Arial" w:cs="Arial"/>
          <w:sz w:val="22"/>
          <w:szCs w:val="22"/>
        </w:rPr>
      </w:pPr>
      <w:r w:rsidRPr="003B66BF">
        <w:rPr>
          <w:rStyle w:val="Strong"/>
          <w:rFonts w:ascii="Arial" w:eastAsiaTheme="majorEastAsia" w:hAnsi="Arial" w:cs="Arial"/>
          <w:sz w:val="22"/>
          <w:szCs w:val="22"/>
        </w:rPr>
        <w:t>Localized extraction pressure</w:t>
      </w:r>
      <w:r w:rsidRPr="003B66BF">
        <w:rPr>
          <w:rFonts w:ascii="Arial" w:hAnsi="Arial" w:cs="Arial"/>
          <w:sz w:val="22"/>
          <w:szCs w:val="22"/>
        </w:rPr>
        <w:t xml:space="preserve"> (fuelwood, small timber) can degrade accessible margins if not governed by community rules.</w:t>
      </w:r>
    </w:p>
    <w:p w14:paraId="329F6EA7" w14:textId="3508AF82" w:rsidR="00795321" w:rsidRPr="00BA2EEB" w:rsidRDefault="00795321" w:rsidP="00795321">
      <w:pPr>
        <w:pStyle w:val="NormalWeb"/>
        <w:jc w:val="both"/>
        <w:rPr>
          <w:rFonts w:ascii="Arial" w:hAnsi="Arial" w:cs="Arial"/>
          <w:i/>
          <w:iCs/>
          <w:sz w:val="22"/>
          <w:szCs w:val="22"/>
        </w:rPr>
      </w:pPr>
      <w:r w:rsidRPr="00BA2EEB">
        <w:rPr>
          <w:rStyle w:val="Strong"/>
          <w:rFonts w:ascii="Arial" w:eastAsiaTheme="majorEastAsia" w:hAnsi="Arial" w:cs="Arial"/>
          <w:i/>
          <w:iCs/>
          <w:sz w:val="22"/>
          <w:szCs w:val="22"/>
        </w:rPr>
        <w:t>Management implications</w:t>
      </w:r>
    </w:p>
    <w:p w14:paraId="2964D456" w14:textId="77777777" w:rsidR="00795321" w:rsidRPr="003B66BF" w:rsidRDefault="00795321" w:rsidP="00795321">
      <w:pPr>
        <w:pStyle w:val="NormalWeb"/>
        <w:numPr>
          <w:ilvl w:val="0"/>
          <w:numId w:val="49"/>
        </w:numPr>
        <w:jc w:val="both"/>
        <w:rPr>
          <w:rFonts w:ascii="Arial" w:hAnsi="Arial" w:cs="Arial"/>
          <w:sz w:val="22"/>
          <w:szCs w:val="22"/>
        </w:rPr>
      </w:pPr>
      <w:r w:rsidRPr="003B66BF">
        <w:rPr>
          <w:rFonts w:ascii="Arial" w:hAnsi="Arial" w:cs="Arial"/>
          <w:sz w:val="22"/>
          <w:szCs w:val="22"/>
        </w:rPr>
        <w:t xml:space="preserve">Manage Peam Krasaop as a </w:t>
      </w:r>
      <w:r w:rsidRPr="003B66BF">
        <w:rPr>
          <w:rStyle w:val="Strong"/>
          <w:rFonts w:ascii="Arial" w:eastAsiaTheme="majorEastAsia" w:hAnsi="Arial" w:cs="Arial"/>
          <w:sz w:val="22"/>
          <w:szCs w:val="22"/>
        </w:rPr>
        <w:t>land–sea system</w:t>
      </w:r>
      <w:r w:rsidRPr="003B66BF">
        <w:rPr>
          <w:rFonts w:ascii="Arial" w:hAnsi="Arial" w:cs="Arial"/>
          <w:sz w:val="22"/>
          <w:szCs w:val="22"/>
        </w:rPr>
        <w:t>: zoning should protect tidal channels, intertidal flats, and mangrove edges that function as nursery corridors.</w:t>
      </w:r>
    </w:p>
    <w:p w14:paraId="1C32AEA7" w14:textId="77777777" w:rsidR="00795321" w:rsidRPr="003B66BF" w:rsidRDefault="00795321" w:rsidP="00795321">
      <w:pPr>
        <w:pStyle w:val="NormalWeb"/>
        <w:numPr>
          <w:ilvl w:val="0"/>
          <w:numId w:val="49"/>
        </w:numPr>
        <w:jc w:val="both"/>
        <w:rPr>
          <w:rFonts w:ascii="Arial" w:hAnsi="Arial" w:cs="Arial"/>
          <w:sz w:val="22"/>
          <w:szCs w:val="22"/>
        </w:rPr>
      </w:pPr>
      <w:r w:rsidRPr="003B66BF">
        <w:rPr>
          <w:rFonts w:ascii="Arial" w:hAnsi="Arial" w:cs="Arial"/>
          <w:sz w:val="22"/>
          <w:szCs w:val="22"/>
        </w:rPr>
        <w:t>Strengthen joint MoE–FiA coordination with adjacent community fisheries where access and livelihood uses are high.</w:t>
      </w:r>
    </w:p>
    <w:p w14:paraId="5F62F41D" w14:textId="77777777" w:rsidR="00795321" w:rsidRPr="003B66BF" w:rsidRDefault="00795321" w:rsidP="00795321">
      <w:pPr>
        <w:pStyle w:val="NormalWeb"/>
        <w:numPr>
          <w:ilvl w:val="0"/>
          <w:numId w:val="49"/>
        </w:numPr>
        <w:jc w:val="both"/>
        <w:rPr>
          <w:rFonts w:ascii="Arial" w:hAnsi="Arial" w:cs="Arial"/>
          <w:sz w:val="22"/>
          <w:szCs w:val="22"/>
        </w:rPr>
      </w:pPr>
      <w:r w:rsidRPr="003B66BF">
        <w:rPr>
          <w:rFonts w:ascii="Arial" w:hAnsi="Arial" w:cs="Arial"/>
          <w:sz w:val="22"/>
          <w:szCs w:val="22"/>
        </w:rPr>
        <w:t>Prioritize low-cost measures that reduce chronic stress: buffer zones for runoff, control of clearing, targeted patrol support for community enforcement.</w:t>
      </w:r>
    </w:p>
    <w:p w14:paraId="723BE642" w14:textId="15A6A4B0" w:rsidR="00795321" w:rsidRPr="00BA2EEB" w:rsidRDefault="00795321" w:rsidP="00795321">
      <w:pPr>
        <w:pStyle w:val="NormalWeb"/>
        <w:jc w:val="both"/>
        <w:rPr>
          <w:rFonts w:ascii="Arial" w:hAnsi="Arial" w:cs="Arial"/>
          <w:i/>
          <w:iCs/>
          <w:sz w:val="22"/>
          <w:szCs w:val="22"/>
        </w:rPr>
      </w:pPr>
      <w:r w:rsidRPr="00BA2EEB">
        <w:rPr>
          <w:rStyle w:val="Strong"/>
          <w:rFonts w:ascii="Arial" w:eastAsiaTheme="majorEastAsia" w:hAnsi="Arial" w:cs="Arial"/>
          <w:i/>
          <w:iCs/>
          <w:sz w:val="22"/>
          <w:szCs w:val="22"/>
        </w:rPr>
        <w:t>Priority indicators</w:t>
      </w:r>
    </w:p>
    <w:p w14:paraId="58046F38" w14:textId="1769DCF5" w:rsidR="00795321" w:rsidRPr="003B66BF" w:rsidRDefault="00795321" w:rsidP="00795321">
      <w:pPr>
        <w:pStyle w:val="NormalWeb"/>
        <w:numPr>
          <w:ilvl w:val="0"/>
          <w:numId w:val="50"/>
        </w:numPr>
        <w:jc w:val="both"/>
        <w:rPr>
          <w:rFonts w:ascii="Arial" w:hAnsi="Arial" w:cs="Arial"/>
          <w:sz w:val="22"/>
          <w:szCs w:val="22"/>
        </w:rPr>
      </w:pPr>
      <w:r w:rsidRPr="003B66BF">
        <w:rPr>
          <w:rFonts w:ascii="Arial" w:hAnsi="Arial" w:cs="Arial"/>
          <w:sz w:val="22"/>
          <w:szCs w:val="22"/>
        </w:rPr>
        <w:t>Channel/tidal connectivity, turbidity and nutrient proxies (simple water checks), mangrove fragmentation, and community catch/CPUE as a proxy for nursery function.</w:t>
      </w:r>
    </w:p>
    <w:p w14:paraId="3D2B9647" w14:textId="05B5D6B6" w:rsidR="00795321" w:rsidRPr="003B66BF" w:rsidRDefault="003B66BF" w:rsidP="00795321">
      <w:pPr>
        <w:jc w:val="both"/>
        <w:rPr>
          <w:rFonts w:ascii="Arial" w:hAnsi="Arial" w:cs="Arial"/>
          <w:sz w:val="22"/>
          <w:szCs w:val="22"/>
        </w:rPr>
      </w:pPr>
      <w:r w:rsidRPr="003B66BF">
        <w:rPr>
          <w:rFonts w:ascii="Arial" w:hAnsi="Arial" w:cs="Arial"/>
          <w:color w:val="0070C0"/>
          <w:sz w:val="22"/>
          <w:szCs w:val="22"/>
        </w:rPr>
        <w:t>C</w:t>
      </w:r>
      <w:r w:rsidR="00795321" w:rsidRPr="003B66BF">
        <w:rPr>
          <w:rFonts w:ascii="Arial" w:hAnsi="Arial" w:cs="Arial"/>
          <w:color w:val="0070C0"/>
          <w:sz w:val="22"/>
          <w:szCs w:val="22"/>
        </w:rPr>
        <w:t>3. Site 3. Koh Kapik &amp; Associated Islets (Ramsar Site 998) (Koh Kong)</w:t>
      </w:r>
    </w:p>
    <w:p w14:paraId="4C3100F4" w14:textId="77777777" w:rsidR="00795321" w:rsidRPr="003B66BF" w:rsidRDefault="00795321" w:rsidP="00795321">
      <w:pPr>
        <w:pStyle w:val="NormalWeb"/>
        <w:jc w:val="both"/>
        <w:rPr>
          <w:rFonts w:ascii="Arial" w:hAnsi="Arial" w:cs="Arial"/>
          <w:sz w:val="22"/>
          <w:szCs w:val="22"/>
        </w:rPr>
      </w:pPr>
      <w:r w:rsidRPr="003B66BF">
        <w:rPr>
          <w:rStyle w:val="Strong"/>
          <w:rFonts w:ascii="Arial" w:eastAsiaTheme="majorEastAsia" w:hAnsi="Arial" w:cs="Arial"/>
          <w:sz w:val="22"/>
          <w:szCs w:val="22"/>
        </w:rPr>
        <w:t>Status &amp; ecological importance.</w:t>
      </w:r>
      <w:r w:rsidRPr="003B66BF">
        <w:rPr>
          <w:rFonts w:ascii="Arial" w:hAnsi="Arial" w:cs="Arial"/>
          <w:sz w:val="22"/>
          <w:szCs w:val="22"/>
        </w:rPr>
        <w:t xml:space="preserve"> Koh Kapik (~12,000 ha) is a Ramsar-designated wetland of alluvial islands, mangroves, and intertidal flats. A defining governance feature is that only ~60% falls inside Peam Krasaop WS while ~40% lies outside—so outcomes depend on </w:t>
      </w:r>
      <w:r w:rsidRPr="003B66BF">
        <w:rPr>
          <w:rStyle w:val="Strong"/>
          <w:rFonts w:ascii="Arial" w:eastAsiaTheme="majorEastAsia" w:hAnsi="Arial" w:cs="Arial"/>
          <w:sz w:val="22"/>
          <w:szCs w:val="22"/>
        </w:rPr>
        <w:t>cross-boundary coordination</w:t>
      </w:r>
      <w:r w:rsidRPr="003B66BF">
        <w:rPr>
          <w:rFonts w:ascii="Arial" w:hAnsi="Arial" w:cs="Arial"/>
          <w:sz w:val="22"/>
          <w:szCs w:val="22"/>
        </w:rPr>
        <w:t>, not only sanctuary management. Ecologically, the system relies on freshwater inflows (Prek Koh Pao and Prek Khlang Yai/Stung Kep) mixing with tides to maintain brackish productivity that supports fisheries and waterbirds. The site also has high livelihood reliance (&gt;65% of households with 70–90% wetland-derived income), so ecological change rapidly becomes a welfare issue.</w:t>
      </w:r>
    </w:p>
    <w:p w14:paraId="0EFE5E58" w14:textId="37B0D34B" w:rsidR="00795321" w:rsidRPr="00BA2EEB" w:rsidRDefault="00795321" w:rsidP="00795321">
      <w:pPr>
        <w:pStyle w:val="NormalWeb"/>
        <w:jc w:val="both"/>
        <w:rPr>
          <w:rFonts w:ascii="Arial" w:hAnsi="Arial" w:cs="Arial"/>
          <w:i/>
          <w:iCs/>
          <w:sz w:val="22"/>
          <w:szCs w:val="22"/>
        </w:rPr>
      </w:pPr>
      <w:r w:rsidRPr="00BA2EEB">
        <w:rPr>
          <w:rStyle w:val="Strong"/>
          <w:rFonts w:ascii="Arial" w:eastAsiaTheme="majorEastAsia" w:hAnsi="Arial" w:cs="Arial"/>
          <w:i/>
          <w:iCs/>
          <w:sz w:val="22"/>
          <w:szCs w:val="22"/>
        </w:rPr>
        <w:t>Main pressures</w:t>
      </w:r>
    </w:p>
    <w:p w14:paraId="4F76174E" w14:textId="77777777" w:rsidR="00795321" w:rsidRPr="003B66BF" w:rsidRDefault="00795321" w:rsidP="00795321">
      <w:pPr>
        <w:pStyle w:val="NormalWeb"/>
        <w:numPr>
          <w:ilvl w:val="0"/>
          <w:numId w:val="51"/>
        </w:numPr>
        <w:jc w:val="both"/>
        <w:rPr>
          <w:rFonts w:ascii="Arial" w:hAnsi="Arial" w:cs="Arial"/>
          <w:sz w:val="22"/>
          <w:szCs w:val="22"/>
        </w:rPr>
      </w:pPr>
      <w:r w:rsidRPr="003B66BF">
        <w:rPr>
          <w:rStyle w:val="Strong"/>
          <w:rFonts w:ascii="Arial" w:eastAsiaTheme="majorEastAsia" w:hAnsi="Arial" w:cs="Arial"/>
          <w:sz w:val="22"/>
          <w:szCs w:val="22"/>
        </w:rPr>
        <w:t>Reduced freshwater inflow or altered timing</w:t>
      </w:r>
      <w:r w:rsidRPr="003B66BF">
        <w:rPr>
          <w:rFonts w:ascii="Arial" w:hAnsi="Arial" w:cs="Arial"/>
          <w:sz w:val="22"/>
          <w:szCs w:val="22"/>
        </w:rPr>
        <w:t xml:space="preserve"> (upstream changes, diversions) can shift salinity and reduce plankton/fish productivity.</w:t>
      </w:r>
    </w:p>
    <w:p w14:paraId="0068F42A" w14:textId="77777777" w:rsidR="00795321" w:rsidRPr="003B66BF" w:rsidRDefault="00795321" w:rsidP="00795321">
      <w:pPr>
        <w:pStyle w:val="NormalWeb"/>
        <w:numPr>
          <w:ilvl w:val="0"/>
          <w:numId w:val="51"/>
        </w:numPr>
        <w:jc w:val="both"/>
        <w:rPr>
          <w:rFonts w:ascii="Arial" w:hAnsi="Arial" w:cs="Arial"/>
          <w:sz w:val="22"/>
          <w:szCs w:val="22"/>
        </w:rPr>
      </w:pPr>
      <w:r w:rsidRPr="003B66BF">
        <w:rPr>
          <w:rStyle w:val="Strong"/>
          <w:rFonts w:ascii="Arial" w:eastAsiaTheme="majorEastAsia" w:hAnsi="Arial" w:cs="Arial"/>
          <w:sz w:val="22"/>
          <w:szCs w:val="22"/>
        </w:rPr>
        <w:t>Channel infill/sedimentation</w:t>
      </w:r>
      <w:r w:rsidRPr="003B66BF">
        <w:rPr>
          <w:rFonts w:ascii="Arial" w:hAnsi="Arial" w:cs="Arial"/>
          <w:sz w:val="22"/>
          <w:szCs w:val="22"/>
        </w:rPr>
        <w:t xml:space="preserve"> can shrink tidal prism and reduce habitat quality for shorebirds and fisheries.</w:t>
      </w:r>
    </w:p>
    <w:p w14:paraId="556BA727" w14:textId="77777777" w:rsidR="00795321" w:rsidRPr="003B66BF" w:rsidRDefault="00795321" w:rsidP="00795321">
      <w:pPr>
        <w:pStyle w:val="NormalWeb"/>
        <w:numPr>
          <w:ilvl w:val="0"/>
          <w:numId w:val="51"/>
        </w:numPr>
        <w:jc w:val="both"/>
        <w:rPr>
          <w:rFonts w:ascii="Arial" w:hAnsi="Arial" w:cs="Arial"/>
          <w:sz w:val="22"/>
          <w:szCs w:val="22"/>
        </w:rPr>
      </w:pPr>
      <w:r w:rsidRPr="003B66BF">
        <w:rPr>
          <w:rStyle w:val="Strong"/>
          <w:rFonts w:ascii="Arial" w:eastAsiaTheme="majorEastAsia" w:hAnsi="Arial" w:cs="Arial"/>
          <w:sz w:val="22"/>
          <w:szCs w:val="22"/>
        </w:rPr>
        <w:t>Mangrove fragmentation</w:t>
      </w:r>
      <w:r w:rsidRPr="003B66BF">
        <w:rPr>
          <w:rFonts w:ascii="Arial" w:hAnsi="Arial" w:cs="Arial"/>
          <w:sz w:val="22"/>
          <w:szCs w:val="22"/>
        </w:rPr>
        <w:t xml:space="preserve"> weakens storm buffering and nursery connectivity.</w:t>
      </w:r>
    </w:p>
    <w:p w14:paraId="1DF87058" w14:textId="77777777" w:rsidR="00795321" w:rsidRPr="003B66BF" w:rsidRDefault="00795321" w:rsidP="00795321">
      <w:pPr>
        <w:pStyle w:val="NormalWeb"/>
        <w:numPr>
          <w:ilvl w:val="0"/>
          <w:numId w:val="51"/>
        </w:numPr>
        <w:jc w:val="both"/>
        <w:rPr>
          <w:rFonts w:ascii="Arial" w:hAnsi="Arial" w:cs="Arial"/>
          <w:sz w:val="22"/>
          <w:szCs w:val="22"/>
        </w:rPr>
      </w:pPr>
      <w:r w:rsidRPr="003B66BF">
        <w:rPr>
          <w:rStyle w:val="Strong"/>
          <w:rFonts w:ascii="Arial" w:eastAsiaTheme="majorEastAsia" w:hAnsi="Arial" w:cs="Arial"/>
          <w:sz w:val="22"/>
          <w:szCs w:val="22"/>
        </w:rPr>
        <w:t>Cross-boundary enforcement gaps</w:t>
      </w:r>
      <w:r w:rsidRPr="003B66BF">
        <w:rPr>
          <w:rFonts w:ascii="Arial" w:hAnsi="Arial" w:cs="Arial"/>
          <w:sz w:val="22"/>
          <w:szCs w:val="22"/>
        </w:rPr>
        <w:t xml:space="preserve"> (outside-WS areas) create weak points where clearing or unregulated activities can undermine the whole system.</w:t>
      </w:r>
    </w:p>
    <w:p w14:paraId="5EFA946B" w14:textId="3A8C694F" w:rsidR="00795321" w:rsidRPr="00BA2EEB" w:rsidRDefault="00795321" w:rsidP="00795321">
      <w:pPr>
        <w:pStyle w:val="NormalWeb"/>
        <w:jc w:val="both"/>
        <w:rPr>
          <w:rFonts w:ascii="Arial" w:hAnsi="Arial" w:cs="Arial"/>
          <w:i/>
          <w:iCs/>
          <w:sz w:val="22"/>
          <w:szCs w:val="22"/>
        </w:rPr>
      </w:pPr>
      <w:r w:rsidRPr="00BA2EEB">
        <w:rPr>
          <w:rStyle w:val="Strong"/>
          <w:rFonts w:ascii="Arial" w:eastAsiaTheme="majorEastAsia" w:hAnsi="Arial" w:cs="Arial"/>
          <w:i/>
          <w:iCs/>
          <w:sz w:val="22"/>
          <w:szCs w:val="22"/>
        </w:rPr>
        <w:t>Management implications</w:t>
      </w:r>
    </w:p>
    <w:p w14:paraId="4E1CAC67" w14:textId="77777777" w:rsidR="00795321" w:rsidRPr="003B66BF" w:rsidRDefault="00795321" w:rsidP="00795321">
      <w:pPr>
        <w:pStyle w:val="NormalWeb"/>
        <w:numPr>
          <w:ilvl w:val="0"/>
          <w:numId w:val="52"/>
        </w:numPr>
        <w:jc w:val="both"/>
        <w:rPr>
          <w:rFonts w:ascii="Arial" w:hAnsi="Arial" w:cs="Arial"/>
          <w:sz w:val="22"/>
          <w:szCs w:val="22"/>
        </w:rPr>
      </w:pPr>
      <w:r w:rsidRPr="003B66BF">
        <w:rPr>
          <w:rFonts w:ascii="Arial" w:hAnsi="Arial" w:cs="Arial"/>
          <w:sz w:val="22"/>
          <w:szCs w:val="22"/>
        </w:rPr>
        <w:t xml:space="preserve">Treat Koh Kapik as a </w:t>
      </w:r>
      <w:r w:rsidRPr="003B66BF">
        <w:rPr>
          <w:rStyle w:val="Strong"/>
          <w:rFonts w:ascii="Arial" w:eastAsiaTheme="majorEastAsia" w:hAnsi="Arial" w:cs="Arial"/>
          <w:sz w:val="22"/>
          <w:szCs w:val="22"/>
        </w:rPr>
        <w:t>connectivity-managed Ramsar landscape</w:t>
      </w:r>
      <w:r w:rsidRPr="003B66BF">
        <w:rPr>
          <w:rFonts w:ascii="Arial" w:hAnsi="Arial" w:cs="Arial"/>
          <w:sz w:val="22"/>
          <w:szCs w:val="22"/>
        </w:rPr>
        <w:t>: protect inter-islet flats, keep channels open, maintain freshwater inflows, and coordinate rules across administrative boundaries.</w:t>
      </w:r>
    </w:p>
    <w:p w14:paraId="3D0EDBF6" w14:textId="77777777" w:rsidR="00795321" w:rsidRPr="003B66BF" w:rsidRDefault="00795321" w:rsidP="00795321">
      <w:pPr>
        <w:pStyle w:val="NormalWeb"/>
        <w:numPr>
          <w:ilvl w:val="0"/>
          <w:numId w:val="52"/>
        </w:numPr>
        <w:jc w:val="both"/>
        <w:rPr>
          <w:rFonts w:ascii="Arial" w:hAnsi="Arial" w:cs="Arial"/>
          <w:sz w:val="22"/>
          <w:szCs w:val="22"/>
        </w:rPr>
      </w:pPr>
      <w:r w:rsidRPr="003B66BF">
        <w:rPr>
          <w:rFonts w:ascii="Arial" w:hAnsi="Arial" w:cs="Arial"/>
          <w:sz w:val="22"/>
          <w:szCs w:val="22"/>
        </w:rPr>
        <w:t>Prioritize simple “system integrity” protections (no conversion of flats, avoid blocking channels, maintain tidal prism).</w:t>
      </w:r>
    </w:p>
    <w:p w14:paraId="7E193F76" w14:textId="77777777" w:rsidR="00795321" w:rsidRPr="003B66BF" w:rsidRDefault="00795321" w:rsidP="00795321">
      <w:pPr>
        <w:pStyle w:val="NormalWeb"/>
        <w:numPr>
          <w:ilvl w:val="0"/>
          <w:numId w:val="52"/>
        </w:numPr>
        <w:jc w:val="both"/>
        <w:rPr>
          <w:rFonts w:ascii="Arial" w:hAnsi="Arial" w:cs="Arial"/>
          <w:sz w:val="22"/>
          <w:szCs w:val="22"/>
        </w:rPr>
      </w:pPr>
      <w:r w:rsidRPr="003B66BF">
        <w:rPr>
          <w:rFonts w:ascii="Arial" w:hAnsi="Arial" w:cs="Arial"/>
          <w:sz w:val="22"/>
          <w:szCs w:val="22"/>
        </w:rPr>
        <w:t>Link livelihood protection with management: community compliance improves when rules clearly protect fishing productivity.</w:t>
      </w:r>
    </w:p>
    <w:p w14:paraId="29A47C91" w14:textId="7B2E4EA7" w:rsidR="00795321" w:rsidRPr="00BA2EEB" w:rsidRDefault="00795321" w:rsidP="00795321">
      <w:pPr>
        <w:pStyle w:val="NormalWeb"/>
        <w:jc w:val="both"/>
        <w:rPr>
          <w:rFonts w:ascii="Arial" w:hAnsi="Arial" w:cs="Arial"/>
          <w:i/>
          <w:iCs/>
          <w:sz w:val="22"/>
          <w:szCs w:val="22"/>
        </w:rPr>
      </w:pPr>
      <w:r w:rsidRPr="00BA2EEB">
        <w:rPr>
          <w:rStyle w:val="Strong"/>
          <w:rFonts w:ascii="Arial" w:eastAsiaTheme="majorEastAsia" w:hAnsi="Arial" w:cs="Arial"/>
          <w:i/>
          <w:iCs/>
          <w:sz w:val="22"/>
          <w:szCs w:val="22"/>
        </w:rPr>
        <w:t>Priority indicators</w:t>
      </w:r>
    </w:p>
    <w:p w14:paraId="3C5FD063" w14:textId="0A92B58A" w:rsidR="00795321" w:rsidRPr="003B66BF" w:rsidRDefault="00795321" w:rsidP="00795321">
      <w:pPr>
        <w:pStyle w:val="NormalWeb"/>
        <w:numPr>
          <w:ilvl w:val="0"/>
          <w:numId w:val="53"/>
        </w:numPr>
        <w:jc w:val="both"/>
        <w:rPr>
          <w:rFonts w:ascii="Arial" w:hAnsi="Arial" w:cs="Arial"/>
          <w:sz w:val="22"/>
          <w:szCs w:val="22"/>
        </w:rPr>
      </w:pPr>
      <w:r w:rsidRPr="003B66BF">
        <w:rPr>
          <w:rFonts w:ascii="Arial" w:hAnsi="Arial" w:cs="Arial"/>
          <w:sz w:val="22"/>
          <w:szCs w:val="22"/>
        </w:rPr>
        <w:t>Freshwater inflow proxies, salinity band shifts, channel width/depth condition (rapid field checks), intertidal flat condition, and community income/catch dependence as a sensitivity indicator.</w:t>
      </w:r>
    </w:p>
    <w:p w14:paraId="42CA3BC2" w14:textId="4C70733E" w:rsidR="00795321" w:rsidRPr="003B66BF" w:rsidRDefault="003B66BF" w:rsidP="00795321">
      <w:pPr>
        <w:jc w:val="both"/>
        <w:rPr>
          <w:rFonts w:ascii="Arial" w:hAnsi="Arial" w:cs="Arial"/>
          <w:color w:val="0070C0"/>
          <w:sz w:val="22"/>
          <w:szCs w:val="22"/>
        </w:rPr>
      </w:pPr>
      <w:r w:rsidRPr="003B66BF">
        <w:rPr>
          <w:rFonts w:ascii="Arial" w:hAnsi="Arial" w:cs="Arial"/>
          <w:color w:val="0070C0"/>
          <w:sz w:val="22"/>
          <w:szCs w:val="22"/>
        </w:rPr>
        <w:t>C</w:t>
      </w:r>
      <w:r w:rsidR="00795321" w:rsidRPr="003B66BF">
        <w:rPr>
          <w:rFonts w:ascii="Arial" w:hAnsi="Arial" w:cs="Arial"/>
          <w:color w:val="0070C0"/>
          <w:sz w:val="22"/>
          <w:szCs w:val="22"/>
        </w:rPr>
        <w:t>4. Site 4. Prey Nob District / Ream NP context (Preah Sihanouk)</w:t>
      </w:r>
    </w:p>
    <w:p w14:paraId="63635A7D" w14:textId="77777777" w:rsidR="00795321" w:rsidRPr="003B66BF" w:rsidRDefault="00795321" w:rsidP="00795321">
      <w:pPr>
        <w:pStyle w:val="NormalWeb"/>
        <w:jc w:val="both"/>
        <w:rPr>
          <w:rFonts w:ascii="Arial" w:hAnsi="Arial" w:cs="Arial"/>
          <w:sz w:val="22"/>
          <w:szCs w:val="22"/>
        </w:rPr>
      </w:pPr>
      <w:r w:rsidRPr="003B66BF">
        <w:rPr>
          <w:rStyle w:val="Strong"/>
          <w:rFonts w:ascii="Arial" w:eastAsiaTheme="majorEastAsia" w:hAnsi="Arial" w:cs="Arial"/>
          <w:sz w:val="22"/>
          <w:szCs w:val="22"/>
        </w:rPr>
        <w:t>Status &amp; ecological importance.</w:t>
      </w:r>
      <w:r w:rsidRPr="003B66BF">
        <w:rPr>
          <w:rFonts w:ascii="Arial" w:hAnsi="Arial" w:cs="Arial"/>
          <w:sz w:val="22"/>
          <w:szCs w:val="22"/>
        </w:rPr>
        <w:t xml:space="preserve"> Ream National Park (~21,000 ha; ~6,000 ha marine) is a mixed habitat mosaic (mangroves, wetlands, seagrass, coral) surrounded by multiple communes and high human use. This makes it a “high interaction” protected area: management outcomes depend heavily on boundary compliance, land-based pollution control, and coordination with coastal development planning. Nearby mapping has recorded ~98 ha of seagrass in Prey Nob (2021–2022), and historical mangrove estimates around Ream are ~1,800 ha—useful signals of nursery habitat and coastal resilience values.</w:t>
      </w:r>
    </w:p>
    <w:p w14:paraId="75936584" w14:textId="169C09BD" w:rsidR="00795321" w:rsidRPr="00BA2EEB" w:rsidRDefault="00795321" w:rsidP="00795321">
      <w:pPr>
        <w:pStyle w:val="NormalWeb"/>
        <w:jc w:val="both"/>
        <w:rPr>
          <w:rFonts w:ascii="Arial" w:hAnsi="Arial" w:cs="Arial"/>
          <w:i/>
          <w:iCs/>
          <w:sz w:val="22"/>
          <w:szCs w:val="22"/>
        </w:rPr>
      </w:pPr>
      <w:r w:rsidRPr="00BA2EEB">
        <w:rPr>
          <w:rStyle w:val="Strong"/>
          <w:rFonts w:ascii="Arial" w:eastAsiaTheme="majorEastAsia" w:hAnsi="Arial" w:cs="Arial"/>
          <w:i/>
          <w:iCs/>
          <w:sz w:val="22"/>
          <w:szCs w:val="22"/>
        </w:rPr>
        <w:t>Main pressures</w:t>
      </w:r>
    </w:p>
    <w:p w14:paraId="32AA7FAD" w14:textId="77777777" w:rsidR="00795321" w:rsidRPr="003B66BF" w:rsidRDefault="00795321" w:rsidP="00795321">
      <w:pPr>
        <w:pStyle w:val="NormalWeb"/>
        <w:numPr>
          <w:ilvl w:val="0"/>
          <w:numId w:val="54"/>
        </w:numPr>
        <w:jc w:val="both"/>
        <w:rPr>
          <w:rFonts w:ascii="Arial" w:hAnsi="Arial" w:cs="Arial"/>
          <w:sz w:val="22"/>
          <w:szCs w:val="22"/>
        </w:rPr>
      </w:pPr>
      <w:r w:rsidRPr="003B66BF">
        <w:rPr>
          <w:rStyle w:val="Strong"/>
          <w:rFonts w:ascii="Arial" w:eastAsiaTheme="majorEastAsia" w:hAnsi="Arial" w:cs="Arial"/>
          <w:sz w:val="22"/>
          <w:szCs w:val="22"/>
        </w:rPr>
        <w:t>Habitat conversion and encroachment pressure</w:t>
      </w:r>
      <w:r w:rsidRPr="003B66BF">
        <w:rPr>
          <w:rFonts w:ascii="Arial" w:hAnsi="Arial" w:cs="Arial"/>
          <w:sz w:val="22"/>
          <w:szCs w:val="22"/>
        </w:rPr>
        <w:t xml:space="preserve"> reflected in reported forest loss trends.</w:t>
      </w:r>
    </w:p>
    <w:p w14:paraId="51F0DA1A" w14:textId="77777777" w:rsidR="00795321" w:rsidRPr="003B66BF" w:rsidRDefault="00795321" w:rsidP="00795321">
      <w:pPr>
        <w:pStyle w:val="NormalWeb"/>
        <w:numPr>
          <w:ilvl w:val="0"/>
          <w:numId w:val="54"/>
        </w:numPr>
        <w:jc w:val="both"/>
        <w:rPr>
          <w:rFonts w:ascii="Arial" w:hAnsi="Arial" w:cs="Arial"/>
          <w:sz w:val="22"/>
          <w:szCs w:val="22"/>
        </w:rPr>
      </w:pPr>
      <w:r w:rsidRPr="003B66BF">
        <w:rPr>
          <w:rStyle w:val="Strong"/>
          <w:rFonts w:ascii="Arial" w:eastAsiaTheme="majorEastAsia" w:hAnsi="Arial" w:cs="Arial"/>
          <w:sz w:val="22"/>
          <w:szCs w:val="22"/>
        </w:rPr>
        <w:t>Rapid urbanization + port/tourism growth</w:t>
      </w:r>
      <w:r w:rsidRPr="003B66BF">
        <w:rPr>
          <w:rFonts w:ascii="Arial" w:hAnsi="Arial" w:cs="Arial"/>
          <w:sz w:val="22"/>
          <w:szCs w:val="22"/>
        </w:rPr>
        <w:t xml:space="preserve"> increasing wastewater, runoff, and sedimentation loads that degrade nearshore habitats.</w:t>
      </w:r>
    </w:p>
    <w:p w14:paraId="1FEBF183" w14:textId="77777777" w:rsidR="00795321" w:rsidRPr="003B66BF" w:rsidRDefault="00795321" w:rsidP="00795321">
      <w:pPr>
        <w:pStyle w:val="NormalWeb"/>
        <w:numPr>
          <w:ilvl w:val="0"/>
          <w:numId w:val="54"/>
        </w:numPr>
        <w:jc w:val="both"/>
        <w:rPr>
          <w:rFonts w:ascii="Arial" w:hAnsi="Arial" w:cs="Arial"/>
          <w:sz w:val="22"/>
          <w:szCs w:val="22"/>
        </w:rPr>
      </w:pPr>
      <w:r w:rsidRPr="003B66BF">
        <w:rPr>
          <w:rStyle w:val="Strong"/>
          <w:rFonts w:ascii="Arial" w:eastAsiaTheme="majorEastAsia" w:hAnsi="Arial" w:cs="Arial"/>
          <w:sz w:val="22"/>
          <w:szCs w:val="22"/>
        </w:rPr>
        <w:t>Shoreline works/dredging and coastal construction</w:t>
      </w:r>
      <w:r w:rsidRPr="003B66BF">
        <w:rPr>
          <w:rFonts w:ascii="Arial" w:hAnsi="Arial" w:cs="Arial"/>
          <w:sz w:val="22"/>
          <w:szCs w:val="22"/>
        </w:rPr>
        <w:t xml:space="preserve"> that affect turbidity, seagrass light conditions, and estuary function.</w:t>
      </w:r>
    </w:p>
    <w:p w14:paraId="399CEECE" w14:textId="77777777" w:rsidR="00795321" w:rsidRPr="003B66BF" w:rsidRDefault="00795321" w:rsidP="00795321">
      <w:pPr>
        <w:pStyle w:val="NormalWeb"/>
        <w:numPr>
          <w:ilvl w:val="0"/>
          <w:numId w:val="54"/>
        </w:numPr>
        <w:jc w:val="both"/>
        <w:rPr>
          <w:rFonts w:ascii="Arial" w:hAnsi="Arial" w:cs="Arial"/>
          <w:sz w:val="22"/>
          <w:szCs w:val="22"/>
        </w:rPr>
      </w:pPr>
      <w:r w:rsidRPr="003B66BF">
        <w:rPr>
          <w:rStyle w:val="Strong"/>
          <w:rFonts w:ascii="Arial" w:eastAsiaTheme="majorEastAsia" w:hAnsi="Arial" w:cs="Arial"/>
          <w:sz w:val="22"/>
          <w:szCs w:val="22"/>
        </w:rPr>
        <w:t>Multiple users and access points</w:t>
      </w:r>
      <w:r w:rsidRPr="003B66BF">
        <w:rPr>
          <w:rFonts w:ascii="Arial" w:hAnsi="Arial" w:cs="Arial"/>
          <w:sz w:val="22"/>
          <w:szCs w:val="22"/>
        </w:rPr>
        <w:t xml:space="preserve"> increase enforcement complexity and raise cumulative impacts (small activities add up).</w:t>
      </w:r>
    </w:p>
    <w:p w14:paraId="548221DC" w14:textId="213558CA" w:rsidR="00795321" w:rsidRPr="00BA2EEB" w:rsidRDefault="00795321" w:rsidP="00795321">
      <w:pPr>
        <w:pStyle w:val="NormalWeb"/>
        <w:jc w:val="both"/>
        <w:rPr>
          <w:rFonts w:ascii="Arial" w:hAnsi="Arial" w:cs="Arial"/>
          <w:i/>
          <w:iCs/>
          <w:sz w:val="22"/>
          <w:szCs w:val="22"/>
        </w:rPr>
      </w:pPr>
      <w:r w:rsidRPr="00BA2EEB">
        <w:rPr>
          <w:rStyle w:val="Strong"/>
          <w:rFonts w:ascii="Arial" w:eastAsiaTheme="majorEastAsia" w:hAnsi="Arial" w:cs="Arial"/>
          <w:i/>
          <w:iCs/>
          <w:sz w:val="22"/>
          <w:szCs w:val="22"/>
        </w:rPr>
        <w:t>Management implications</w:t>
      </w:r>
    </w:p>
    <w:p w14:paraId="1F59EAA3" w14:textId="77777777" w:rsidR="00795321" w:rsidRPr="003B66BF" w:rsidRDefault="00795321" w:rsidP="00795321">
      <w:pPr>
        <w:pStyle w:val="NormalWeb"/>
        <w:numPr>
          <w:ilvl w:val="0"/>
          <w:numId w:val="55"/>
        </w:numPr>
        <w:jc w:val="both"/>
        <w:rPr>
          <w:rFonts w:ascii="Arial" w:hAnsi="Arial" w:cs="Arial"/>
          <w:sz w:val="22"/>
          <w:szCs w:val="22"/>
        </w:rPr>
      </w:pPr>
      <w:r w:rsidRPr="003B66BF">
        <w:rPr>
          <w:rFonts w:ascii="Arial" w:hAnsi="Arial" w:cs="Arial"/>
          <w:sz w:val="22"/>
          <w:szCs w:val="22"/>
        </w:rPr>
        <w:t xml:space="preserve">Focus on </w:t>
      </w:r>
      <w:r w:rsidRPr="003B66BF">
        <w:rPr>
          <w:rStyle w:val="Strong"/>
          <w:rFonts w:ascii="Arial" w:eastAsiaTheme="majorEastAsia" w:hAnsi="Arial" w:cs="Arial"/>
          <w:sz w:val="22"/>
          <w:szCs w:val="22"/>
        </w:rPr>
        <w:t>boundary integrity + land-based controls</w:t>
      </w:r>
      <w:r w:rsidRPr="003B66BF">
        <w:rPr>
          <w:rFonts w:ascii="Arial" w:hAnsi="Arial" w:cs="Arial"/>
          <w:sz w:val="22"/>
          <w:szCs w:val="22"/>
        </w:rPr>
        <w:t>: wastewater/drainage management and sediment control are as important as patrols.</w:t>
      </w:r>
    </w:p>
    <w:p w14:paraId="578B3067" w14:textId="77777777" w:rsidR="00795321" w:rsidRPr="003B66BF" w:rsidRDefault="00795321" w:rsidP="00795321">
      <w:pPr>
        <w:pStyle w:val="NormalWeb"/>
        <w:numPr>
          <w:ilvl w:val="0"/>
          <w:numId w:val="55"/>
        </w:numPr>
        <w:jc w:val="both"/>
        <w:rPr>
          <w:rFonts w:ascii="Arial" w:hAnsi="Arial" w:cs="Arial"/>
          <w:sz w:val="22"/>
          <w:szCs w:val="22"/>
        </w:rPr>
      </w:pPr>
      <w:r w:rsidRPr="003B66BF">
        <w:rPr>
          <w:rFonts w:ascii="Arial" w:hAnsi="Arial" w:cs="Arial"/>
          <w:sz w:val="22"/>
          <w:szCs w:val="22"/>
        </w:rPr>
        <w:t>Use zoning to separate high-use areas (tourism/boat access) from sensitive seagrass/mangrove edges; apply no-anchor zones where needed.</w:t>
      </w:r>
    </w:p>
    <w:p w14:paraId="11CCBA4F" w14:textId="77777777" w:rsidR="00795321" w:rsidRPr="003B66BF" w:rsidRDefault="00795321" w:rsidP="00795321">
      <w:pPr>
        <w:pStyle w:val="NormalWeb"/>
        <w:numPr>
          <w:ilvl w:val="0"/>
          <w:numId w:val="55"/>
        </w:numPr>
        <w:jc w:val="both"/>
        <w:rPr>
          <w:rFonts w:ascii="Arial" w:hAnsi="Arial" w:cs="Arial"/>
          <w:sz w:val="22"/>
          <w:szCs w:val="22"/>
        </w:rPr>
      </w:pPr>
      <w:r w:rsidRPr="003B66BF">
        <w:rPr>
          <w:rFonts w:ascii="Arial" w:hAnsi="Arial" w:cs="Arial"/>
          <w:sz w:val="22"/>
          <w:szCs w:val="22"/>
        </w:rPr>
        <w:t>Strengthen collaborative governance with local authorities because pressures originate largely outside the park boundary.</w:t>
      </w:r>
    </w:p>
    <w:p w14:paraId="761428D6" w14:textId="764A7347" w:rsidR="00795321" w:rsidRPr="00BA2EEB" w:rsidRDefault="00795321" w:rsidP="00795321">
      <w:pPr>
        <w:pStyle w:val="NormalWeb"/>
        <w:jc w:val="both"/>
        <w:rPr>
          <w:rFonts w:ascii="Arial" w:hAnsi="Arial" w:cs="Arial"/>
          <w:i/>
          <w:iCs/>
          <w:sz w:val="22"/>
          <w:szCs w:val="22"/>
        </w:rPr>
      </w:pPr>
      <w:r w:rsidRPr="00BA2EEB">
        <w:rPr>
          <w:rStyle w:val="Strong"/>
          <w:rFonts w:ascii="Arial" w:eastAsiaTheme="majorEastAsia" w:hAnsi="Arial" w:cs="Arial"/>
          <w:i/>
          <w:iCs/>
          <w:sz w:val="22"/>
          <w:szCs w:val="22"/>
        </w:rPr>
        <w:t>Priority indicators</w:t>
      </w:r>
    </w:p>
    <w:p w14:paraId="177ACCCE" w14:textId="5E72669F" w:rsidR="00795321" w:rsidRPr="003B66BF" w:rsidRDefault="00795321" w:rsidP="00795321">
      <w:pPr>
        <w:pStyle w:val="NormalWeb"/>
        <w:numPr>
          <w:ilvl w:val="0"/>
          <w:numId w:val="56"/>
        </w:numPr>
        <w:jc w:val="both"/>
        <w:rPr>
          <w:rFonts w:ascii="Arial" w:hAnsi="Arial" w:cs="Arial"/>
          <w:sz w:val="22"/>
          <w:szCs w:val="22"/>
        </w:rPr>
      </w:pPr>
      <w:r w:rsidRPr="003B66BF">
        <w:rPr>
          <w:rFonts w:ascii="Arial" w:hAnsi="Arial" w:cs="Arial"/>
          <w:sz w:val="22"/>
          <w:szCs w:val="22"/>
        </w:rPr>
        <w:t>Water-quality proxies (turbidity, coliform where feasible), seagrass extent and scarring, mangrove edge loss, and compliance indicators (patrol effort, violations).</w:t>
      </w:r>
    </w:p>
    <w:p w14:paraId="5D0FC2B1" w14:textId="14472296" w:rsidR="00795321" w:rsidRPr="003B66BF" w:rsidRDefault="003B66BF" w:rsidP="00795321">
      <w:pPr>
        <w:jc w:val="both"/>
        <w:rPr>
          <w:rFonts w:ascii="Arial" w:hAnsi="Arial" w:cs="Arial"/>
          <w:sz w:val="22"/>
          <w:szCs w:val="22"/>
        </w:rPr>
      </w:pPr>
      <w:r w:rsidRPr="003B66BF">
        <w:rPr>
          <w:rFonts w:ascii="Arial" w:hAnsi="Arial" w:cs="Arial"/>
          <w:color w:val="0070C0"/>
          <w:sz w:val="22"/>
          <w:szCs w:val="22"/>
        </w:rPr>
        <w:t>C</w:t>
      </w:r>
      <w:r w:rsidR="00795321" w:rsidRPr="003B66BF">
        <w:rPr>
          <w:rFonts w:ascii="Arial" w:hAnsi="Arial" w:cs="Arial"/>
          <w:color w:val="0070C0"/>
          <w:sz w:val="22"/>
          <w:szCs w:val="22"/>
        </w:rPr>
        <w:t>5. Site 5. Kampong Trach wetlands &amp; Anlung Pring Protected Landscape (Kampot)</w:t>
      </w:r>
    </w:p>
    <w:p w14:paraId="40ACE18F" w14:textId="77777777" w:rsidR="00795321" w:rsidRPr="003B66BF" w:rsidRDefault="00795321" w:rsidP="00795321">
      <w:pPr>
        <w:pStyle w:val="NormalWeb"/>
        <w:jc w:val="both"/>
        <w:rPr>
          <w:rFonts w:ascii="Arial" w:hAnsi="Arial" w:cs="Arial"/>
          <w:sz w:val="22"/>
          <w:szCs w:val="22"/>
        </w:rPr>
      </w:pPr>
      <w:r w:rsidRPr="003B66BF">
        <w:rPr>
          <w:rStyle w:val="Strong"/>
          <w:rFonts w:ascii="Arial" w:eastAsiaTheme="majorEastAsia" w:hAnsi="Arial" w:cs="Arial"/>
          <w:sz w:val="22"/>
          <w:szCs w:val="22"/>
        </w:rPr>
        <w:t>Status &amp; ecological importance.</w:t>
      </w:r>
      <w:r w:rsidRPr="003B66BF">
        <w:rPr>
          <w:rFonts w:ascii="Arial" w:hAnsi="Arial" w:cs="Arial"/>
          <w:sz w:val="22"/>
          <w:szCs w:val="22"/>
        </w:rPr>
        <w:t xml:space="preserve"> Anlung Pring (~219 ha) is embedded in seasonal wetlands and rice mosaics and serves as an important dry-season refuge for key waterbirds (including Sarus Crane). Its ecological function depends on </w:t>
      </w:r>
      <w:r w:rsidRPr="003B66BF">
        <w:rPr>
          <w:rStyle w:val="Strong"/>
          <w:rFonts w:ascii="Arial" w:eastAsiaTheme="majorEastAsia" w:hAnsi="Arial" w:cs="Arial"/>
          <w:sz w:val="22"/>
          <w:szCs w:val="22"/>
        </w:rPr>
        <w:t>seasonal inundation timing and shallow-water persistence</w:t>
      </w:r>
      <w:r w:rsidRPr="003B66BF">
        <w:rPr>
          <w:rFonts w:ascii="Arial" w:hAnsi="Arial" w:cs="Arial"/>
          <w:sz w:val="22"/>
          <w:szCs w:val="22"/>
        </w:rPr>
        <w:t>, which also supports local fisheries and wetland productivity.</w:t>
      </w:r>
    </w:p>
    <w:p w14:paraId="4355FBF2" w14:textId="16C7490F" w:rsidR="00795321" w:rsidRPr="00BA2EEB" w:rsidRDefault="00795321" w:rsidP="00795321">
      <w:pPr>
        <w:pStyle w:val="NormalWeb"/>
        <w:jc w:val="both"/>
        <w:rPr>
          <w:rFonts w:ascii="Arial" w:hAnsi="Arial" w:cs="Arial"/>
          <w:i/>
          <w:iCs/>
          <w:sz w:val="22"/>
          <w:szCs w:val="22"/>
        </w:rPr>
      </w:pPr>
      <w:r w:rsidRPr="00BA2EEB">
        <w:rPr>
          <w:rStyle w:val="Strong"/>
          <w:rFonts w:ascii="Arial" w:eastAsiaTheme="majorEastAsia" w:hAnsi="Arial" w:cs="Arial"/>
          <w:i/>
          <w:iCs/>
          <w:sz w:val="22"/>
          <w:szCs w:val="22"/>
        </w:rPr>
        <w:t>Main pressures</w:t>
      </w:r>
    </w:p>
    <w:p w14:paraId="54AF5A50" w14:textId="77777777" w:rsidR="00795321" w:rsidRPr="003B66BF" w:rsidRDefault="00795321" w:rsidP="00795321">
      <w:pPr>
        <w:pStyle w:val="NormalWeb"/>
        <w:numPr>
          <w:ilvl w:val="0"/>
          <w:numId w:val="57"/>
        </w:numPr>
        <w:jc w:val="both"/>
        <w:rPr>
          <w:rFonts w:ascii="Arial" w:hAnsi="Arial" w:cs="Arial"/>
          <w:sz w:val="22"/>
          <w:szCs w:val="22"/>
        </w:rPr>
      </w:pPr>
      <w:r w:rsidRPr="003B66BF">
        <w:rPr>
          <w:rStyle w:val="Strong"/>
          <w:rFonts w:ascii="Arial" w:eastAsiaTheme="majorEastAsia" w:hAnsi="Arial" w:cs="Arial"/>
          <w:sz w:val="22"/>
          <w:szCs w:val="22"/>
        </w:rPr>
        <w:t>Hydrologic modifications</w:t>
      </w:r>
      <w:r w:rsidRPr="003B66BF">
        <w:rPr>
          <w:rFonts w:ascii="Arial" w:hAnsi="Arial" w:cs="Arial"/>
          <w:sz w:val="22"/>
          <w:szCs w:val="22"/>
        </w:rPr>
        <w:t xml:space="preserve"> (canals, small reservoirs, drainage) can shift inundation timing/depth and reduce habitat suitability.</w:t>
      </w:r>
    </w:p>
    <w:p w14:paraId="6628A260" w14:textId="77777777" w:rsidR="00795321" w:rsidRPr="003B66BF" w:rsidRDefault="00795321" w:rsidP="00795321">
      <w:pPr>
        <w:pStyle w:val="NormalWeb"/>
        <w:numPr>
          <w:ilvl w:val="0"/>
          <w:numId w:val="57"/>
        </w:numPr>
        <w:jc w:val="both"/>
        <w:rPr>
          <w:rFonts w:ascii="Arial" w:hAnsi="Arial" w:cs="Arial"/>
          <w:sz w:val="22"/>
          <w:szCs w:val="22"/>
        </w:rPr>
      </w:pPr>
      <w:r w:rsidRPr="003B66BF">
        <w:rPr>
          <w:rStyle w:val="Strong"/>
          <w:rFonts w:ascii="Arial" w:eastAsiaTheme="majorEastAsia" w:hAnsi="Arial" w:cs="Arial"/>
          <w:sz w:val="22"/>
          <w:szCs w:val="22"/>
        </w:rPr>
        <w:t>Saline intrusion</w:t>
      </w:r>
      <w:r w:rsidRPr="003B66BF">
        <w:rPr>
          <w:rFonts w:ascii="Arial" w:hAnsi="Arial" w:cs="Arial"/>
          <w:sz w:val="22"/>
          <w:szCs w:val="22"/>
        </w:rPr>
        <w:t xml:space="preserve"> can alter wetland vegetation and food availability and reduce freshwater productivity.</w:t>
      </w:r>
    </w:p>
    <w:p w14:paraId="3FEA2B9F" w14:textId="77777777" w:rsidR="00795321" w:rsidRPr="003B66BF" w:rsidRDefault="00795321" w:rsidP="00795321">
      <w:pPr>
        <w:pStyle w:val="NormalWeb"/>
        <w:numPr>
          <w:ilvl w:val="0"/>
          <w:numId w:val="57"/>
        </w:numPr>
        <w:jc w:val="both"/>
        <w:rPr>
          <w:rFonts w:ascii="Arial" w:hAnsi="Arial" w:cs="Arial"/>
          <w:sz w:val="22"/>
          <w:szCs w:val="22"/>
        </w:rPr>
      </w:pPr>
      <w:r w:rsidRPr="003B66BF">
        <w:rPr>
          <w:rStyle w:val="Strong"/>
          <w:rFonts w:ascii="Arial" w:eastAsiaTheme="majorEastAsia" w:hAnsi="Arial" w:cs="Arial"/>
          <w:sz w:val="22"/>
          <w:szCs w:val="22"/>
        </w:rPr>
        <w:t>Landscape fragmentation</w:t>
      </w:r>
      <w:r w:rsidRPr="003B66BF">
        <w:rPr>
          <w:rFonts w:ascii="Arial" w:hAnsi="Arial" w:cs="Arial"/>
          <w:sz w:val="22"/>
          <w:szCs w:val="22"/>
        </w:rPr>
        <w:t xml:space="preserve"> from agricultural intensification can reduce ecological connectivity across the wider wetland complex.</w:t>
      </w:r>
    </w:p>
    <w:p w14:paraId="15983813" w14:textId="64792683" w:rsidR="00795321" w:rsidRPr="00BA2EEB" w:rsidRDefault="00795321" w:rsidP="00795321">
      <w:pPr>
        <w:pStyle w:val="NormalWeb"/>
        <w:jc w:val="both"/>
        <w:rPr>
          <w:rFonts w:ascii="Arial" w:hAnsi="Arial" w:cs="Arial"/>
          <w:i/>
          <w:iCs/>
          <w:sz w:val="22"/>
          <w:szCs w:val="22"/>
        </w:rPr>
      </w:pPr>
      <w:r w:rsidRPr="00BA2EEB">
        <w:rPr>
          <w:rStyle w:val="Strong"/>
          <w:rFonts w:ascii="Arial" w:eastAsiaTheme="majorEastAsia" w:hAnsi="Arial" w:cs="Arial"/>
          <w:i/>
          <w:iCs/>
          <w:sz w:val="22"/>
          <w:szCs w:val="22"/>
        </w:rPr>
        <w:t>Management implications</w:t>
      </w:r>
    </w:p>
    <w:p w14:paraId="0BABE50E" w14:textId="77777777" w:rsidR="00795321" w:rsidRPr="003B66BF" w:rsidRDefault="00795321" w:rsidP="00795321">
      <w:pPr>
        <w:pStyle w:val="NormalWeb"/>
        <w:numPr>
          <w:ilvl w:val="0"/>
          <w:numId w:val="58"/>
        </w:numPr>
        <w:jc w:val="both"/>
        <w:rPr>
          <w:rFonts w:ascii="Arial" w:hAnsi="Arial" w:cs="Arial"/>
          <w:sz w:val="22"/>
          <w:szCs w:val="22"/>
        </w:rPr>
      </w:pPr>
      <w:r w:rsidRPr="003B66BF">
        <w:rPr>
          <w:rFonts w:ascii="Arial" w:hAnsi="Arial" w:cs="Arial"/>
          <w:sz w:val="22"/>
          <w:szCs w:val="22"/>
        </w:rPr>
        <w:t xml:space="preserve">Protect the wetland’s </w:t>
      </w:r>
      <w:r w:rsidRPr="003B66BF">
        <w:rPr>
          <w:rStyle w:val="Strong"/>
          <w:rFonts w:ascii="Arial" w:eastAsiaTheme="majorEastAsia" w:hAnsi="Arial" w:cs="Arial"/>
          <w:sz w:val="22"/>
          <w:szCs w:val="22"/>
        </w:rPr>
        <w:t>seasonal water regime</w:t>
      </w:r>
      <w:r w:rsidRPr="003B66BF">
        <w:rPr>
          <w:rFonts w:ascii="Arial" w:hAnsi="Arial" w:cs="Arial"/>
          <w:sz w:val="22"/>
          <w:szCs w:val="22"/>
        </w:rPr>
        <w:t xml:space="preserve"> (retain shallow-water dynamics; avoid drainage that eliminates dry-season refuges).</w:t>
      </w:r>
    </w:p>
    <w:p w14:paraId="5C7F0DBF" w14:textId="77777777" w:rsidR="00795321" w:rsidRPr="003B66BF" w:rsidRDefault="00795321" w:rsidP="00795321">
      <w:pPr>
        <w:pStyle w:val="NormalWeb"/>
        <w:numPr>
          <w:ilvl w:val="0"/>
          <w:numId w:val="58"/>
        </w:numPr>
        <w:jc w:val="both"/>
        <w:rPr>
          <w:rFonts w:ascii="Arial" w:hAnsi="Arial" w:cs="Arial"/>
          <w:sz w:val="22"/>
          <w:szCs w:val="22"/>
        </w:rPr>
      </w:pPr>
      <w:r w:rsidRPr="003B66BF">
        <w:rPr>
          <w:rFonts w:ascii="Arial" w:hAnsi="Arial" w:cs="Arial"/>
          <w:sz w:val="22"/>
          <w:szCs w:val="22"/>
        </w:rPr>
        <w:t>Integrate wetland conservation into local land and water planning (align irrigation/drainage with biodiversity and fisheries needs).</w:t>
      </w:r>
    </w:p>
    <w:p w14:paraId="113F330E" w14:textId="77777777" w:rsidR="00795321" w:rsidRPr="003B66BF" w:rsidRDefault="00795321" w:rsidP="00795321">
      <w:pPr>
        <w:pStyle w:val="NormalWeb"/>
        <w:numPr>
          <w:ilvl w:val="0"/>
          <w:numId w:val="58"/>
        </w:numPr>
        <w:jc w:val="both"/>
        <w:rPr>
          <w:rFonts w:ascii="Arial" w:hAnsi="Arial" w:cs="Arial"/>
          <w:sz w:val="22"/>
          <w:szCs w:val="22"/>
        </w:rPr>
      </w:pPr>
      <w:r w:rsidRPr="003B66BF">
        <w:rPr>
          <w:rFonts w:ascii="Arial" w:hAnsi="Arial" w:cs="Arial"/>
          <w:sz w:val="22"/>
          <w:szCs w:val="22"/>
        </w:rPr>
        <w:t>Use a small set of practical measures: water-level management rules, buffer strips, and community awareness on dry-season sensitivity.</w:t>
      </w:r>
    </w:p>
    <w:p w14:paraId="40964B52" w14:textId="330BBDB2" w:rsidR="00795321" w:rsidRPr="00BA2EEB" w:rsidRDefault="00795321" w:rsidP="00795321">
      <w:pPr>
        <w:pStyle w:val="NormalWeb"/>
        <w:jc w:val="both"/>
        <w:rPr>
          <w:rFonts w:ascii="Arial" w:hAnsi="Arial" w:cs="Arial"/>
          <w:i/>
          <w:iCs/>
          <w:sz w:val="22"/>
          <w:szCs w:val="22"/>
        </w:rPr>
      </w:pPr>
      <w:r w:rsidRPr="00BA2EEB">
        <w:rPr>
          <w:rStyle w:val="Strong"/>
          <w:rFonts w:ascii="Arial" w:eastAsiaTheme="majorEastAsia" w:hAnsi="Arial" w:cs="Arial"/>
          <w:i/>
          <w:iCs/>
          <w:sz w:val="22"/>
          <w:szCs w:val="22"/>
        </w:rPr>
        <w:t>Priority indicators</w:t>
      </w:r>
    </w:p>
    <w:p w14:paraId="4DBBF8F6" w14:textId="73362761" w:rsidR="00795321" w:rsidRPr="003B66BF" w:rsidRDefault="00795321" w:rsidP="00795321">
      <w:pPr>
        <w:pStyle w:val="NormalWeb"/>
        <w:numPr>
          <w:ilvl w:val="0"/>
          <w:numId w:val="59"/>
        </w:numPr>
        <w:jc w:val="both"/>
        <w:rPr>
          <w:rFonts w:ascii="Arial" w:hAnsi="Arial" w:cs="Arial"/>
          <w:sz w:val="22"/>
          <w:szCs w:val="22"/>
        </w:rPr>
      </w:pPr>
      <w:r w:rsidRPr="003B66BF">
        <w:rPr>
          <w:rFonts w:ascii="Arial" w:hAnsi="Arial" w:cs="Arial"/>
          <w:sz w:val="22"/>
          <w:szCs w:val="22"/>
        </w:rPr>
        <w:t>Seasonal water depth/duration, salinity in dry season, waterbird counts, and local fish catch indicators.</w:t>
      </w:r>
    </w:p>
    <w:p w14:paraId="3F4AE71C" w14:textId="7E9ADB41" w:rsidR="00795321" w:rsidRPr="003B66BF" w:rsidRDefault="003B66BF" w:rsidP="00795321">
      <w:pPr>
        <w:jc w:val="both"/>
        <w:rPr>
          <w:rFonts w:ascii="Arial" w:hAnsi="Arial" w:cs="Arial"/>
          <w:color w:val="0070C0"/>
          <w:sz w:val="22"/>
          <w:szCs w:val="22"/>
        </w:rPr>
      </w:pPr>
      <w:r w:rsidRPr="003B66BF">
        <w:rPr>
          <w:rFonts w:ascii="Arial" w:hAnsi="Arial" w:cs="Arial"/>
          <w:color w:val="0070C0"/>
          <w:sz w:val="22"/>
          <w:szCs w:val="22"/>
        </w:rPr>
        <w:t>C</w:t>
      </w:r>
      <w:r w:rsidR="00795321" w:rsidRPr="003B66BF">
        <w:rPr>
          <w:rFonts w:ascii="Arial" w:hAnsi="Arial" w:cs="Arial"/>
          <w:color w:val="0070C0"/>
          <w:sz w:val="22"/>
          <w:szCs w:val="22"/>
        </w:rPr>
        <w:t>6. Site 6. Chumpu Khmao (Prey Nup)</w:t>
      </w:r>
    </w:p>
    <w:p w14:paraId="3790ECAC" w14:textId="77777777" w:rsidR="00795321" w:rsidRPr="003B66BF" w:rsidRDefault="00795321" w:rsidP="00795321">
      <w:pPr>
        <w:pStyle w:val="NormalWeb"/>
        <w:jc w:val="both"/>
        <w:rPr>
          <w:rFonts w:ascii="Arial" w:hAnsi="Arial" w:cs="Arial"/>
          <w:sz w:val="22"/>
          <w:szCs w:val="22"/>
        </w:rPr>
      </w:pPr>
      <w:r w:rsidRPr="003B66BF">
        <w:rPr>
          <w:rStyle w:val="Strong"/>
          <w:rFonts w:ascii="Arial" w:eastAsiaTheme="majorEastAsia" w:hAnsi="Arial" w:cs="Arial"/>
          <w:sz w:val="22"/>
          <w:szCs w:val="22"/>
        </w:rPr>
        <w:t>Status &amp; ecological importance.</w:t>
      </w:r>
      <w:r w:rsidRPr="003B66BF">
        <w:rPr>
          <w:rFonts w:ascii="Arial" w:hAnsi="Arial" w:cs="Arial"/>
          <w:sz w:val="22"/>
          <w:szCs w:val="22"/>
        </w:rPr>
        <w:t xml:space="preserve"> Chumpu Khmao is a community fishery (CFi) landscape within a broader coastal wetland system. Recent restoration planting (12,500 mangrove saplings) indicates active community stewardship. The area also has biodiversity significance (e.g., fishing cat records in the wider mangrove landscape), and it sits within a coastal corridor between major seagrass cells (Steung Hav and Kampot meadows), making it strategically placed for community-based monitoring and compliance.</w:t>
      </w:r>
    </w:p>
    <w:p w14:paraId="4DD4519C" w14:textId="7CFDE373" w:rsidR="00795321" w:rsidRPr="00BA2EEB" w:rsidRDefault="00795321" w:rsidP="00795321">
      <w:pPr>
        <w:pStyle w:val="NormalWeb"/>
        <w:jc w:val="both"/>
        <w:rPr>
          <w:rFonts w:ascii="Arial" w:hAnsi="Arial" w:cs="Arial"/>
          <w:i/>
          <w:iCs/>
          <w:sz w:val="22"/>
          <w:szCs w:val="22"/>
        </w:rPr>
      </w:pPr>
      <w:r w:rsidRPr="00BA2EEB">
        <w:rPr>
          <w:rStyle w:val="Strong"/>
          <w:rFonts w:ascii="Arial" w:eastAsiaTheme="majorEastAsia" w:hAnsi="Arial" w:cs="Arial"/>
          <w:i/>
          <w:iCs/>
          <w:sz w:val="22"/>
          <w:szCs w:val="22"/>
        </w:rPr>
        <w:t>Main pressures</w:t>
      </w:r>
    </w:p>
    <w:p w14:paraId="654BA051" w14:textId="77777777" w:rsidR="00795321" w:rsidRPr="003B66BF" w:rsidRDefault="00795321" w:rsidP="00795321">
      <w:pPr>
        <w:pStyle w:val="NormalWeb"/>
        <w:numPr>
          <w:ilvl w:val="0"/>
          <w:numId w:val="60"/>
        </w:numPr>
        <w:jc w:val="both"/>
        <w:rPr>
          <w:rFonts w:ascii="Arial" w:hAnsi="Arial" w:cs="Arial"/>
          <w:sz w:val="22"/>
          <w:szCs w:val="22"/>
        </w:rPr>
      </w:pPr>
      <w:r w:rsidRPr="003B66BF">
        <w:rPr>
          <w:rStyle w:val="Strong"/>
          <w:rFonts w:ascii="Arial" w:eastAsiaTheme="majorEastAsia" w:hAnsi="Arial" w:cs="Arial"/>
          <w:sz w:val="22"/>
          <w:szCs w:val="22"/>
        </w:rPr>
        <w:t>Localized clearing and gear impacts</w:t>
      </w:r>
      <w:r w:rsidRPr="003B66BF">
        <w:rPr>
          <w:rFonts w:ascii="Arial" w:hAnsi="Arial" w:cs="Arial"/>
          <w:sz w:val="22"/>
          <w:szCs w:val="22"/>
        </w:rPr>
        <w:t xml:space="preserve"> typical of multi-use wetlands (small but cumulative).</w:t>
      </w:r>
    </w:p>
    <w:p w14:paraId="21522AAE" w14:textId="77777777" w:rsidR="00795321" w:rsidRPr="003B66BF" w:rsidRDefault="00795321" w:rsidP="00795321">
      <w:pPr>
        <w:pStyle w:val="NormalWeb"/>
        <w:numPr>
          <w:ilvl w:val="0"/>
          <w:numId w:val="60"/>
        </w:numPr>
        <w:jc w:val="both"/>
        <w:rPr>
          <w:rFonts w:ascii="Arial" w:hAnsi="Arial" w:cs="Arial"/>
          <w:sz w:val="22"/>
          <w:szCs w:val="22"/>
        </w:rPr>
      </w:pPr>
      <w:r w:rsidRPr="003B66BF">
        <w:rPr>
          <w:rStyle w:val="Strong"/>
          <w:rFonts w:ascii="Arial" w:eastAsiaTheme="majorEastAsia" w:hAnsi="Arial" w:cs="Arial"/>
          <w:sz w:val="22"/>
          <w:szCs w:val="22"/>
        </w:rPr>
        <w:t>Water-quality stress</w:t>
      </w:r>
      <w:r w:rsidRPr="003B66BF">
        <w:rPr>
          <w:rFonts w:ascii="Arial" w:hAnsi="Arial" w:cs="Arial"/>
          <w:sz w:val="22"/>
          <w:szCs w:val="22"/>
        </w:rPr>
        <w:t xml:space="preserve"> from nearby settlements/activities affecting mangrove and nearshore conditions.</w:t>
      </w:r>
    </w:p>
    <w:p w14:paraId="683C1439" w14:textId="77777777" w:rsidR="00795321" w:rsidRPr="003B66BF" w:rsidRDefault="00795321" w:rsidP="00795321">
      <w:pPr>
        <w:pStyle w:val="NormalWeb"/>
        <w:numPr>
          <w:ilvl w:val="0"/>
          <w:numId w:val="60"/>
        </w:numPr>
        <w:jc w:val="both"/>
        <w:rPr>
          <w:rFonts w:ascii="Arial" w:hAnsi="Arial" w:cs="Arial"/>
          <w:sz w:val="22"/>
          <w:szCs w:val="22"/>
        </w:rPr>
      </w:pPr>
      <w:r w:rsidRPr="003B66BF">
        <w:rPr>
          <w:rStyle w:val="Strong"/>
          <w:rFonts w:ascii="Arial" w:eastAsiaTheme="majorEastAsia" w:hAnsi="Arial" w:cs="Arial"/>
          <w:sz w:val="22"/>
          <w:szCs w:val="22"/>
        </w:rPr>
        <w:t>Connectivity pressures</w:t>
      </w:r>
      <w:r w:rsidRPr="003B66BF">
        <w:rPr>
          <w:rFonts w:ascii="Arial" w:hAnsi="Arial" w:cs="Arial"/>
          <w:sz w:val="22"/>
          <w:szCs w:val="22"/>
        </w:rPr>
        <w:t xml:space="preserve"> (if adjacent corridors degrade, the site loses nursery function and resilience).</w:t>
      </w:r>
    </w:p>
    <w:p w14:paraId="63E0C5B1" w14:textId="4840E780" w:rsidR="00795321" w:rsidRPr="00BA2EEB" w:rsidRDefault="00795321" w:rsidP="00795321">
      <w:pPr>
        <w:pStyle w:val="NormalWeb"/>
        <w:jc w:val="both"/>
        <w:rPr>
          <w:rFonts w:ascii="Arial" w:hAnsi="Arial" w:cs="Arial"/>
          <w:i/>
          <w:iCs/>
          <w:sz w:val="22"/>
          <w:szCs w:val="22"/>
        </w:rPr>
      </w:pPr>
      <w:r w:rsidRPr="00BA2EEB">
        <w:rPr>
          <w:rStyle w:val="Strong"/>
          <w:rFonts w:ascii="Arial" w:eastAsiaTheme="majorEastAsia" w:hAnsi="Arial" w:cs="Arial"/>
          <w:i/>
          <w:iCs/>
          <w:sz w:val="22"/>
          <w:szCs w:val="22"/>
        </w:rPr>
        <w:t>Management implications</w:t>
      </w:r>
    </w:p>
    <w:p w14:paraId="410D0239" w14:textId="77777777" w:rsidR="00795321" w:rsidRPr="003B66BF" w:rsidRDefault="00795321" w:rsidP="00795321">
      <w:pPr>
        <w:pStyle w:val="NormalWeb"/>
        <w:numPr>
          <w:ilvl w:val="0"/>
          <w:numId w:val="61"/>
        </w:numPr>
        <w:jc w:val="both"/>
        <w:rPr>
          <w:rFonts w:ascii="Arial" w:hAnsi="Arial" w:cs="Arial"/>
          <w:sz w:val="22"/>
          <w:szCs w:val="22"/>
        </w:rPr>
      </w:pPr>
      <w:r w:rsidRPr="003B66BF">
        <w:rPr>
          <w:rFonts w:ascii="Arial" w:hAnsi="Arial" w:cs="Arial"/>
          <w:sz w:val="22"/>
          <w:szCs w:val="22"/>
        </w:rPr>
        <w:t xml:space="preserve">Build on existing restoration by linking it to </w:t>
      </w:r>
      <w:r w:rsidRPr="003B66BF">
        <w:rPr>
          <w:rStyle w:val="Strong"/>
          <w:rFonts w:ascii="Arial" w:eastAsiaTheme="majorEastAsia" w:hAnsi="Arial" w:cs="Arial"/>
          <w:sz w:val="22"/>
          <w:szCs w:val="22"/>
        </w:rPr>
        <w:t>enforceable CFi rules</w:t>
      </w:r>
      <w:r w:rsidRPr="003B66BF">
        <w:rPr>
          <w:rFonts w:ascii="Arial" w:hAnsi="Arial" w:cs="Arial"/>
          <w:sz w:val="22"/>
          <w:szCs w:val="22"/>
        </w:rPr>
        <w:t xml:space="preserve"> (gear restrictions, no-cut zones, patrol support).</w:t>
      </w:r>
    </w:p>
    <w:p w14:paraId="2B1B2644" w14:textId="77777777" w:rsidR="00795321" w:rsidRPr="003B66BF" w:rsidRDefault="00795321" w:rsidP="00795321">
      <w:pPr>
        <w:pStyle w:val="NormalWeb"/>
        <w:numPr>
          <w:ilvl w:val="0"/>
          <w:numId w:val="61"/>
        </w:numPr>
        <w:jc w:val="both"/>
        <w:rPr>
          <w:rFonts w:ascii="Arial" w:hAnsi="Arial" w:cs="Arial"/>
          <w:sz w:val="22"/>
          <w:szCs w:val="22"/>
        </w:rPr>
      </w:pPr>
      <w:r w:rsidRPr="003B66BF">
        <w:rPr>
          <w:rFonts w:ascii="Arial" w:hAnsi="Arial" w:cs="Arial"/>
          <w:sz w:val="22"/>
          <w:szCs w:val="22"/>
        </w:rPr>
        <w:t>Promote “simple, visible” management: signage, community patrol schedules, and reporting mechanisms for violations.</w:t>
      </w:r>
    </w:p>
    <w:p w14:paraId="4B97C536" w14:textId="77777777" w:rsidR="00795321" w:rsidRPr="003B66BF" w:rsidRDefault="00795321" w:rsidP="00795321">
      <w:pPr>
        <w:pStyle w:val="NormalWeb"/>
        <w:numPr>
          <w:ilvl w:val="0"/>
          <w:numId w:val="61"/>
        </w:numPr>
        <w:jc w:val="both"/>
        <w:rPr>
          <w:rFonts w:ascii="Arial" w:hAnsi="Arial" w:cs="Arial"/>
          <w:sz w:val="22"/>
          <w:szCs w:val="22"/>
        </w:rPr>
      </w:pPr>
      <w:r w:rsidRPr="003B66BF">
        <w:rPr>
          <w:rFonts w:ascii="Arial" w:hAnsi="Arial" w:cs="Arial"/>
          <w:sz w:val="22"/>
          <w:szCs w:val="22"/>
        </w:rPr>
        <w:t xml:space="preserve">Use the site as a </w:t>
      </w:r>
      <w:r w:rsidRPr="003B66BF">
        <w:rPr>
          <w:rStyle w:val="Strong"/>
          <w:rFonts w:ascii="Arial" w:eastAsiaTheme="majorEastAsia" w:hAnsi="Arial" w:cs="Arial"/>
          <w:sz w:val="22"/>
          <w:szCs w:val="22"/>
        </w:rPr>
        <w:t>community monitoring node</w:t>
      </w:r>
      <w:r w:rsidRPr="003B66BF">
        <w:rPr>
          <w:rFonts w:ascii="Arial" w:hAnsi="Arial" w:cs="Arial"/>
          <w:sz w:val="22"/>
          <w:szCs w:val="22"/>
        </w:rPr>
        <w:t xml:space="preserve"> for nearby seagrass (anchor management, trawl exclusion signals) and mangrove survival rates.</w:t>
      </w:r>
    </w:p>
    <w:p w14:paraId="18757F89" w14:textId="59450796" w:rsidR="00795321" w:rsidRPr="00BA2EEB" w:rsidRDefault="00795321" w:rsidP="00795321">
      <w:pPr>
        <w:pStyle w:val="NormalWeb"/>
        <w:jc w:val="both"/>
        <w:rPr>
          <w:rFonts w:ascii="Arial" w:hAnsi="Arial" w:cs="Arial"/>
          <w:i/>
          <w:iCs/>
          <w:sz w:val="22"/>
          <w:szCs w:val="22"/>
        </w:rPr>
      </w:pPr>
      <w:r w:rsidRPr="00BA2EEB">
        <w:rPr>
          <w:rStyle w:val="Strong"/>
          <w:rFonts w:ascii="Arial" w:eastAsiaTheme="majorEastAsia" w:hAnsi="Arial" w:cs="Arial"/>
          <w:i/>
          <w:iCs/>
          <w:sz w:val="22"/>
          <w:szCs w:val="22"/>
        </w:rPr>
        <w:t>Priority indicators</w:t>
      </w:r>
    </w:p>
    <w:p w14:paraId="534DCB6B" w14:textId="030973E0" w:rsidR="003B66BF" w:rsidRPr="00BA2EEB" w:rsidRDefault="00795321" w:rsidP="003B66BF">
      <w:pPr>
        <w:pStyle w:val="NormalWeb"/>
        <w:numPr>
          <w:ilvl w:val="0"/>
          <w:numId w:val="62"/>
        </w:numPr>
        <w:jc w:val="both"/>
        <w:rPr>
          <w:rFonts w:ascii="Arial" w:hAnsi="Arial" w:cs="Arial"/>
          <w:sz w:val="22"/>
          <w:szCs w:val="22"/>
        </w:rPr>
      </w:pPr>
      <w:r w:rsidRPr="003B66BF">
        <w:rPr>
          <w:rFonts w:ascii="Arial" w:hAnsi="Arial" w:cs="Arial"/>
          <w:sz w:val="22"/>
          <w:szCs w:val="22"/>
        </w:rPr>
        <w:t>Mangrove seedling survival and canopy recovery, violations/patrol effort, and simple nearshore habitat checks (seagrass presence/scarring where relevant).</w:t>
      </w:r>
    </w:p>
    <w:p w14:paraId="0AFE04D7" w14:textId="02553CA6" w:rsidR="003B66BF" w:rsidRPr="003B66BF" w:rsidRDefault="003B66BF" w:rsidP="003B66BF">
      <w:pPr>
        <w:jc w:val="both"/>
        <w:rPr>
          <w:rFonts w:ascii="Arial" w:hAnsi="Arial" w:cs="Arial"/>
          <w:b/>
          <w:bCs/>
          <w:sz w:val="22"/>
          <w:szCs w:val="22"/>
        </w:rPr>
      </w:pPr>
      <w:r w:rsidRPr="003B66BF">
        <w:rPr>
          <w:rFonts w:ascii="Arial" w:hAnsi="Arial" w:cs="Arial"/>
          <w:b/>
          <w:bCs/>
          <w:sz w:val="22"/>
          <w:szCs w:val="22"/>
        </w:rPr>
        <w:t>D</w:t>
      </w:r>
      <w:r w:rsidR="00BA2EEB">
        <w:rPr>
          <w:rFonts w:ascii="Arial" w:hAnsi="Arial" w:cs="Arial"/>
          <w:b/>
          <w:bCs/>
          <w:sz w:val="22"/>
          <w:szCs w:val="22"/>
        </w:rPr>
        <w:t>.</w:t>
      </w:r>
      <w:r w:rsidRPr="003B66BF">
        <w:rPr>
          <w:rFonts w:ascii="Arial" w:hAnsi="Arial" w:cs="Arial"/>
          <w:b/>
          <w:bCs/>
          <w:sz w:val="22"/>
          <w:szCs w:val="22"/>
        </w:rPr>
        <w:t xml:space="preserve"> Data note</w:t>
      </w:r>
    </w:p>
    <w:p w14:paraId="0E05482D" w14:textId="5F440F70"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sz w:val="22"/>
          <w:szCs w:val="22"/>
        </w:rPr>
        <w:t xml:space="preserve">Mangrove “extent” figures differ by dataset and method; they are best interpreted as </w:t>
      </w:r>
      <w:r w:rsidRPr="003B66BF">
        <w:rPr>
          <w:rFonts w:ascii="Arial" w:hAnsi="Arial" w:cs="Arial"/>
          <w:b/>
          <w:bCs/>
          <w:sz w:val="22"/>
          <w:szCs w:val="22"/>
        </w:rPr>
        <w:t>trend signals</w:t>
      </w:r>
      <w:r w:rsidRPr="003B66BF">
        <w:rPr>
          <w:rFonts w:ascii="Arial" w:hAnsi="Arial" w:cs="Arial"/>
          <w:sz w:val="22"/>
          <w:szCs w:val="22"/>
        </w:rPr>
        <w:t xml:space="preserve"> rather than exact totals. Wetland extent and condition are even less consistently quantified in legal instruments and often rely on Ramsar documentation, habitat mapping, and project assessments. For reporting, avoid mixing extent totals across incompatible sources and prioritize clarity on (i) the dataset used, (ii) the year, and (iii) the main uncertainty drivers (classification, tide, validation coverage).</w:t>
      </w:r>
    </w:p>
    <w:p w14:paraId="0A9E5486" w14:textId="375DC38A" w:rsidR="003B66BF" w:rsidRPr="003B66BF" w:rsidRDefault="003B66BF" w:rsidP="00BA2EEB">
      <w:pPr>
        <w:pStyle w:val="NormalWeb"/>
        <w:jc w:val="both"/>
        <w:rPr>
          <w:rFonts w:ascii="Arial" w:hAnsi="Arial" w:cs="Arial"/>
          <w:b/>
          <w:bCs/>
          <w:color w:val="0070C0"/>
        </w:rPr>
      </w:pPr>
      <w:bookmarkStart w:id="34" w:name="_Ref216612442"/>
      <w:r w:rsidRPr="00BA2EEB">
        <w:rPr>
          <w:rFonts w:ascii="Arial" w:hAnsi="Arial" w:cs="Arial"/>
          <w:b/>
          <w:bCs/>
          <w:color w:val="0070C0"/>
        </w:rPr>
        <w:t>Annex 4-</w:t>
      </w:r>
      <w:r w:rsidRPr="00BA2EEB">
        <w:rPr>
          <w:rFonts w:ascii="Arial" w:hAnsi="Arial" w:cs="Arial"/>
          <w:b/>
          <w:bCs/>
          <w:color w:val="0070C0"/>
        </w:rPr>
        <w:fldChar w:fldCharType="begin"/>
      </w:r>
      <w:r w:rsidRPr="00BA2EEB">
        <w:rPr>
          <w:rFonts w:ascii="Arial" w:hAnsi="Arial" w:cs="Arial"/>
          <w:b/>
          <w:bCs/>
          <w:color w:val="0070C0"/>
        </w:rPr>
        <w:instrText xml:space="preserve"> SEQ Annex_4- \* ARABIC </w:instrText>
      </w:r>
      <w:r w:rsidRPr="00BA2EEB">
        <w:rPr>
          <w:rFonts w:ascii="Arial" w:hAnsi="Arial" w:cs="Arial"/>
          <w:b/>
          <w:bCs/>
          <w:color w:val="0070C0"/>
        </w:rPr>
        <w:fldChar w:fldCharType="separate"/>
      </w:r>
      <w:r w:rsidR="00802509">
        <w:rPr>
          <w:rFonts w:ascii="Arial" w:hAnsi="Arial" w:cs="Arial"/>
          <w:b/>
          <w:bCs/>
          <w:noProof/>
          <w:color w:val="0070C0"/>
        </w:rPr>
        <w:t>6</w:t>
      </w:r>
      <w:r w:rsidRPr="00BA2EEB">
        <w:rPr>
          <w:rFonts w:ascii="Arial" w:hAnsi="Arial" w:cs="Arial"/>
          <w:b/>
          <w:bCs/>
          <w:color w:val="0070C0"/>
        </w:rPr>
        <w:fldChar w:fldCharType="end"/>
      </w:r>
      <w:bookmarkEnd w:id="34"/>
      <w:r w:rsidRPr="00BA2EEB">
        <w:rPr>
          <w:rFonts w:ascii="Arial" w:hAnsi="Arial" w:cs="Arial"/>
          <w:b/>
          <w:bCs/>
          <w:color w:val="0070C0"/>
        </w:rPr>
        <w:t xml:space="preserve"> </w:t>
      </w:r>
      <w:r w:rsidRPr="003B66BF">
        <w:rPr>
          <w:rFonts w:ascii="Arial" w:hAnsi="Arial" w:cs="Arial"/>
          <w:b/>
          <w:bCs/>
          <w:color w:val="0070C0"/>
        </w:rPr>
        <w:t>Extended explanatory note on coral reefs and seagrass in Cambodia</w:t>
      </w:r>
    </w:p>
    <w:p w14:paraId="771D3E5E" w14:textId="77777777"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i/>
          <w:iCs/>
          <w:sz w:val="22"/>
          <w:szCs w:val="22"/>
        </w:rPr>
        <w:t>(Supporting Sections 4.2.2.1 and 4.2.2.2 of the main chapter)</w:t>
      </w:r>
    </w:p>
    <w:p w14:paraId="37EE8400" w14:textId="32B6B305" w:rsidR="003B66BF" w:rsidRPr="00BA2EEB" w:rsidRDefault="003B66BF" w:rsidP="00BA2EEB">
      <w:pPr>
        <w:rPr>
          <w:rFonts w:ascii="Arial" w:hAnsi="Arial" w:cs="Arial"/>
          <w:b/>
          <w:bCs/>
          <w:sz w:val="22"/>
          <w:szCs w:val="22"/>
        </w:rPr>
      </w:pPr>
      <w:r w:rsidRPr="00BA2EEB">
        <w:rPr>
          <w:rFonts w:ascii="Arial" w:hAnsi="Arial" w:cs="Arial"/>
          <w:b/>
          <w:bCs/>
          <w:sz w:val="22"/>
          <w:szCs w:val="22"/>
        </w:rPr>
        <w:t>A. Coral reefs (status, distribution, and interpretation)</w:t>
      </w:r>
    </w:p>
    <w:p w14:paraId="696C7FF5" w14:textId="77777777" w:rsidR="00BA2EEB" w:rsidRPr="00BA2EEB" w:rsidRDefault="003B66BF" w:rsidP="00BA2EEB">
      <w:pPr>
        <w:keepNext/>
        <w:adjustRightInd w:val="0"/>
        <w:snapToGrid w:val="0"/>
        <w:spacing w:before="240" w:after="120"/>
        <w:jc w:val="both"/>
        <w:rPr>
          <w:rFonts w:ascii="Arial" w:hAnsi="Arial" w:cs="Arial"/>
          <w:color w:val="0070C0"/>
          <w:sz w:val="22"/>
          <w:szCs w:val="22"/>
        </w:rPr>
      </w:pPr>
      <w:r w:rsidRPr="003B66BF">
        <w:rPr>
          <w:rFonts w:ascii="Arial" w:hAnsi="Arial" w:cs="Arial"/>
          <w:color w:val="0070C0"/>
          <w:sz w:val="22"/>
          <w:szCs w:val="22"/>
        </w:rPr>
        <w:t>A1. Distribution and reef types</w:t>
      </w:r>
    </w:p>
    <w:p w14:paraId="544AC48C" w14:textId="46E56550"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sz w:val="22"/>
          <w:szCs w:val="22"/>
        </w:rPr>
        <w:t xml:space="preserve">Cambodia’s coral reefs are predominantly </w:t>
      </w:r>
      <w:r w:rsidRPr="003B66BF">
        <w:rPr>
          <w:rFonts w:ascii="Arial" w:hAnsi="Arial" w:cs="Arial"/>
          <w:b/>
          <w:bCs/>
          <w:sz w:val="22"/>
          <w:szCs w:val="22"/>
        </w:rPr>
        <w:t>fringing reef systems</w:t>
      </w:r>
      <w:r w:rsidRPr="003B66BF">
        <w:rPr>
          <w:rFonts w:ascii="Arial" w:hAnsi="Arial" w:cs="Arial"/>
          <w:sz w:val="22"/>
          <w:szCs w:val="22"/>
        </w:rPr>
        <w:t xml:space="preserve"> associated with island groups along the Gulf of Thailand. The highest concentration occurs around the </w:t>
      </w:r>
      <w:r w:rsidRPr="003B66BF">
        <w:rPr>
          <w:rFonts w:ascii="Arial" w:hAnsi="Arial" w:cs="Arial"/>
          <w:b/>
          <w:bCs/>
          <w:sz w:val="22"/>
          <w:szCs w:val="22"/>
        </w:rPr>
        <w:t>Preah Sihanouk archipelagos</w:t>
      </w:r>
      <w:r w:rsidRPr="003B66BF">
        <w:rPr>
          <w:rFonts w:ascii="Arial" w:hAnsi="Arial" w:cs="Arial"/>
          <w:sz w:val="22"/>
          <w:szCs w:val="22"/>
        </w:rPr>
        <w:t xml:space="preserve"> (especially the Koh Rong Archipelago) and the </w:t>
      </w:r>
      <w:r w:rsidRPr="003B66BF">
        <w:rPr>
          <w:rFonts w:ascii="Arial" w:hAnsi="Arial" w:cs="Arial"/>
          <w:b/>
          <w:bCs/>
          <w:sz w:val="22"/>
          <w:szCs w:val="22"/>
        </w:rPr>
        <w:t>Koh Kong island complex</w:t>
      </w:r>
      <w:r w:rsidRPr="003B66BF">
        <w:rPr>
          <w:rFonts w:ascii="Arial" w:hAnsi="Arial" w:cs="Arial"/>
          <w:sz w:val="22"/>
          <w:szCs w:val="22"/>
        </w:rPr>
        <w:t xml:space="preserve"> (including Koh Sdach and nearby island chains). Smaller reef patches are present along the mainland-influenced waters of </w:t>
      </w:r>
      <w:r w:rsidRPr="003B66BF">
        <w:rPr>
          <w:rFonts w:ascii="Arial" w:hAnsi="Arial" w:cs="Arial"/>
          <w:b/>
          <w:bCs/>
          <w:sz w:val="22"/>
          <w:szCs w:val="22"/>
        </w:rPr>
        <w:t>Kep and Kampot</w:t>
      </w:r>
      <w:r w:rsidRPr="003B66BF">
        <w:rPr>
          <w:rFonts w:ascii="Arial" w:hAnsi="Arial" w:cs="Arial"/>
          <w:sz w:val="22"/>
          <w:szCs w:val="22"/>
        </w:rPr>
        <w:t>, where higher turbidity favors sediment-tolerant reef assemblages and limits reef development to discontinuous, shallow patches. This spatial pattern reflects the interaction of (i) substrate availability around islands, (ii) sediment and nutrient loads from nearshore development and rivers, and (iii) wave exposure and circulation in the semi-enclosed Gulf.</w:t>
      </w:r>
    </w:p>
    <w:p w14:paraId="2944259F" w14:textId="77777777" w:rsidR="00BA2EEB" w:rsidRPr="00BA2EEB" w:rsidRDefault="003B66BF" w:rsidP="00BA2EEB">
      <w:pPr>
        <w:keepNext/>
        <w:adjustRightInd w:val="0"/>
        <w:snapToGrid w:val="0"/>
        <w:spacing w:before="240" w:after="120"/>
        <w:jc w:val="both"/>
        <w:rPr>
          <w:rFonts w:ascii="Arial" w:hAnsi="Arial" w:cs="Arial"/>
          <w:color w:val="0070C0"/>
          <w:sz w:val="22"/>
          <w:szCs w:val="22"/>
        </w:rPr>
      </w:pPr>
      <w:r w:rsidRPr="003B66BF">
        <w:rPr>
          <w:rFonts w:ascii="Arial" w:hAnsi="Arial" w:cs="Arial"/>
          <w:color w:val="0070C0"/>
          <w:sz w:val="22"/>
          <w:szCs w:val="22"/>
        </w:rPr>
        <w:t>A2. Extent and uncertainty (why figures vary)</w:t>
      </w:r>
    </w:p>
    <w:p w14:paraId="536312D0" w14:textId="7B91F3D5"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sz w:val="22"/>
          <w:szCs w:val="22"/>
        </w:rPr>
        <w:t xml:space="preserve">Early national assessments estimated approximately </w:t>
      </w:r>
      <w:r w:rsidRPr="003B66BF">
        <w:rPr>
          <w:rFonts w:ascii="Arial" w:hAnsi="Arial" w:cs="Arial"/>
          <w:b/>
          <w:bCs/>
          <w:sz w:val="22"/>
          <w:szCs w:val="22"/>
        </w:rPr>
        <w:t>~2,700 ha</w:t>
      </w:r>
      <w:r w:rsidRPr="003B66BF">
        <w:rPr>
          <w:rFonts w:ascii="Arial" w:hAnsi="Arial" w:cs="Arial"/>
          <w:sz w:val="22"/>
          <w:szCs w:val="22"/>
        </w:rPr>
        <w:t xml:space="preserve"> of reef habitat, largely concentrated in Koh Kong and Preah Sihanouk. More recent mapping and validation comparing </w:t>
      </w:r>
      <w:r w:rsidRPr="003B66BF">
        <w:rPr>
          <w:rFonts w:ascii="Arial" w:hAnsi="Arial" w:cs="Arial"/>
          <w:b/>
          <w:bCs/>
          <w:sz w:val="22"/>
          <w:szCs w:val="22"/>
        </w:rPr>
        <w:t>2014 vs. 2025</w:t>
      </w:r>
      <w:r w:rsidRPr="003B66BF">
        <w:rPr>
          <w:rFonts w:ascii="Arial" w:hAnsi="Arial" w:cs="Arial"/>
          <w:sz w:val="22"/>
          <w:szCs w:val="22"/>
        </w:rPr>
        <w:t xml:space="preserve"> indicate that reefs remain strongly concentrated in </w:t>
      </w:r>
      <w:r w:rsidRPr="003B66BF">
        <w:rPr>
          <w:rFonts w:ascii="Arial" w:hAnsi="Arial" w:cs="Arial"/>
          <w:b/>
          <w:bCs/>
          <w:sz w:val="22"/>
          <w:szCs w:val="22"/>
        </w:rPr>
        <w:t>Preah Sihanouk and Koh Kong (&gt;85% of national mapped cover)</w:t>
      </w:r>
      <w:r w:rsidRPr="003B66BF">
        <w:rPr>
          <w:rFonts w:ascii="Arial" w:hAnsi="Arial" w:cs="Arial"/>
          <w:sz w:val="22"/>
          <w:szCs w:val="22"/>
        </w:rPr>
        <w:t xml:space="preserve">, with changes over time generally described as </w:t>
      </w:r>
      <w:r w:rsidRPr="003B66BF">
        <w:rPr>
          <w:rFonts w:ascii="Arial" w:hAnsi="Arial" w:cs="Arial"/>
          <w:b/>
          <w:bCs/>
          <w:sz w:val="22"/>
          <w:szCs w:val="22"/>
        </w:rPr>
        <w:t>modest and method-bounded</w:t>
      </w:r>
      <w:r w:rsidRPr="003B66BF">
        <w:rPr>
          <w:rFonts w:ascii="Arial" w:hAnsi="Arial" w:cs="Arial"/>
          <w:sz w:val="22"/>
          <w:szCs w:val="22"/>
        </w:rPr>
        <w:t xml:space="preserve">—meaning that apparent gains/losses can partly reflect classification thresholds, sensor resolution, water clarity at image acquisition, and validation coverage rather than true ecological change. For this reason, reef “extent” should be interpreted alongside </w:t>
      </w:r>
      <w:r w:rsidRPr="003B66BF">
        <w:rPr>
          <w:rFonts w:ascii="Arial" w:hAnsi="Arial" w:cs="Arial"/>
          <w:b/>
          <w:bCs/>
          <w:sz w:val="22"/>
          <w:szCs w:val="22"/>
        </w:rPr>
        <w:t>condition indicators</w:t>
      </w:r>
      <w:r w:rsidRPr="003B66BF">
        <w:rPr>
          <w:rFonts w:ascii="Arial" w:hAnsi="Arial" w:cs="Arial"/>
          <w:sz w:val="22"/>
          <w:szCs w:val="22"/>
        </w:rPr>
        <w:t xml:space="preserve"> (live coral cover, structural complexity, fish biomass) and </w:t>
      </w:r>
      <w:r w:rsidRPr="003B66BF">
        <w:rPr>
          <w:rFonts w:ascii="Arial" w:hAnsi="Arial" w:cs="Arial"/>
          <w:b/>
          <w:bCs/>
          <w:sz w:val="22"/>
          <w:szCs w:val="22"/>
        </w:rPr>
        <w:t>pressure indicators</w:t>
      </w:r>
      <w:r w:rsidRPr="003B66BF">
        <w:rPr>
          <w:rFonts w:ascii="Arial" w:hAnsi="Arial" w:cs="Arial"/>
          <w:sz w:val="22"/>
          <w:szCs w:val="22"/>
        </w:rPr>
        <w:t xml:space="preserve"> (turbidity, fishing intensity, tourism footprint).</w:t>
      </w:r>
    </w:p>
    <w:p w14:paraId="0AFAD3C2" w14:textId="77777777" w:rsidR="00BA2EEB" w:rsidRPr="00BA2EEB" w:rsidRDefault="003B66BF" w:rsidP="00BA2EEB">
      <w:pPr>
        <w:keepNext/>
        <w:adjustRightInd w:val="0"/>
        <w:snapToGrid w:val="0"/>
        <w:spacing w:before="240" w:after="120"/>
        <w:jc w:val="both"/>
        <w:rPr>
          <w:rFonts w:ascii="Arial" w:hAnsi="Arial" w:cs="Arial"/>
          <w:color w:val="0070C0"/>
          <w:sz w:val="22"/>
          <w:szCs w:val="22"/>
        </w:rPr>
      </w:pPr>
      <w:r w:rsidRPr="003B66BF">
        <w:rPr>
          <w:rFonts w:ascii="Arial" w:hAnsi="Arial" w:cs="Arial"/>
          <w:color w:val="0070C0"/>
          <w:sz w:val="22"/>
          <w:szCs w:val="22"/>
        </w:rPr>
        <w:t>A3. Condition and ecological signals</w:t>
      </w:r>
    </w:p>
    <w:p w14:paraId="1AD59B3E" w14:textId="39C30DF2"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sz w:val="22"/>
          <w:szCs w:val="22"/>
        </w:rPr>
        <w:t xml:space="preserve">Available evidence suggests that reef condition in the 2000s typically ranged from </w:t>
      </w:r>
      <w:r w:rsidRPr="003B66BF">
        <w:rPr>
          <w:rFonts w:ascii="Arial" w:hAnsi="Arial" w:cs="Arial"/>
          <w:b/>
          <w:bCs/>
          <w:sz w:val="22"/>
          <w:szCs w:val="22"/>
        </w:rPr>
        <w:t>fair to good</w:t>
      </w:r>
      <w:r w:rsidRPr="003B66BF">
        <w:rPr>
          <w:rFonts w:ascii="Arial" w:hAnsi="Arial" w:cs="Arial"/>
          <w:sz w:val="22"/>
          <w:szCs w:val="22"/>
        </w:rPr>
        <w:t xml:space="preserve"> (≈23–58% live cover). Long-term monitoring in Koh Rong (initiated around 2010 and later extended to Koh Sdach and Kep) indicates reefs that are </w:t>
      </w:r>
      <w:r w:rsidRPr="003B66BF">
        <w:rPr>
          <w:rFonts w:ascii="Arial" w:hAnsi="Arial" w:cs="Arial"/>
          <w:b/>
          <w:bCs/>
          <w:sz w:val="22"/>
          <w:szCs w:val="22"/>
        </w:rPr>
        <w:t>sediment-influenced</w:t>
      </w:r>
      <w:r w:rsidRPr="003B66BF">
        <w:rPr>
          <w:rFonts w:ascii="Arial" w:hAnsi="Arial" w:cs="Arial"/>
          <w:sz w:val="22"/>
          <w:szCs w:val="22"/>
        </w:rPr>
        <w:t xml:space="preserve">, with benthic communities often dominated by </w:t>
      </w:r>
      <w:r w:rsidRPr="003B66BF">
        <w:rPr>
          <w:rFonts w:ascii="Arial" w:hAnsi="Arial" w:cs="Arial"/>
          <w:b/>
          <w:bCs/>
          <w:sz w:val="22"/>
          <w:szCs w:val="22"/>
        </w:rPr>
        <w:t>massive and encrusting genera</w:t>
      </w:r>
      <w:r w:rsidRPr="003B66BF">
        <w:rPr>
          <w:rFonts w:ascii="Arial" w:hAnsi="Arial" w:cs="Arial"/>
          <w:sz w:val="22"/>
          <w:szCs w:val="22"/>
        </w:rPr>
        <w:t xml:space="preserve"> such as </w:t>
      </w:r>
      <w:r w:rsidRPr="003B66BF">
        <w:rPr>
          <w:rFonts w:ascii="Arial" w:hAnsi="Arial" w:cs="Arial"/>
          <w:i/>
          <w:iCs/>
          <w:sz w:val="22"/>
          <w:szCs w:val="22"/>
        </w:rPr>
        <w:t>Porites</w:t>
      </w:r>
      <w:r w:rsidRPr="003B66BF">
        <w:rPr>
          <w:rFonts w:ascii="Arial" w:hAnsi="Arial" w:cs="Arial"/>
          <w:sz w:val="22"/>
          <w:szCs w:val="22"/>
        </w:rPr>
        <w:t xml:space="preserve"> and </w:t>
      </w:r>
      <w:r w:rsidRPr="003B66BF">
        <w:rPr>
          <w:rFonts w:ascii="Arial" w:hAnsi="Arial" w:cs="Arial"/>
          <w:i/>
          <w:iCs/>
          <w:sz w:val="22"/>
          <w:szCs w:val="22"/>
        </w:rPr>
        <w:t>Diploastrea</w:t>
      </w:r>
      <w:r w:rsidRPr="003B66BF">
        <w:rPr>
          <w:rFonts w:ascii="Arial" w:hAnsi="Arial" w:cs="Arial"/>
          <w:sz w:val="22"/>
          <w:szCs w:val="22"/>
        </w:rPr>
        <w:t xml:space="preserve">. This dominance is an important ecological signal: massive/encrusting forms are generally more tolerant of periodic turbidity and sedimentation, but their prevalence often coincides with </w:t>
      </w:r>
      <w:r w:rsidRPr="003B66BF">
        <w:rPr>
          <w:rFonts w:ascii="Arial" w:hAnsi="Arial" w:cs="Arial"/>
          <w:b/>
          <w:bCs/>
          <w:sz w:val="22"/>
          <w:szCs w:val="22"/>
        </w:rPr>
        <w:t>reduced branching coral abundance</w:t>
      </w:r>
      <w:r w:rsidRPr="003B66BF">
        <w:rPr>
          <w:rFonts w:ascii="Arial" w:hAnsi="Arial" w:cs="Arial"/>
          <w:sz w:val="22"/>
          <w:szCs w:val="22"/>
        </w:rPr>
        <w:t xml:space="preserve">, lower structural complexity, and altered fish assemblages over time. In practice, this means reefs can remain “alive” (moderate live cover) while still experiencing </w:t>
      </w:r>
      <w:r w:rsidRPr="003B66BF">
        <w:rPr>
          <w:rFonts w:ascii="Arial" w:hAnsi="Arial" w:cs="Arial"/>
          <w:b/>
          <w:bCs/>
          <w:sz w:val="22"/>
          <w:szCs w:val="22"/>
        </w:rPr>
        <w:t>structural simplification</w:t>
      </w:r>
      <w:r w:rsidRPr="003B66BF">
        <w:rPr>
          <w:rFonts w:ascii="Arial" w:hAnsi="Arial" w:cs="Arial"/>
          <w:sz w:val="22"/>
          <w:szCs w:val="22"/>
        </w:rPr>
        <w:t xml:space="preserve"> and reduced nursery/refuge function for reef fish.</w:t>
      </w:r>
    </w:p>
    <w:p w14:paraId="0E00AD43" w14:textId="77777777" w:rsidR="00BA2EEB" w:rsidRPr="00BA2EEB" w:rsidRDefault="003B66BF" w:rsidP="00BA2EEB">
      <w:pPr>
        <w:keepNext/>
        <w:adjustRightInd w:val="0"/>
        <w:snapToGrid w:val="0"/>
        <w:spacing w:before="240" w:after="120"/>
        <w:jc w:val="both"/>
        <w:rPr>
          <w:rFonts w:ascii="Arial" w:hAnsi="Arial" w:cs="Arial"/>
          <w:color w:val="0070C0"/>
          <w:sz w:val="22"/>
          <w:szCs w:val="22"/>
        </w:rPr>
      </w:pPr>
      <w:r w:rsidRPr="003B66BF">
        <w:rPr>
          <w:rFonts w:ascii="Arial" w:hAnsi="Arial" w:cs="Arial"/>
          <w:color w:val="0070C0"/>
          <w:sz w:val="22"/>
          <w:szCs w:val="22"/>
        </w:rPr>
        <w:t>A4. Monitoring and comparability (CCRMN and why it matters)</w:t>
      </w:r>
    </w:p>
    <w:p w14:paraId="0FB15FA9" w14:textId="69521BC8"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sz w:val="22"/>
          <w:szCs w:val="22"/>
        </w:rPr>
        <w:t xml:space="preserve">Since 2019, the </w:t>
      </w:r>
      <w:r w:rsidRPr="003B66BF">
        <w:rPr>
          <w:rFonts w:ascii="Arial" w:hAnsi="Arial" w:cs="Arial"/>
          <w:b/>
          <w:bCs/>
          <w:sz w:val="22"/>
          <w:szCs w:val="22"/>
        </w:rPr>
        <w:t>Cambodian Coral Reef Monitoring Network (CCRMN)</w:t>
      </w:r>
      <w:r w:rsidRPr="003B66BF">
        <w:rPr>
          <w:rFonts w:ascii="Arial" w:hAnsi="Arial" w:cs="Arial"/>
          <w:sz w:val="22"/>
          <w:szCs w:val="22"/>
        </w:rPr>
        <w:t xml:space="preserve"> has standardized protocols across sites for fish biomass, benthic cover, invertebrates, and structural complexity. This is important for two reasons:</w:t>
      </w:r>
    </w:p>
    <w:p w14:paraId="22AF8A79" w14:textId="77777777" w:rsidR="003B66BF" w:rsidRPr="003B66BF" w:rsidRDefault="003B66BF" w:rsidP="003B66BF">
      <w:pPr>
        <w:numPr>
          <w:ilvl w:val="0"/>
          <w:numId w:val="63"/>
        </w:numPr>
        <w:spacing w:before="100" w:beforeAutospacing="1" w:after="100" w:afterAutospacing="1"/>
        <w:jc w:val="both"/>
        <w:rPr>
          <w:rFonts w:ascii="Arial" w:hAnsi="Arial" w:cs="Arial"/>
          <w:sz w:val="22"/>
          <w:szCs w:val="22"/>
        </w:rPr>
      </w:pPr>
      <w:r w:rsidRPr="003B66BF">
        <w:rPr>
          <w:rFonts w:ascii="Arial" w:hAnsi="Arial" w:cs="Arial"/>
          <w:sz w:val="22"/>
          <w:szCs w:val="22"/>
        </w:rPr>
        <w:t xml:space="preserve">It improves </w:t>
      </w:r>
      <w:r w:rsidRPr="003B66BF">
        <w:rPr>
          <w:rFonts w:ascii="Arial" w:hAnsi="Arial" w:cs="Arial"/>
          <w:b/>
          <w:bCs/>
          <w:sz w:val="22"/>
          <w:szCs w:val="22"/>
        </w:rPr>
        <w:t>comparability</w:t>
      </w:r>
      <w:r w:rsidRPr="003B66BF">
        <w:rPr>
          <w:rFonts w:ascii="Arial" w:hAnsi="Arial" w:cs="Arial"/>
          <w:sz w:val="22"/>
          <w:szCs w:val="22"/>
        </w:rPr>
        <w:t xml:space="preserve"> across provinces and years (reduces “apples vs oranges” monitoring), and</w:t>
      </w:r>
    </w:p>
    <w:p w14:paraId="436000A6" w14:textId="77777777" w:rsidR="003B66BF" w:rsidRPr="003B66BF" w:rsidRDefault="003B66BF" w:rsidP="003B66BF">
      <w:pPr>
        <w:numPr>
          <w:ilvl w:val="0"/>
          <w:numId w:val="63"/>
        </w:numPr>
        <w:spacing w:before="100" w:beforeAutospacing="1" w:after="100" w:afterAutospacing="1"/>
        <w:jc w:val="both"/>
        <w:rPr>
          <w:rFonts w:ascii="Arial" w:hAnsi="Arial" w:cs="Arial"/>
          <w:sz w:val="22"/>
          <w:szCs w:val="22"/>
        </w:rPr>
      </w:pPr>
      <w:r w:rsidRPr="003B66BF">
        <w:rPr>
          <w:rFonts w:ascii="Arial" w:hAnsi="Arial" w:cs="Arial"/>
          <w:sz w:val="22"/>
          <w:szCs w:val="22"/>
        </w:rPr>
        <w:t>It supports management evaluation—i.e., whether zoning/enforcement (MNPs, MFMAs, CFis) is associated with measurable improvements in fish biomass or reduced physical damage.</w:t>
      </w:r>
    </w:p>
    <w:p w14:paraId="2FD5CAEB" w14:textId="77777777" w:rsidR="00BA2EEB" w:rsidRPr="00BA2EEB" w:rsidRDefault="003B66BF" w:rsidP="00BA2EEB">
      <w:pPr>
        <w:keepNext/>
        <w:adjustRightInd w:val="0"/>
        <w:snapToGrid w:val="0"/>
        <w:spacing w:before="240" w:after="120"/>
        <w:jc w:val="both"/>
        <w:rPr>
          <w:rFonts w:ascii="Arial" w:hAnsi="Arial" w:cs="Arial"/>
          <w:color w:val="0070C0"/>
          <w:sz w:val="22"/>
          <w:szCs w:val="22"/>
        </w:rPr>
      </w:pPr>
      <w:r w:rsidRPr="003B66BF">
        <w:rPr>
          <w:rFonts w:ascii="Arial" w:hAnsi="Arial" w:cs="Arial"/>
          <w:color w:val="0070C0"/>
          <w:sz w:val="22"/>
          <w:szCs w:val="22"/>
        </w:rPr>
        <w:t>A5. Species diversity and data gaps</w:t>
      </w:r>
    </w:p>
    <w:p w14:paraId="5505BF17" w14:textId="657E0D6C"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sz w:val="22"/>
          <w:szCs w:val="22"/>
        </w:rPr>
        <w:t xml:space="preserve">Cambodia likely hosts around </w:t>
      </w:r>
      <w:r w:rsidRPr="003B66BF">
        <w:rPr>
          <w:rFonts w:ascii="Arial" w:hAnsi="Arial" w:cs="Arial"/>
          <w:b/>
          <w:bCs/>
          <w:sz w:val="22"/>
          <w:szCs w:val="22"/>
        </w:rPr>
        <w:t>~70 coral species</w:t>
      </w:r>
      <w:r w:rsidRPr="003B66BF">
        <w:rPr>
          <w:rFonts w:ascii="Arial" w:hAnsi="Arial" w:cs="Arial"/>
          <w:sz w:val="22"/>
          <w:szCs w:val="22"/>
        </w:rPr>
        <w:t xml:space="preserve">, but distribution data remain incomplete—particularly offshore. Several historical/partner surveys have mapped nearshore reefs, but </w:t>
      </w:r>
      <w:r w:rsidRPr="003B66BF">
        <w:rPr>
          <w:rFonts w:ascii="Arial" w:hAnsi="Arial" w:cs="Arial"/>
          <w:b/>
          <w:bCs/>
          <w:sz w:val="22"/>
          <w:szCs w:val="22"/>
        </w:rPr>
        <w:t>species inventories</w:t>
      </w:r>
      <w:r w:rsidRPr="003B66BF">
        <w:rPr>
          <w:rFonts w:ascii="Arial" w:hAnsi="Arial" w:cs="Arial"/>
          <w:sz w:val="22"/>
          <w:szCs w:val="22"/>
        </w:rPr>
        <w:t xml:space="preserve"> and </w:t>
      </w:r>
      <w:r w:rsidRPr="003B66BF">
        <w:rPr>
          <w:rFonts w:ascii="Arial" w:hAnsi="Arial" w:cs="Arial"/>
          <w:b/>
          <w:bCs/>
          <w:sz w:val="22"/>
          <w:szCs w:val="22"/>
        </w:rPr>
        <w:t>standardized biodiversity baselines</w:t>
      </w:r>
      <w:r w:rsidRPr="003B66BF">
        <w:rPr>
          <w:rFonts w:ascii="Arial" w:hAnsi="Arial" w:cs="Arial"/>
          <w:sz w:val="22"/>
          <w:szCs w:val="22"/>
        </w:rPr>
        <w:t xml:space="preserve"> remain limited in many areas. Localized coral extraction persists in some communities, typically small-scale, but it can be significant where reef patches are small or already degraded.</w:t>
      </w:r>
    </w:p>
    <w:p w14:paraId="23CED5E6" w14:textId="77777777" w:rsidR="00BA2EEB" w:rsidRPr="00BA2EEB" w:rsidRDefault="003B66BF" w:rsidP="00BA2EEB">
      <w:pPr>
        <w:keepNext/>
        <w:adjustRightInd w:val="0"/>
        <w:snapToGrid w:val="0"/>
        <w:spacing w:before="240" w:after="120"/>
        <w:jc w:val="both"/>
        <w:rPr>
          <w:rFonts w:ascii="Arial" w:hAnsi="Arial" w:cs="Arial"/>
          <w:color w:val="0070C0"/>
          <w:sz w:val="22"/>
          <w:szCs w:val="22"/>
        </w:rPr>
      </w:pPr>
      <w:r w:rsidRPr="003B66BF">
        <w:rPr>
          <w:rFonts w:ascii="Arial" w:hAnsi="Arial" w:cs="Arial"/>
          <w:color w:val="0070C0"/>
          <w:sz w:val="22"/>
          <w:szCs w:val="22"/>
        </w:rPr>
        <w:t>A6. Management interpretation and priorities</w:t>
      </w:r>
    </w:p>
    <w:p w14:paraId="5880A694" w14:textId="3493C3E4"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sz w:val="22"/>
          <w:szCs w:val="22"/>
        </w:rPr>
        <w:t xml:space="preserve">The key management implication is that Cambodia’s reefs are strongly shaped by </w:t>
      </w:r>
      <w:r w:rsidRPr="003B66BF">
        <w:rPr>
          <w:rFonts w:ascii="Arial" w:hAnsi="Arial" w:cs="Arial"/>
          <w:b/>
          <w:bCs/>
          <w:sz w:val="22"/>
          <w:szCs w:val="22"/>
        </w:rPr>
        <w:t>chronic, cumulative pressures</w:t>
      </w:r>
      <w:r w:rsidRPr="003B66BF">
        <w:rPr>
          <w:rFonts w:ascii="Arial" w:hAnsi="Arial" w:cs="Arial"/>
          <w:sz w:val="22"/>
          <w:szCs w:val="22"/>
        </w:rPr>
        <w:t xml:space="preserve"> rather than single catastrophic events. Priority actions typically include:</w:t>
      </w:r>
    </w:p>
    <w:p w14:paraId="5A8351B5" w14:textId="77777777" w:rsidR="003B66BF" w:rsidRPr="003B66BF" w:rsidRDefault="003B66BF" w:rsidP="003B66BF">
      <w:pPr>
        <w:numPr>
          <w:ilvl w:val="0"/>
          <w:numId w:val="64"/>
        </w:numPr>
        <w:spacing w:before="100" w:beforeAutospacing="1" w:after="100" w:afterAutospacing="1"/>
        <w:jc w:val="both"/>
        <w:rPr>
          <w:rFonts w:ascii="Arial" w:hAnsi="Arial" w:cs="Arial"/>
          <w:sz w:val="22"/>
          <w:szCs w:val="22"/>
        </w:rPr>
      </w:pPr>
      <w:r w:rsidRPr="003B66BF">
        <w:rPr>
          <w:rFonts w:ascii="Arial" w:hAnsi="Arial" w:cs="Arial"/>
          <w:sz w:val="22"/>
          <w:szCs w:val="22"/>
        </w:rPr>
        <w:t xml:space="preserve">Reducing </w:t>
      </w:r>
      <w:r w:rsidRPr="003B66BF">
        <w:rPr>
          <w:rFonts w:ascii="Arial" w:hAnsi="Arial" w:cs="Arial"/>
          <w:b/>
          <w:bCs/>
          <w:sz w:val="22"/>
          <w:szCs w:val="22"/>
        </w:rPr>
        <w:t>sedimentation and water-quality stress</w:t>
      </w:r>
      <w:r w:rsidRPr="003B66BF">
        <w:rPr>
          <w:rFonts w:ascii="Arial" w:hAnsi="Arial" w:cs="Arial"/>
          <w:sz w:val="22"/>
          <w:szCs w:val="22"/>
        </w:rPr>
        <w:t xml:space="preserve"> (shoreline works, dredging controls, wastewater/runoff management)</w:t>
      </w:r>
    </w:p>
    <w:p w14:paraId="7AE273B4" w14:textId="77777777" w:rsidR="003B66BF" w:rsidRPr="003B66BF" w:rsidRDefault="003B66BF" w:rsidP="003B66BF">
      <w:pPr>
        <w:numPr>
          <w:ilvl w:val="0"/>
          <w:numId w:val="64"/>
        </w:numPr>
        <w:spacing w:before="100" w:beforeAutospacing="1" w:after="100" w:afterAutospacing="1"/>
        <w:jc w:val="both"/>
        <w:rPr>
          <w:rFonts w:ascii="Arial" w:hAnsi="Arial" w:cs="Arial"/>
          <w:sz w:val="22"/>
          <w:szCs w:val="22"/>
        </w:rPr>
      </w:pPr>
      <w:r w:rsidRPr="003B66BF">
        <w:rPr>
          <w:rFonts w:ascii="Arial" w:hAnsi="Arial" w:cs="Arial"/>
          <w:sz w:val="22"/>
          <w:szCs w:val="22"/>
        </w:rPr>
        <w:t>Strengthening fisheries compliance (illegal gears, compressor fishing where relevant)</w:t>
      </w:r>
    </w:p>
    <w:p w14:paraId="5C7DB042" w14:textId="77777777" w:rsidR="003B66BF" w:rsidRPr="003B66BF" w:rsidRDefault="003B66BF" w:rsidP="003B66BF">
      <w:pPr>
        <w:numPr>
          <w:ilvl w:val="0"/>
          <w:numId w:val="64"/>
        </w:numPr>
        <w:spacing w:before="100" w:beforeAutospacing="1" w:after="100" w:afterAutospacing="1"/>
        <w:jc w:val="both"/>
        <w:rPr>
          <w:rFonts w:ascii="Arial" w:hAnsi="Arial" w:cs="Arial"/>
          <w:sz w:val="22"/>
          <w:szCs w:val="22"/>
        </w:rPr>
      </w:pPr>
      <w:r w:rsidRPr="003B66BF">
        <w:rPr>
          <w:rFonts w:ascii="Arial" w:hAnsi="Arial" w:cs="Arial"/>
          <w:sz w:val="22"/>
          <w:szCs w:val="22"/>
        </w:rPr>
        <w:t>Managing tourism impacts (anchoring, trampling, unregulated snorkel/diver pressure)</w:t>
      </w:r>
    </w:p>
    <w:p w14:paraId="5CDFB528" w14:textId="77777777" w:rsidR="003B66BF" w:rsidRPr="003B66BF" w:rsidRDefault="003B66BF" w:rsidP="003B66BF">
      <w:pPr>
        <w:numPr>
          <w:ilvl w:val="0"/>
          <w:numId w:val="64"/>
        </w:numPr>
        <w:spacing w:before="100" w:beforeAutospacing="1" w:after="100" w:afterAutospacing="1"/>
        <w:jc w:val="both"/>
        <w:rPr>
          <w:rFonts w:ascii="Arial" w:hAnsi="Arial" w:cs="Arial"/>
          <w:sz w:val="22"/>
          <w:szCs w:val="22"/>
        </w:rPr>
      </w:pPr>
      <w:r w:rsidRPr="003B66BF">
        <w:rPr>
          <w:rFonts w:ascii="Arial" w:hAnsi="Arial" w:cs="Arial"/>
          <w:sz w:val="22"/>
          <w:szCs w:val="22"/>
        </w:rPr>
        <w:t>Targeting restoration where it has the highest chance of success (e.g., reef areas with stable substrate, manageable turbidity, and enforceable no-anchor zones)</w:t>
      </w:r>
    </w:p>
    <w:p w14:paraId="5FAADC41" w14:textId="3B6BB077"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sz w:val="22"/>
          <w:szCs w:val="22"/>
        </w:rPr>
        <w:t xml:space="preserve">Recent mapping-based restoration priorities highlight </w:t>
      </w:r>
      <w:r w:rsidRPr="003B66BF">
        <w:rPr>
          <w:rFonts w:ascii="Arial" w:hAnsi="Arial" w:cs="Arial"/>
          <w:b/>
          <w:bCs/>
          <w:sz w:val="22"/>
          <w:szCs w:val="22"/>
        </w:rPr>
        <w:t>Koh Rong Sanloem/Prek Svay</w:t>
      </w:r>
      <w:r w:rsidRPr="003B66BF">
        <w:rPr>
          <w:rFonts w:ascii="Arial" w:hAnsi="Arial" w:cs="Arial"/>
          <w:sz w:val="22"/>
          <w:szCs w:val="22"/>
        </w:rPr>
        <w:t xml:space="preserve"> (high tourism pressure) and larger Koh Kong reef complexes such as </w:t>
      </w:r>
      <w:r w:rsidRPr="003B66BF">
        <w:rPr>
          <w:rFonts w:ascii="Arial" w:hAnsi="Arial" w:cs="Arial"/>
          <w:b/>
          <w:bCs/>
          <w:sz w:val="22"/>
          <w:szCs w:val="22"/>
        </w:rPr>
        <w:t>Samros Koh Sdach, Phnhy Meas and Chrouy Pros</w:t>
      </w:r>
      <w:r w:rsidRPr="003B66BF">
        <w:rPr>
          <w:rFonts w:ascii="Arial" w:hAnsi="Arial" w:cs="Arial"/>
          <w:sz w:val="22"/>
          <w:szCs w:val="22"/>
        </w:rPr>
        <w:t>, reflecting a strategy of focusing on places with both ecological scale and practical management leverage.</w:t>
      </w:r>
    </w:p>
    <w:p w14:paraId="38D09C8E" w14:textId="1A8A1D30" w:rsidR="003B66BF" w:rsidRPr="003B66BF" w:rsidRDefault="003B66BF" w:rsidP="00BA2EEB">
      <w:pPr>
        <w:rPr>
          <w:rFonts w:ascii="Arial" w:hAnsi="Arial" w:cs="Arial"/>
          <w:b/>
          <w:bCs/>
          <w:sz w:val="22"/>
          <w:szCs w:val="22"/>
        </w:rPr>
      </w:pPr>
      <w:r w:rsidRPr="003B66BF">
        <w:rPr>
          <w:rFonts w:ascii="Arial" w:hAnsi="Arial" w:cs="Arial"/>
          <w:b/>
          <w:bCs/>
          <w:sz w:val="22"/>
          <w:szCs w:val="22"/>
        </w:rPr>
        <w:t>B. Seagrass (status, distribution, and interpretation)</w:t>
      </w:r>
    </w:p>
    <w:p w14:paraId="38D1FE54" w14:textId="77777777" w:rsidR="00BA2EEB" w:rsidRPr="00BA2EEB" w:rsidRDefault="003B66BF" w:rsidP="00BA2EEB">
      <w:pPr>
        <w:keepNext/>
        <w:adjustRightInd w:val="0"/>
        <w:snapToGrid w:val="0"/>
        <w:spacing w:before="240" w:after="120"/>
        <w:jc w:val="both"/>
        <w:rPr>
          <w:rFonts w:ascii="Arial" w:hAnsi="Arial" w:cs="Arial"/>
          <w:color w:val="0070C0"/>
          <w:sz w:val="22"/>
          <w:szCs w:val="22"/>
        </w:rPr>
      </w:pPr>
      <w:r w:rsidRPr="003B66BF">
        <w:rPr>
          <w:rFonts w:ascii="Arial" w:hAnsi="Arial" w:cs="Arial"/>
          <w:color w:val="0070C0"/>
          <w:sz w:val="22"/>
          <w:szCs w:val="22"/>
        </w:rPr>
        <w:t>B1. Distribution and meadow configurations</w:t>
      </w:r>
    </w:p>
    <w:p w14:paraId="3612BF7D" w14:textId="3BD36B8E"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sz w:val="22"/>
          <w:szCs w:val="22"/>
        </w:rPr>
        <w:t xml:space="preserve">Cambodia hosts extensive seagrass meadows, particularly in </w:t>
      </w:r>
      <w:r w:rsidRPr="003B66BF">
        <w:rPr>
          <w:rFonts w:ascii="Arial" w:hAnsi="Arial" w:cs="Arial"/>
          <w:b/>
          <w:bCs/>
          <w:sz w:val="22"/>
          <w:szCs w:val="22"/>
        </w:rPr>
        <w:t>Kampot and Koh Kong</w:t>
      </w:r>
      <w:r w:rsidRPr="003B66BF">
        <w:rPr>
          <w:rFonts w:ascii="Arial" w:hAnsi="Arial" w:cs="Arial"/>
          <w:sz w:val="22"/>
          <w:szCs w:val="22"/>
        </w:rPr>
        <w:t>, with notable nearshore beds also recorded around Preah Sihanouk coastal cells. Recent surveys describe two dominant configurations:</w:t>
      </w:r>
    </w:p>
    <w:p w14:paraId="0848F854" w14:textId="77777777" w:rsidR="003B66BF" w:rsidRPr="003B66BF" w:rsidRDefault="003B66BF" w:rsidP="003B66BF">
      <w:pPr>
        <w:numPr>
          <w:ilvl w:val="0"/>
          <w:numId w:val="65"/>
        </w:numPr>
        <w:spacing w:before="100" w:beforeAutospacing="1" w:after="100" w:afterAutospacing="1"/>
        <w:jc w:val="both"/>
        <w:rPr>
          <w:rFonts w:ascii="Arial" w:hAnsi="Arial" w:cs="Arial"/>
          <w:sz w:val="22"/>
          <w:szCs w:val="22"/>
        </w:rPr>
      </w:pPr>
      <w:r w:rsidRPr="003B66BF">
        <w:rPr>
          <w:rFonts w:ascii="Arial" w:hAnsi="Arial" w:cs="Arial"/>
          <w:b/>
          <w:bCs/>
          <w:sz w:val="22"/>
          <w:szCs w:val="22"/>
        </w:rPr>
        <w:t>Large mainland-adjacent meadows</w:t>
      </w:r>
      <w:r w:rsidRPr="003B66BF">
        <w:rPr>
          <w:rFonts w:ascii="Arial" w:hAnsi="Arial" w:cs="Arial"/>
          <w:sz w:val="22"/>
          <w:szCs w:val="22"/>
        </w:rPr>
        <w:t xml:space="preserve"> (often shallow, continuous, and highly exposed to fishing and turbidity pressures), and</w:t>
      </w:r>
    </w:p>
    <w:p w14:paraId="726B60CA" w14:textId="77777777" w:rsidR="003B66BF" w:rsidRPr="003B66BF" w:rsidRDefault="003B66BF" w:rsidP="003B66BF">
      <w:pPr>
        <w:numPr>
          <w:ilvl w:val="0"/>
          <w:numId w:val="65"/>
        </w:numPr>
        <w:spacing w:before="100" w:beforeAutospacing="1" w:after="100" w:afterAutospacing="1"/>
        <w:jc w:val="both"/>
        <w:rPr>
          <w:rFonts w:ascii="Arial" w:hAnsi="Arial" w:cs="Arial"/>
          <w:sz w:val="22"/>
          <w:szCs w:val="22"/>
        </w:rPr>
      </w:pPr>
      <w:r w:rsidRPr="003B66BF">
        <w:rPr>
          <w:rFonts w:ascii="Arial" w:hAnsi="Arial" w:cs="Arial"/>
          <w:b/>
          <w:bCs/>
          <w:sz w:val="22"/>
          <w:szCs w:val="22"/>
        </w:rPr>
        <w:t>Smaller island/bay patches</w:t>
      </w:r>
      <w:r w:rsidRPr="003B66BF">
        <w:rPr>
          <w:rFonts w:ascii="Arial" w:hAnsi="Arial" w:cs="Arial"/>
          <w:sz w:val="22"/>
          <w:szCs w:val="22"/>
        </w:rPr>
        <w:t xml:space="preserve"> (more sheltered but vulnerable to localized tourism and anchoring).</w:t>
      </w:r>
    </w:p>
    <w:p w14:paraId="1C6D2104" w14:textId="77777777"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sz w:val="22"/>
          <w:szCs w:val="22"/>
        </w:rPr>
        <w:t xml:space="preserve">Dominant taxa commonly include </w:t>
      </w:r>
      <w:r w:rsidRPr="003B66BF">
        <w:rPr>
          <w:rFonts w:ascii="Arial" w:hAnsi="Arial" w:cs="Arial"/>
          <w:i/>
          <w:iCs/>
          <w:sz w:val="22"/>
          <w:szCs w:val="22"/>
        </w:rPr>
        <w:t>Thalassia hemprichii</w:t>
      </w:r>
      <w:r w:rsidRPr="003B66BF">
        <w:rPr>
          <w:rFonts w:ascii="Arial" w:hAnsi="Arial" w:cs="Arial"/>
          <w:sz w:val="22"/>
          <w:szCs w:val="22"/>
        </w:rPr>
        <w:t xml:space="preserve">, </w:t>
      </w:r>
      <w:r w:rsidRPr="003B66BF">
        <w:rPr>
          <w:rFonts w:ascii="Arial" w:hAnsi="Arial" w:cs="Arial"/>
          <w:i/>
          <w:iCs/>
          <w:sz w:val="22"/>
          <w:szCs w:val="22"/>
        </w:rPr>
        <w:t>Halodule uninervis</w:t>
      </w:r>
      <w:r w:rsidRPr="003B66BF">
        <w:rPr>
          <w:rFonts w:ascii="Arial" w:hAnsi="Arial" w:cs="Arial"/>
          <w:sz w:val="22"/>
          <w:szCs w:val="22"/>
        </w:rPr>
        <w:t xml:space="preserve">, and </w:t>
      </w:r>
      <w:r w:rsidRPr="003B66BF">
        <w:rPr>
          <w:rFonts w:ascii="Arial" w:hAnsi="Arial" w:cs="Arial"/>
          <w:i/>
          <w:iCs/>
          <w:sz w:val="22"/>
          <w:szCs w:val="22"/>
        </w:rPr>
        <w:t>Enhalus acoroides</w:t>
      </w:r>
      <w:r w:rsidRPr="003B66BF">
        <w:rPr>
          <w:rFonts w:ascii="Arial" w:hAnsi="Arial" w:cs="Arial"/>
          <w:sz w:val="22"/>
          <w:szCs w:val="22"/>
        </w:rPr>
        <w:t>—a composition typical of shallow tropical Indo-Pacific meadows.</w:t>
      </w:r>
    </w:p>
    <w:p w14:paraId="1C1AA021" w14:textId="77777777" w:rsidR="00BA2EEB" w:rsidRPr="00BA2EEB" w:rsidRDefault="003B66BF" w:rsidP="00BA2EEB">
      <w:pPr>
        <w:keepNext/>
        <w:adjustRightInd w:val="0"/>
        <w:snapToGrid w:val="0"/>
        <w:spacing w:before="240" w:after="120"/>
        <w:jc w:val="both"/>
        <w:rPr>
          <w:rFonts w:ascii="Arial" w:hAnsi="Arial" w:cs="Arial"/>
          <w:color w:val="0070C0"/>
          <w:sz w:val="22"/>
          <w:szCs w:val="22"/>
        </w:rPr>
      </w:pPr>
      <w:r w:rsidRPr="003B66BF">
        <w:rPr>
          <w:rFonts w:ascii="Arial" w:hAnsi="Arial" w:cs="Arial"/>
          <w:color w:val="0070C0"/>
          <w:sz w:val="22"/>
          <w:szCs w:val="22"/>
        </w:rPr>
        <w:t>B2. Why seagrass matters (services and sensitivity)</w:t>
      </w:r>
    </w:p>
    <w:p w14:paraId="21986534" w14:textId="5FA6C684"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sz w:val="22"/>
          <w:szCs w:val="22"/>
        </w:rPr>
        <w:t xml:space="preserve">Seagrass provides (i) </w:t>
      </w:r>
      <w:r w:rsidRPr="003B66BF">
        <w:rPr>
          <w:rFonts w:ascii="Arial" w:hAnsi="Arial" w:cs="Arial"/>
          <w:b/>
          <w:bCs/>
          <w:sz w:val="22"/>
          <w:szCs w:val="22"/>
        </w:rPr>
        <w:t>nursery habitat</w:t>
      </w:r>
      <w:r w:rsidRPr="003B66BF">
        <w:rPr>
          <w:rFonts w:ascii="Arial" w:hAnsi="Arial" w:cs="Arial"/>
          <w:sz w:val="22"/>
          <w:szCs w:val="22"/>
        </w:rPr>
        <w:t xml:space="preserve"> that supports coastal fisheries productivity, (ii) </w:t>
      </w:r>
      <w:r w:rsidRPr="003B66BF">
        <w:rPr>
          <w:rFonts w:ascii="Arial" w:hAnsi="Arial" w:cs="Arial"/>
          <w:b/>
          <w:bCs/>
          <w:sz w:val="22"/>
          <w:szCs w:val="22"/>
        </w:rPr>
        <w:t>sediment stabilization</w:t>
      </w:r>
      <w:r w:rsidRPr="003B66BF">
        <w:rPr>
          <w:rFonts w:ascii="Arial" w:hAnsi="Arial" w:cs="Arial"/>
          <w:sz w:val="22"/>
          <w:szCs w:val="22"/>
        </w:rPr>
        <w:t xml:space="preserve"> that improves water clarity and shoreline resilience, and (iii) important </w:t>
      </w:r>
      <w:r w:rsidRPr="003B66BF">
        <w:rPr>
          <w:rFonts w:ascii="Arial" w:hAnsi="Arial" w:cs="Arial"/>
          <w:b/>
          <w:bCs/>
          <w:sz w:val="22"/>
          <w:szCs w:val="22"/>
        </w:rPr>
        <w:t>blue-carbon storage</w:t>
      </w:r>
      <w:r w:rsidRPr="003B66BF">
        <w:rPr>
          <w:rFonts w:ascii="Arial" w:hAnsi="Arial" w:cs="Arial"/>
          <w:sz w:val="22"/>
          <w:szCs w:val="22"/>
        </w:rPr>
        <w:t xml:space="preserve"> in below-ground biomass and soils. It is also the key feeding habitat for </w:t>
      </w:r>
      <w:r w:rsidRPr="003B66BF">
        <w:rPr>
          <w:rFonts w:ascii="Arial" w:hAnsi="Arial" w:cs="Arial"/>
          <w:b/>
          <w:bCs/>
          <w:sz w:val="22"/>
          <w:szCs w:val="22"/>
        </w:rPr>
        <w:t>dugongs</w:t>
      </w:r>
      <w:r w:rsidRPr="003B66BF">
        <w:rPr>
          <w:rFonts w:ascii="Arial" w:hAnsi="Arial" w:cs="Arial"/>
          <w:sz w:val="22"/>
          <w:szCs w:val="22"/>
        </w:rPr>
        <w:t xml:space="preserve"> and foraging green turtles. However, seagrass is highly sensitive to two stress pathways:</w:t>
      </w:r>
    </w:p>
    <w:p w14:paraId="6E6F520E" w14:textId="77777777" w:rsidR="003B66BF" w:rsidRPr="003B66BF" w:rsidRDefault="003B66BF" w:rsidP="003B66BF">
      <w:pPr>
        <w:numPr>
          <w:ilvl w:val="0"/>
          <w:numId w:val="66"/>
        </w:numPr>
        <w:spacing w:before="100" w:beforeAutospacing="1" w:after="100" w:afterAutospacing="1"/>
        <w:jc w:val="both"/>
        <w:rPr>
          <w:rFonts w:ascii="Arial" w:hAnsi="Arial" w:cs="Arial"/>
          <w:sz w:val="22"/>
          <w:szCs w:val="22"/>
        </w:rPr>
      </w:pPr>
      <w:r w:rsidRPr="003B66BF">
        <w:rPr>
          <w:rFonts w:ascii="Arial" w:hAnsi="Arial" w:cs="Arial"/>
          <w:b/>
          <w:bCs/>
          <w:sz w:val="22"/>
          <w:szCs w:val="22"/>
        </w:rPr>
        <w:t>Light limitation</w:t>
      </w:r>
      <w:r w:rsidRPr="003B66BF">
        <w:rPr>
          <w:rFonts w:ascii="Arial" w:hAnsi="Arial" w:cs="Arial"/>
          <w:sz w:val="22"/>
          <w:szCs w:val="22"/>
        </w:rPr>
        <w:t xml:space="preserve"> (turbidity, suspended sediment, eutrophication-driven algal growth), and</w:t>
      </w:r>
    </w:p>
    <w:p w14:paraId="3FABDEF1" w14:textId="77777777" w:rsidR="003B66BF" w:rsidRPr="003B66BF" w:rsidRDefault="003B66BF" w:rsidP="003B66BF">
      <w:pPr>
        <w:numPr>
          <w:ilvl w:val="0"/>
          <w:numId w:val="66"/>
        </w:numPr>
        <w:spacing w:before="100" w:beforeAutospacing="1" w:after="100" w:afterAutospacing="1"/>
        <w:jc w:val="both"/>
        <w:rPr>
          <w:rFonts w:ascii="Arial" w:hAnsi="Arial" w:cs="Arial"/>
          <w:sz w:val="22"/>
          <w:szCs w:val="22"/>
        </w:rPr>
      </w:pPr>
      <w:r w:rsidRPr="003B66BF">
        <w:rPr>
          <w:rFonts w:ascii="Arial" w:hAnsi="Arial" w:cs="Arial"/>
          <w:b/>
          <w:bCs/>
          <w:sz w:val="22"/>
          <w:szCs w:val="22"/>
        </w:rPr>
        <w:t>Physical disturbance</w:t>
      </w:r>
      <w:r w:rsidRPr="003B66BF">
        <w:rPr>
          <w:rFonts w:ascii="Arial" w:hAnsi="Arial" w:cs="Arial"/>
          <w:sz w:val="22"/>
          <w:szCs w:val="22"/>
        </w:rPr>
        <w:t xml:space="preserve"> (bottom trawling/push-nets, dredging, propeller scarring, anchor damage).</w:t>
      </w:r>
    </w:p>
    <w:p w14:paraId="3F94A721" w14:textId="77777777"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sz w:val="22"/>
          <w:szCs w:val="22"/>
        </w:rPr>
        <w:t>These pathways are critical because they link seagrass condition directly to manageable pressures: gear restrictions, dredging controls, and wastewater/runoff management.</w:t>
      </w:r>
    </w:p>
    <w:p w14:paraId="7A55EEC4" w14:textId="77777777" w:rsidR="00BA2EEB" w:rsidRPr="00BA2EEB" w:rsidRDefault="003B66BF" w:rsidP="00BA2EEB">
      <w:pPr>
        <w:keepNext/>
        <w:adjustRightInd w:val="0"/>
        <w:snapToGrid w:val="0"/>
        <w:spacing w:before="240" w:after="120"/>
        <w:jc w:val="both"/>
        <w:rPr>
          <w:rFonts w:ascii="Arial" w:hAnsi="Arial" w:cs="Arial"/>
          <w:color w:val="0070C0"/>
          <w:sz w:val="22"/>
          <w:szCs w:val="22"/>
        </w:rPr>
      </w:pPr>
      <w:r w:rsidRPr="003B66BF">
        <w:rPr>
          <w:rFonts w:ascii="Arial" w:hAnsi="Arial" w:cs="Arial"/>
          <w:color w:val="0070C0"/>
          <w:sz w:val="22"/>
          <w:szCs w:val="22"/>
        </w:rPr>
        <w:t>B3. Mapped examples and extent (with caution)</w:t>
      </w:r>
    </w:p>
    <w:p w14:paraId="44DC8630" w14:textId="2A437E6D"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sz w:val="22"/>
          <w:szCs w:val="22"/>
        </w:rPr>
        <w:t xml:space="preserve">Recent mapped examples (~2,333 ha across 11 sites) include </w:t>
      </w:r>
      <w:r w:rsidRPr="003B66BF">
        <w:rPr>
          <w:rFonts w:ascii="Arial" w:hAnsi="Arial" w:cs="Arial"/>
          <w:b/>
          <w:bCs/>
          <w:sz w:val="22"/>
          <w:szCs w:val="22"/>
        </w:rPr>
        <w:t>Chrouy Pros Bay (~1,485 ha)</w:t>
      </w:r>
      <w:r w:rsidRPr="003B66BF">
        <w:rPr>
          <w:rFonts w:ascii="Arial" w:hAnsi="Arial" w:cs="Arial"/>
          <w:sz w:val="22"/>
          <w:szCs w:val="22"/>
        </w:rPr>
        <w:t xml:space="preserve">, </w:t>
      </w:r>
      <w:r w:rsidRPr="003B66BF">
        <w:rPr>
          <w:rFonts w:ascii="Arial" w:hAnsi="Arial" w:cs="Arial"/>
          <w:b/>
          <w:bCs/>
          <w:sz w:val="22"/>
          <w:szCs w:val="22"/>
        </w:rPr>
        <w:t>Steung Hav (610 ha)</w:t>
      </w:r>
      <w:r w:rsidRPr="003B66BF">
        <w:rPr>
          <w:rFonts w:ascii="Arial" w:hAnsi="Arial" w:cs="Arial"/>
          <w:sz w:val="22"/>
          <w:szCs w:val="22"/>
        </w:rPr>
        <w:t xml:space="preserve"> and </w:t>
      </w:r>
      <w:r w:rsidRPr="003B66BF">
        <w:rPr>
          <w:rFonts w:ascii="Arial" w:hAnsi="Arial" w:cs="Arial"/>
          <w:b/>
          <w:bCs/>
          <w:sz w:val="22"/>
          <w:szCs w:val="22"/>
        </w:rPr>
        <w:t>Prey Nob (98 ha)</w:t>
      </w:r>
      <w:r w:rsidRPr="003B66BF">
        <w:rPr>
          <w:rFonts w:ascii="Arial" w:hAnsi="Arial" w:cs="Arial"/>
          <w:sz w:val="22"/>
          <w:szCs w:val="22"/>
        </w:rPr>
        <w:t>, with smaller island patches (e.g., Koh Ta Kiev, Koh Bong, Koh Tang, Koh Thmei/Thmor Tom). These figures are valuable for spatial planning but should be treated as mapping-based extents that can vary with water clarity, seasonality, and classification thresholds. For management, it is often more useful to track:</w:t>
      </w:r>
    </w:p>
    <w:p w14:paraId="5B14BA2D" w14:textId="77777777" w:rsidR="003B66BF" w:rsidRPr="003B66BF" w:rsidRDefault="003B66BF" w:rsidP="003B66BF">
      <w:pPr>
        <w:numPr>
          <w:ilvl w:val="0"/>
          <w:numId w:val="67"/>
        </w:numPr>
        <w:spacing w:before="100" w:beforeAutospacing="1" w:after="100" w:afterAutospacing="1"/>
        <w:jc w:val="both"/>
        <w:rPr>
          <w:rFonts w:ascii="Arial" w:hAnsi="Arial" w:cs="Arial"/>
          <w:sz w:val="22"/>
          <w:szCs w:val="22"/>
        </w:rPr>
      </w:pPr>
      <w:r w:rsidRPr="003B66BF">
        <w:rPr>
          <w:rFonts w:ascii="Arial" w:hAnsi="Arial" w:cs="Arial"/>
          <w:sz w:val="22"/>
          <w:szCs w:val="22"/>
        </w:rPr>
        <w:t>Meadow persistence (stable vs shrinking),</w:t>
      </w:r>
    </w:p>
    <w:p w14:paraId="453728EA" w14:textId="77777777" w:rsidR="003B66BF" w:rsidRPr="003B66BF" w:rsidRDefault="003B66BF" w:rsidP="003B66BF">
      <w:pPr>
        <w:numPr>
          <w:ilvl w:val="0"/>
          <w:numId w:val="67"/>
        </w:numPr>
        <w:spacing w:before="100" w:beforeAutospacing="1" w:after="100" w:afterAutospacing="1"/>
        <w:jc w:val="both"/>
        <w:rPr>
          <w:rFonts w:ascii="Arial" w:hAnsi="Arial" w:cs="Arial"/>
          <w:sz w:val="22"/>
          <w:szCs w:val="22"/>
        </w:rPr>
      </w:pPr>
      <w:r w:rsidRPr="003B66BF">
        <w:rPr>
          <w:rFonts w:ascii="Arial" w:hAnsi="Arial" w:cs="Arial"/>
          <w:sz w:val="22"/>
          <w:szCs w:val="22"/>
        </w:rPr>
        <w:t>Disturbance signatures (trawl scars, anchor scars), and</w:t>
      </w:r>
    </w:p>
    <w:p w14:paraId="7029674E" w14:textId="77777777" w:rsidR="003B66BF" w:rsidRPr="003B66BF" w:rsidRDefault="003B66BF" w:rsidP="003B66BF">
      <w:pPr>
        <w:numPr>
          <w:ilvl w:val="0"/>
          <w:numId w:val="67"/>
        </w:numPr>
        <w:spacing w:before="100" w:beforeAutospacing="1" w:after="100" w:afterAutospacing="1"/>
        <w:jc w:val="both"/>
        <w:rPr>
          <w:rFonts w:ascii="Arial" w:hAnsi="Arial" w:cs="Arial"/>
          <w:sz w:val="22"/>
          <w:szCs w:val="22"/>
        </w:rPr>
      </w:pPr>
      <w:r w:rsidRPr="003B66BF">
        <w:rPr>
          <w:rFonts w:ascii="Arial" w:hAnsi="Arial" w:cs="Arial"/>
          <w:sz w:val="22"/>
          <w:szCs w:val="22"/>
        </w:rPr>
        <w:t>Local light/turbidity trends in high-use corridors.</w:t>
      </w:r>
    </w:p>
    <w:p w14:paraId="4765849D" w14:textId="77777777" w:rsidR="00BA2EEB" w:rsidRPr="00BA2EEB" w:rsidRDefault="003B66BF" w:rsidP="00BA2EEB">
      <w:pPr>
        <w:keepNext/>
        <w:adjustRightInd w:val="0"/>
        <w:snapToGrid w:val="0"/>
        <w:spacing w:before="240" w:after="120"/>
        <w:jc w:val="both"/>
        <w:rPr>
          <w:rFonts w:ascii="Arial" w:hAnsi="Arial" w:cs="Arial"/>
          <w:color w:val="0070C0"/>
          <w:sz w:val="22"/>
          <w:szCs w:val="22"/>
        </w:rPr>
      </w:pPr>
      <w:r w:rsidRPr="003B66BF">
        <w:rPr>
          <w:rFonts w:ascii="Arial" w:hAnsi="Arial" w:cs="Arial"/>
          <w:color w:val="0070C0"/>
          <w:sz w:val="22"/>
          <w:szCs w:val="22"/>
        </w:rPr>
        <w:t>B4. Governance linkages (why MFMAs matter for seagrass)</w:t>
      </w:r>
    </w:p>
    <w:p w14:paraId="16B53B18" w14:textId="519B219E"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sz w:val="22"/>
          <w:szCs w:val="22"/>
        </w:rPr>
        <w:t xml:space="preserve">A key feature of Cambodia’s seagrass is that many major meadows occur </w:t>
      </w:r>
      <w:r w:rsidRPr="003B66BF">
        <w:rPr>
          <w:rFonts w:ascii="Arial" w:hAnsi="Arial" w:cs="Arial"/>
          <w:b/>
          <w:bCs/>
          <w:sz w:val="22"/>
          <w:szCs w:val="22"/>
        </w:rPr>
        <w:t>within or adjacent to MFMAs</w:t>
      </w:r>
      <w:r w:rsidRPr="003B66BF">
        <w:rPr>
          <w:rFonts w:ascii="Arial" w:hAnsi="Arial" w:cs="Arial"/>
          <w:sz w:val="22"/>
          <w:szCs w:val="22"/>
        </w:rPr>
        <w:t xml:space="preserve"> and high-use nearshore corridors (fishing, tourism, port approaches). This makes fisheries zoning and enforcement (trawl bans, no-anchor zones, seasonal closures) one of the most direct levers for improving meadow condition—often more immediately than longer-term restoration planting.</w:t>
      </w:r>
    </w:p>
    <w:p w14:paraId="41A8C2B0" w14:textId="753D09CD" w:rsidR="003B66BF" w:rsidRPr="003B66BF" w:rsidRDefault="00BA2EEB" w:rsidP="00BA2EEB">
      <w:pPr>
        <w:rPr>
          <w:rFonts w:ascii="Arial" w:hAnsi="Arial" w:cs="Arial"/>
          <w:b/>
          <w:bCs/>
          <w:sz w:val="22"/>
          <w:szCs w:val="22"/>
        </w:rPr>
      </w:pPr>
      <w:r>
        <w:rPr>
          <w:rFonts w:ascii="Arial" w:hAnsi="Arial" w:cs="Arial"/>
          <w:b/>
          <w:bCs/>
          <w:sz w:val="22"/>
          <w:szCs w:val="22"/>
        </w:rPr>
        <w:t xml:space="preserve">C. </w:t>
      </w:r>
      <w:r w:rsidR="003B66BF" w:rsidRPr="003B66BF">
        <w:rPr>
          <w:rFonts w:ascii="Arial" w:hAnsi="Arial" w:cs="Arial"/>
          <w:b/>
          <w:bCs/>
          <w:sz w:val="22"/>
          <w:szCs w:val="22"/>
        </w:rPr>
        <w:t>Selected site-specific status and pressures — expanded notes</w:t>
      </w:r>
    </w:p>
    <w:p w14:paraId="2D52CE33" w14:textId="63E13A06" w:rsidR="003B66BF" w:rsidRPr="003B66BF" w:rsidRDefault="00BA2EEB" w:rsidP="00BA2EEB">
      <w:pPr>
        <w:keepNext/>
        <w:adjustRightInd w:val="0"/>
        <w:snapToGrid w:val="0"/>
        <w:spacing w:before="240" w:after="120"/>
        <w:jc w:val="both"/>
        <w:rPr>
          <w:rFonts w:ascii="Arial" w:hAnsi="Arial" w:cs="Arial"/>
          <w:color w:val="0070C0"/>
          <w:sz w:val="22"/>
          <w:szCs w:val="22"/>
        </w:rPr>
      </w:pPr>
      <w:r w:rsidRPr="00BA2EEB">
        <w:rPr>
          <w:rFonts w:ascii="Arial" w:hAnsi="Arial" w:cs="Arial"/>
          <w:color w:val="0070C0"/>
          <w:sz w:val="22"/>
          <w:szCs w:val="22"/>
        </w:rPr>
        <w:t xml:space="preserve">C1. </w:t>
      </w:r>
      <w:r w:rsidR="003B66BF" w:rsidRPr="003B66BF">
        <w:rPr>
          <w:rFonts w:ascii="Arial" w:hAnsi="Arial" w:cs="Arial"/>
          <w:color w:val="0070C0"/>
          <w:sz w:val="22"/>
          <w:szCs w:val="22"/>
        </w:rPr>
        <w:t>Site 1. Koh Rong Archipelago (Koh Rong Marine National Park)</w:t>
      </w:r>
    </w:p>
    <w:p w14:paraId="5CBD47DB" w14:textId="77777777"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b/>
          <w:bCs/>
          <w:sz w:val="22"/>
          <w:szCs w:val="22"/>
        </w:rPr>
        <w:t>Designation and governance context.</w:t>
      </w:r>
      <w:r w:rsidRPr="003B66BF">
        <w:rPr>
          <w:rFonts w:ascii="Arial" w:hAnsi="Arial" w:cs="Arial"/>
          <w:sz w:val="22"/>
          <w:szCs w:val="22"/>
        </w:rPr>
        <w:t xml:space="preserve"> Koh Rong was initially managed under fisheries zoning (MFMA) and later designated as a </w:t>
      </w:r>
      <w:r w:rsidRPr="003B66BF">
        <w:rPr>
          <w:rFonts w:ascii="Arial" w:hAnsi="Arial" w:cs="Arial"/>
          <w:b/>
          <w:bCs/>
          <w:sz w:val="22"/>
          <w:szCs w:val="22"/>
        </w:rPr>
        <w:t>Marine National Park (Feb 2018)</w:t>
      </w:r>
      <w:r w:rsidRPr="003B66BF">
        <w:rPr>
          <w:rFonts w:ascii="Arial" w:hAnsi="Arial" w:cs="Arial"/>
          <w:sz w:val="22"/>
          <w:szCs w:val="22"/>
        </w:rPr>
        <w:t xml:space="preserve">. This governance transition creates a practical need for </w:t>
      </w:r>
      <w:r w:rsidRPr="003B66BF">
        <w:rPr>
          <w:rFonts w:ascii="Arial" w:hAnsi="Arial" w:cs="Arial"/>
          <w:b/>
          <w:bCs/>
          <w:sz w:val="22"/>
          <w:szCs w:val="22"/>
        </w:rPr>
        <w:t>MoE–FiA coordination</w:t>
      </w:r>
      <w:r w:rsidRPr="003B66BF">
        <w:rPr>
          <w:rFonts w:ascii="Arial" w:hAnsi="Arial" w:cs="Arial"/>
          <w:sz w:val="22"/>
          <w:szCs w:val="22"/>
        </w:rPr>
        <w:t xml:space="preserve"> so that zoning boundaries, permitted activities, and enforcement roles are consistent for residents, fishers, and tourism operators.</w:t>
      </w:r>
    </w:p>
    <w:p w14:paraId="647A786B" w14:textId="77777777"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b/>
          <w:bCs/>
          <w:sz w:val="22"/>
          <w:szCs w:val="22"/>
        </w:rPr>
        <w:t>Ecological status (reef and seagrass).</w:t>
      </w:r>
      <w:r w:rsidRPr="003B66BF">
        <w:rPr>
          <w:rFonts w:ascii="Arial" w:hAnsi="Arial" w:cs="Arial"/>
          <w:sz w:val="22"/>
          <w:szCs w:val="22"/>
        </w:rPr>
        <w:t xml:space="preserve"> Spatial planning baselines map approximately </w:t>
      </w:r>
      <w:r w:rsidRPr="003B66BF">
        <w:rPr>
          <w:rFonts w:ascii="Arial" w:hAnsi="Arial" w:cs="Arial"/>
          <w:b/>
          <w:bCs/>
          <w:sz w:val="22"/>
          <w:szCs w:val="22"/>
        </w:rPr>
        <w:t>~1,198 ha of coral reefs</w:t>
      </w:r>
      <w:r w:rsidRPr="003B66BF">
        <w:rPr>
          <w:rFonts w:ascii="Arial" w:hAnsi="Arial" w:cs="Arial"/>
          <w:sz w:val="22"/>
          <w:szCs w:val="22"/>
        </w:rPr>
        <w:t xml:space="preserve"> and </w:t>
      </w:r>
      <w:r w:rsidRPr="003B66BF">
        <w:rPr>
          <w:rFonts w:ascii="Arial" w:hAnsi="Arial" w:cs="Arial"/>
          <w:b/>
          <w:bCs/>
          <w:sz w:val="22"/>
          <w:szCs w:val="22"/>
        </w:rPr>
        <w:t>~1,360 ha of seagrass</w:t>
      </w:r>
      <w:r w:rsidRPr="003B66BF">
        <w:rPr>
          <w:rFonts w:ascii="Arial" w:hAnsi="Arial" w:cs="Arial"/>
          <w:sz w:val="22"/>
          <w:szCs w:val="22"/>
        </w:rPr>
        <w:t xml:space="preserve">. Reef surveys in 2019–2020 recorded </w:t>
      </w:r>
      <w:r w:rsidRPr="003B66BF">
        <w:rPr>
          <w:rFonts w:ascii="Arial" w:hAnsi="Arial" w:cs="Arial"/>
          <w:b/>
          <w:bCs/>
          <w:sz w:val="22"/>
          <w:szCs w:val="22"/>
        </w:rPr>
        <w:t>~29.8% coral cover</w:t>
      </w:r>
      <w:r w:rsidRPr="003B66BF">
        <w:rPr>
          <w:rFonts w:ascii="Arial" w:hAnsi="Arial" w:cs="Arial"/>
          <w:sz w:val="22"/>
          <w:szCs w:val="22"/>
        </w:rPr>
        <w:t xml:space="preserve">, with communities dominated by sediment-tolerant </w:t>
      </w:r>
      <w:r w:rsidRPr="003B66BF">
        <w:rPr>
          <w:rFonts w:ascii="Arial" w:hAnsi="Arial" w:cs="Arial"/>
          <w:i/>
          <w:iCs/>
          <w:sz w:val="22"/>
          <w:szCs w:val="22"/>
        </w:rPr>
        <w:t>Porites</w:t>
      </w:r>
      <w:r w:rsidRPr="003B66BF">
        <w:rPr>
          <w:rFonts w:ascii="Arial" w:hAnsi="Arial" w:cs="Arial"/>
          <w:sz w:val="22"/>
          <w:szCs w:val="22"/>
        </w:rPr>
        <w:t xml:space="preserve"> and </w:t>
      </w:r>
      <w:r w:rsidRPr="003B66BF">
        <w:rPr>
          <w:rFonts w:ascii="Arial" w:hAnsi="Arial" w:cs="Arial"/>
          <w:i/>
          <w:iCs/>
          <w:sz w:val="22"/>
          <w:szCs w:val="22"/>
        </w:rPr>
        <w:t>Diploastrea</w:t>
      </w:r>
      <w:r w:rsidRPr="003B66BF">
        <w:rPr>
          <w:rFonts w:ascii="Arial" w:hAnsi="Arial" w:cs="Arial"/>
          <w:sz w:val="22"/>
          <w:szCs w:val="22"/>
        </w:rPr>
        <w:t>, while fish biomass remains low—consistent with continuing fishing pressure.</w:t>
      </w:r>
    </w:p>
    <w:p w14:paraId="496A953C" w14:textId="2DEEE4E5" w:rsidR="003B66BF" w:rsidRPr="003B66BF" w:rsidRDefault="003B66BF" w:rsidP="003B66BF">
      <w:pPr>
        <w:spacing w:before="100" w:beforeAutospacing="1" w:after="100" w:afterAutospacing="1"/>
        <w:jc w:val="both"/>
        <w:rPr>
          <w:rFonts w:ascii="Arial" w:hAnsi="Arial" w:cs="Arial"/>
          <w:i/>
          <w:iCs/>
          <w:sz w:val="22"/>
          <w:szCs w:val="22"/>
        </w:rPr>
      </w:pPr>
      <w:r w:rsidRPr="003B66BF">
        <w:rPr>
          <w:rFonts w:ascii="Arial" w:hAnsi="Arial" w:cs="Arial"/>
          <w:b/>
          <w:bCs/>
          <w:i/>
          <w:iCs/>
          <w:sz w:val="22"/>
          <w:szCs w:val="22"/>
        </w:rPr>
        <w:t>Main pressures</w:t>
      </w:r>
    </w:p>
    <w:p w14:paraId="18EBFC03" w14:textId="77777777" w:rsidR="003B66BF" w:rsidRPr="003B66BF" w:rsidRDefault="003B66BF" w:rsidP="003B66BF">
      <w:pPr>
        <w:numPr>
          <w:ilvl w:val="0"/>
          <w:numId w:val="68"/>
        </w:numPr>
        <w:spacing w:before="100" w:beforeAutospacing="1" w:after="100" w:afterAutospacing="1"/>
        <w:jc w:val="both"/>
        <w:rPr>
          <w:rFonts w:ascii="Arial" w:hAnsi="Arial" w:cs="Arial"/>
          <w:sz w:val="22"/>
          <w:szCs w:val="22"/>
        </w:rPr>
      </w:pPr>
      <w:r w:rsidRPr="003B66BF">
        <w:rPr>
          <w:rFonts w:ascii="Arial" w:hAnsi="Arial" w:cs="Arial"/>
          <w:b/>
          <w:bCs/>
          <w:sz w:val="22"/>
          <w:szCs w:val="22"/>
        </w:rPr>
        <w:t>Tourism growth</w:t>
      </w:r>
      <w:r w:rsidRPr="003B66BF">
        <w:rPr>
          <w:rFonts w:ascii="Arial" w:hAnsi="Arial" w:cs="Arial"/>
          <w:sz w:val="22"/>
          <w:szCs w:val="22"/>
        </w:rPr>
        <w:t xml:space="preserve"> (anchoring, coastal infrastructure, beach development, trampling)</w:t>
      </w:r>
    </w:p>
    <w:p w14:paraId="302FB111" w14:textId="77777777" w:rsidR="003B66BF" w:rsidRPr="003B66BF" w:rsidRDefault="003B66BF" w:rsidP="003B66BF">
      <w:pPr>
        <w:numPr>
          <w:ilvl w:val="0"/>
          <w:numId w:val="68"/>
        </w:numPr>
        <w:spacing w:before="100" w:beforeAutospacing="1" w:after="100" w:afterAutospacing="1"/>
        <w:jc w:val="both"/>
        <w:rPr>
          <w:rFonts w:ascii="Arial" w:hAnsi="Arial" w:cs="Arial"/>
          <w:sz w:val="22"/>
          <w:szCs w:val="22"/>
        </w:rPr>
      </w:pPr>
      <w:r w:rsidRPr="003B66BF">
        <w:rPr>
          <w:rFonts w:ascii="Arial" w:hAnsi="Arial" w:cs="Arial"/>
          <w:b/>
          <w:bCs/>
          <w:sz w:val="22"/>
          <w:szCs w:val="22"/>
        </w:rPr>
        <w:t>Dredging/shoreline works</w:t>
      </w:r>
      <w:r w:rsidRPr="003B66BF">
        <w:rPr>
          <w:rFonts w:ascii="Arial" w:hAnsi="Arial" w:cs="Arial"/>
          <w:sz w:val="22"/>
          <w:szCs w:val="22"/>
        </w:rPr>
        <w:t xml:space="preserve"> and sediment plumes that reduce water clarity and stress seagrass</w:t>
      </w:r>
    </w:p>
    <w:p w14:paraId="30A8B8EF" w14:textId="77777777" w:rsidR="003B66BF" w:rsidRPr="003B66BF" w:rsidRDefault="003B66BF" w:rsidP="003B66BF">
      <w:pPr>
        <w:numPr>
          <w:ilvl w:val="0"/>
          <w:numId w:val="68"/>
        </w:numPr>
        <w:spacing w:before="100" w:beforeAutospacing="1" w:after="100" w:afterAutospacing="1"/>
        <w:jc w:val="both"/>
        <w:rPr>
          <w:rFonts w:ascii="Arial" w:hAnsi="Arial" w:cs="Arial"/>
          <w:sz w:val="22"/>
          <w:szCs w:val="22"/>
        </w:rPr>
      </w:pPr>
      <w:r w:rsidRPr="003B66BF">
        <w:rPr>
          <w:rFonts w:ascii="Arial" w:hAnsi="Arial" w:cs="Arial"/>
          <w:b/>
          <w:bCs/>
          <w:sz w:val="22"/>
          <w:szCs w:val="22"/>
        </w:rPr>
        <w:t>Fishing pressure</w:t>
      </w:r>
      <w:r w:rsidRPr="003B66BF">
        <w:rPr>
          <w:rFonts w:ascii="Arial" w:hAnsi="Arial" w:cs="Arial"/>
          <w:sz w:val="22"/>
          <w:szCs w:val="22"/>
        </w:rPr>
        <w:t xml:space="preserve"> and gear impacts that suppress fish biomass and alter reef trophic structure</w:t>
      </w:r>
    </w:p>
    <w:p w14:paraId="53CB87E8" w14:textId="63A78D91" w:rsidR="003B66BF" w:rsidRPr="003B66BF" w:rsidRDefault="003B66BF" w:rsidP="003B66BF">
      <w:pPr>
        <w:spacing w:before="100" w:beforeAutospacing="1" w:after="100" w:afterAutospacing="1"/>
        <w:jc w:val="both"/>
        <w:rPr>
          <w:rFonts w:ascii="Arial" w:hAnsi="Arial" w:cs="Arial"/>
          <w:i/>
          <w:iCs/>
          <w:sz w:val="22"/>
          <w:szCs w:val="22"/>
        </w:rPr>
      </w:pPr>
      <w:r w:rsidRPr="003B66BF">
        <w:rPr>
          <w:rFonts w:ascii="Arial" w:hAnsi="Arial" w:cs="Arial"/>
          <w:b/>
          <w:bCs/>
          <w:i/>
          <w:iCs/>
          <w:sz w:val="22"/>
          <w:szCs w:val="22"/>
        </w:rPr>
        <w:t>Management implications (priority actions)</w:t>
      </w:r>
    </w:p>
    <w:p w14:paraId="4229BC61" w14:textId="77777777" w:rsidR="003B66BF" w:rsidRPr="003B66BF" w:rsidRDefault="003B66BF" w:rsidP="003B66BF">
      <w:pPr>
        <w:numPr>
          <w:ilvl w:val="0"/>
          <w:numId w:val="69"/>
        </w:numPr>
        <w:spacing w:before="100" w:beforeAutospacing="1" w:after="100" w:afterAutospacing="1"/>
        <w:jc w:val="both"/>
        <w:rPr>
          <w:rFonts w:ascii="Arial" w:hAnsi="Arial" w:cs="Arial"/>
          <w:sz w:val="22"/>
          <w:szCs w:val="22"/>
        </w:rPr>
      </w:pPr>
      <w:r w:rsidRPr="003B66BF">
        <w:rPr>
          <w:rFonts w:ascii="Arial" w:hAnsi="Arial" w:cs="Arial"/>
          <w:sz w:val="22"/>
          <w:szCs w:val="22"/>
        </w:rPr>
        <w:t xml:space="preserve">Establish and enforce </w:t>
      </w:r>
      <w:r w:rsidRPr="003B66BF">
        <w:rPr>
          <w:rFonts w:ascii="Arial" w:hAnsi="Arial" w:cs="Arial"/>
          <w:b/>
          <w:bCs/>
          <w:sz w:val="22"/>
          <w:szCs w:val="22"/>
        </w:rPr>
        <w:t>no-anchor zones</w:t>
      </w:r>
      <w:r w:rsidRPr="003B66BF">
        <w:rPr>
          <w:rFonts w:ascii="Arial" w:hAnsi="Arial" w:cs="Arial"/>
          <w:sz w:val="22"/>
          <w:szCs w:val="22"/>
        </w:rPr>
        <w:t xml:space="preserve"> + install </w:t>
      </w:r>
      <w:r w:rsidRPr="003B66BF">
        <w:rPr>
          <w:rFonts w:ascii="Arial" w:hAnsi="Arial" w:cs="Arial"/>
          <w:b/>
          <w:bCs/>
          <w:sz w:val="22"/>
          <w:szCs w:val="22"/>
        </w:rPr>
        <w:t>moorings</w:t>
      </w:r>
      <w:r w:rsidRPr="003B66BF">
        <w:rPr>
          <w:rFonts w:ascii="Arial" w:hAnsi="Arial" w:cs="Arial"/>
          <w:sz w:val="22"/>
          <w:szCs w:val="22"/>
        </w:rPr>
        <w:t xml:space="preserve"> in high-use bays</w:t>
      </w:r>
    </w:p>
    <w:p w14:paraId="562C9AB2" w14:textId="77777777" w:rsidR="003B66BF" w:rsidRPr="003B66BF" w:rsidRDefault="003B66BF" w:rsidP="003B66BF">
      <w:pPr>
        <w:numPr>
          <w:ilvl w:val="0"/>
          <w:numId w:val="69"/>
        </w:numPr>
        <w:spacing w:before="100" w:beforeAutospacing="1" w:after="100" w:afterAutospacing="1"/>
        <w:jc w:val="both"/>
        <w:rPr>
          <w:rFonts w:ascii="Arial" w:hAnsi="Arial" w:cs="Arial"/>
          <w:sz w:val="22"/>
          <w:szCs w:val="22"/>
        </w:rPr>
      </w:pPr>
      <w:r w:rsidRPr="003B66BF">
        <w:rPr>
          <w:rFonts w:ascii="Arial" w:hAnsi="Arial" w:cs="Arial"/>
          <w:sz w:val="22"/>
          <w:szCs w:val="22"/>
        </w:rPr>
        <w:t xml:space="preserve">Strengthen enforcement of </w:t>
      </w:r>
      <w:r w:rsidRPr="003B66BF">
        <w:rPr>
          <w:rFonts w:ascii="Arial" w:hAnsi="Arial" w:cs="Arial"/>
          <w:b/>
          <w:bCs/>
          <w:sz w:val="22"/>
          <w:szCs w:val="22"/>
        </w:rPr>
        <w:t>gear restrictions</w:t>
      </w:r>
      <w:r w:rsidRPr="003B66BF">
        <w:rPr>
          <w:rFonts w:ascii="Arial" w:hAnsi="Arial" w:cs="Arial"/>
          <w:sz w:val="22"/>
          <w:szCs w:val="22"/>
        </w:rPr>
        <w:t xml:space="preserve"> and spatial closures</w:t>
      </w:r>
    </w:p>
    <w:p w14:paraId="0837871E" w14:textId="77777777" w:rsidR="003B66BF" w:rsidRPr="003B66BF" w:rsidRDefault="003B66BF" w:rsidP="003B66BF">
      <w:pPr>
        <w:numPr>
          <w:ilvl w:val="0"/>
          <w:numId w:val="69"/>
        </w:numPr>
        <w:spacing w:before="100" w:beforeAutospacing="1" w:after="100" w:afterAutospacing="1"/>
        <w:jc w:val="both"/>
        <w:rPr>
          <w:rFonts w:ascii="Arial" w:hAnsi="Arial" w:cs="Arial"/>
          <w:sz w:val="22"/>
          <w:szCs w:val="22"/>
        </w:rPr>
      </w:pPr>
      <w:r w:rsidRPr="003B66BF">
        <w:rPr>
          <w:rFonts w:ascii="Arial" w:hAnsi="Arial" w:cs="Arial"/>
          <w:sz w:val="22"/>
          <w:szCs w:val="22"/>
        </w:rPr>
        <w:t xml:space="preserve">Apply strict controls on </w:t>
      </w:r>
      <w:r w:rsidRPr="003B66BF">
        <w:rPr>
          <w:rFonts w:ascii="Arial" w:hAnsi="Arial" w:cs="Arial"/>
          <w:b/>
          <w:bCs/>
          <w:sz w:val="22"/>
          <w:szCs w:val="22"/>
        </w:rPr>
        <w:t>dredging/shoreline works</w:t>
      </w:r>
      <w:r w:rsidRPr="003B66BF">
        <w:rPr>
          <w:rFonts w:ascii="Arial" w:hAnsi="Arial" w:cs="Arial"/>
          <w:sz w:val="22"/>
          <w:szCs w:val="22"/>
        </w:rPr>
        <w:t xml:space="preserve"> near sensitive seagrass and reef edges</w:t>
      </w:r>
    </w:p>
    <w:p w14:paraId="2A3B0FD7" w14:textId="7908A2EF" w:rsidR="003B66BF" w:rsidRPr="003B66BF" w:rsidRDefault="003B66BF" w:rsidP="003B66BF">
      <w:pPr>
        <w:numPr>
          <w:ilvl w:val="0"/>
          <w:numId w:val="69"/>
        </w:numPr>
        <w:spacing w:before="100" w:beforeAutospacing="1" w:after="100" w:afterAutospacing="1"/>
        <w:jc w:val="both"/>
        <w:rPr>
          <w:rFonts w:ascii="Arial" w:hAnsi="Arial" w:cs="Arial"/>
          <w:sz w:val="22"/>
          <w:szCs w:val="22"/>
        </w:rPr>
      </w:pPr>
      <w:r w:rsidRPr="003B66BF">
        <w:rPr>
          <w:rFonts w:ascii="Arial" w:hAnsi="Arial" w:cs="Arial"/>
          <w:sz w:val="22"/>
          <w:szCs w:val="22"/>
        </w:rPr>
        <w:t>Use the CCRMN/partner monitoring to track outcomes (fish biomass, benthos, complexity)</w:t>
      </w:r>
    </w:p>
    <w:p w14:paraId="36DB75A9" w14:textId="08B90C55" w:rsidR="003B66BF" w:rsidRPr="003B66BF" w:rsidRDefault="00BA2EEB" w:rsidP="00BA2EEB">
      <w:pPr>
        <w:keepNext/>
        <w:adjustRightInd w:val="0"/>
        <w:snapToGrid w:val="0"/>
        <w:spacing w:before="240" w:after="120"/>
        <w:jc w:val="both"/>
        <w:rPr>
          <w:rFonts w:ascii="Arial" w:hAnsi="Arial" w:cs="Arial"/>
          <w:color w:val="0070C0"/>
          <w:sz w:val="22"/>
          <w:szCs w:val="22"/>
        </w:rPr>
      </w:pPr>
      <w:r w:rsidRPr="00BA2EEB">
        <w:rPr>
          <w:rFonts w:ascii="Arial" w:hAnsi="Arial" w:cs="Arial"/>
          <w:color w:val="0070C0"/>
          <w:sz w:val="22"/>
          <w:szCs w:val="22"/>
        </w:rPr>
        <w:t xml:space="preserve">C2. </w:t>
      </w:r>
      <w:r w:rsidR="003B66BF" w:rsidRPr="003B66BF">
        <w:rPr>
          <w:rFonts w:ascii="Arial" w:hAnsi="Arial" w:cs="Arial"/>
          <w:color w:val="0070C0"/>
          <w:sz w:val="22"/>
          <w:szCs w:val="22"/>
        </w:rPr>
        <w:t>Site 2. Kep Archipelago (Koh Tonsay &amp; Koh Pou) within the Kep MFMA</w:t>
      </w:r>
    </w:p>
    <w:p w14:paraId="1C3DA3F9" w14:textId="77777777"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b/>
          <w:bCs/>
          <w:sz w:val="22"/>
          <w:szCs w:val="22"/>
        </w:rPr>
        <w:t>Status and ecological significance.</w:t>
      </w:r>
      <w:r w:rsidRPr="003B66BF">
        <w:rPr>
          <w:rFonts w:ascii="Arial" w:hAnsi="Arial" w:cs="Arial"/>
          <w:sz w:val="22"/>
          <w:szCs w:val="22"/>
        </w:rPr>
        <w:t xml:space="preserve"> The Kep MFMA (~11.3 thousand ha) encompasses reefs and some of Cambodia’s largest seagrass meadows (</w:t>
      </w:r>
      <w:r w:rsidRPr="003B66BF">
        <w:rPr>
          <w:rFonts w:ascii="Arial" w:hAnsi="Arial" w:cs="Arial"/>
          <w:b/>
          <w:bCs/>
          <w:sz w:val="22"/>
          <w:szCs w:val="22"/>
        </w:rPr>
        <w:t>~6,399 ha</w:t>
      </w:r>
      <w:r w:rsidRPr="003B66BF">
        <w:rPr>
          <w:rFonts w:ascii="Arial" w:hAnsi="Arial" w:cs="Arial"/>
          <w:sz w:val="22"/>
          <w:szCs w:val="22"/>
        </w:rPr>
        <w:t>), making it nationally important for fisheries nursery services and blue-carbon potential.</w:t>
      </w:r>
    </w:p>
    <w:p w14:paraId="03C83731" w14:textId="77777777"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b/>
          <w:bCs/>
          <w:sz w:val="22"/>
          <w:szCs w:val="22"/>
        </w:rPr>
        <w:t>Condition signals.</w:t>
      </w:r>
      <w:r w:rsidRPr="003B66BF">
        <w:rPr>
          <w:rFonts w:ascii="Arial" w:hAnsi="Arial" w:cs="Arial"/>
          <w:sz w:val="22"/>
          <w:szCs w:val="22"/>
        </w:rPr>
        <w:t xml:space="preserve"> While some reef pockets retain high coral cover (e.g., Koh Seh reported at ~64% live cover in 2019), many nearshore reefs are small and vulnerable to turbidity and physical disturbance. Seagrass condition is particularly sensitive to bottom-contact fishing and resuspension of sediments.</w:t>
      </w:r>
    </w:p>
    <w:p w14:paraId="32F9FAF7" w14:textId="3F985756" w:rsidR="003B66BF" w:rsidRPr="003B66BF" w:rsidRDefault="003B66BF" w:rsidP="003B66BF">
      <w:pPr>
        <w:spacing w:before="100" w:beforeAutospacing="1" w:after="100" w:afterAutospacing="1"/>
        <w:jc w:val="both"/>
        <w:rPr>
          <w:rFonts w:ascii="Arial" w:hAnsi="Arial" w:cs="Arial"/>
          <w:i/>
          <w:iCs/>
          <w:sz w:val="22"/>
          <w:szCs w:val="22"/>
        </w:rPr>
      </w:pPr>
      <w:r w:rsidRPr="003B66BF">
        <w:rPr>
          <w:rFonts w:ascii="Arial" w:hAnsi="Arial" w:cs="Arial"/>
          <w:b/>
          <w:bCs/>
          <w:i/>
          <w:iCs/>
          <w:sz w:val="22"/>
          <w:szCs w:val="22"/>
        </w:rPr>
        <w:t>Main pressures</w:t>
      </w:r>
    </w:p>
    <w:p w14:paraId="3B1D96FE" w14:textId="77777777" w:rsidR="003B66BF" w:rsidRPr="003B66BF" w:rsidRDefault="003B66BF" w:rsidP="003B66BF">
      <w:pPr>
        <w:numPr>
          <w:ilvl w:val="0"/>
          <w:numId w:val="70"/>
        </w:numPr>
        <w:spacing w:before="100" w:beforeAutospacing="1" w:after="100" w:afterAutospacing="1"/>
        <w:jc w:val="both"/>
        <w:rPr>
          <w:rFonts w:ascii="Arial" w:hAnsi="Arial" w:cs="Arial"/>
          <w:sz w:val="22"/>
          <w:szCs w:val="22"/>
        </w:rPr>
      </w:pPr>
      <w:r w:rsidRPr="003B66BF">
        <w:rPr>
          <w:rFonts w:ascii="Arial" w:hAnsi="Arial" w:cs="Arial"/>
          <w:b/>
          <w:bCs/>
          <w:sz w:val="22"/>
          <w:szCs w:val="22"/>
        </w:rPr>
        <w:t>Illegal trawling and bottom-contact gears</w:t>
      </w:r>
      <w:r w:rsidRPr="003B66BF">
        <w:rPr>
          <w:rFonts w:ascii="Arial" w:hAnsi="Arial" w:cs="Arial"/>
          <w:sz w:val="22"/>
          <w:szCs w:val="22"/>
        </w:rPr>
        <w:t xml:space="preserve"> (direct seagrass damage, sediment resuspension)</w:t>
      </w:r>
    </w:p>
    <w:p w14:paraId="79367020" w14:textId="77777777" w:rsidR="003B66BF" w:rsidRPr="003B66BF" w:rsidRDefault="003B66BF" w:rsidP="003B66BF">
      <w:pPr>
        <w:numPr>
          <w:ilvl w:val="0"/>
          <w:numId w:val="70"/>
        </w:numPr>
        <w:spacing w:before="100" w:beforeAutospacing="1" w:after="100" w:afterAutospacing="1"/>
        <w:jc w:val="both"/>
        <w:rPr>
          <w:rFonts w:ascii="Arial" w:hAnsi="Arial" w:cs="Arial"/>
          <w:sz w:val="22"/>
          <w:szCs w:val="22"/>
        </w:rPr>
      </w:pPr>
      <w:r w:rsidRPr="003B66BF">
        <w:rPr>
          <w:rFonts w:ascii="Arial" w:hAnsi="Arial" w:cs="Arial"/>
          <w:b/>
          <w:bCs/>
          <w:sz w:val="22"/>
          <w:szCs w:val="22"/>
        </w:rPr>
        <w:t>Electric fishing and destructive gears</w:t>
      </w:r>
      <w:r w:rsidRPr="003B66BF">
        <w:rPr>
          <w:rFonts w:ascii="Arial" w:hAnsi="Arial" w:cs="Arial"/>
          <w:sz w:val="22"/>
          <w:szCs w:val="22"/>
        </w:rPr>
        <w:t xml:space="preserve"> (fish community impacts)</w:t>
      </w:r>
    </w:p>
    <w:p w14:paraId="3878845F" w14:textId="77777777" w:rsidR="003B66BF" w:rsidRPr="003B66BF" w:rsidRDefault="003B66BF" w:rsidP="003B66BF">
      <w:pPr>
        <w:numPr>
          <w:ilvl w:val="0"/>
          <w:numId w:val="70"/>
        </w:numPr>
        <w:spacing w:before="100" w:beforeAutospacing="1" w:after="100" w:afterAutospacing="1"/>
        <w:jc w:val="both"/>
        <w:rPr>
          <w:rFonts w:ascii="Arial" w:hAnsi="Arial" w:cs="Arial"/>
          <w:sz w:val="22"/>
          <w:szCs w:val="22"/>
        </w:rPr>
      </w:pPr>
      <w:r w:rsidRPr="003B66BF">
        <w:rPr>
          <w:rFonts w:ascii="Arial" w:hAnsi="Arial" w:cs="Arial"/>
          <w:b/>
          <w:bCs/>
          <w:sz w:val="22"/>
          <w:szCs w:val="22"/>
        </w:rPr>
        <w:t>Sedimentation/turbidity</w:t>
      </w:r>
      <w:r w:rsidRPr="003B66BF">
        <w:rPr>
          <w:rFonts w:ascii="Arial" w:hAnsi="Arial" w:cs="Arial"/>
          <w:sz w:val="22"/>
          <w:szCs w:val="22"/>
        </w:rPr>
        <w:t xml:space="preserve"> from coastal activities and nearshore disturbance</w:t>
      </w:r>
    </w:p>
    <w:p w14:paraId="027AF706" w14:textId="525B5B14" w:rsidR="003B66BF" w:rsidRPr="003B66BF" w:rsidRDefault="003B66BF" w:rsidP="003B66BF">
      <w:pPr>
        <w:spacing w:before="100" w:beforeAutospacing="1" w:after="100" w:afterAutospacing="1"/>
        <w:jc w:val="both"/>
        <w:rPr>
          <w:rFonts w:ascii="Arial" w:hAnsi="Arial" w:cs="Arial"/>
          <w:i/>
          <w:iCs/>
          <w:sz w:val="22"/>
          <w:szCs w:val="22"/>
        </w:rPr>
      </w:pPr>
      <w:r w:rsidRPr="003B66BF">
        <w:rPr>
          <w:rFonts w:ascii="Arial" w:hAnsi="Arial" w:cs="Arial"/>
          <w:b/>
          <w:bCs/>
          <w:i/>
          <w:iCs/>
          <w:sz w:val="22"/>
          <w:szCs w:val="22"/>
        </w:rPr>
        <w:t>Management implications</w:t>
      </w:r>
    </w:p>
    <w:p w14:paraId="426351BC" w14:textId="77777777" w:rsidR="003B66BF" w:rsidRPr="003B66BF" w:rsidRDefault="003B66BF" w:rsidP="003B66BF">
      <w:pPr>
        <w:numPr>
          <w:ilvl w:val="0"/>
          <w:numId w:val="71"/>
        </w:numPr>
        <w:spacing w:before="100" w:beforeAutospacing="1" w:after="100" w:afterAutospacing="1"/>
        <w:jc w:val="both"/>
        <w:rPr>
          <w:rFonts w:ascii="Arial" w:hAnsi="Arial" w:cs="Arial"/>
          <w:sz w:val="22"/>
          <w:szCs w:val="22"/>
        </w:rPr>
      </w:pPr>
      <w:r w:rsidRPr="003B66BF">
        <w:rPr>
          <w:rFonts w:ascii="Arial" w:hAnsi="Arial" w:cs="Arial"/>
          <w:sz w:val="22"/>
          <w:szCs w:val="22"/>
        </w:rPr>
        <w:t xml:space="preserve">Maintain/expand </w:t>
      </w:r>
      <w:r w:rsidRPr="003B66BF">
        <w:rPr>
          <w:rFonts w:ascii="Arial" w:hAnsi="Arial" w:cs="Arial"/>
          <w:b/>
          <w:bCs/>
          <w:sz w:val="22"/>
          <w:szCs w:val="22"/>
        </w:rPr>
        <w:t>anti-trawl networks</w:t>
      </w:r>
      <w:r w:rsidRPr="003B66BF">
        <w:rPr>
          <w:rFonts w:ascii="Arial" w:hAnsi="Arial" w:cs="Arial"/>
          <w:sz w:val="22"/>
          <w:szCs w:val="22"/>
        </w:rPr>
        <w:t xml:space="preserve"> and patrol effort focused on meadow margins</w:t>
      </w:r>
    </w:p>
    <w:p w14:paraId="774367BF" w14:textId="77777777" w:rsidR="003B66BF" w:rsidRPr="003B66BF" w:rsidRDefault="003B66BF" w:rsidP="003B66BF">
      <w:pPr>
        <w:numPr>
          <w:ilvl w:val="0"/>
          <w:numId w:val="71"/>
        </w:numPr>
        <w:spacing w:before="100" w:beforeAutospacing="1" w:after="100" w:afterAutospacing="1"/>
        <w:jc w:val="both"/>
        <w:rPr>
          <w:rFonts w:ascii="Arial" w:hAnsi="Arial" w:cs="Arial"/>
          <w:sz w:val="22"/>
          <w:szCs w:val="22"/>
        </w:rPr>
      </w:pPr>
      <w:r w:rsidRPr="003B66BF">
        <w:rPr>
          <w:rFonts w:ascii="Arial" w:hAnsi="Arial" w:cs="Arial"/>
          <w:sz w:val="22"/>
          <w:szCs w:val="22"/>
        </w:rPr>
        <w:t>Clarify MFMA zoning and restrictions in user-friendly formats (maps/signage)</w:t>
      </w:r>
    </w:p>
    <w:p w14:paraId="658B6358" w14:textId="54993380" w:rsidR="003B66BF" w:rsidRPr="003B66BF" w:rsidRDefault="003B66BF" w:rsidP="003B66BF">
      <w:pPr>
        <w:numPr>
          <w:ilvl w:val="0"/>
          <w:numId w:val="71"/>
        </w:numPr>
        <w:spacing w:before="100" w:beforeAutospacing="1" w:after="100" w:afterAutospacing="1"/>
        <w:jc w:val="both"/>
        <w:rPr>
          <w:rFonts w:ascii="Arial" w:hAnsi="Arial" w:cs="Arial"/>
          <w:sz w:val="22"/>
          <w:szCs w:val="22"/>
        </w:rPr>
      </w:pPr>
      <w:r w:rsidRPr="003B66BF">
        <w:rPr>
          <w:rFonts w:ascii="Arial" w:hAnsi="Arial" w:cs="Arial"/>
          <w:sz w:val="22"/>
          <w:szCs w:val="22"/>
        </w:rPr>
        <w:t>Prioritize seagrass condition monitoring (extent + scars) as the key performance indicator</w:t>
      </w:r>
    </w:p>
    <w:p w14:paraId="2F6F10D8" w14:textId="3DF83AAB" w:rsidR="003B66BF" w:rsidRPr="003B66BF" w:rsidRDefault="00BA2EEB" w:rsidP="00BA2EEB">
      <w:pPr>
        <w:keepNext/>
        <w:adjustRightInd w:val="0"/>
        <w:snapToGrid w:val="0"/>
        <w:spacing w:before="240" w:after="120"/>
        <w:jc w:val="both"/>
        <w:rPr>
          <w:rFonts w:ascii="Arial" w:hAnsi="Arial" w:cs="Arial"/>
          <w:color w:val="0070C0"/>
          <w:sz w:val="22"/>
          <w:szCs w:val="22"/>
        </w:rPr>
      </w:pPr>
      <w:r w:rsidRPr="00BA2EEB">
        <w:rPr>
          <w:rFonts w:ascii="Arial" w:hAnsi="Arial" w:cs="Arial"/>
          <w:color w:val="0070C0"/>
          <w:sz w:val="22"/>
          <w:szCs w:val="22"/>
        </w:rPr>
        <w:t xml:space="preserve">C3. </w:t>
      </w:r>
      <w:r w:rsidR="003B66BF" w:rsidRPr="003B66BF">
        <w:rPr>
          <w:rFonts w:ascii="Arial" w:hAnsi="Arial" w:cs="Arial"/>
          <w:color w:val="0070C0"/>
          <w:sz w:val="22"/>
          <w:szCs w:val="22"/>
        </w:rPr>
        <w:t>Site 3. Kampot Beach / nearshore Kampot (proposed MFMA)</w:t>
      </w:r>
    </w:p>
    <w:p w14:paraId="52E5FB32" w14:textId="77777777"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b/>
          <w:bCs/>
          <w:sz w:val="22"/>
          <w:szCs w:val="22"/>
        </w:rPr>
        <w:t>Status.</w:t>
      </w:r>
      <w:r w:rsidRPr="003B66BF">
        <w:rPr>
          <w:rFonts w:ascii="Arial" w:hAnsi="Arial" w:cs="Arial"/>
          <w:sz w:val="22"/>
          <w:szCs w:val="22"/>
        </w:rPr>
        <w:t xml:space="preserve"> The most recent compilation reports a nearshore belt with </w:t>
      </w:r>
      <w:r w:rsidRPr="003B66BF">
        <w:rPr>
          <w:rFonts w:ascii="Arial" w:hAnsi="Arial" w:cs="Arial"/>
          <w:b/>
          <w:bCs/>
          <w:sz w:val="22"/>
          <w:szCs w:val="22"/>
        </w:rPr>
        <w:t>~5,158 ha seagrass (10 spp.)</w:t>
      </w:r>
      <w:r w:rsidRPr="003B66BF">
        <w:rPr>
          <w:rFonts w:ascii="Arial" w:hAnsi="Arial" w:cs="Arial"/>
          <w:sz w:val="22"/>
          <w:szCs w:val="22"/>
        </w:rPr>
        <w:t xml:space="preserve"> and </w:t>
      </w:r>
      <w:r w:rsidRPr="003B66BF">
        <w:rPr>
          <w:rFonts w:ascii="Arial" w:hAnsi="Arial" w:cs="Arial"/>
          <w:b/>
          <w:bCs/>
          <w:sz w:val="22"/>
          <w:szCs w:val="22"/>
        </w:rPr>
        <w:t>~467 ha coral reef</w:t>
      </w:r>
      <w:r w:rsidRPr="003B66BF">
        <w:rPr>
          <w:rFonts w:ascii="Arial" w:hAnsi="Arial" w:cs="Arial"/>
          <w:sz w:val="22"/>
          <w:szCs w:val="22"/>
        </w:rPr>
        <w:t xml:space="preserve">, including a large single reef feature at </w:t>
      </w:r>
      <w:r w:rsidRPr="003B66BF">
        <w:rPr>
          <w:rFonts w:ascii="Arial" w:hAnsi="Arial" w:cs="Arial"/>
          <w:b/>
          <w:bCs/>
          <w:sz w:val="22"/>
          <w:szCs w:val="22"/>
        </w:rPr>
        <w:t>Nataya (~305 ha)</w:t>
      </w:r>
      <w:r w:rsidRPr="003B66BF">
        <w:rPr>
          <w:rFonts w:ascii="Arial" w:hAnsi="Arial" w:cs="Arial"/>
          <w:sz w:val="22"/>
          <w:szCs w:val="22"/>
        </w:rPr>
        <w:t xml:space="preserve">. A proposed </w:t>
      </w:r>
      <w:r w:rsidRPr="003B66BF">
        <w:rPr>
          <w:rFonts w:ascii="Arial" w:hAnsi="Arial" w:cs="Arial"/>
          <w:b/>
          <w:bCs/>
          <w:sz w:val="22"/>
          <w:szCs w:val="22"/>
        </w:rPr>
        <w:t>~8,486-ha MFMA</w:t>
      </w:r>
      <w:r w:rsidRPr="003B66BF">
        <w:rPr>
          <w:rFonts w:ascii="Arial" w:hAnsi="Arial" w:cs="Arial"/>
          <w:sz w:val="22"/>
          <w:szCs w:val="22"/>
        </w:rPr>
        <w:t xml:space="preserve"> is intended to formalize zoning and enforcement in collaboration with three active CFis.</w:t>
      </w:r>
    </w:p>
    <w:p w14:paraId="5BE28700" w14:textId="77777777"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b/>
          <w:bCs/>
          <w:sz w:val="22"/>
          <w:szCs w:val="22"/>
        </w:rPr>
        <w:t>Main pressures.</w:t>
      </w:r>
    </w:p>
    <w:p w14:paraId="1C62030A" w14:textId="77777777" w:rsidR="003B66BF" w:rsidRPr="003B66BF" w:rsidRDefault="003B66BF" w:rsidP="003B66BF">
      <w:pPr>
        <w:numPr>
          <w:ilvl w:val="0"/>
          <w:numId w:val="72"/>
        </w:numPr>
        <w:spacing w:before="100" w:beforeAutospacing="1" w:after="100" w:afterAutospacing="1"/>
        <w:jc w:val="both"/>
        <w:rPr>
          <w:rFonts w:ascii="Arial" w:hAnsi="Arial" w:cs="Arial"/>
          <w:sz w:val="22"/>
          <w:szCs w:val="22"/>
        </w:rPr>
      </w:pPr>
      <w:r w:rsidRPr="003B66BF">
        <w:rPr>
          <w:rFonts w:ascii="Arial" w:hAnsi="Arial" w:cs="Arial"/>
          <w:b/>
          <w:bCs/>
          <w:sz w:val="22"/>
          <w:szCs w:val="22"/>
        </w:rPr>
        <w:t>Sedimentation and turbidity</w:t>
      </w:r>
      <w:r w:rsidRPr="003B66BF">
        <w:rPr>
          <w:rFonts w:ascii="Arial" w:hAnsi="Arial" w:cs="Arial"/>
          <w:sz w:val="22"/>
          <w:szCs w:val="22"/>
        </w:rPr>
        <w:t xml:space="preserve"> (river plumes, shoreline works) reducing light availability</w:t>
      </w:r>
    </w:p>
    <w:p w14:paraId="771B49A8" w14:textId="77777777" w:rsidR="003B66BF" w:rsidRPr="003B66BF" w:rsidRDefault="003B66BF" w:rsidP="003B66BF">
      <w:pPr>
        <w:numPr>
          <w:ilvl w:val="0"/>
          <w:numId w:val="72"/>
        </w:numPr>
        <w:spacing w:before="100" w:beforeAutospacing="1" w:after="100" w:afterAutospacing="1"/>
        <w:jc w:val="both"/>
        <w:rPr>
          <w:rFonts w:ascii="Arial" w:hAnsi="Arial" w:cs="Arial"/>
          <w:sz w:val="22"/>
          <w:szCs w:val="22"/>
        </w:rPr>
      </w:pPr>
      <w:r w:rsidRPr="003B66BF">
        <w:rPr>
          <w:rFonts w:ascii="Arial" w:hAnsi="Arial" w:cs="Arial"/>
          <w:b/>
          <w:bCs/>
          <w:sz w:val="22"/>
          <w:szCs w:val="22"/>
        </w:rPr>
        <w:t>Gear impacts</w:t>
      </w:r>
      <w:r w:rsidRPr="003B66BF">
        <w:rPr>
          <w:rFonts w:ascii="Arial" w:hAnsi="Arial" w:cs="Arial"/>
          <w:sz w:val="22"/>
          <w:szCs w:val="22"/>
        </w:rPr>
        <w:t xml:space="preserve"> (bottom-contact fishing) affecting meadow integrity</w:t>
      </w:r>
    </w:p>
    <w:p w14:paraId="6CE5A69E" w14:textId="77777777" w:rsidR="003B66BF" w:rsidRPr="003B66BF" w:rsidRDefault="003B66BF" w:rsidP="003B66BF">
      <w:pPr>
        <w:numPr>
          <w:ilvl w:val="0"/>
          <w:numId w:val="72"/>
        </w:numPr>
        <w:spacing w:before="100" w:beforeAutospacing="1" w:after="100" w:afterAutospacing="1"/>
        <w:jc w:val="both"/>
        <w:rPr>
          <w:rFonts w:ascii="Arial" w:hAnsi="Arial" w:cs="Arial"/>
          <w:sz w:val="22"/>
          <w:szCs w:val="22"/>
        </w:rPr>
      </w:pPr>
      <w:r w:rsidRPr="003B66BF">
        <w:rPr>
          <w:rFonts w:ascii="Arial" w:hAnsi="Arial" w:cs="Arial"/>
          <w:b/>
          <w:bCs/>
          <w:sz w:val="22"/>
          <w:szCs w:val="22"/>
        </w:rPr>
        <w:t>Incremental coastal development</w:t>
      </w:r>
      <w:r w:rsidRPr="003B66BF">
        <w:rPr>
          <w:rFonts w:ascii="Arial" w:hAnsi="Arial" w:cs="Arial"/>
          <w:sz w:val="22"/>
          <w:szCs w:val="22"/>
        </w:rPr>
        <w:t xml:space="preserve"> increasing nutrient loads and physical disturbance</w:t>
      </w:r>
    </w:p>
    <w:p w14:paraId="4135ED84" w14:textId="77777777"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b/>
          <w:bCs/>
          <w:sz w:val="22"/>
          <w:szCs w:val="22"/>
        </w:rPr>
        <w:t>Management implications.</w:t>
      </w:r>
    </w:p>
    <w:p w14:paraId="4CE5AD01" w14:textId="77777777" w:rsidR="003B66BF" w:rsidRPr="003B66BF" w:rsidRDefault="003B66BF" w:rsidP="003B66BF">
      <w:pPr>
        <w:numPr>
          <w:ilvl w:val="0"/>
          <w:numId w:val="73"/>
        </w:numPr>
        <w:spacing w:before="100" w:beforeAutospacing="1" w:after="100" w:afterAutospacing="1"/>
        <w:jc w:val="both"/>
        <w:rPr>
          <w:rFonts w:ascii="Arial" w:hAnsi="Arial" w:cs="Arial"/>
          <w:sz w:val="22"/>
          <w:szCs w:val="22"/>
        </w:rPr>
      </w:pPr>
      <w:r w:rsidRPr="003B66BF">
        <w:rPr>
          <w:rFonts w:ascii="Arial" w:hAnsi="Arial" w:cs="Arial"/>
          <w:sz w:val="22"/>
          <w:szCs w:val="22"/>
        </w:rPr>
        <w:t>The proposed MFMA offers the key mechanism to implement enforceable rules: trawl exclusion, gear restrictions, zoning for sensitive habitats, and community-supported patrols</w:t>
      </w:r>
    </w:p>
    <w:p w14:paraId="62F4F960" w14:textId="2460BB3D" w:rsidR="003B66BF" w:rsidRPr="003B66BF" w:rsidRDefault="003B66BF" w:rsidP="003B66BF">
      <w:pPr>
        <w:numPr>
          <w:ilvl w:val="0"/>
          <w:numId w:val="73"/>
        </w:numPr>
        <w:spacing w:before="100" w:beforeAutospacing="1" w:after="100" w:afterAutospacing="1"/>
        <w:jc w:val="both"/>
        <w:rPr>
          <w:rFonts w:ascii="Arial" w:hAnsi="Arial" w:cs="Arial"/>
          <w:sz w:val="22"/>
          <w:szCs w:val="22"/>
        </w:rPr>
      </w:pPr>
      <w:r w:rsidRPr="003B66BF">
        <w:rPr>
          <w:rFonts w:ascii="Arial" w:hAnsi="Arial" w:cs="Arial"/>
          <w:sz w:val="22"/>
          <w:szCs w:val="22"/>
        </w:rPr>
        <w:t>Pair zoning with basic water-quality controls (runoff/wastewater) to protect the light environment necessary for meadow persistence</w:t>
      </w:r>
    </w:p>
    <w:p w14:paraId="6B0FD441" w14:textId="20DD1E3A" w:rsidR="003B66BF" w:rsidRPr="003B66BF" w:rsidRDefault="00BA2EEB" w:rsidP="00BA2EEB">
      <w:pPr>
        <w:keepNext/>
        <w:adjustRightInd w:val="0"/>
        <w:snapToGrid w:val="0"/>
        <w:spacing w:before="240" w:after="120"/>
        <w:jc w:val="both"/>
        <w:rPr>
          <w:rFonts w:ascii="Arial" w:hAnsi="Arial" w:cs="Arial"/>
          <w:color w:val="0070C0"/>
          <w:sz w:val="22"/>
          <w:szCs w:val="22"/>
        </w:rPr>
      </w:pPr>
      <w:r w:rsidRPr="00BA2EEB">
        <w:rPr>
          <w:rFonts w:ascii="Arial" w:hAnsi="Arial" w:cs="Arial"/>
          <w:color w:val="0070C0"/>
          <w:sz w:val="22"/>
          <w:szCs w:val="22"/>
        </w:rPr>
        <w:t xml:space="preserve">C4. </w:t>
      </w:r>
      <w:r w:rsidR="003B66BF" w:rsidRPr="003B66BF">
        <w:rPr>
          <w:rFonts w:ascii="Arial" w:hAnsi="Arial" w:cs="Arial"/>
          <w:color w:val="0070C0"/>
          <w:sz w:val="22"/>
          <w:szCs w:val="22"/>
        </w:rPr>
        <w:t>Site 4. Koh Sdach–Koh Kong Archipelago</w:t>
      </w:r>
    </w:p>
    <w:p w14:paraId="594EAF88" w14:textId="77777777"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b/>
          <w:bCs/>
          <w:sz w:val="22"/>
          <w:szCs w:val="22"/>
        </w:rPr>
        <w:t>Status and trend signal.</w:t>
      </w:r>
      <w:r w:rsidRPr="003B66BF">
        <w:rPr>
          <w:rFonts w:ascii="Arial" w:hAnsi="Arial" w:cs="Arial"/>
          <w:sz w:val="22"/>
          <w:szCs w:val="22"/>
        </w:rPr>
        <w:t xml:space="preserve"> Earlier surveys described good condition at some sites, but later assessments suggest increasing degradation signals over time. Current accounting indicates large contiguous reef areas embedded in </w:t>
      </w:r>
      <w:r w:rsidRPr="003B66BF">
        <w:rPr>
          <w:rFonts w:ascii="Arial" w:hAnsi="Arial" w:cs="Arial"/>
          <w:b/>
          <w:bCs/>
          <w:sz w:val="22"/>
          <w:szCs w:val="22"/>
        </w:rPr>
        <w:t>Samros Koh Sdach</w:t>
      </w:r>
      <w:r w:rsidRPr="003B66BF">
        <w:rPr>
          <w:rFonts w:ascii="Arial" w:hAnsi="Arial" w:cs="Arial"/>
          <w:sz w:val="22"/>
          <w:szCs w:val="22"/>
        </w:rPr>
        <w:t xml:space="preserve"> and </w:t>
      </w:r>
      <w:r w:rsidRPr="003B66BF">
        <w:rPr>
          <w:rFonts w:ascii="Arial" w:hAnsi="Arial" w:cs="Arial"/>
          <w:b/>
          <w:bCs/>
          <w:sz w:val="22"/>
          <w:szCs w:val="22"/>
        </w:rPr>
        <w:t>Phnhy Meas</w:t>
      </w:r>
      <w:r w:rsidRPr="003B66BF">
        <w:rPr>
          <w:rFonts w:ascii="Arial" w:hAnsi="Arial" w:cs="Arial"/>
          <w:sz w:val="22"/>
          <w:szCs w:val="22"/>
        </w:rPr>
        <w:t>, which are practical focal zones due to their scale and connectivity.</w:t>
      </w:r>
    </w:p>
    <w:p w14:paraId="3AB0E03B" w14:textId="77777777"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b/>
          <w:bCs/>
          <w:sz w:val="22"/>
          <w:szCs w:val="22"/>
        </w:rPr>
        <w:t>Main pressures.</w:t>
      </w:r>
    </w:p>
    <w:p w14:paraId="2E96F986" w14:textId="77777777" w:rsidR="003B66BF" w:rsidRPr="003B66BF" w:rsidRDefault="003B66BF" w:rsidP="003B66BF">
      <w:pPr>
        <w:numPr>
          <w:ilvl w:val="0"/>
          <w:numId w:val="74"/>
        </w:numPr>
        <w:spacing w:before="100" w:beforeAutospacing="1" w:after="100" w:afterAutospacing="1"/>
        <w:jc w:val="both"/>
        <w:rPr>
          <w:rFonts w:ascii="Arial" w:hAnsi="Arial" w:cs="Arial"/>
          <w:sz w:val="22"/>
          <w:szCs w:val="22"/>
        </w:rPr>
      </w:pPr>
      <w:r w:rsidRPr="003B66BF">
        <w:rPr>
          <w:rFonts w:ascii="Arial" w:hAnsi="Arial" w:cs="Arial"/>
          <w:b/>
          <w:bCs/>
          <w:sz w:val="22"/>
          <w:szCs w:val="22"/>
        </w:rPr>
        <w:t>Fishing pressure and destructive/illegal gears</w:t>
      </w:r>
    </w:p>
    <w:p w14:paraId="70EF4518" w14:textId="77777777" w:rsidR="003B66BF" w:rsidRPr="003B66BF" w:rsidRDefault="003B66BF" w:rsidP="003B66BF">
      <w:pPr>
        <w:numPr>
          <w:ilvl w:val="0"/>
          <w:numId w:val="74"/>
        </w:numPr>
        <w:spacing w:before="100" w:beforeAutospacing="1" w:after="100" w:afterAutospacing="1"/>
        <w:jc w:val="both"/>
        <w:rPr>
          <w:rFonts w:ascii="Arial" w:hAnsi="Arial" w:cs="Arial"/>
          <w:sz w:val="22"/>
          <w:szCs w:val="22"/>
        </w:rPr>
      </w:pPr>
      <w:r w:rsidRPr="003B66BF">
        <w:rPr>
          <w:rFonts w:ascii="Arial" w:hAnsi="Arial" w:cs="Arial"/>
          <w:b/>
          <w:bCs/>
          <w:sz w:val="22"/>
          <w:szCs w:val="22"/>
        </w:rPr>
        <w:t>Sedimentation/turbidity</w:t>
      </w:r>
      <w:r w:rsidRPr="003B66BF">
        <w:rPr>
          <w:rFonts w:ascii="Arial" w:hAnsi="Arial" w:cs="Arial"/>
          <w:sz w:val="22"/>
          <w:szCs w:val="22"/>
        </w:rPr>
        <w:t xml:space="preserve"> in more mainland-influenced waters</w:t>
      </w:r>
    </w:p>
    <w:p w14:paraId="263AAB7F" w14:textId="77777777" w:rsidR="003B66BF" w:rsidRPr="003B66BF" w:rsidRDefault="003B66BF" w:rsidP="003B66BF">
      <w:pPr>
        <w:numPr>
          <w:ilvl w:val="0"/>
          <w:numId w:val="74"/>
        </w:numPr>
        <w:spacing w:before="100" w:beforeAutospacing="1" w:after="100" w:afterAutospacing="1"/>
        <w:jc w:val="both"/>
        <w:rPr>
          <w:rFonts w:ascii="Arial" w:hAnsi="Arial" w:cs="Arial"/>
          <w:sz w:val="22"/>
          <w:szCs w:val="22"/>
        </w:rPr>
      </w:pPr>
      <w:r w:rsidRPr="003B66BF">
        <w:rPr>
          <w:rFonts w:ascii="Arial" w:hAnsi="Arial" w:cs="Arial"/>
          <w:b/>
          <w:bCs/>
          <w:sz w:val="22"/>
          <w:szCs w:val="22"/>
        </w:rPr>
        <w:t>Limited enforcement coverage</w:t>
      </w:r>
      <w:r w:rsidRPr="003B66BF">
        <w:rPr>
          <w:rFonts w:ascii="Arial" w:hAnsi="Arial" w:cs="Arial"/>
          <w:sz w:val="22"/>
          <w:szCs w:val="22"/>
        </w:rPr>
        <w:t xml:space="preserve"> across dispersed island complexes</w:t>
      </w:r>
    </w:p>
    <w:p w14:paraId="33D1F1B1" w14:textId="77777777" w:rsidR="003B66BF" w:rsidRPr="003B66BF" w:rsidRDefault="003B66BF" w:rsidP="003B66BF">
      <w:pPr>
        <w:spacing w:before="100" w:beforeAutospacing="1" w:after="100" w:afterAutospacing="1"/>
        <w:jc w:val="both"/>
        <w:rPr>
          <w:rFonts w:ascii="Arial" w:hAnsi="Arial" w:cs="Arial"/>
          <w:sz w:val="22"/>
          <w:szCs w:val="22"/>
        </w:rPr>
      </w:pPr>
      <w:r w:rsidRPr="003B66BF">
        <w:rPr>
          <w:rFonts w:ascii="Arial" w:hAnsi="Arial" w:cs="Arial"/>
          <w:b/>
          <w:bCs/>
          <w:sz w:val="22"/>
          <w:szCs w:val="22"/>
        </w:rPr>
        <w:t>Management implications.</w:t>
      </w:r>
    </w:p>
    <w:p w14:paraId="1831E2E1" w14:textId="77777777" w:rsidR="003B66BF" w:rsidRPr="003B66BF" w:rsidRDefault="003B66BF" w:rsidP="003B66BF">
      <w:pPr>
        <w:numPr>
          <w:ilvl w:val="0"/>
          <w:numId w:val="75"/>
        </w:numPr>
        <w:spacing w:before="100" w:beforeAutospacing="1" w:after="100" w:afterAutospacing="1"/>
        <w:jc w:val="both"/>
        <w:rPr>
          <w:rFonts w:ascii="Arial" w:hAnsi="Arial" w:cs="Arial"/>
          <w:sz w:val="22"/>
          <w:szCs w:val="22"/>
        </w:rPr>
      </w:pPr>
      <w:r w:rsidRPr="003B66BF">
        <w:rPr>
          <w:rFonts w:ascii="Arial" w:hAnsi="Arial" w:cs="Arial"/>
          <w:sz w:val="22"/>
          <w:szCs w:val="22"/>
        </w:rPr>
        <w:t>Focus conservation investment on “high-leverage” reef blocks (largest contiguous areas) where enforcement and restoration pilots (transplantation/artificial structures) can be monitored and maintained</w:t>
      </w:r>
    </w:p>
    <w:p w14:paraId="4F48A71E" w14:textId="57E4E8A3" w:rsidR="003B66BF" w:rsidRPr="003B66BF" w:rsidRDefault="003B66BF" w:rsidP="003B66BF">
      <w:pPr>
        <w:numPr>
          <w:ilvl w:val="0"/>
          <w:numId w:val="75"/>
        </w:numPr>
        <w:spacing w:before="100" w:beforeAutospacing="1" w:after="100" w:afterAutospacing="1"/>
        <w:jc w:val="both"/>
        <w:rPr>
          <w:rFonts w:ascii="Arial" w:hAnsi="Arial" w:cs="Arial"/>
          <w:sz w:val="22"/>
          <w:szCs w:val="22"/>
        </w:rPr>
      </w:pPr>
      <w:r w:rsidRPr="003B66BF">
        <w:rPr>
          <w:rFonts w:ascii="Arial" w:hAnsi="Arial" w:cs="Arial"/>
          <w:sz w:val="22"/>
          <w:szCs w:val="22"/>
        </w:rPr>
        <w:t>Integrate reef protection with local fisheries management to improve compliance incentives</w:t>
      </w:r>
    </w:p>
    <w:p w14:paraId="31401187" w14:textId="2A99F0B9" w:rsidR="003B66BF" w:rsidRPr="003B66BF" w:rsidRDefault="00BA2EEB" w:rsidP="00BA2EEB">
      <w:pPr>
        <w:spacing w:before="240" w:after="120"/>
        <w:rPr>
          <w:rFonts w:ascii="Arial" w:hAnsi="Arial" w:cs="Arial"/>
          <w:b/>
          <w:bCs/>
          <w:sz w:val="22"/>
          <w:szCs w:val="22"/>
        </w:rPr>
      </w:pPr>
      <w:r>
        <w:rPr>
          <w:rFonts w:ascii="Arial" w:hAnsi="Arial" w:cs="Arial"/>
          <w:b/>
          <w:bCs/>
          <w:sz w:val="22"/>
          <w:szCs w:val="22"/>
        </w:rPr>
        <w:t>D. D</w:t>
      </w:r>
      <w:r w:rsidR="003B66BF" w:rsidRPr="003B66BF">
        <w:rPr>
          <w:rFonts w:ascii="Arial" w:hAnsi="Arial" w:cs="Arial"/>
          <w:b/>
          <w:bCs/>
          <w:sz w:val="22"/>
          <w:szCs w:val="22"/>
        </w:rPr>
        <w:t>ata note</w:t>
      </w:r>
    </w:p>
    <w:p w14:paraId="18765E8F" w14:textId="7D17FEF0" w:rsidR="003B66BF" w:rsidRPr="00BA2EEB" w:rsidRDefault="003B66BF" w:rsidP="00BA2EEB">
      <w:pPr>
        <w:spacing w:before="100" w:beforeAutospacing="1" w:after="100" w:afterAutospacing="1"/>
        <w:jc w:val="both"/>
        <w:rPr>
          <w:rFonts w:ascii="Arial" w:hAnsi="Arial" w:cs="Arial"/>
          <w:sz w:val="22"/>
          <w:szCs w:val="22"/>
        </w:rPr>
      </w:pPr>
      <w:r w:rsidRPr="003B66BF">
        <w:rPr>
          <w:rFonts w:ascii="Arial" w:hAnsi="Arial" w:cs="Arial"/>
          <w:sz w:val="22"/>
          <w:szCs w:val="22"/>
        </w:rPr>
        <w:t xml:space="preserve">Mapping-based reef and seagrass extent figures are sensitive to methods (imagery, season, water clarity, classification thresholds). For management, pair extent maps with </w:t>
      </w:r>
      <w:r w:rsidRPr="003B66BF">
        <w:rPr>
          <w:rFonts w:ascii="Arial" w:hAnsi="Arial" w:cs="Arial"/>
          <w:b/>
          <w:bCs/>
          <w:sz w:val="22"/>
          <w:szCs w:val="22"/>
        </w:rPr>
        <w:t>condition indicators</w:t>
      </w:r>
      <w:r w:rsidRPr="003B66BF">
        <w:rPr>
          <w:rFonts w:ascii="Arial" w:hAnsi="Arial" w:cs="Arial"/>
          <w:sz w:val="22"/>
          <w:szCs w:val="22"/>
        </w:rPr>
        <w:t xml:space="preserve"> (live coral cover, structural complexity, fish biomass; seagrass scars and light/turbidity proxies) and </w:t>
      </w:r>
      <w:r w:rsidRPr="003B66BF">
        <w:rPr>
          <w:rFonts w:ascii="Arial" w:hAnsi="Arial" w:cs="Arial"/>
          <w:b/>
          <w:bCs/>
          <w:sz w:val="22"/>
          <w:szCs w:val="22"/>
        </w:rPr>
        <w:t>pressure indicators</w:t>
      </w:r>
      <w:r w:rsidRPr="003B66BF">
        <w:rPr>
          <w:rFonts w:ascii="Arial" w:hAnsi="Arial" w:cs="Arial"/>
          <w:sz w:val="22"/>
          <w:szCs w:val="22"/>
        </w:rPr>
        <w:t xml:space="preserve"> (trawl activity, dredging footprint, tourism intensity).</w:t>
      </w:r>
    </w:p>
    <w:p w14:paraId="63ED6606" w14:textId="52166A3F" w:rsidR="00C3497F" w:rsidRPr="003B66BF" w:rsidRDefault="009C30D3" w:rsidP="001B3C78">
      <w:pPr>
        <w:pStyle w:val="NormalWeb"/>
        <w:jc w:val="both"/>
        <w:rPr>
          <w:rFonts w:ascii="Arial" w:hAnsi="Arial" w:cs="Arial"/>
          <w:b/>
          <w:bCs/>
          <w:color w:val="0070C0"/>
          <w:sz w:val="22"/>
          <w:szCs w:val="22"/>
        </w:rPr>
      </w:pPr>
      <w:bookmarkStart w:id="35" w:name="_Ref216612555"/>
      <w:r w:rsidRPr="003B66BF">
        <w:rPr>
          <w:rFonts w:ascii="Arial" w:hAnsi="Arial" w:cs="Arial"/>
          <w:b/>
          <w:bCs/>
          <w:color w:val="0070C0"/>
          <w:sz w:val="22"/>
          <w:szCs w:val="22"/>
        </w:rPr>
        <w:t>Annex 4-</w:t>
      </w:r>
      <w:r w:rsidRPr="003B66BF">
        <w:rPr>
          <w:rFonts w:ascii="Arial" w:hAnsi="Arial" w:cs="Arial"/>
          <w:b/>
          <w:bCs/>
          <w:color w:val="0070C0"/>
          <w:sz w:val="22"/>
          <w:szCs w:val="22"/>
        </w:rPr>
        <w:fldChar w:fldCharType="begin"/>
      </w:r>
      <w:r w:rsidRPr="003B66BF">
        <w:rPr>
          <w:rFonts w:ascii="Arial" w:hAnsi="Arial" w:cs="Arial"/>
          <w:b/>
          <w:bCs/>
          <w:color w:val="0070C0"/>
          <w:sz w:val="22"/>
          <w:szCs w:val="22"/>
        </w:rPr>
        <w:instrText xml:space="preserve"> SEQ Annex_4- \* ARABIC </w:instrText>
      </w:r>
      <w:r w:rsidRPr="003B66BF">
        <w:rPr>
          <w:rFonts w:ascii="Arial" w:hAnsi="Arial" w:cs="Arial"/>
          <w:b/>
          <w:bCs/>
          <w:color w:val="0070C0"/>
          <w:sz w:val="22"/>
          <w:szCs w:val="22"/>
        </w:rPr>
        <w:fldChar w:fldCharType="separate"/>
      </w:r>
      <w:r w:rsidR="00802509">
        <w:rPr>
          <w:rFonts w:ascii="Arial" w:hAnsi="Arial" w:cs="Arial"/>
          <w:b/>
          <w:bCs/>
          <w:noProof/>
          <w:color w:val="0070C0"/>
          <w:sz w:val="22"/>
          <w:szCs w:val="22"/>
        </w:rPr>
        <w:t>7</w:t>
      </w:r>
      <w:r w:rsidRPr="003B66BF">
        <w:rPr>
          <w:rFonts w:ascii="Arial" w:hAnsi="Arial" w:cs="Arial"/>
          <w:b/>
          <w:bCs/>
          <w:color w:val="0070C0"/>
          <w:sz w:val="22"/>
          <w:szCs w:val="22"/>
        </w:rPr>
        <w:fldChar w:fldCharType="end"/>
      </w:r>
      <w:bookmarkEnd w:id="35"/>
      <w:r w:rsidRPr="003B66BF">
        <w:rPr>
          <w:rFonts w:ascii="Arial" w:hAnsi="Arial" w:cs="Arial"/>
          <w:b/>
          <w:bCs/>
          <w:color w:val="0070C0"/>
          <w:sz w:val="22"/>
          <w:szCs w:val="22"/>
        </w:rPr>
        <w:t xml:space="preserve"> </w:t>
      </w:r>
      <w:r w:rsidR="00C3497F" w:rsidRPr="003B66BF">
        <w:rPr>
          <w:rFonts w:ascii="Arial" w:hAnsi="Arial" w:cs="Arial"/>
          <w:b/>
          <w:bCs/>
          <w:color w:val="0070C0"/>
          <w:sz w:val="22"/>
          <w:szCs w:val="22"/>
        </w:rPr>
        <w:t xml:space="preserve">Explanatory note for </w:t>
      </w:r>
      <w:r w:rsidR="001C1C35" w:rsidRPr="003B66BF">
        <w:rPr>
          <w:rFonts w:ascii="Arial" w:hAnsi="Arial" w:cs="Arial"/>
          <w:b/>
          <w:bCs/>
          <w:color w:val="0070C0"/>
          <w:sz w:val="22"/>
          <w:szCs w:val="22"/>
        </w:rPr>
        <w:t>Coastal area-based management: MPAs, Ramsar systems, MFMAs/EAFM, and community co-management</w:t>
      </w:r>
    </w:p>
    <w:p w14:paraId="47980A16" w14:textId="77777777" w:rsidR="00C3497F" w:rsidRPr="00C3497F" w:rsidRDefault="00C3497F" w:rsidP="00C3497F">
      <w:pPr>
        <w:spacing w:before="100" w:beforeAutospacing="1" w:after="100" w:afterAutospacing="1"/>
        <w:jc w:val="both"/>
        <w:rPr>
          <w:rFonts w:ascii="Arial" w:hAnsi="Arial" w:cs="Arial"/>
          <w:sz w:val="22"/>
          <w:szCs w:val="22"/>
        </w:rPr>
      </w:pPr>
      <w:r w:rsidRPr="00C3497F">
        <w:rPr>
          <w:rFonts w:ascii="Arial" w:hAnsi="Arial" w:cs="Arial"/>
          <w:b/>
          <w:bCs/>
          <w:sz w:val="22"/>
          <w:szCs w:val="22"/>
        </w:rPr>
        <w:t>Protected areas, MFMAs and community management:</w:t>
      </w:r>
      <w:r w:rsidRPr="00C3497F">
        <w:rPr>
          <w:rFonts w:ascii="Arial" w:hAnsi="Arial" w:cs="Arial"/>
          <w:sz w:val="22"/>
          <w:szCs w:val="22"/>
        </w:rPr>
        <w:t xml:space="preserve"> Cambodia’s coastal governance is implemented through a layered set of area-based instruments that combine MoE-managed protected areas and marine parks with MAFF/Fisheries Administration fisheries zoning (MFMAs) and community co-management. Table 4.xx summarizes the main MPAs and OECM-related measures discussed in this chapter and highlights where </w:t>
      </w:r>
      <w:r w:rsidRPr="00C3497F">
        <w:rPr>
          <w:rFonts w:ascii="Arial" w:hAnsi="Arial" w:cs="Arial"/>
          <w:b/>
          <w:bCs/>
          <w:sz w:val="22"/>
          <w:szCs w:val="22"/>
        </w:rPr>
        <w:t>habitat priorities (mangroves, wetlands, coral reefs and seagrass)</w:t>
      </w:r>
      <w:r w:rsidRPr="00C3497F">
        <w:rPr>
          <w:rFonts w:ascii="Arial" w:hAnsi="Arial" w:cs="Arial"/>
          <w:sz w:val="22"/>
          <w:szCs w:val="22"/>
        </w:rPr>
        <w:t xml:space="preserve"> align—or potentially conflict—across different management instruments.</w:t>
      </w:r>
    </w:p>
    <w:p w14:paraId="2EC7CFA0" w14:textId="77777777" w:rsidR="00C3497F" w:rsidRPr="00C3497F" w:rsidRDefault="00C3497F" w:rsidP="00C3497F">
      <w:pPr>
        <w:spacing w:before="100" w:beforeAutospacing="1" w:after="100" w:afterAutospacing="1"/>
        <w:jc w:val="both"/>
        <w:rPr>
          <w:rFonts w:ascii="Arial" w:hAnsi="Arial" w:cs="Arial"/>
          <w:sz w:val="22"/>
          <w:szCs w:val="22"/>
        </w:rPr>
      </w:pPr>
      <w:r w:rsidRPr="00C3497F">
        <w:rPr>
          <w:rFonts w:ascii="Arial" w:hAnsi="Arial" w:cs="Arial"/>
          <w:sz w:val="22"/>
          <w:szCs w:val="22"/>
        </w:rPr>
        <w:t xml:space="preserve">The table shows three major governance “clusters” where zoning coherence is essential. </w:t>
      </w:r>
      <w:r w:rsidRPr="00C3497F">
        <w:rPr>
          <w:rFonts w:ascii="Arial" w:hAnsi="Arial" w:cs="Arial"/>
          <w:b/>
          <w:bCs/>
          <w:sz w:val="22"/>
          <w:szCs w:val="22"/>
        </w:rPr>
        <w:t>First, Koh Kong’s mangrove–wetland complex</w:t>
      </w:r>
      <w:r w:rsidRPr="00C3497F">
        <w:rPr>
          <w:rFonts w:ascii="Arial" w:hAnsi="Arial" w:cs="Arial"/>
          <w:sz w:val="22"/>
          <w:szCs w:val="22"/>
        </w:rPr>
        <w:t xml:space="preserve"> is anchored by </w:t>
      </w:r>
      <w:r w:rsidRPr="00C3497F">
        <w:rPr>
          <w:rFonts w:ascii="Arial" w:hAnsi="Arial" w:cs="Arial"/>
          <w:b/>
          <w:bCs/>
          <w:sz w:val="22"/>
          <w:szCs w:val="22"/>
        </w:rPr>
        <w:t>Botum Sakor National Park (143,895 ha)</w:t>
      </w:r>
      <w:r w:rsidRPr="00C3497F">
        <w:rPr>
          <w:rFonts w:ascii="Arial" w:hAnsi="Arial" w:cs="Arial"/>
          <w:sz w:val="22"/>
          <w:szCs w:val="22"/>
        </w:rPr>
        <w:t xml:space="preserve"> and </w:t>
      </w:r>
      <w:r w:rsidRPr="00C3497F">
        <w:rPr>
          <w:rFonts w:ascii="Arial" w:hAnsi="Arial" w:cs="Arial"/>
          <w:b/>
          <w:bCs/>
          <w:sz w:val="22"/>
          <w:szCs w:val="22"/>
        </w:rPr>
        <w:t>Peam Krasaop Wildlife Sanctuary (16,982 ha)</w:t>
      </w:r>
      <w:r w:rsidRPr="00C3497F">
        <w:rPr>
          <w:rFonts w:ascii="Arial" w:hAnsi="Arial" w:cs="Arial"/>
          <w:sz w:val="22"/>
          <w:szCs w:val="22"/>
        </w:rPr>
        <w:t xml:space="preserve">, with significant mangrove blocks (including </w:t>
      </w:r>
      <w:r w:rsidRPr="00C3497F">
        <w:rPr>
          <w:rFonts w:ascii="Arial" w:hAnsi="Arial" w:cs="Arial"/>
          <w:b/>
          <w:bCs/>
          <w:sz w:val="22"/>
          <w:szCs w:val="22"/>
        </w:rPr>
        <w:t>peat-forming mangroves</w:t>
      </w:r>
      <w:r w:rsidRPr="00C3497F">
        <w:rPr>
          <w:rFonts w:ascii="Arial" w:hAnsi="Arial" w:cs="Arial"/>
          <w:sz w:val="22"/>
          <w:szCs w:val="22"/>
        </w:rPr>
        <w:t xml:space="preserve">) and functional connectivity to the </w:t>
      </w:r>
      <w:r w:rsidRPr="00C3497F">
        <w:rPr>
          <w:rFonts w:ascii="Arial" w:hAnsi="Arial" w:cs="Arial"/>
          <w:b/>
          <w:bCs/>
          <w:sz w:val="22"/>
          <w:szCs w:val="22"/>
        </w:rPr>
        <w:t>Koh Kapik Ramsar system (~12,000 ha)</w:t>
      </w:r>
      <w:r w:rsidRPr="00C3497F">
        <w:rPr>
          <w:rFonts w:ascii="Arial" w:hAnsi="Arial" w:cs="Arial"/>
          <w:sz w:val="22"/>
          <w:szCs w:val="22"/>
        </w:rPr>
        <w:t xml:space="preserve"> and the </w:t>
      </w:r>
      <w:r w:rsidRPr="00C3497F">
        <w:rPr>
          <w:rFonts w:ascii="Arial" w:hAnsi="Arial" w:cs="Arial"/>
          <w:b/>
          <w:bCs/>
          <w:sz w:val="22"/>
          <w:szCs w:val="22"/>
        </w:rPr>
        <w:t>Chrouy Pros seagrass area (~1,485 ha)</w:t>
      </w:r>
      <w:r w:rsidRPr="00C3497F">
        <w:rPr>
          <w:rFonts w:ascii="Arial" w:hAnsi="Arial" w:cs="Arial"/>
          <w:sz w:val="22"/>
          <w:szCs w:val="22"/>
        </w:rPr>
        <w:t>. In this landscape, coherent zoning is needed to safeguard hydrology, mangrove integrity, and nearshore fisheries habitat while balancing access and enforcement across adjacent designations.</w:t>
      </w:r>
    </w:p>
    <w:p w14:paraId="4274FA9A" w14:textId="77777777" w:rsidR="00C3497F" w:rsidRPr="00C3497F" w:rsidRDefault="00C3497F" w:rsidP="00C3497F">
      <w:pPr>
        <w:spacing w:before="100" w:beforeAutospacing="1" w:after="100" w:afterAutospacing="1"/>
        <w:jc w:val="both"/>
        <w:rPr>
          <w:rFonts w:ascii="Arial" w:hAnsi="Arial" w:cs="Arial"/>
          <w:sz w:val="22"/>
          <w:szCs w:val="22"/>
        </w:rPr>
      </w:pPr>
      <w:r w:rsidRPr="00C3497F">
        <w:rPr>
          <w:rFonts w:ascii="Arial" w:hAnsi="Arial" w:cs="Arial"/>
          <w:sz w:val="22"/>
          <w:szCs w:val="22"/>
        </w:rPr>
        <w:t xml:space="preserve">Second, the </w:t>
      </w:r>
      <w:r w:rsidRPr="00C3497F">
        <w:rPr>
          <w:rFonts w:ascii="Arial" w:hAnsi="Arial" w:cs="Arial"/>
          <w:b/>
          <w:bCs/>
          <w:sz w:val="22"/>
          <w:szCs w:val="22"/>
        </w:rPr>
        <w:t>Preah Sihanouk coastal system</w:t>
      </w:r>
      <w:r w:rsidRPr="00C3497F">
        <w:rPr>
          <w:rFonts w:ascii="Arial" w:hAnsi="Arial" w:cs="Arial"/>
          <w:sz w:val="22"/>
          <w:szCs w:val="22"/>
        </w:rPr>
        <w:t xml:space="preserve"> includes </w:t>
      </w:r>
      <w:r w:rsidRPr="00C3497F">
        <w:rPr>
          <w:rFonts w:ascii="Arial" w:hAnsi="Arial" w:cs="Arial"/>
          <w:b/>
          <w:bCs/>
          <w:sz w:val="22"/>
          <w:szCs w:val="22"/>
        </w:rPr>
        <w:t>Ream National Park (~21,000 ha)</w:t>
      </w:r>
      <w:r w:rsidRPr="00C3497F">
        <w:rPr>
          <w:rFonts w:ascii="Arial" w:hAnsi="Arial" w:cs="Arial"/>
          <w:sz w:val="22"/>
          <w:szCs w:val="22"/>
        </w:rPr>
        <w:t xml:space="preserve"> with substantial mangrove/wetland values (mangrove </w:t>
      </w:r>
      <w:r w:rsidRPr="00C3497F">
        <w:rPr>
          <w:rFonts w:ascii="Arial" w:hAnsi="Arial" w:cs="Arial"/>
          <w:b/>
          <w:bCs/>
          <w:sz w:val="22"/>
          <w:szCs w:val="22"/>
        </w:rPr>
        <w:t>~6,500 ha</w:t>
      </w:r>
      <w:r w:rsidRPr="00C3497F">
        <w:rPr>
          <w:rFonts w:ascii="Arial" w:hAnsi="Arial" w:cs="Arial"/>
          <w:sz w:val="22"/>
          <w:szCs w:val="22"/>
        </w:rPr>
        <w:t xml:space="preserve">; wetland </w:t>
      </w:r>
      <w:r w:rsidRPr="00C3497F">
        <w:rPr>
          <w:rFonts w:ascii="Arial" w:hAnsi="Arial" w:cs="Arial"/>
          <w:b/>
          <w:bCs/>
          <w:sz w:val="22"/>
          <w:szCs w:val="22"/>
        </w:rPr>
        <w:t>~1,800 ha</w:t>
      </w:r>
      <w:r w:rsidRPr="00C3497F">
        <w:rPr>
          <w:rFonts w:ascii="Arial" w:hAnsi="Arial" w:cs="Arial"/>
          <w:sz w:val="22"/>
          <w:szCs w:val="22"/>
        </w:rPr>
        <w:t>) and adjacent nearshore use areas. Here, coherence depends on maintaining consistent rules between protected-area management and coastal development controls so that habitat protection is not undermined by land-based pressures.</w:t>
      </w:r>
    </w:p>
    <w:p w14:paraId="1CBEB8BE" w14:textId="77777777" w:rsidR="00C3497F" w:rsidRPr="00C3497F" w:rsidRDefault="00C3497F" w:rsidP="00C3497F">
      <w:pPr>
        <w:spacing w:before="100" w:beforeAutospacing="1" w:after="100" w:afterAutospacing="1"/>
        <w:jc w:val="both"/>
        <w:rPr>
          <w:rFonts w:ascii="Arial" w:hAnsi="Arial" w:cs="Arial"/>
          <w:sz w:val="22"/>
          <w:szCs w:val="22"/>
        </w:rPr>
      </w:pPr>
      <w:r w:rsidRPr="00C3497F">
        <w:rPr>
          <w:rFonts w:ascii="Arial" w:hAnsi="Arial" w:cs="Arial"/>
          <w:sz w:val="22"/>
          <w:szCs w:val="22"/>
        </w:rPr>
        <w:t xml:space="preserve">Third, the </w:t>
      </w:r>
      <w:r w:rsidRPr="00C3497F">
        <w:rPr>
          <w:rFonts w:ascii="Arial" w:hAnsi="Arial" w:cs="Arial"/>
          <w:b/>
          <w:bCs/>
          <w:sz w:val="22"/>
          <w:szCs w:val="22"/>
        </w:rPr>
        <w:t>Kep–Kampot and offshore archipelago systems</w:t>
      </w:r>
      <w:r w:rsidRPr="00C3497F">
        <w:rPr>
          <w:rFonts w:ascii="Arial" w:hAnsi="Arial" w:cs="Arial"/>
          <w:sz w:val="22"/>
          <w:szCs w:val="22"/>
        </w:rPr>
        <w:t xml:space="preserve"> are characterized by coral-reef and seagrass mosaics managed through both protected-area and fisheries instruments. </w:t>
      </w:r>
      <w:r w:rsidRPr="00C3497F">
        <w:rPr>
          <w:rFonts w:ascii="Arial" w:hAnsi="Arial" w:cs="Arial"/>
          <w:b/>
          <w:bCs/>
          <w:sz w:val="22"/>
          <w:szCs w:val="22"/>
        </w:rPr>
        <w:t>Koh Po and Koh Tonsay Archipelago (11,307 ha)</w:t>
      </w:r>
      <w:r w:rsidRPr="00C3497F">
        <w:rPr>
          <w:rFonts w:ascii="Arial" w:hAnsi="Arial" w:cs="Arial"/>
          <w:sz w:val="22"/>
          <w:szCs w:val="22"/>
        </w:rPr>
        <w:t xml:space="preserve"> contains mapped reef and seagrass features (</w:t>
      </w:r>
      <w:r w:rsidRPr="00C3497F">
        <w:rPr>
          <w:rFonts w:ascii="Arial" w:hAnsi="Arial" w:cs="Arial"/>
          <w:b/>
          <w:bCs/>
          <w:sz w:val="22"/>
          <w:szCs w:val="22"/>
        </w:rPr>
        <w:t>67.83 ha reef; 3,900 ha seagrass</w:t>
      </w:r>
      <w:r w:rsidRPr="00C3497F">
        <w:rPr>
          <w:rFonts w:ascii="Arial" w:hAnsi="Arial" w:cs="Arial"/>
          <w:sz w:val="22"/>
          <w:szCs w:val="22"/>
        </w:rPr>
        <w:t xml:space="preserve">). The </w:t>
      </w:r>
      <w:r w:rsidRPr="00C3497F">
        <w:rPr>
          <w:rFonts w:ascii="Arial" w:hAnsi="Arial" w:cs="Arial"/>
          <w:b/>
          <w:bCs/>
          <w:sz w:val="22"/>
          <w:szCs w:val="22"/>
        </w:rPr>
        <w:t>Koh Rong seascape</w:t>
      </w:r>
      <w:r w:rsidRPr="00C3497F">
        <w:rPr>
          <w:rFonts w:ascii="Arial" w:hAnsi="Arial" w:cs="Arial"/>
          <w:sz w:val="22"/>
          <w:szCs w:val="22"/>
        </w:rPr>
        <w:t xml:space="preserve"> illustrates the most important overlap issue: </w:t>
      </w:r>
      <w:r w:rsidRPr="00C3497F">
        <w:rPr>
          <w:rFonts w:ascii="Arial" w:hAnsi="Arial" w:cs="Arial"/>
          <w:b/>
          <w:bCs/>
          <w:sz w:val="22"/>
          <w:szCs w:val="22"/>
        </w:rPr>
        <w:t>Koh Rong MFMA (2016; 40,535 ha)</w:t>
      </w:r>
      <w:r w:rsidRPr="00C3497F">
        <w:rPr>
          <w:rFonts w:ascii="Arial" w:hAnsi="Arial" w:cs="Arial"/>
          <w:sz w:val="22"/>
          <w:szCs w:val="22"/>
        </w:rPr>
        <w:t xml:space="preserve"> predates </w:t>
      </w:r>
      <w:r w:rsidRPr="00C3497F">
        <w:rPr>
          <w:rFonts w:ascii="Arial" w:hAnsi="Arial" w:cs="Arial"/>
          <w:b/>
          <w:bCs/>
          <w:sz w:val="22"/>
          <w:szCs w:val="22"/>
        </w:rPr>
        <w:t>Koh Rong Marine National Park (2018; 52,498 ha)</w:t>
      </w:r>
      <w:r w:rsidRPr="00C3497F">
        <w:rPr>
          <w:rFonts w:ascii="Arial" w:hAnsi="Arial" w:cs="Arial"/>
          <w:sz w:val="22"/>
          <w:szCs w:val="22"/>
        </w:rPr>
        <w:t xml:space="preserve">, and both aim to protect key habitats (reef </w:t>
      </w:r>
      <w:r w:rsidRPr="00C3497F">
        <w:rPr>
          <w:rFonts w:ascii="Arial" w:hAnsi="Arial" w:cs="Arial"/>
          <w:b/>
          <w:bCs/>
          <w:sz w:val="22"/>
          <w:szCs w:val="22"/>
        </w:rPr>
        <w:t>~1,198 ha</w:t>
      </w:r>
      <w:r w:rsidRPr="00C3497F">
        <w:rPr>
          <w:rFonts w:ascii="Arial" w:hAnsi="Arial" w:cs="Arial"/>
          <w:sz w:val="22"/>
          <w:szCs w:val="22"/>
        </w:rPr>
        <w:t xml:space="preserve">; seagrass </w:t>
      </w:r>
      <w:r w:rsidRPr="00C3497F">
        <w:rPr>
          <w:rFonts w:ascii="Arial" w:hAnsi="Arial" w:cs="Arial"/>
          <w:b/>
          <w:bCs/>
          <w:sz w:val="22"/>
          <w:szCs w:val="22"/>
        </w:rPr>
        <w:t>~1,360 ha</w:t>
      </w:r>
      <w:r w:rsidRPr="00C3497F">
        <w:rPr>
          <w:rFonts w:ascii="Arial" w:hAnsi="Arial" w:cs="Arial"/>
          <w:sz w:val="22"/>
          <w:szCs w:val="22"/>
        </w:rPr>
        <w:t xml:space="preserve">; plus additional reef values reported in the MFMA row). To avoid confusion and compliance gaps, MoE–FiA coordination is required to align </w:t>
      </w:r>
      <w:r w:rsidRPr="00C3497F">
        <w:rPr>
          <w:rFonts w:ascii="Arial" w:hAnsi="Arial" w:cs="Arial"/>
          <w:b/>
          <w:bCs/>
          <w:sz w:val="22"/>
          <w:szCs w:val="22"/>
        </w:rPr>
        <w:t>boundaries, zoning rules, permitted gears/activities, and enforcement responsibilities</w:t>
      </w:r>
      <w:r w:rsidRPr="00C3497F">
        <w:rPr>
          <w:rFonts w:ascii="Arial" w:hAnsi="Arial" w:cs="Arial"/>
          <w:sz w:val="22"/>
          <w:szCs w:val="22"/>
        </w:rPr>
        <w:t xml:space="preserve"> within the shared seascape.</w:t>
      </w:r>
    </w:p>
    <w:p w14:paraId="50E2BD96" w14:textId="793662BA" w:rsidR="00C3497F" w:rsidRPr="003B66BF" w:rsidRDefault="00C3497F" w:rsidP="00CA1A5A">
      <w:pPr>
        <w:spacing w:before="100" w:beforeAutospacing="1" w:after="100" w:afterAutospacing="1"/>
        <w:jc w:val="both"/>
        <w:rPr>
          <w:rFonts w:ascii="Arial" w:hAnsi="Arial" w:cs="Arial"/>
          <w:sz w:val="22"/>
          <w:szCs w:val="22"/>
        </w:rPr>
      </w:pPr>
      <w:r w:rsidRPr="00C3497F">
        <w:rPr>
          <w:rFonts w:ascii="Arial" w:hAnsi="Arial" w:cs="Arial"/>
          <w:b/>
          <w:bCs/>
          <w:sz w:val="22"/>
          <w:szCs w:val="22"/>
        </w:rPr>
        <w:t>Community co-management</w:t>
      </w:r>
      <w:r w:rsidRPr="00C3497F">
        <w:rPr>
          <w:rFonts w:ascii="Arial" w:hAnsi="Arial" w:cs="Arial"/>
          <w:sz w:val="22"/>
          <w:szCs w:val="22"/>
        </w:rPr>
        <w:t xml:space="preserve"> underpins these systems by strengthening local compliance and stewardship, especially in inshore fisheries and mangrove blocks. Where community rules intersect with protected-area zoning or MFMA regulations, harmonized boundaries and clear user guidance (maps, signage, and agreed enforcement protocols) are essential to ensure that communities, tourism operators and fishers face a single, coherent spatial management framework.</w:t>
      </w:r>
    </w:p>
    <w:p w14:paraId="0CAA0FF6" w14:textId="77777777" w:rsidR="008B747D" w:rsidRPr="003B66BF" w:rsidRDefault="008B747D" w:rsidP="00642707">
      <w:pPr>
        <w:rPr>
          <w:rFonts w:ascii="Arial" w:hAnsi="Arial" w:cs="Arial"/>
          <w:b/>
          <w:bCs/>
        </w:rPr>
      </w:pPr>
    </w:p>
    <w:p w14:paraId="73330F3B" w14:textId="77777777" w:rsidR="00642707" w:rsidRPr="003B66BF" w:rsidRDefault="00642707" w:rsidP="00642707">
      <w:pPr>
        <w:rPr>
          <w:rFonts w:ascii="Arial" w:hAnsi="Arial" w:cs="Arial"/>
          <w:b/>
          <w:bCs/>
        </w:rPr>
      </w:pPr>
    </w:p>
    <w:p w14:paraId="08DC337D" w14:textId="77777777" w:rsidR="000C2A8C" w:rsidRPr="003B66BF" w:rsidRDefault="000C2A8C" w:rsidP="008B747D">
      <w:pPr>
        <w:pStyle w:val="NormalWeb"/>
        <w:rPr>
          <w:rFonts w:ascii="Arial" w:hAnsi="Arial" w:cs="Arial"/>
          <w:sz w:val="22"/>
          <w:szCs w:val="22"/>
        </w:rPr>
      </w:pPr>
    </w:p>
    <w:sectPr w:rsidR="000C2A8C" w:rsidRPr="003B66BF" w:rsidSect="00246F21">
      <w:footerReference w:type="even" r:id="rId60"/>
      <w:footerReference w:type="default" r:id="rId61"/>
      <w:pgSz w:w="11900" w:h="16840"/>
      <w:pgMar w:top="1440" w:right="1440" w:bottom="1440" w:left="1440" w:header="720" w:footer="1134"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1E6B38" w14:textId="77777777" w:rsidR="00E64396" w:rsidRDefault="00E64396" w:rsidP="00020BA9">
      <w:r>
        <w:separator/>
      </w:r>
    </w:p>
  </w:endnote>
  <w:endnote w:type="continuationSeparator" w:id="0">
    <w:p w14:paraId="5BFF2AD9" w14:textId="77777777" w:rsidR="00E64396" w:rsidRDefault="00E64396" w:rsidP="00020B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2E17B2" w14:textId="77777777" w:rsidR="00E62D7D" w:rsidRDefault="00E62D7D" w:rsidP="00452AF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18840554"/>
      <w:docPartObj>
        <w:docPartGallery w:val="Page Numbers (Bottom of Page)"/>
        <w:docPartUnique/>
      </w:docPartObj>
    </w:sdtPr>
    <w:sdtContent>
      <w:p w14:paraId="48A74EEA" w14:textId="77777777" w:rsidR="00020BA9" w:rsidRDefault="00020BA9" w:rsidP="000F6FF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9A2325">
          <w:rPr>
            <w:rStyle w:val="PageNumber"/>
            <w:noProof/>
          </w:rPr>
          <w:t>1</w:t>
        </w:r>
        <w:r>
          <w:rPr>
            <w:rStyle w:val="PageNumber"/>
          </w:rPr>
          <w:fldChar w:fldCharType="end"/>
        </w:r>
      </w:p>
    </w:sdtContent>
  </w:sdt>
  <w:p w14:paraId="558B5467" w14:textId="77777777" w:rsidR="00020BA9" w:rsidRDefault="00020BA9" w:rsidP="00020BA9">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784038429"/>
      <w:docPartObj>
        <w:docPartGallery w:val="Page Numbers (Bottom of Page)"/>
        <w:docPartUnique/>
      </w:docPartObj>
    </w:sdtPr>
    <w:sdtContent>
      <w:p w14:paraId="467CEC06" w14:textId="63A84EC1" w:rsidR="000F6FFD" w:rsidRDefault="000F6FFD" w:rsidP="00935A3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21</w:t>
        </w:r>
        <w:r>
          <w:rPr>
            <w:rStyle w:val="PageNumber"/>
          </w:rPr>
          <w:fldChar w:fldCharType="end"/>
        </w:r>
      </w:p>
    </w:sdtContent>
  </w:sdt>
  <w:p w14:paraId="4837CCC3" w14:textId="77777777" w:rsidR="00020BA9" w:rsidRDefault="00020BA9" w:rsidP="00020BA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09319C" w14:textId="77777777" w:rsidR="00E64396" w:rsidRDefault="00E64396" w:rsidP="00020BA9">
      <w:r>
        <w:separator/>
      </w:r>
    </w:p>
  </w:footnote>
  <w:footnote w:type="continuationSeparator" w:id="0">
    <w:p w14:paraId="646DD8CA" w14:textId="77777777" w:rsidR="00E64396" w:rsidRDefault="00E64396" w:rsidP="00020BA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F4BE0"/>
    <w:multiLevelType w:val="multilevel"/>
    <w:tmpl w:val="50C89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7D6AE6"/>
    <w:multiLevelType w:val="multilevel"/>
    <w:tmpl w:val="AED49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2F3C47"/>
    <w:multiLevelType w:val="multilevel"/>
    <w:tmpl w:val="4D868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7C62B4"/>
    <w:multiLevelType w:val="multilevel"/>
    <w:tmpl w:val="CEC84928"/>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7F6276D"/>
    <w:multiLevelType w:val="multilevel"/>
    <w:tmpl w:val="68760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8677587"/>
    <w:multiLevelType w:val="multilevel"/>
    <w:tmpl w:val="2354D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8E321F8"/>
    <w:multiLevelType w:val="multilevel"/>
    <w:tmpl w:val="CAE2F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9D7340B"/>
    <w:multiLevelType w:val="multilevel"/>
    <w:tmpl w:val="8A0A1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01B0944"/>
    <w:multiLevelType w:val="multilevel"/>
    <w:tmpl w:val="44DE6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2E0541A"/>
    <w:multiLevelType w:val="multilevel"/>
    <w:tmpl w:val="6CCE7F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4192F65"/>
    <w:multiLevelType w:val="multilevel"/>
    <w:tmpl w:val="07F22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60E5158"/>
    <w:multiLevelType w:val="hybridMultilevel"/>
    <w:tmpl w:val="C1E03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75C689E"/>
    <w:multiLevelType w:val="hybridMultilevel"/>
    <w:tmpl w:val="0C0221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84F375A"/>
    <w:multiLevelType w:val="multilevel"/>
    <w:tmpl w:val="8A3C8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A764CD1"/>
    <w:multiLevelType w:val="multilevel"/>
    <w:tmpl w:val="8C54D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B7E5A5B"/>
    <w:multiLevelType w:val="hybridMultilevel"/>
    <w:tmpl w:val="44BE78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BB81D95"/>
    <w:multiLevelType w:val="multilevel"/>
    <w:tmpl w:val="18C6E2E6"/>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1D671C86"/>
    <w:multiLevelType w:val="multilevel"/>
    <w:tmpl w:val="14B27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DED364B"/>
    <w:multiLevelType w:val="multilevel"/>
    <w:tmpl w:val="20D273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1B43290"/>
    <w:multiLevelType w:val="multilevel"/>
    <w:tmpl w:val="F2404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33C7ECC"/>
    <w:multiLevelType w:val="multilevel"/>
    <w:tmpl w:val="68E8E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5B53D0D"/>
    <w:multiLevelType w:val="multilevel"/>
    <w:tmpl w:val="AAF04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94E41F4"/>
    <w:multiLevelType w:val="multilevel"/>
    <w:tmpl w:val="CEC84928"/>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B354EF1"/>
    <w:multiLevelType w:val="multilevel"/>
    <w:tmpl w:val="82AC7F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BAA5186"/>
    <w:multiLevelType w:val="multilevel"/>
    <w:tmpl w:val="88000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DA95840"/>
    <w:multiLevelType w:val="multilevel"/>
    <w:tmpl w:val="B11E3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3D247F7"/>
    <w:multiLevelType w:val="multilevel"/>
    <w:tmpl w:val="384AE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59F4F75"/>
    <w:multiLevelType w:val="multilevel"/>
    <w:tmpl w:val="05528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5C624B6"/>
    <w:multiLevelType w:val="multilevel"/>
    <w:tmpl w:val="40B49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98C6F90"/>
    <w:multiLevelType w:val="multilevel"/>
    <w:tmpl w:val="6AFA928A"/>
    <w:lvl w:ilvl="0">
      <w:start w:val="4"/>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3A3B2AA5"/>
    <w:multiLevelType w:val="hybridMultilevel"/>
    <w:tmpl w:val="870426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B9214B9"/>
    <w:multiLevelType w:val="multilevel"/>
    <w:tmpl w:val="6DD86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C6479CC"/>
    <w:multiLevelType w:val="multilevel"/>
    <w:tmpl w:val="BED20A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CDC7CE4"/>
    <w:multiLevelType w:val="multilevel"/>
    <w:tmpl w:val="3B0A3CA2"/>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3FB3000B"/>
    <w:multiLevelType w:val="multilevel"/>
    <w:tmpl w:val="CEC84928"/>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418D77D5"/>
    <w:multiLevelType w:val="multilevel"/>
    <w:tmpl w:val="08BA1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2864CC8"/>
    <w:multiLevelType w:val="multilevel"/>
    <w:tmpl w:val="A8A8AD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4B46E04"/>
    <w:multiLevelType w:val="multilevel"/>
    <w:tmpl w:val="B590DF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6BF5F97"/>
    <w:multiLevelType w:val="multilevel"/>
    <w:tmpl w:val="E2880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AD92139"/>
    <w:multiLevelType w:val="multilevel"/>
    <w:tmpl w:val="728A798C"/>
    <w:lvl w:ilvl="0">
      <w:start w:val="4"/>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4AF261EA"/>
    <w:multiLevelType w:val="multilevel"/>
    <w:tmpl w:val="15E8B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BEB3FD0"/>
    <w:multiLevelType w:val="hybridMultilevel"/>
    <w:tmpl w:val="7DAE2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06A26D3"/>
    <w:multiLevelType w:val="multilevel"/>
    <w:tmpl w:val="40E89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25675C9"/>
    <w:multiLevelType w:val="multilevel"/>
    <w:tmpl w:val="CEC84928"/>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54B85B7C"/>
    <w:multiLevelType w:val="hybridMultilevel"/>
    <w:tmpl w:val="C55877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7424A7F"/>
    <w:multiLevelType w:val="multilevel"/>
    <w:tmpl w:val="550C45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58684804"/>
    <w:multiLevelType w:val="multilevel"/>
    <w:tmpl w:val="F16ECC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58D07762"/>
    <w:multiLevelType w:val="multilevel"/>
    <w:tmpl w:val="61A44C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954437E"/>
    <w:multiLevelType w:val="hybridMultilevel"/>
    <w:tmpl w:val="038A27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C877118"/>
    <w:multiLevelType w:val="multilevel"/>
    <w:tmpl w:val="0AF4A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FD41467"/>
    <w:multiLevelType w:val="multilevel"/>
    <w:tmpl w:val="DE0E8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0AC6FD7"/>
    <w:multiLevelType w:val="hybridMultilevel"/>
    <w:tmpl w:val="D5BE7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17B79FC"/>
    <w:multiLevelType w:val="multilevel"/>
    <w:tmpl w:val="3B908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61E8404E"/>
    <w:multiLevelType w:val="multilevel"/>
    <w:tmpl w:val="3DDED6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53B4977"/>
    <w:multiLevelType w:val="multilevel"/>
    <w:tmpl w:val="37703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66AE5F03"/>
    <w:multiLevelType w:val="multilevel"/>
    <w:tmpl w:val="967CB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67DD44AD"/>
    <w:multiLevelType w:val="multilevel"/>
    <w:tmpl w:val="C6205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69C74740"/>
    <w:multiLevelType w:val="multilevel"/>
    <w:tmpl w:val="57B67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6A9F2FD1"/>
    <w:multiLevelType w:val="multilevel"/>
    <w:tmpl w:val="9ECEB384"/>
    <w:lvl w:ilvl="0">
      <w:start w:val="1"/>
      <w:numFmt w:val="decimal"/>
      <w:lvlText w:val="%1."/>
      <w:lvlJc w:val="left"/>
      <w:pPr>
        <w:ind w:left="360" w:hanging="360"/>
      </w:pPr>
      <w:rPr>
        <w:rFonts w:hint="default"/>
      </w:rPr>
    </w:lvl>
    <w:lvl w:ilvl="1">
      <w:start w:val="1"/>
      <w:numFmt w:val="decimal"/>
      <w:lvlText w:val="%1.%2."/>
      <w:lvlJc w:val="left"/>
      <w:pPr>
        <w:ind w:left="720" w:hanging="720"/>
      </w:pPr>
      <w:rPr>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59" w15:restartNumberingAfterBreak="0">
    <w:nsid w:val="6B917A20"/>
    <w:multiLevelType w:val="multilevel"/>
    <w:tmpl w:val="E1D408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6BA2743B"/>
    <w:multiLevelType w:val="multilevel"/>
    <w:tmpl w:val="7F9021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6DFD5318"/>
    <w:multiLevelType w:val="multilevel"/>
    <w:tmpl w:val="13669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6FF01533"/>
    <w:multiLevelType w:val="hybridMultilevel"/>
    <w:tmpl w:val="5332FBC8"/>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1A926D9"/>
    <w:multiLevelType w:val="multilevel"/>
    <w:tmpl w:val="37E24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72D11189"/>
    <w:multiLevelType w:val="multilevel"/>
    <w:tmpl w:val="B69AC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73D32C7F"/>
    <w:multiLevelType w:val="multilevel"/>
    <w:tmpl w:val="8CD66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765A274E"/>
    <w:multiLevelType w:val="hybridMultilevel"/>
    <w:tmpl w:val="B12A336A"/>
    <w:lvl w:ilvl="0" w:tplc="A5B6BF18">
      <w:numFmt w:val="bullet"/>
      <w:lvlText w:val=""/>
      <w:lvlJc w:val="left"/>
      <w:pPr>
        <w:ind w:left="900" w:hanging="54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93D761A"/>
    <w:multiLevelType w:val="multilevel"/>
    <w:tmpl w:val="1C868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799F1320"/>
    <w:multiLevelType w:val="multilevel"/>
    <w:tmpl w:val="B28C2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7A642DCF"/>
    <w:multiLevelType w:val="multilevel"/>
    <w:tmpl w:val="30BE4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B163EE1"/>
    <w:multiLevelType w:val="multilevel"/>
    <w:tmpl w:val="F4FAAA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B8A24F1"/>
    <w:multiLevelType w:val="multilevel"/>
    <w:tmpl w:val="C826E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7C0C3C88"/>
    <w:multiLevelType w:val="multilevel"/>
    <w:tmpl w:val="C66A66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7C6870B7"/>
    <w:multiLevelType w:val="multilevel"/>
    <w:tmpl w:val="FA88B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7E957DD1"/>
    <w:multiLevelType w:val="multilevel"/>
    <w:tmpl w:val="15BAD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7FB21202"/>
    <w:multiLevelType w:val="hybridMultilevel"/>
    <w:tmpl w:val="205CC2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75812791">
    <w:abstractNumId w:val="58"/>
  </w:num>
  <w:num w:numId="2" w16cid:durableId="207618235">
    <w:abstractNumId w:val="36"/>
  </w:num>
  <w:num w:numId="3" w16cid:durableId="1023095770">
    <w:abstractNumId w:val="20"/>
  </w:num>
  <w:num w:numId="4" w16cid:durableId="1534268707">
    <w:abstractNumId w:val="68"/>
  </w:num>
  <w:num w:numId="5" w16cid:durableId="1130901966">
    <w:abstractNumId w:val="48"/>
  </w:num>
  <w:num w:numId="6" w16cid:durableId="966663302">
    <w:abstractNumId w:val="67"/>
  </w:num>
  <w:num w:numId="7" w16cid:durableId="1273169316">
    <w:abstractNumId w:val="33"/>
  </w:num>
  <w:num w:numId="8" w16cid:durableId="60910094">
    <w:abstractNumId w:val="51"/>
  </w:num>
  <w:num w:numId="9" w16cid:durableId="198275088">
    <w:abstractNumId w:val="66"/>
  </w:num>
  <w:num w:numId="10" w16cid:durableId="1789884075">
    <w:abstractNumId w:val="52"/>
  </w:num>
  <w:num w:numId="11" w16cid:durableId="283853698">
    <w:abstractNumId w:val="9"/>
  </w:num>
  <w:num w:numId="12" w16cid:durableId="1974095184">
    <w:abstractNumId w:val="18"/>
  </w:num>
  <w:num w:numId="13" w16cid:durableId="862667545">
    <w:abstractNumId w:val="34"/>
  </w:num>
  <w:num w:numId="14" w16cid:durableId="872226407">
    <w:abstractNumId w:val="49"/>
  </w:num>
  <w:num w:numId="15" w16cid:durableId="106436794">
    <w:abstractNumId w:val="16"/>
  </w:num>
  <w:num w:numId="16" w16cid:durableId="1707948344">
    <w:abstractNumId w:val="43"/>
  </w:num>
  <w:num w:numId="17" w16cid:durableId="597714748">
    <w:abstractNumId w:val="22"/>
  </w:num>
  <w:num w:numId="18" w16cid:durableId="390353139">
    <w:abstractNumId w:val="61"/>
  </w:num>
  <w:num w:numId="19" w16cid:durableId="413864173">
    <w:abstractNumId w:val="35"/>
  </w:num>
  <w:num w:numId="20" w16cid:durableId="1331450775">
    <w:abstractNumId w:val="13"/>
  </w:num>
  <w:num w:numId="21" w16cid:durableId="1697929318">
    <w:abstractNumId w:val="3"/>
  </w:num>
  <w:num w:numId="22" w16cid:durableId="490756879">
    <w:abstractNumId w:val="12"/>
  </w:num>
  <w:num w:numId="23" w16cid:durableId="829061840">
    <w:abstractNumId w:val="41"/>
  </w:num>
  <w:num w:numId="24" w16cid:durableId="1287934857">
    <w:abstractNumId w:val="75"/>
  </w:num>
  <w:num w:numId="25" w16cid:durableId="604387521">
    <w:abstractNumId w:val="29"/>
  </w:num>
  <w:num w:numId="26" w16cid:durableId="299189731">
    <w:abstractNumId w:val="42"/>
  </w:num>
  <w:num w:numId="27" w16cid:durableId="1969626972">
    <w:abstractNumId w:val="53"/>
  </w:num>
  <w:num w:numId="28" w16cid:durableId="1453985733">
    <w:abstractNumId w:val="38"/>
  </w:num>
  <w:num w:numId="29" w16cid:durableId="268896700">
    <w:abstractNumId w:val="27"/>
  </w:num>
  <w:num w:numId="30" w16cid:durableId="1431507678">
    <w:abstractNumId w:val="21"/>
  </w:num>
  <w:num w:numId="31" w16cid:durableId="891700092">
    <w:abstractNumId w:val="5"/>
  </w:num>
  <w:num w:numId="32" w16cid:durableId="1978029136">
    <w:abstractNumId w:val="25"/>
  </w:num>
  <w:num w:numId="33" w16cid:durableId="307243950">
    <w:abstractNumId w:val="31"/>
  </w:num>
  <w:num w:numId="34" w16cid:durableId="1687558644">
    <w:abstractNumId w:val="0"/>
  </w:num>
  <w:num w:numId="35" w16cid:durableId="715397257">
    <w:abstractNumId w:val="57"/>
  </w:num>
  <w:num w:numId="36" w16cid:durableId="384526232">
    <w:abstractNumId w:val="4"/>
  </w:num>
  <w:num w:numId="37" w16cid:durableId="1255046688">
    <w:abstractNumId w:val="73"/>
  </w:num>
  <w:num w:numId="38" w16cid:durableId="507794473">
    <w:abstractNumId w:val="59"/>
  </w:num>
  <w:num w:numId="39" w16cid:durableId="1834641889">
    <w:abstractNumId w:val="60"/>
  </w:num>
  <w:num w:numId="40" w16cid:durableId="149518921">
    <w:abstractNumId w:val="11"/>
  </w:num>
  <w:num w:numId="41" w16cid:durableId="752701339">
    <w:abstractNumId w:val="62"/>
  </w:num>
  <w:num w:numId="42" w16cid:durableId="457725171">
    <w:abstractNumId w:val="30"/>
  </w:num>
  <w:num w:numId="43" w16cid:durableId="1059980062">
    <w:abstractNumId w:val="44"/>
  </w:num>
  <w:num w:numId="44" w16cid:durableId="1992831466">
    <w:abstractNumId w:val="15"/>
  </w:num>
  <w:num w:numId="45" w16cid:durableId="1031301009">
    <w:abstractNumId w:val="40"/>
  </w:num>
  <w:num w:numId="46" w16cid:durableId="721557517">
    <w:abstractNumId w:val="65"/>
  </w:num>
  <w:num w:numId="47" w16cid:durableId="84956512">
    <w:abstractNumId w:val="55"/>
  </w:num>
  <w:num w:numId="48" w16cid:durableId="912354931">
    <w:abstractNumId w:val="74"/>
  </w:num>
  <w:num w:numId="49" w16cid:durableId="2062095407">
    <w:abstractNumId w:val="64"/>
  </w:num>
  <w:num w:numId="50" w16cid:durableId="352803600">
    <w:abstractNumId w:val="71"/>
  </w:num>
  <w:num w:numId="51" w16cid:durableId="107238331">
    <w:abstractNumId w:val="37"/>
  </w:num>
  <w:num w:numId="52" w16cid:durableId="1488129083">
    <w:abstractNumId w:val="54"/>
  </w:num>
  <w:num w:numId="53" w16cid:durableId="1794253399">
    <w:abstractNumId w:val="50"/>
  </w:num>
  <w:num w:numId="54" w16cid:durableId="1402828432">
    <w:abstractNumId w:val="7"/>
  </w:num>
  <w:num w:numId="55" w16cid:durableId="2076664581">
    <w:abstractNumId w:val="32"/>
  </w:num>
  <w:num w:numId="56" w16cid:durableId="1359046333">
    <w:abstractNumId w:val="10"/>
  </w:num>
  <w:num w:numId="57" w16cid:durableId="1425685588">
    <w:abstractNumId w:val="28"/>
  </w:num>
  <w:num w:numId="58" w16cid:durableId="1172642314">
    <w:abstractNumId w:val="8"/>
  </w:num>
  <w:num w:numId="59" w16cid:durableId="883642773">
    <w:abstractNumId w:val="26"/>
  </w:num>
  <w:num w:numId="60" w16cid:durableId="612246554">
    <w:abstractNumId w:val="69"/>
  </w:num>
  <w:num w:numId="61" w16cid:durableId="547110125">
    <w:abstractNumId w:val="23"/>
  </w:num>
  <w:num w:numId="62" w16cid:durableId="217324421">
    <w:abstractNumId w:val="6"/>
  </w:num>
  <w:num w:numId="63" w16cid:durableId="780338823">
    <w:abstractNumId w:val="72"/>
  </w:num>
  <w:num w:numId="64" w16cid:durableId="1806965433">
    <w:abstractNumId w:val="19"/>
  </w:num>
  <w:num w:numId="65" w16cid:durableId="538589575">
    <w:abstractNumId w:val="46"/>
  </w:num>
  <w:num w:numId="66" w16cid:durableId="1433210072">
    <w:abstractNumId w:val="17"/>
  </w:num>
  <w:num w:numId="67" w16cid:durableId="2003582568">
    <w:abstractNumId w:val="70"/>
  </w:num>
  <w:num w:numId="68" w16cid:durableId="455952132">
    <w:abstractNumId w:val="47"/>
  </w:num>
  <w:num w:numId="69" w16cid:durableId="190916495">
    <w:abstractNumId w:val="24"/>
  </w:num>
  <w:num w:numId="70" w16cid:durableId="1895464056">
    <w:abstractNumId w:val="45"/>
  </w:num>
  <w:num w:numId="71" w16cid:durableId="1455514143">
    <w:abstractNumId w:val="56"/>
  </w:num>
  <w:num w:numId="72" w16cid:durableId="845754501">
    <w:abstractNumId w:val="2"/>
  </w:num>
  <w:num w:numId="73" w16cid:durableId="1279138800">
    <w:abstractNumId w:val="14"/>
  </w:num>
  <w:num w:numId="74" w16cid:durableId="696733921">
    <w:abstractNumId w:val="63"/>
  </w:num>
  <w:num w:numId="75" w16cid:durableId="946543215">
    <w:abstractNumId w:val="1"/>
  </w:num>
  <w:num w:numId="76" w16cid:durableId="625703189">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9"/>
  <w:defaultTabStop w:val="720"/>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2CAB"/>
    <w:rsid w:val="00003968"/>
    <w:rsid w:val="00020BA9"/>
    <w:rsid w:val="00050339"/>
    <w:rsid w:val="00075043"/>
    <w:rsid w:val="000871C9"/>
    <w:rsid w:val="00090571"/>
    <w:rsid w:val="00097DD4"/>
    <w:rsid w:val="000C2A8C"/>
    <w:rsid w:val="000C42BF"/>
    <w:rsid w:val="000F3CAD"/>
    <w:rsid w:val="000F6FFD"/>
    <w:rsid w:val="00102B9C"/>
    <w:rsid w:val="00106B46"/>
    <w:rsid w:val="00130FEA"/>
    <w:rsid w:val="00146746"/>
    <w:rsid w:val="001804DB"/>
    <w:rsid w:val="00182836"/>
    <w:rsid w:val="001A6E35"/>
    <w:rsid w:val="001B0164"/>
    <w:rsid w:val="001B3C78"/>
    <w:rsid w:val="001C028F"/>
    <w:rsid w:val="001C1981"/>
    <w:rsid w:val="001C1C35"/>
    <w:rsid w:val="001D0099"/>
    <w:rsid w:val="001F2920"/>
    <w:rsid w:val="001F7A12"/>
    <w:rsid w:val="002313BC"/>
    <w:rsid w:val="00234A11"/>
    <w:rsid w:val="0024566F"/>
    <w:rsid w:val="00246F21"/>
    <w:rsid w:val="002B2BF8"/>
    <w:rsid w:val="002E2CAB"/>
    <w:rsid w:val="0031042C"/>
    <w:rsid w:val="00312922"/>
    <w:rsid w:val="003240DA"/>
    <w:rsid w:val="00336592"/>
    <w:rsid w:val="0034337A"/>
    <w:rsid w:val="003518C4"/>
    <w:rsid w:val="00370CC1"/>
    <w:rsid w:val="003862E5"/>
    <w:rsid w:val="003867DE"/>
    <w:rsid w:val="003B0C6D"/>
    <w:rsid w:val="003B66BF"/>
    <w:rsid w:val="003D7328"/>
    <w:rsid w:val="003F4897"/>
    <w:rsid w:val="0040290F"/>
    <w:rsid w:val="004166AF"/>
    <w:rsid w:val="00425AFE"/>
    <w:rsid w:val="00436D7A"/>
    <w:rsid w:val="00485678"/>
    <w:rsid w:val="004C51A7"/>
    <w:rsid w:val="004C7C75"/>
    <w:rsid w:val="00526BD4"/>
    <w:rsid w:val="005332D8"/>
    <w:rsid w:val="0056584B"/>
    <w:rsid w:val="00573B0D"/>
    <w:rsid w:val="00573E31"/>
    <w:rsid w:val="005A37D4"/>
    <w:rsid w:val="005B3D05"/>
    <w:rsid w:val="005B600C"/>
    <w:rsid w:val="005B65AF"/>
    <w:rsid w:val="005C4572"/>
    <w:rsid w:val="00601E87"/>
    <w:rsid w:val="006077FC"/>
    <w:rsid w:val="00615357"/>
    <w:rsid w:val="00622973"/>
    <w:rsid w:val="00632E5C"/>
    <w:rsid w:val="00642707"/>
    <w:rsid w:val="0065576C"/>
    <w:rsid w:val="00656EDB"/>
    <w:rsid w:val="006873E6"/>
    <w:rsid w:val="0069535C"/>
    <w:rsid w:val="006C48D0"/>
    <w:rsid w:val="006E59A8"/>
    <w:rsid w:val="006E6F7F"/>
    <w:rsid w:val="006F031C"/>
    <w:rsid w:val="006F0E30"/>
    <w:rsid w:val="0070624E"/>
    <w:rsid w:val="00722C57"/>
    <w:rsid w:val="00762FA8"/>
    <w:rsid w:val="00770DF2"/>
    <w:rsid w:val="00773B7A"/>
    <w:rsid w:val="00795321"/>
    <w:rsid w:val="007A142C"/>
    <w:rsid w:val="007B5F1D"/>
    <w:rsid w:val="007C3A02"/>
    <w:rsid w:val="00802509"/>
    <w:rsid w:val="00806F3F"/>
    <w:rsid w:val="00826AB5"/>
    <w:rsid w:val="00830AFD"/>
    <w:rsid w:val="008568AF"/>
    <w:rsid w:val="00857A1E"/>
    <w:rsid w:val="00881A04"/>
    <w:rsid w:val="008931B0"/>
    <w:rsid w:val="008941DA"/>
    <w:rsid w:val="008B0431"/>
    <w:rsid w:val="008B747D"/>
    <w:rsid w:val="008D1FB8"/>
    <w:rsid w:val="008F2864"/>
    <w:rsid w:val="00907111"/>
    <w:rsid w:val="009334D5"/>
    <w:rsid w:val="00934046"/>
    <w:rsid w:val="00942CAB"/>
    <w:rsid w:val="00956510"/>
    <w:rsid w:val="00963144"/>
    <w:rsid w:val="00971ED2"/>
    <w:rsid w:val="00987742"/>
    <w:rsid w:val="009A2325"/>
    <w:rsid w:val="009A3042"/>
    <w:rsid w:val="009C30D3"/>
    <w:rsid w:val="009D718C"/>
    <w:rsid w:val="00A11186"/>
    <w:rsid w:val="00A6225B"/>
    <w:rsid w:val="00A74302"/>
    <w:rsid w:val="00A968A6"/>
    <w:rsid w:val="00A96AE8"/>
    <w:rsid w:val="00AB2A61"/>
    <w:rsid w:val="00AB3A26"/>
    <w:rsid w:val="00AC55A8"/>
    <w:rsid w:val="00AC61BA"/>
    <w:rsid w:val="00AE5D32"/>
    <w:rsid w:val="00B05EBA"/>
    <w:rsid w:val="00B210AF"/>
    <w:rsid w:val="00B62F27"/>
    <w:rsid w:val="00B70A6F"/>
    <w:rsid w:val="00B70C13"/>
    <w:rsid w:val="00B77871"/>
    <w:rsid w:val="00B84A9E"/>
    <w:rsid w:val="00BA2EEB"/>
    <w:rsid w:val="00BA7446"/>
    <w:rsid w:val="00BB40CF"/>
    <w:rsid w:val="00BD252F"/>
    <w:rsid w:val="00BF79A7"/>
    <w:rsid w:val="00C3497F"/>
    <w:rsid w:val="00C43D66"/>
    <w:rsid w:val="00C57CFF"/>
    <w:rsid w:val="00C61DC2"/>
    <w:rsid w:val="00C75903"/>
    <w:rsid w:val="00C7763B"/>
    <w:rsid w:val="00CA1A5A"/>
    <w:rsid w:val="00CD5F16"/>
    <w:rsid w:val="00D14DBA"/>
    <w:rsid w:val="00D159D0"/>
    <w:rsid w:val="00D27432"/>
    <w:rsid w:val="00D379A8"/>
    <w:rsid w:val="00D40751"/>
    <w:rsid w:val="00D4445A"/>
    <w:rsid w:val="00D64788"/>
    <w:rsid w:val="00D76FA3"/>
    <w:rsid w:val="00D93B08"/>
    <w:rsid w:val="00D95DEE"/>
    <w:rsid w:val="00DB4B71"/>
    <w:rsid w:val="00DD4463"/>
    <w:rsid w:val="00DD5C58"/>
    <w:rsid w:val="00E02DF8"/>
    <w:rsid w:val="00E03DCA"/>
    <w:rsid w:val="00E06BEC"/>
    <w:rsid w:val="00E224C4"/>
    <w:rsid w:val="00E22747"/>
    <w:rsid w:val="00E62D7D"/>
    <w:rsid w:val="00E64396"/>
    <w:rsid w:val="00E82883"/>
    <w:rsid w:val="00E90C36"/>
    <w:rsid w:val="00EA0880"/>
    <w:rsid w:val="00EB4701"/>
    <w:rsid w:val="00EE400D"/>
    <w:rsid w:val="00EF163D"/>
    <w:rsid w:val="00F26DBD"/>
    <w:rsid w:val="00F31DC8"/>
    <w:rsid w:val="00F42612"/>
    <w:rsid w:val="00F4423B"/>
    <w:rsid w:val="00F507C3"/>
    <w:rsid w:val="00F84F33"/>
    <w:rsid w:val="00FB2221"/>
    <w:rsid w:val="00FC0C12"/>
    <w:rsid w:val="00FE2082"/>
    <w:rsid w:val="00FE39A8"/>
    <w:rsid w:val="00FF23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7CEE21"/>
  <w14:defaultImageDpi w14:val="32767"/>
  <w15:chartTrackingRefBased/>
  <w15:docId w15:val="{D1CC1337-618E-164D-9220-100FA50F52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B66BF"/>
    <w:rPr>
      <w:rFonts w:ascii="Times New Roman" w:eastAsia="Times New Roman" w:hAnsi="Times New Roman" w:cs="Times New Roman"/>
      <w:kern w:val="0"/>
      <w14:ligatures w14:val="none"/>
    </w:rPr>
  </w:style>
  <w:style w:type="paragraph" w:styleId="Heading1">
    <w:name w:val="heading 1"/>
    <w:basedOn w:val="Normal"/>
    <w:next w:val="Normal"/>
    <w:link w:val="Heading1Char"/>
    <w:autoRedefine/>
    <w:uiPriority w:val="9"/>
    <w:qFormat/>
    <w:rsid w:val="00FC0C12"/>
    <w:pPr>
      <w:keepNext/>
      <w:spacing w:before="240" w:after="240"/>
      <w:ind w:left="360" w:hanging="360"/>
      <w:jc w:val="both"/>
      <w:outlineLvl w:val="0"/>
    </w:pPr>
    <w:rPr>
      <w:rFonts w:ascii="Arial" w:eastAsiaTheme="majorEastAsia" w:hAnsi="Arial" w:cs="Arial"/>
      <w:b/>
      <w:bCs/>
      <w:sz w:val="32"/>
      <w:szCs w:val="32"/>
    </w:rPr>
  </w:style>
  <w:style w:type="paragraph" w:styleId="Heading2">
    <w:name w:val="heading 2"/>
    <w:basedOn w:val="Normal"/>
    <w:next w:val="Normal"/>
    <w:link w:val="Heading2Char"/>
    <w:uiPriority w:val="9"/>
    <w:unhideWhenUsed/>
    <w:qFormat/>
    <w:rsid w:val="002E2CA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3867DE"/>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D379A8"/>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0C12"/>
    <w:rPr>
      <w:rFonts w:ascii="Arial" w:eastAsiaTheme="majorEastAsia" w:hAnsi="Arial" w:cs="Arial"/>
      <w:b/>
      <w:bCs/>
      <w:sz w:val="32"/>
      <w:szCs w:val="32"/>
    </w:rPr>
  </w:style>
  <w:style w:type="paragraph" w:styleId="NormalWeb">
    <w:name w:val="Normal (Web)"/>
    <w:basedOn w:val="Normal"/>
    <w:uiPriority w:val="99"/>
    <w:unhideWhenUsed/>
    <w:rsid w:val="002E2CAB"/>
    <w:pPr>
      <w:spacing w:before="100" w:beforeAutospacing="1" w:after="100" w:afterAutospacing="1"/>
    </w:pPr>
  </w:style>
  <w:style w:type="character" w:customStyle="1" w:styleId="Heading2Char">
    <w:name w:val="Heading 2 Char"/>
    <w:basedOn w:val="DefaultParagraphFont"/>
    <w:link w:val="Heading2"/>
    <w:uiPriority w:val="9"/>
    <w:rsid w:val="002E2CAB"/>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3867DE"/>
    <w:rPr>
      <w:rFonts w:asciiTheme="majorHAnsi" w:eastAsiaTheme="majorEastAsia" w:hAnsiTheme="majorHAnsi" w:cstheme="majorBidi"/>
      <w:color w:val="1F3763" w:themeColor="accent1" w:themeShade="7F"/>
    </w:rPr>
  </w:style>
  <w:style w:type="character" w:styleId="Strong">
    <w:name w:val="Strong"/>
    <w:basedOn w:val="DefaultParagraphFont"/>
    <w:uiPriority w:val="22"/>
    <w:qFormat/>
    <w:rsid w:val="003867DE"/>
    <w:rPr>
      <w:b/>
      <w:bCs/>
    </w:rPr>
  </w:style>
  <w:style w:type="character" w:styleId="Emphasis">
    <w:name w:val="Emphasis"/>
    <w:basedOn w:val="DefaultParagraphFont"/>
    <w:uiPriority w:val="20"/>
    <w:qFormat/>
    <w:rsid w:val="003867DE"/>
    <w:rPr>
      <w:i/>
      <w:iCs/>
    </w:rPr>
  </w:style>
  <w:style w:type="character" w:styleId="Hyperlink">
    <w:name w:val="Hyperlink"/>
    <w:basedOn w:val="DefaultParagraphFont"/>
    <w:uiPriority w:val="99"/>
    <w:unhideWhenUsed/>
    <w:rsid w:val="003867DE"/>
    <w:rPr>
      <w:color w:val="0000FF"/>
      <w:u w:val="single"/>
    </w:rPr>
  </w:style>
  <w:style w:type="paragraph" w:styleId="NoSpacing">
    <w:name w:val="No Spacing"/>
    <w:uiPriority w:val="1"/>
    <w:qFormat/>
    <w:rsid w:val="003867DE"/>
  </w:style>
  <w:style w:type="character" w:styleId="UnresolvedMention">
    <w:name w:val="Unresolved Mention"/>
    <w:basedOn w:val="DefaultParagraphFont"/>
    <w:uiPriority w:val="99"/>
    <w:rsid w:val="00F26DBD"/>
    <w:rPr>
      <w:color w:val="605E5C"/>
      <w:shd w:val="clear" w:color="auto" w:fill="E1DFDD"/>
    </w:rPr>
  </w:style>
  <w:style w:type="paragraph" w:styleId="Caption">
    <w:name w:val="caption"/>
    <w:aliases w:val="Caption - Figure,Caption-Table,Char"/>
    <w:basedOn w:val="Normal"/>
    <w:next w:val="Normal"/>
    <w:link w:val="CaptionChar"/>
    <w:uiPriority w:val="35"/>
    <w:unhideWhenUsed/>
    <w:qFormat/>
    <w:rsid w:val="00EF163D"/>
    <w:pPr>
      <w:spacing w:after="200"/>
    </w:pPr>
    <w:rPr>
      <w:i/>
      <w:iCs/>
      <w:color w:val="44546A" w:themeColor="text2"/>
      <w:sz w:val="18"/>
      <w:szCs w:val="18"/>
    </w:rPr>
  </w:style>
  <w:style w:type="character" w:styleId="FollowedHyperlink">
    <w:name w:val="FollowedHyperlink"/>
    <w:basedOn w:val="DefaultParagraphFont"/>
    <w:uiPriority w:val="99"/>
    <w:semiHidden/>
    <w:unhideWhenUsed/>
    <w:rsid w:val="00EB4701"/>
    <w:rPr>
      <w:color w:val="954F72" w:themeColor="followedHyperlink"/>
      <w:u w:val="single"/>
    </w:rPr>
  </w:style>
  <w:style w:type="character" w:customStyle="1" w:styleId="relative">
    <w:name w:val="relative"/>
    <w:basedOn w:val="DefaultParagraphFont"/>
    <w:rsid w:val="00573E31"/>
  </w:style>
  <w:style w:type="paragraph" w:customStyle="1" w:styleId="not-prose">
    <w:name w:val="not-prose"/>
    <w:basedOn w:val="Normal"/>
    <w:rsid w:val="00573E31"/>
    <w:pPr>
      <w:spacing w:before="100" w:beforeAutospacing="1" w:after="100" w:afterAutospacing="1"/>
    </w:pPr>
  </w:style>
  <w:style w:type="paragraph" w:styleId="ListParagraph">
    <w:name w:val="List Paragraph"/>
    <w:basedOn w:val="Normal"/>
    <w:uiPriority w:val="34"/>
    <w:qFormat/>
    <w:rsid w:val="00573E31"/>
    <w:pPr>
      <w:ind w:left="720"/>
      <w:contextualSpacing/>
    </w:pPr>
  </w:style>
  <w:style w:type="character" w:customStyle="1" w:styleId="Heading4Char">
    <w:name w:val="Heading 4 Char"/>
    <w:basedOn w:val="DefaultParagraphFont"/>
    <w:link w:val="Heading4"/>
    <w:uiPriority w:val="9"/>
    <w:rsid w:val="00D379A8"/>
    <w:rPr>
      <w:rFonts w:asciiTheme="majorHAnsi" w:eastAsiaTheme="majorEastAsia" w:hAnsiTheme="majorHAnsi" w:cstheme="majorBidi"/>
      <w:i/>
      <w:iCs/>
      <w:color w:val="2F5496" w:themeColor="accent1" w:themeShade="BF"/>
    </w:rPr>
  </w:style>
  <w:style w:type="paragraph" w:styleId="Header">
    <w:name w:val="header"/>
    <w:basedOn w:val="Normal"/>
    <w:link w:val="HeaderChar"/>
    <w:uiPriority w:val="99"/>
    <w:unhideWhenUsed/>
    <w:rsid w:val="00020BA9"/>
    <w:pPr>
      <w:tabs>
        <w:tab w:val="center" w:pos="4680"/>
        <w:tab w:val="right" w:pos="9360"/>
      </w:tabs>
    </w:pPr>
  </w:style>
  <w:style w:type="character" w:customStyle="1" w:styleId="HeaderChar">
    <w:name w:val="Header Char"/>
    <w:basedOn w:val="DefaultParagraphFont"/>
    <w:link w:val="Header"/>
    <w:uiPriority w:val="99"/>
    <w:rsid w:val="00020BA9"/>
  </w:style>
  <w:style w:type="paragraph" w:styleId="Footer">
    <w:name w:val="footer"/>
    <w:basedOn w:val="Normal"/>
    <w:link w:val="FooterChar"/>
    <w:uiPriority w:val="99"/>
    <w:unhideWhenUsed/>
    <w:rsid w:val="00020BA9"/>
    <w:pPr>
      <w:tabs>
        <w:tab w:val="center" w:pos="4680"/>
        <w:tab w:val="right" w:pos="9360"/>
      </w:tabs>
    </w:pPr>
  </w:style>
  <w:style w:type="character" w:customStyle="1" w:styleId="FooterChar">
    <w:name w:val="Footer Char"/>
    <w:basedOn w:val="DefaultParagraphFont"/>
    <w:link w:val="Footer"/>
    <w:uiPriority w:val="99"/>
    <w:rsid w:val="00020BA9"/>
  </w:style>
  <w:style w:type="character" w:styleId="PageNumber">
    <w:name w:val="page number"/>
    <w:basedOn w:val="DefaultParagraphFont"/>
    <w:uiPriority w:val="99"/>
    <w:semiHidden/>
    <w:unhideWhenUsed/>
    <w:rsid w:val="00020BA9"/>
  </w:style>
  <w:style w:type="character" w:customStyle="1" w:styleId="katex-mathml">
    <w:name w:val="katex-mathml"/>
    <w:basedOn w:val="DefaultParagraphFont"/>
    <w:rsid w:val="00090571"/>
  </w:style>
  <w:style w:type="character" w:customStyle="1" w:styleId="mord">
    <w:name w:val="mord"/>
    <w:basedOn w:val="DefaultParagraphFont"/>
    <w:rsid w:val="00090571"/>
  </w:style>
  <w:style w:type="character" w:customStyle="1" w:styleId="mrel">
    <w:name w:val="mrel"/>
    <w:basedOn w:val="DefaultParagraphFont"/>
    <w:rsid w:val="00090571"/>
  </w:style>
  <w:style w:type="character" w:customStyle="1" w:styleId="vlist-s">
    <w:name w:val="vlist-s"/>
    <w:basedOn w:val="DefaultParagraphFont"/>
    <w:rsid w:val="00090571"/>
  </w:style>
  <w:style w:type="character" w:customStyle="1" w:styleId="mbin">
    <w:name w:val="mbin"/>
    <w:basedOn w:val="DefaultParagraphFont"/>
    <w:rsid w:val="00090571"/>
  </w:style>
  <w:style w:type="table" w:styleId="GridTable1Light-Accent5">
    <w:name w:val="Grid Table 1 Light Accent 5"/>
    <w:basedOn w:val="TableNormal"/>
    <w:uiPriority w:val="46"/>
    <w:rsid w:val="00F31DC8"/>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paragraph" w:styleId="TOCHeading">
    <w:name w:val="TOC Heading"/>
    <w:basedOn w:val="Heading1"/>
    <w:next w:val="Normal"/>
    <w:uiPriority w:val="39"/>
    <w:unhideWhenUsed/>
    <w:qFormat/>
    <w:rsid w:val="00246F21"/>
    <w:pPr>
      <w:keepLines/>
      <w:spacing w:before="480" w:after="0" w:line="276" w:lineRule="auto"/>
      <w:ind w:left="0" w:firstLine="0"/>
      <w:jc w:val="left"/>
      <w:outlineLvl w:val="9"/>
    </w:pPr>
    <w:rPr>
      <w:rFonts w:asciiTheme="majorHAnsi" w:hAnsiTheme="majorHAnsi" w:cstheme="majorBidi"/>
      <w:color w:val="2F5496" w:themeColor="accent1" w:themeShade="BF"/>
      <w:sz w:val="28"/>
      <w:szCs w:val="28"/>
    </w:rPr>
  </w:style>
  <w:style w:type="paragraph" w:styleId="TOC1">
    <w:name w:val="toc 1"/>
    <w:basedOn w:val="Normal"/>
    <w:next w:val="Normal"/>
    <w:autoRedefine/>
    <w:uiPriority w:val="39"/>
    <w:unhideWhenUsed/>
    <w:rsid w:val="00246F21"/>
    <w:pPr>
      <w:spacing w:before="120"/>
    </w:pPr>
    <w:rPr>
      <w:rFonts w:cstheme="minorHAnsi"/>
      <w:b/>
      <w:bCs/>
      <w:i/>
      <w:iCs/>
    </w:rPr>
  </w:style>
  <w:style w:type="paragraph" w:styleId="TOC2">
    <w:name w:val="toc 2"/>
    <w:basedOn w:val="Normal"/>
    <w:next w:val="Normal"/>
    <w:autoRedefine/>
    <w:uiPriority w:val="39"/>
    <w:unhideWhenUsed/>
    <w:rsid w:val="00246F21"/>
    <w:pPr>
      <w:spacing w:before="120"/>
      <w:ind w:left="240"/>
    </w:pPr>
    <w:rPr>
      <w:rFonts w:cstheme="minorHAnsi"/>
      <w:b/>
      <w:bCs/>
      <w:sz w:val="22"/>
      <w:szCs w:val="22"/>
    </w:rPr>
  </w:style>
  <w:style w:type="paragraph" w:styleId="TOC3">
    <w:name w:val="toc 3"/>
    <w:basedOn w:val="Normal"/>
    <w:next w:val="Normal"/>
    <w:autoRedefine/>
    <w:uiPriority w:val="39"/>
    <w:unhideWhenUsed/>
    <w:rsid w:val="00246F21"/>
    <w:pPr>
      <w:ind w:left="480"/>
    </w:pPr>
    <w:rPr>
      <w:rFonts w:cstheme="minorHAnsi"/>
      <w:sz w:val="20"/>
      <w:szCs w:val="20"/>
    </w:rPr>
  </w:style>
  <w:style w:type="paragraph" w:styleId="TOC4">
    <w:name w:val="toc 4"/>
    <w:basedOn w:val="Normal"/>
    <w:next w:val="Normal"/>
    <w:autoRedefine/>
    <w:uiPriority w:val="39"/>
    <w:semiHidden/>
    <w:unhideWhenUsed/>
    <w:rsid w:val="00246F21"/>
    <w:pPr>
      <w:ind w:left="720"/>
    </w:pPr>
    <w:rPr>
      <w:rFonts w:cstheme="minorHAnsi"/>
      <w:sz w:val="20"/>
      <w:szCs w:val="20"/>
    </w:rPr>
  </w:style>
  <w:style w:type="paragraph" w:styleId="TOC5">
    <w:name w:val="toc 5"/>
    <w:basedOn w:val="Normal"/>
    <w:next w:val="Normal"/>
    <w:autoRedefine/>
    <w:uiPriority w:val="39"/>
    <w:semiHidden/>
    <w:unhideWhenUsed/>
    <w:rsid w:val="00246F21"/>
    <w:pPr>
      <w:ind w:left="960"/>
    </w:pPr>
    <w:rPr>
      <w:rFonts w:cstheme="minorHAnsi"/>
      <w:sz w:val="20"/>
      <w:szCs w:val="20"/>
    </w:rPr>
  </w:style>
  <w:style w:type="paragraph" w:styleId="TOC6">
    <w:name w:val="toc 6"/>
    <w:basedOn w:val="Normal"/>
    <w:next w:val="Normal"/>
    <w:autoRedefine/>
    <w:uiPriority w:val="39"/>
    <w:semiHidden/>
    <w:unhideWhenUsed/>
    <w:rsid w:val="00246F21"/>
    <w:pPr>
      <w:ind w:left="1200"/>
    </w:pPr>
    <w:rPr>
      <w:rFonts w:cstheme="minorHAnsi"/>
      <w:sz w:val="20"/>
      <w:szCs w:val="20"/>
    </w:rPr>
  </w:style>
  <w:style w:type="paragraph" w:styleId="TOC7">
    <w:name w:val="toc 7"/>
    <w:basedOn w:val="Normal"/>
    <w:next w:val="Normal"/>
    <w:autoRedefine/>
    <w:uiPriority w:val="39"/>
    <w:semiHidden/>
    <w:unhideWhenUsed/>
    <w:rsid w:val="00246F21"/>
    <w:pPr>
      <w:ind w:left="1440"/>
    </w:pPr>
    <w:rPr>
      <w:rFonts w:cstheme="minorHAnsi"/>
      <w:sz w:val="20"/>
      <w:szCs w:val="20"/>
    </w:rPr>
  </w:style>
  <w:style w:type="paragraph" w:styleId="TOC8">
    <w:name w:val="toc 8"/>
    <w:basedOn w:val="Normal"/>
    <w:next w:val="Normal"/>
    <w:autoRedefine/>
    <w:uiPriority w:val="39"/>
    <w:semiHidden/>
    <w:unhideWhenUsed/>
    <w:rsid w:val="00246F21"/>
    <w:pPr>
      <w:ind w:left="1680"/>
    </w:pPr>
    <w:rPr>
      <w:rFonts w:cstheme="minorHAnsi"/>
      <w:sz w:val="20"/>
      <w:szCs w:val="20"/>
    </w:rPr>
  </w:style>
  <w:style w:type="paragraph" w:styleId="TOC9">
    <w:name w:val="toc 9"/>
    <w:basedOn w:val="Normal"/>
    <w:next w:val="Normal"/>
    <w:autoRedefine/>
    <w:uiPriority w:val="39"/>
    <w:semiHidden/>
    <w:unhideWhenUsed/>
    <w:rsid w:val="00246F21"/>
    <w:pPr>
      <w:ind w:left="1920"/>
    </w:pPr>
    <w:rPr>
      <w:rFonts w:cstheme="minorHAnsi"/>
      <w:sz w:val="20"/>
      <w:szCs w:val="20"/>
    </w:rPr>
  </w:style>
  <w:style w:type="paragraph" w:styleId="TableofFigures">
    <w:name w:val="table of figures"/>
    <w:basedOn w:val="Normal"/>
    <w:next w:val="Normal"/>
    <w:uiPriority w:val="99"/>
    <w:unhideWhenUsed/>
    <w:rsid w:val="00D64788"/>
  </w:style>
  <w:style w:type="character" w:customStyle="1" w:styleId="CaptionChar">
    <w:name w:val="Caption Char"/>
    <w:aliases w:val="Caption - Figure Char,Caption-Table Char,Char Char"/>
    <w:basedOn w:val="DefaultParagraphFont"/>
    <w:link w:val="Caption"/>
    <w:uiPriority w:val="35"/>
    <w:rsid w:val="00971ED2"/>
    <w:rPr>
      <w:i/>
      <w:iCs/>
      <w:color w:val="44546A" w:themeColor="text2"/>
      <w:sz w:val="18"/>
      <w:szCs w:val="18"/>
    </w:rPr>
  </w:style>
  <w:style w:type="character" w:styleId="CommentReference">
    <w:name w:val="annotation reference"/>
    <w:basedOn w:val="DefaultParagraphFont"/>
    <w:uiPriority w:val="99"/>
    <w:semiHidden/>
    <w:unhideWhenUsed/>
    <w:rsid w:val="000F3CAD"/>
    <w:rPr>
      <w:sz w:val="16"/>
      <w:szCs w:val="16"/>
    </w:rPr>
  </w:style>
  <w:style w:type="paragraph" w:styleId="CommentText">
    <w:name w:val="annotation text"/>
    <w:basedOn w:val="Normal"/>
    <w:link w:val="CommentTextChar"/>
    <w:uiPriority w:val="99"/>
    <w:semiHidden/>
    <w:unhideWhenUsed/>
    <w:rsid w:val="000F3CAD"/>
    <w:rPr>
      <w:sz w:val="20"/>
      <w:szCs w:val="20"/>
    </w:rPr>
  </w:style>
  <w:style w:type="character" w:customStyle="1" w:styleId="CommentTextChar">
    <w:name w:val="Comment Text Char"/>
    <w:basedOn w:val="DefaultParagraphFont"/>
    <w:link w:val="CommentText"/>
    <w:uiPriority w:val="99"/>
    <w:semiHidden/>
    <w:rsid w:val="000F3CAD"/>
    <w:rPr>
      <w:sz w:val="20"/>
      <w:szCs w:val="20"/>
    </w:rPr>
  </w:style>
  <w:style w:type="paragraph" w:styleId="CommentSubject">
    <w:name w:val="annotation subject"/>
    <w:basedOn w:val="CommentText"/>
    <w:next w:val="CommentText"/>
    <w:link w:val="CommentSubjectChar"/>
    <w:uiPriority w:val="99"/>
    <w:semiHidden/>
    <w:unhideWhenUsed/>
    <w:rsid w:val="000F3CAD"/>
    <w:rPr>
      <w:b/>
      <w:bCs/>
    </w:rPr>
  </w:style>
  <w:style w:type="character" w:customStyle="1" w:styleId="CommentSubjectChar">
    <w:name w:val="Comment Subject Char"/>
    <w:basedOn w:val="CommentTextChar"/>
    <w:link w:val="CommentSubject"/>
    <w:uiPriority w:val="99"/>
    <w:semiHidden/>
    <w:rsid w:val="000F3CAD"/>
    <w:rPr>
      <w:b/>
      <w:bCs/>
      <w:sz w:val="20"/>
      <w:szCs w:val="20"/>
    </w:rPr>
  </w:style>
  <w:style w:type="paragraph" w:styleId="Revision">
    <w:name w:val="Revision"/>
    <w:hidden/>
    <w:uiPriority w:val="99"/>
    <w:semiHidden/>
    <w:rsid w:val="000F3CAD"/>
  </w:style>
  <w:style w:type="table" w:styleId="GridTable4-Accent5">
    <w:name w:val="Grid Table 4 Accent 5"/>
    <w:basedOn w:val="TableNormal"/>
    <w:uiPriority w:val="49"/>
    <w:rsid w:val="007B5F1D"/>
    <w:rPr>
      <w:rFonts w:ascii="Times New Roman" w:hAnsi="Times New Roman"/>
      <w:sz w:val="26"/>
      <w:szCs w:val="22"/>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418176">
      <w:bodyDiv w:val="1"/>
      <w:marLeft w:val="0"/>
      <w:marRight w:val="0"/>
      <w:marTop w:val="0"/>
      <w:marBottom w:val="0"/>
      <w:divBdr>
        <w:top w:val="none" w:sz="0" w:space="0" w:color="auto"/>
        <w:left w:val="none" w:sz="0" w:space="0" w:color="auto"/>
        <w:bottom w:val="none" w:sz="0" w:space="0" w:color="auto"/>
        <w:right w:val="none" w:sz="0" w:space="0" w:color="auto"/>
      </w:divBdr>
    </w:div>
    <w:div w:id="70083397">
      <w:bodyDiv w:val="1"/>
      <w:marLeft w:val="0"/>
      <w:marRight w:val="0"/>
      <w:marTop w:val="0"/>
      <w:marBottom w:val="0"/>
      <w:divBdr>
        <w:top w:val="none" w:sz="0" w:space="0" w:color="auto"/>
        <w:left w:val="none" w:sz="0" w:space="0" w:color="auto"/>
        <w:bottom w:val="none" w:sz="0" w:space="0" w:color="auto"/>
        <w:right w:val="none" w:sz="0" w:space="0" w:color="auto"/>
      </w:divBdr>
    </w:div>
    <w:div w:id="87433220">
      <w:bodyDiv w:val="1"/>
      <w:marLeft w:val="0"/>
      <w:marRight w:val="0"/>
      <w:marTop w:val="0"/>
      <w:marBottom w:val="0"/>
      <w:divBdr>
        <w:top w:val="none" w:sz="0" w:space="0" w:color="auto"/>
        <w:left w:val="none" w:sz="0" w:space="0" w:color="auto"/>
        <w:bottom w:val="none" w:sz="0" w:space="0" w:color="auto"/>
        <w:right w:val="none" w:sz="0" w:space="0" w:color="auto"/>
      </w:divBdr>
      <w:divsChild>
        <w:div w:id="1009254854">
          <w:marLeft w:val="0"/>
          <w:marRight w:val="0"/>
          <w:marTop w:val="0"/>
          <w:marBottom w:val="0"/>
          <w:divBdr>
            <w:top w:val="none" w:sz="0" w:space="0" w:color="auto"/>
            <w:left w:val="none" w:sz="0" w:space="0" w:color="auto"/>
            <w:bottom w:val="none" w:sz="0" w:space="0" w:color="auto"/>
            <w:right w:val="none" w:sz="0" w:space="0" w:color="auto"/>
          </w:divBdr>
          <w:divsChild>
            <w:div w:id="598175173">
              <w:marLeft w:val="0"/>
              <w:marRight w:val="0"/>
              <w:marTop w:val="0"/>
              <w:marBottom w:val="0"/>
              <w:divBdr>
                <w:top w:val="none" w:sz="0" w:space="0" w:color="auto"/>
                <w:left w:val="none" w:sz="0" w:space="0" w:color="auto"/>
                <w:bottom w:val="none" w:sz="0" w:space="0" w:color="auto"/>
                <w:right w:val="none" w:sz="0" w:space="0" w:color="auto"/>
              </w:divBdr>
              <w:divsChild>
                <w:div w:id="2124879234">
                  <w:marLeft w:val="0"/>
                  <w:marRight w:val="0"/>
                  <w:marTop w:val="0"/>
                  <w:marBottom w:val="0"/>
                  <w:divBdr>
                    <w:top w:val="none" w:sz="0" w:space="0" w:color="auto"/>
                    <w:left w:val="none" w:sz="0" w:space="0" w:color="auto"/>
                    <w:bottom w:val="none" w:sz="0" w:space="0" w:color="auto"/>
                    <w:right w:val="none" w:sz="0" w:space="0" w:color="auto"/>
                  </w:divBdr>
                  <w:divsChild>
                    <w:div w:id="57409846">
                      <w:marLeft w:val="0"/>
                      <w:marRight w:val="0"/>
                      <w:marTop w:val="0"/>
                      <w:marBottom w:val="0"/>
                      <w:divBdr>
                        <w:top w:val="none" w:sz="0" w:space="0" w:color="auto"/>
                        <w:left w:val="none" w:sz="0" w:space="0" w:color="auto"/>
                        <w:bottom w:val="none" w:sz="0" w:space="0" w:color="auto"/>
                        <w:right w:val="none" w:sz="0" w:space="0" w:color="auto"/>
                      </w:divBdr>
                      <w:divsChild>
                        <w:div w:id="1103456313">
                          <w:marLeft w:val="0"/>
                          <w:marRight w:val="0"/>
                          <w:marTop w:val="0"/>
                          <w:marBottom w:val="0"/>
                          <w:divBdr>
                            <w:top w:val="none" w:sz="0" w:space="0" w:color="auto"/>
                            <w:left w:val="none" w:sz="0" w:space="0" w:color="auto"/>
                            <w:bottom w:val="none" w:sz="0" w:space="0" w:color="auto"/>
                            <w:right w:val="none" w:sz="0" w:space="0" w:color="auto"/>
                          </w:divBdr>
                          <w:divsChild>
                            <w:div w:id="50934119">
                              <w:marLeft w:val="0"/>
                              <w:marRight w:val="0"/>
                              <w:marTop w:val="0"/>
                              <w:marBottom w:val="0"/>
                              <w:divBdr>
                                <w:top w:val="none" w:sz="0" w:space="0" w:color="auto"/>
                                <w:left w:val="none" w:sz="0" w:space="0" w:color="auto"/>
                                <w:bottom w:val="none" w:sz="0" w:space="0" w:color="auto"/>
                                <w:right w:val="none" w:sz="0" w:space="0" w:color="auto"/>
                              </w:divBdr>
                              <w:divsChild>
                                <w:div w:id="850221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8234886">
      <w:bodyDiv w:val="1"/>
      <w:marLeft w:val="0"/>
      <w:marRight w:val="0"/>
      <w:marTop w:val="0"/>
      <w:marBottom w:val="0"/>
      <w:divBdr>
        <w:top w:val="none" w:sz="0" w:space="0" w:color="auto"/>
        <w:left w:val="none" w:sz="0" w:space="0" w:color="auto"/>
        <w:bottom w:val="none" w:sz="0" w:space="0" w:color="auto"/>
        <w:right w:val="none" w:sz="0" w:space="0" w:color="auto"/>
      </w:divBdr>
    </w:div>
    <w:div w:id="97259667">
      <w:bodyDiv w:val="1"/>
      <w:marLeft w:val="0"/>
      <w:marRight w:val="0"/>
      <w:marTop w:val="0"/>
      <w:marBottom w:val="0"/>
      <w:divBdr>
        <w:top w:val="none" w:sz="0" w:space="0" w:color="auto"/>
        <w:left w:val="none" w:sz="0" w:space="0" w:color="auto"/>
        <w:bottom w:val="none" w:sz="0" w:space="0" w:color="auto"/>
        <w:right w:val="none" w:sz="0" w:space="0" w:color="auto"/>
      </w:divBdr>
    </w:div>
    <w:div w:id="202209932">
      <w:bodyDiv w:val="1"/>
      <w:marLeft w:val="0"/>
      <w:marRight w:val="0"/>
      <w:marTop w:val="0"/>
      <w:marBottom w:val="0"/>
      <w:divBdr>
        <w:top w:val="none" w:sz="0" w:space="0" w:color="auto"/>
        <w:left w:val="none" w:sz="0" w:space="0" w:color="auto"/>
        <w:bottom w:val="none" w:sz="0" w:space="0" w:color="auto"/>
        <w:right w:val="none" w:sz="0" w:space="0" w:color="auto"/>
      </w:divBdr>
    </w:div>
    <w:div w:id="203562955">
      <w:bodyDiv w:val="1"/>
      <w:marLeft w:val="0"/>
      <w:marRight w:val="0"/>
      <w:marTop w:val="0"/>
      <w:marBottom w:val="0"/>
      <w:divBdr>
        <w:top w:val="none" w:sz="0" w:space="0" w:color="auto"/>
        <w:left w:val="none" w:sz="0" w:space="0" w:color="auto"/>
        <w:bottom w:val="none" w:sz="0" w:space="0" w:color="auto"/>
        <w:right w:val="none" w:sz="0" w:space="0" w:color="auto"/>
      </w:divBdr>
    </w:div>
    <w:div w:id="276983708">
      <w:bodyDiv w:val="1"/>
      <w:marLeft w:val="0"/>
      <w:marRight w:val="0"/>
      <w:marTop w:val="0"/>
      <w:marBottom w:val="0"/>
      <w:divBdr>
        <w:top w:val="none" w:sz="0" w:space="0" w:color="auto"/>
        <w:left w:val="none" w:sz="0" w:space="0" w:color="auto"/>
        <w:bottom w:val="none" w:sz="0" w:space="0" w:color="auto"/>
        <w:right w:val="none" w:sz="0" w:space="0" w:color="auto"/>
      </w:divBdr>
    </w:div>
    <w:div w:id="354234205">
      <w:bodyDiv w:val="1"/>
      <w:marLeft w:val="0"/>
      <w:marRight w:val="0"/>
      <w:marTop w:val="0"/>
      <w:marBottom w:val="0"/>
      <w:divBdr>
        <w:top w:val="none" w:sz="0" w:space="0" w:color="auto"/>
        <w:left w:val="none" w:sz="0" w:space="0" w:color="auto"/>
        <w:bottom w:val="none" w:sz="0" w:space="0" w:color="auto"/>
        <w:right w:val="none" w:sz="0" w:space="0" w:color="auto"/>
      </w:divBdr>
    </w:div>
    <w:div w:id="356271302">
      <w:bodyDiv w:val="1"/>
      <w:marLeft w:val="0"/>
      <w:marRight w:val="0"/>
      <w:marTop w:val="0"/>
      <w:marBottom w:val="0"/>
      <w:divBdr>
        <w:top w:val="none" w:sz="0" w:space="0" w:color="auto"/>
        <w:left w:val="none" w:sz="0" w:space="0" w:color="auto"/>
        <w:bottom w:val="none" w:sz="0" w:space="0" w:color="auto"/>
        <w:right w:val="none" w:sz="0" w:space="0" w:color="auto"/>
      </w:divBdr>
    </w:div>
    <w:div w:id="395710085">
      <w:bodyDiv w:val="1"/>
      <w:marLeft w:val="0"/>
      <w:marRight w:val="0"/>
      <w:marTop w:val="0"/>
      <w:marBottom w:val="0"/>
      <w:divBdr>
        <w:top w:val="none" w:sz="0" w:space="0" w:color="auto"/>
        <w:left w:val="none" w:sz="0" w:space="0" w:color="auto"/>
        <w:bottom w:val="none" w:sz="0" w:space="0" w:color="auto"/>
        <w:right w:val="none" w:sz="0" w:space="0" w:color="auto"/>
      </w:divBdr>
    </w:div>
    <w:div w:id="436564519">
      <w:bodyDiv w:val="1"/>
      <w:marLeft w:val="0"/>
      <w:marRight w:val="0"/>
      <w:marTop w:val="0"/>
      <w:marBottom w:val="0"/>
      <w:divBdr>
        <w:top w:val="none" w:sz="0" w:space="0" w:color="auto"/>
        <w:left w:val="none" w:sz="0" w:space="0" w:color="auto"/>
        <w:bottom w:val="none" w:sz="0" w:space="0" w:color="auto"/>
        <w:right w:val="none" w:sz="0" w:space="0" w:color="auto"/>
      </w:divBdr>
    </w:div>
    <w:div w:id="494879486">
      <w:bodyDiv w:val="1"/>
      <w:marLeft w:val="0"/>
      <w:marRight w:val="0"/>
      <w:marTop w:val="0"/>
      <w:marBottom w:val="0"/>
      <w:divBdr>
        <w:top w:val="none" w:sz="0" w:space="0" w:color="auto"/>
        <w:left w:val="none" w:sz="0" w:space="0" w:color="auto"/>
        <w:bottom w:val="none" w:sz="0" w:space="0" w:color="auto"/>
        <w:right w:val="none" w:sz="0" w:space="0" w:color="auto"/>
      </w:divBdr>
    </w:div>
    <w:div w:id="508371747">
      <w:bodyDiv w:val="1"/>
      <w:marLeft w:val="0"/>
      <w:marRight w:val="0"/>
      <w:marTop w:val="0"/>
      <w:marBottom w:val="0"/>
      <w:divBdr>
        <w:top w:val="none" w:sz="0" w:space="0" w:color="auto"/>
        <w:left w:val="none" w:sz="0" w:space="0" w:color="auto"/>
        <w:bottom w:val="none" w:sz="0" w:space="0" w:color="auto"/>
        <w:right w:val="none" w:sz="0" w:space="0" w:color="auto"/>
      </w:divBdr>
    </w:div>
    <w:div w:id="598172790">
      <w:bodyDiv w:val="1"/>
      <w:marLeft w:val="0"/>
      <w:marRight w:val="0"/>
      <w:marTop w:val="0"/>
      <w:marBottom w:val="0"/>
      <w:divBdr>
        <w:top w:val="none" w:sz="0" w:space="0" w:color="auto"/>
        <w:left w:val="none" w:sz="0" w:space="0" w:color="auto"/>
        <w:bottom w:val="none" w:sz="0" w:space="0" w:color="auto"/>
        <w:right w:val="none" w:sz="0" w:space="0" w:color="auto"/>
      </w:divBdr>
    </w:div>
    <w:div w:id="627511025">
      <w:bodyDiv w:val="1"/>
      <w:marLeft w:val="0"/>
      <w:marRight w:val="0"/>
      <w:marTop w:val="0"/>
      <w:marBottom w:val="0"/>
      <w:divBdr>
        <w:top w:val="none" w:sz="0" w:space="0" w:color="auto"/>
        <w:left w:val="none" w:sz="0" w:space="0" w:color="auto"/>
        <w:bottom w:val="none" w:sz="0" w:space="0" w:color="auto"/>
        <w:right w:val="none" w:sz="0" w:space="0" w:color="auto"/>
      </w:divBdr>
    </w:div>
    <w:div w:id="733161113">
      <w:bodyDiv w:val="1"/>
      <w:marLeft w:val="0"/>
      <w:marRight w:val="0"/>
      <w:marTop w:val="0"/>
      <w:marBottom w:val="0"/>
      <w:divBdr>
        <w:top w:val="none" w:sz="0" w:space="0" w:color="auto"/>
        <w:left w:val="none" w:sz="0" w:space="0" w:color="auto"/>
        <w:bottom w:val="none" w:sz="0" w:space="0" w:color="auto"/>
        <w:right w:val="none" w:sz="0" w:space="0" w:color="auto"/>
      </w:divBdr>
    </w:div>
    <w:div w:id="773211108">
      <w:bodyDiv w:val="1"/>
      <w:marLeft w:val="0"/>
      <w:marRight w:val="0"/>
      <w:marTop w:val="0"/>
      <w:marBottom w:val="0"/>
      <w:divBdr>
        <w:top w:val="none" w:sz="0" w:space="0" w:color="auto"/>
        <w:left w:val="none" w:sz="0" w:space="0" w:color="auto"/>
        <w:bottom w:val="none" w:sz="0" w:space="0" w:color="auto"/>
        <w:right w:val="none" w:sz="0" w:space="0" w:color="auto"/>
      </w:divBdr>
    </w:div>
    <w:div w:id="861935161">
      <w:bodyDiv w:val="1"/>
      <w:marLeft w:val="0"/>
      <w:marRight w:val="0"/>
      <w:marTop w:val="0"/>
      <w:marBottom w:val="0"/>
      <w:divBdr>
        <w:top w:val="none" w:sz="0" w:space="0" w:color="auto"/>
        <w:left w:val="none" w:sz="0" w:space="0" w:color="auto"/>
        <w:bottom w:val="none" w:sz="0" w:space="0" w:color="auto"/>
        <w:right w:val="none" w:sz="0" w:space="0" w:color="auto"/>
      </w:divBdr>
    </w:div>
    <w:div w:id="949164448">
      <w:bodyDiv w:val="1"/>
      <w:marLeft w:val="0"/>
      <w:marRight w:val="0"/>
      <w:marTop w:val="0"/>
      <w:marBottom w:val="0"/>
      <w:divBdr>
        <w:top w:val="none" w:sz="0" w:space="0" w:color="auto"/>
        <w:left w:val="none" w:sz="0" w:space="0" w:color="auto"/>
        <w:bottom w:val="none" w:sz="0" w:space="0" w:color="auto"/>
        <w:right w:val="none" w:sz="0" w:space="0" w:color="auto"/>
      </w:divBdr>
    </w:div>
    <w:div w:id="995761600">
      <w:bodyDiv w:val="1"/>
      <w:marLeft w:val="0"/>
      <w:marRight w:val="0"/>
      <w:marTop w:val="0"/>
      <w:marBottom w:val="0"/>
      <w:divBdr>
        <w:top w:val="none" w:sz="0" w:space="0" w:color="auto"/>
        <w:left w:val="none" w:sz="0" w:space="0" w:color="auto"/>
        <w:bottom w:val="none" w:sz="0" w:space="0" w:color="auto"/>
        <w:right w:val="none" w:sz="0" w:space="0" w:color="auto"/>
      </w:divBdr>
    </w:div>
    <w:div w:id="1011372652">
      <w:bodyDiv w:val="1"/>
      <w:marLeft w:val="0"/>
      <w:marRight w:val="0"/>
      <w:marTop w:val="0"/>
      <w:marBottom w:val="0"/>
      <w:divBdr>
        <w:top w:val="none" w:sz="0" w:space="0" w:color="auto"/>
        <w:left w:val="none" w:sz="0" w:space="0" w:color="auto"/>
        <w:bottom w:val="none" w:sz="0" w:space="0" w:color="auto"/>
        <w:right w:val="none" w:sz="0" w:space="0" w:color="auto"/>
      </w:divBdr>
    </w:div>
    <w:div w:id="1179000983">
      <w:bodyDiv w:val="1"/>
      <w:marLeft w:val="0"/>
      <w:marRight w:val="0"/>
      <w:marTop w:val="0"/>
      <w:marBottom w:val="0"/>
      <w:divBdr>
        <w:top w:val="none" w:sz="0" w:space="0" w:color="auto"/>
        <w:left w:val="none" w:sz="0" w:space="0" w:color="auto"/>
        <w:bottom w:val="none" w:sz="0" w:space="0" w:color="auto"/>
        <w:right w:val="none" w:sz="0" w:space="0" w:color="auto"/>
      </w:divBdr>
    </w:div>
    <w:div w:id="1244140841">
      <w:bodyDiv w:val="1"/>
      <w:marLeft w:val="0"/>
      <w:marRight w:val="0"/>
      <w:marTop w:val="0"/>
      <w:marBottom w:val="0"/>
      <w:divBdr>
        <w:top w:val="none" w:sz="0" w:space="0" w:color="auto"/>
        <w:left w:val="none" w:sz="0" w:space="0" w:color="auto"/>
        <w:bottom w:val="none" w:sz="0" w:space="0" w:color="auto"/>
        <w:right w:val="none" w:sz="0" w:space="0" w:color="auto"/>
      </w:divBdr>
    </w:div>
    <w:div w:id="1261375228">
      <w:bodyDiv w:val="1"/>
      <w:marLeft w:val="0"/>
      <w:marRight w:val="0"/>
      <w:marTop w:val="0"/>
      <w:marBottom w:val="0"/>
      <w:divBdr>
        <w:top w:val="none" w:sz="0" w:space="0" w:color="auto"/>
        <w:left w:val="none" w:sz="0" w:space="0" w:color="auto"/>
        <w:bottom w:val="none" w:sz="0" w:space="0" w:color="auto"/>
        <w:right w:val="none" w:sz="0" w:space="0" w:color="auto"/>
      </w:divBdr>
    </w:div>
    <w:div w:id="1283918412">
      <w:bodyDiv w:val="1"/>
      <w:marLeft w:val="0"/>
      <w:marRight w:val="0"/>
      <w:marTop w:val="0"/>
      <w:marBottom w:val="0"/>
      <w:divBdr>
        <w:top w:val="none" w:sz="0" w:space="0" w:color="auto"/>
        <w:left w:val="none" w:sz="0" w:space="0" w:color="auto"/>
        <w:bottom w:val="none" w:sz="0" w:space="0" w:color="auto"/>
        <w:right w:val="none" w:sz="0" w:space="0" w:color="auto"/>
      </w:divBdr>
    </w:div>
    <w:div w:id="1287347111">
      <w:bodyDiv w:val="1"/>
      <w:marLeft w:val="0"/>
      <w:marRight w:val="0"/>
      <w:marTop w:val="0"/>
      <w:marBottom w:val="0"/>
      <w:divBdr>
        <w:top w:val="none" w:sz="0" w:space="0" w:color="auto"/>
        <w:left w:val="none" w:sz="0" w:space="0" w:color="auto"/>
        <w:bottom w:val="none" w:sz="0" w:space="0" w:color="auto"/>
        <w:right w:val="none" w:sz="0" w:space="0" w:color="auto"/>
      </w:divBdr>
    </w:div>
    <w:div w:id="1407143656">
      <w:bodyDiv w:val="1"/>
      <w:marLeft w:val="0"/>
      <w:marRight w:val="0"/>
      <w:marTop w:val="0"/>
      <w:marBottom w:val="0"/>
      <w:divBdr>
        <w:top w:val="none" w:sz="0" w:space="0" w:color="auto"/>
        <w:left w:val="none" w:sz="0" w:space="0" w:color="auto"/>
        <w:bottom w:val="none" w:sz="0" w:space="0" w:color="auto"/>
        <w:right w:val="none" w:sz="0" w:space="0" w:color="auto"/>
      </w:divBdr>
    </w:div>
    <w:div w:id="1490823826">
      <w:bodyDiv w:val="1"/>
      <w:marLeft w:val="0"/>
      <w:marRight w:val="0"/>
      <w:marTop w:val="0"/>
      <w:marBottom w:val="0"/>
      <w:divBdr>
        <w:top w:val="none" w:sz="0" w:space="0" w:color="auto"/>
        <w:left w:val="none" w:sz="0" w:space="0" w:color="auto"/>
        <w:bottom w:val="none" w:sz="0" w:space="0" w:color="auto"/>
        <w:right w:val="none" w:sz="0" w:space="0" w:color="auto"/>
      </w:divBdr>
    </w:div>
    <w:div w:id="1580869574">
      <w:bodyDiv w:val="1"/>
      <w:marLeft w:val="0"/>
      <w:marRight w:val="0"/>
      <w:marTop w:val="0"/>
      <w:marBottom w:val="0"/>
      <w:divBdr>
        <w:top w:val="none" w:sz="0" w:space="0" w:color="auto"/>
        <w:left w:val="none" w:sz="0" w:space="0" w:color="auto"/>
        <w:bottom w:val="none" w:sz="0" w:space="0" w:color="auto"/>
        <w:right w:val="none" w:sz="0" w:space="0" w:color="auto"/>
      </w:divBdr>
    </w:div>
    <w:div w:id="1647198064">
      <w:bodyDiv w:val="1"/>
      <w:marLeft w:val="0"/>
      <w:marRight w:val="0"/>
      <w:marTop w:val="0"/>
      <w:marBottom w:val="0"/>
      <w:divBdr>
        <w:top w:val="none" w:sz="0" w:space="0" w:color="auto"/>
        <w:left w:val="none" w:sz="0" w:space="0" w:color="auto"/>
        <w:bottom w:val="none" w:sz="0" w:space="0" w:color="auto"/>
        <w:right w:val="none" w:sz="0" w:space="0" w:color="auto"/>
      </w:divBdr>
    </w:div>
    <w:div w:id="1671984907">
      <w:bodyDiv w:val="1"/>
      <w:marLeft w:val="0"/>
      <w:marRight w:val="0"/>
      <w:marTop w:val="0"/>
      <w:marBottom w:val="0"/>
      <w:divBdr>
        <w:top w:val="none" w:sz="0" w:space="0" w:color="auto"/>
        <w:left w:val="none" w:sz="0" w:space="0" w:color="auto"/>
        <w:bottom w:val="none" w:sz="0" w:space="0" w:color="auto"/>
        <w:right w:val="none" w:sz="0" w:space="0" w:color="auto"/>
      </w:divBdr>
    </w:div>
    <w:div w:id="1806313703">
      <w:bodyDiv w:val="1"/>
      <w:marLeft w:val="0"/>
      <w:marRight w:val="0"/>
      <w:marTop w:val="0"/>
      <w:marBottom w:val="0"/>
      <w:divBdr>
        <w:top w:val="none" w:sz="0" w:space="0" w:color="auto"/>
        <w:left w:val="none" w:sz="0" w:space="0" w:color="auto"/>
        <w:bottom w:val="none" w:sz="0" w:space="0" w:color="auto"/>
        <w:right w:val="none" w:sz="0" w:space="0" w:color="auto"/>
      </w:divBdr>
    </w:div>
    <w:div w:id="1830512454">
      <w:bodyDiv w:val="1"/>
      <w:marLeft w:val="0"/>
      <w:marRight w:val="0"/>
      <w:marTop w:val="0"/>
      <w:marBottom w:val="0"/>
      <w:divBdr>
        <w:top w:val="none" w:sz="0" w:space="0" w:color="auto"/>
        <w:left w:val="none" w:sz="0" w:space="0" w:color="auto"/>
        <w:bottom w:val="none" w:sz="0" w:space="0" w:color="auto"/>
        <w:right w:val="none" w:sz="0" w:space="0" w:color="auto"/>
      </w:divBdr>
    </w:div>
    <w:div w:id="1833787747">
      <w:bodyDiv w:val="1"/>
      <w:marLeft w:val="0"/>
      <w:marRight w:val="0"/>
      <w:marTop w:val="0"/>
      <w:marBottom w:val="0"/>
      <w:divBdr>
        <w:top w:val="none" w:sz="0" w:space="0" w:color="auto"/>
        <w:left w:val="none" w:sz="0" w:space="0" w:color="auto"/>
        <w:bottom w:val="none" w:sz="0" w:space="0" w:color="auto"/>
        <w:right w:val="none" w:sz="0" w:space="0" w:color="auto"/>
      </w:divBdr>
      <w:divsChild>
        <w:div w:id="1006206171">
          <w:marLeft w:val="0"/>
          <w:marRight w:val="0"/>
          <w:marTop w:val="0"/>
          <w:marBottom w:val="0"/>
          <w:divBdr>
            <w:top w:val="none" w:sz="0" w:space="0" w:color="auto"/>
            <w:left w:val="none" w:sz="0" w:space="0" w:color="auto"/>
            <w:bottom w:val="none" w:sz="0" w:space="0" w:color="auto"/>
            <w:right w:val="none" w:sz="0" w:space="0" w:color="auto"/>
          </w:divBdr>
          <w:divsChild>
            <w:div w:id="949511670">
              <w:marLeft w:val="0"/>
              <w:marRight w:val="0"/>
              <w:marTop w:val="0"/>
              <w:marBottom w:val="0"/>
              <w:divBdr>
                <w:top w:val="none" w:sz="0" w:space="0" w:color="auto"/>
                <w:left w:val="none" w:sz="0" w:space="0" w:color="auto"/>
                <w:bottom w:val="none" w:sz="0" w:space="0" w:color="auto"/>
                <w:right w:val="none" w:sz="0" w:space="0" w:color="auto"/>
              </w:divBdr>
              <w:divsChild>
                <w:div w:id="99225322">
                  <w:marLeft w:val="0"/>
                  <w:marRight w:val="0"/>
                  <w:marTop w:val="0"/>
                  <w:marBottom w:val="0"/>
                  <w:divBdr>
                    <w:top w:val="none" w:sz="0" w:space="0" w:color="auto"/>
                    <w:left w:val="none" w:sz="0" w:space="0" w:color="auto"/>
                    <w:bottom w:val="none" w:sz="0" w:space="0" w:color="auto"/>
                    <w:right w:val="none" w:sz="0" w:space="0" w:color="auto"/>
                  </w:divBdr>
                  <w:divsChild>
                    <w:div w:id="1855609746">
                      <w:marLeft w:val="0"/>
                      <w:marRight w:val="0"/>
                      <w:marTop w:val="0"/>
                      <w:marBottom w:val="0"/>
                      <w:divBdr>
                        <w:top w:val="none" w:sz="0" w:space="0" w:color="auto"/>
                        <w:left w:val="none" w:sz="0" w:space="0" w:color="auto"/>
                        <w:bottom w:val="none" w:sz="0" w:space="0" w:color="auto"/>
                        <w:right w:val="none" w:sz="0" w:space="0" w:color="auto"/>
                      </w:divBdr>
                      <w:divsChild>
                        <w:div w:id="690687113">
                          <w:marLeft w:val="0"/>
                          <w:marRight w:val="0"/>
                          <w:marTop w:val="0"/>
                          <w:marBottom w:val="0"/>
                          <w:divBdr>
                            <w:top w:val="none" w:sz="0" w:space="0" w:color="auto"/>
                            <w:left w:val="none" w:sz="0" w:space="0" w:color="auto"/>
                            <w:bottom w:val="none" w:sz="0" w:space="0" w:color="auto"/>
                            <w:right w:val="none" w:sz="0" w:space="0" w:color="auto"/>
                          </w:divBdr>
                          <w:divsChild>
                            <w:div w:id="756444622">
                              <w:marLeft w:val="0"/>
                              <w:marRight w:val="0"/>
                              <w:marTop w:val="0"/>
                              <w:marBottom w:val="0"/>
                              <w:divBdr>
                                <w:top w:val="none" w:sz="0" w:space="0" w:color="auto"/>
                                <w:left w:val="none" w:sz="0" w:space="0" w:color="auto"/>
                                <w:bottom w:val="none" w:sz="0" w:space="0" w:color="auto"/>
                                <w:right w:val="none" w:sz="0" w:space="0" w:color="auto"/>
                              </w:divBdr>
                              <w:divsChild>
                                <w:div w:id="1623806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5733819">
          <w:marLeft w:val="0"/>
          <w:marRight w:val="0"/>
          <w:marTop w:val="0"/>
          <w:marBottom w:val="0"/>
          <w:divBdr>
            <w:top w:val="none" w:sz="0" w:space="0" w:color="auto"/>
            <w:left w:val="none" w:sz="0" w:space="0" w:color="auto"/>
            <w:bottom w:val="none" w:sz="0" w:space="0" w:color="auto"/>
            <w:right w:val="none" w:sz="0" w:space="0" w:color="auto"/>
          </w:divBdr>
          <w:divsChild>
            <w:div w:id="1246695411">
              <w:marLeft w:val="0"/>
              <w:marRight w:val="0"/>
              <w:marTop w:val="0"/>
              <w:marBottom w:val="0"/>
              <w:divBdr>
                <w:top w:val="none" w:sz="0" w:space="0" w:color="auto"/>
                <w:left w:val="none" w:sz="0" w:space="0" w:color="auto"/>
                <w:bottom w:val="none" w:sz="0" w:space="0" w:color="auto"/>
                <w:right w:val="none" w:sz="0" w:space="0" w:color="auto"/>
              </w:divBdr>
              <w:divsChild>
                <w:div w:id="217478471">
                  <w:marLeft w:val="0"/>
                  <w:marRight w:val="0"/>
                  <w:marTop w:val="0"/>
                  <w:marBottom w:val="0"/>
                  <w:divBdr>
                    <w:top w:val="none" w:sz="0" w:space="0" w:color="auto"/>
                    <w:left w:val="none" w:sz="0" w:space="0" w:color="auto"/>
                    <w:bottom w:val="none" w:sz="0" w:space="0" w:color="auto"/>
                    <w:right w:val="none" w:sz="0" w:space="0" w:color="auto"/>
                  </w:divBdr>
                  <w:divsChild>
                    <w:div w:id="1146357160">
                      <w:marLeft w:val="0"/>
                      <w:marRight w:val="0"/>
                      <w:marTop w:val="0"/>
                      <w:marBottom w:val="0"/>
                      <w:divBdr>
                        <w:top w:val="none" w:sz="0" w:space="0" w:color="auto"/>
                        <w:left w:val="none" w:sz="0" w:space="0" w:color="auto"/>
                        <w:bottom w:val="none" w:sz="0" w:space="0" w:color="auto"/>
                        <w:right w:val="none" w:sz="0" w:space="0" w:color="auto"/>
                      </w:divBdr>
                      <w:divsChild>
                        <w:div w:id="733233709">
                          <w:marLeft w:val="0"/>
                          <w:marRight w:val="0"/>
                          <w:marTop w:val="0"/>
                          <w:marBottom w:val="0"/>
                          <w:divBdr>
                            <w:top w:val="none" w:sz="0" w:space="0" w:color="auto"/>
                            <w:left w:val="none" w:sz="0" w:space="0" w:color="auto"/>
                            <w:bottom w:val="none" w:sz="0" w:space="0" w:color="auto"/>
                            <w:right w:val="none" w:sz="0" w:space="0" w:color="auto"/>
                          </w:divBdr>
                          <w:divsChild>
                            <w:div w:id="1565488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2573624">
      <w:bodyDiv w:val="1"/>
      <w:marLeft w:val="0"/>
      <w:marRight w:val="0"/>
      <w:marTop w:val="0"/>
      <w:marBottom w:val="0"/>
      <w:divBdr>
        <w:top w:val="none" w:sz="0" w:space="0" w:color="auto"/>
        <w:left w:val="none" w:sz="0" w:space="0" w:color="auto"/>
        <w:bottom w:val="none" w:sz="0" w:space="0" w:color="auto"/>
        <w:right w:val="none" w:sz="0" w:space="0" w:color="auto"/>
      </w:divBdr>
    </w:div>
    <w:div w:id="1957717945">
      <w:bodyDiv w:val="1"/>
      <w:marLeft w:val="0"/>
      <w:marRight w:val="0"/>
      <w:marTop w:val="0"/>
      <w:marBottom w:val="0"/>
      <w:divBdr>
        <w:top w:val="none" w:sz="0" w:space="0" w:color="auto"/>
        <w:left w:val="none" w:sz="0" w:space="0" w:color="auto"/>
        <w:bottom w:val="none" w:sz="0" w:space="0" w:color="auto"/>
        <w:right w:val="none" w:sz="0" w:space="0" w:color="auto"/>
      </w:divBdr>
    </w:div>
    <w:div w:id="1976401507">
      <w:bodyDiv w:val="1"/>
      <w:marLeft w:val="0"/>
      <w:marRight w:val="0"/>
      <w:marTop w:val="0"/>
      <w:marBottom w:val="0"/>
      <w:divBdr>
        <w:top w:val="none" w:sz="0" w:space="0" w:color="auto"/>
        <w:left w:val="none" w:sz="0" w:space="0" w:color="auto"/>
        <w:bottom w:val="none" w:sz="0" w:space="0" w:color="auto"/>
        <w:right w:val="none" w:sz="0" w:space="0" w:color="auto"/>
      </w:divBdr>
    </w:div>
    <w:div w:id="2001152219">
      <w:bodyDiv w:val="1"/>
      <w:marLeft w:val="0"/>
      <w:marRight w:val="0"/>
      <w:marTop w:val="0"/>
      <w:marBottom w:val="0"/>
      <w:divBdr>
        <w:top w:val="none" w:sz="0" w:space="0" w:color="auto"/>
        <w:left w:val="none" w:sz="0" w:space="0" w:color="auto"/>
        <w:bottom w:val="none" w:sz="0" w:space="0" w:color="auto"/>
        <w:right w:val="none" w:sz="0" w:space="0" w:color="auto"/>
      </w:divBdr>
    </w:div>
    <w:div w:id="2094472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khmertimeskh.com/501750614/positive-signs-for-dugongs-with-a-new-feeding-trail-in-cambodias-seagrass-beds/" TargetMode="External"/><Relationship Id="rId18" Type="http://schemas.openxmlformats.org/officeDocument/2006/relationships/hyperlink" Target="https://www.researchgate.net/publication/263705424_Reefs_at_Risk_Revisited" TargetMode="External"/><Relationship Id="rId26" Type="http://schemas.openxmlformats.org/officeDocument/2006/relationships/hyperlink" Target="https://www.fauna-flora.org/wp-content/uploads/2024/04/Mangrove-Biodiversity-Survey-Report.pdf?utm_source=chatgpt.com" TargetMode="External"/><Relationship Id="rId39" Type="http://schemas.openxmlformats.org/officeDocument/2006/relationships/hyperlink" Target="https://www.mangrovealliance.org/wp-content/uploads/2025/01/Blue-Carbon-Assessment-Cambodia-Report-Case-Study-1.pdf" TargetMode="External"/><Relationship Id="rId21" Type="http://schemas.openxmlformats.org/officeDocument/2006/relationships/hyperlink" Target="https://www.cambridge.org/core/journals/oryx/article/an-assessment-of-marine-turtle-population-status-and-conservation-in-cambodia/D34D3CA2C04E4742F553199F5658B0CF?utm_source=chatgpt.com" TargetMode="External"/><Relationship Id="rId34" Type="http://schemas.openxmlformats.org/officeDocument/2006/relationships/hyperlink" Target="https://iucn.org/news/cambodia/201711/planning-future-peam-krasop-wildlife-sanctuary" TargetMode="External"/><Relationship Id="rId42" Type="http://schemas.openxmlformats.org/officeDocument/2006/relationships/hyperlink" Target="https://www.mrcmekong.org/wp-content/uploads/2024/08/PlasticReport2022.pdf" TargetMode="External"/><Relationship Id="rId47" Type="http://schemas.openxmlformats.org/officeDocument/2006/relationships/hyperlink" Target="https://www.pemsea.org/sites/default/files/2023-12/NSOC%20Cambodia%202018%20%28FINAL%29%2009092020.pdf" TargetMode="External"/><Relationship Id="rId50" Type="http://schemas.openxmlformats.org/officeDocument/2006/relationships/hyperlink" Target="https://data.opendevelopmentcambodia.net/laws_record/sub-decree-no-171-on-reclassifying-anlung-pring-protected-landscape" TargetMode="External"/><Relationship Id="rId55" Type="http://schemas.openxmlformats.org/officeDocument/2006/relationships/hyperlink" Target="https://iwlearn.net/resolveuid/6abc857925542c108f72e2f1e9147b97"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environment.asean.org/fresources/detail/asean-marine-water-quality-management-guidelines-and-monitoring-manual" TargetMode="External"/><Relationship Id="rId29" Type="http://schemas.openxmlformats.org/officeDocument/2006/relationships/hyperlink" Target="https://data.opendevelopmentcambodia.net/en/dataset/de33097a-d9ad-44de-9ad3-3bcee8d4fb1e/resource/899515b9-590a-4566-b5c9-b06c4bdd9c25/download/01hym7xp4q9kwbvxm1kh5e1nfr.pdf" TargetMode="External"/><Relationship Id="rId11" Type="http://schemas.openxmlformats.org/officeDocument/2006/relationships/image" Target="media/image3.emf"/><Relationship Id="rId24" Type="http://schemas.openxmlformats.org/officeDocument/2006/relationships/hyperlink" Target="https://www.fao.org/4/ad514e/ad514e06.htm" TargetMode="External"/><Relationship Id="rId32" Type="http://schemas.openxmlformats.org/officeDocument/2006/relationships/hyperlink" Target="https://www.giz.de/en/downloads/giz2024-en-baseline-study-on-microplastics.pdf" TargetMode="External"/><Relationship Id="rId37" Type="http://schemas.openxmlformats.org/officeDocument/2006/relationships/hyperlink" Target="https://www.khmertimeskh.com/501674712/12500-mangrove-saplings-planted-in-chumpou-khmao-fishing-community-prey-nup-district/" TargetMode="External"/><Relationship Id="rId40" Type="http://schemas.openxmlformats.org/officeDocument/2006/relationships/hyperlink" Target="https://marineconservationcambodia.org/wp-content/uploads/2023/06/MCCFAO-CAPFISH-Technical-report.pdf?utm_source=chatgpt.com" TargetMode="External"/><Relationship Id="rId45" Type="http://schemas.openxmlformats.org/officeDocument/2006/relationships/hyperlink" Target="https://opendevelopmentcambodia.net/profiles/economic-land-concessions/union-development-group-co-ltd/" TargetMode="External"/><Relationship Id="rId53" Type="http://schemas.openxmlformats.org/officeDocument/2006/relationships/hyperlink" Target="https://www.researchgate.net/publication/335829042_Sighting_and_Stranding_Reports_of_Irrawaddy_Dolphins_Orcaella_brevirostris_and_Dugongs_Dugong_dugon_in_Kep_and_Kampot_Cambodia" TargetMode="External"/><Relationship Id="rId58" Type="http://schemas.openxmlformats.org/officeDocument/2006/relationships/hyperlink" Target="https://documents1.worldbank.org/curated/en/722141586260533194/pdf/Concept-Project-Information-Document-PID-Cambodia-Solid-Waste-and-Plastic-Management-Improvement-Project-P170976.pdf?utm_source=chatgpt.com" TargetMode="External"/><Relationship Id="rId5" Type="http://schemas.openxmlformats.org/officeDocument/2006/relationships/webSettings" Target="webSettings.xml"/><Relationship Id="rId61" Type="http://schemas.openxmlformats.org/officeDocument/2006/relationships/footer" Target="footer3.xml"/><Relationship Id="rId19" Type="http://schemas.openxmlformats.org/officeDocument/2006/relationships/hyperlink" Target="https://www.cbd.int/financial/values/cambodia-valueream.pdf" TargetMode="External"/><Relationship Id="rId14" Type="http://schemas.openxmlformats.org/officeDocument/2006/relationships/image" Target="media/image5.png"/><Relationship Id="rId22" Type="http://schemas.openxmlformats.org/officeDocument/2006/relationships/hyperlink" Target="https://www.eaaflyway.net/fns-anlung-pring/" TargetMode="External"/><Relationship Id="rId27" Type="http://schemas.openxmlformats.org/officeDocument/2006/relationships/hyperlink" Target="https://server.maff.gov.kh/parse/files/myAppId5hD7ypUYw61sTqML/63351774d0db6c6f8968fe4dde13f96e_1639471811.pdf" TargetMode="External"/><Relationship Id="rId30" Type="http://schemas.openxmlformats.org/officeDocument/2006/relationships/hyperlink" Target="https://doi.org/10.1038/ngeo1477" TargetMode="External"/><Relationship Id="rId35" Type="http://schemas.openxmlformats.org/officeDocument/2006/relationships/hyperlink" Target="https://openjicareport.jica.go.jp/pdf/12008819.pdf" TargetMode="External"/><Relationship Id="rId43" Type="http://schemas.openxmlformats.org/officeDocument/2006/relationships/hyperlink" Target="https://www.cambridge.org/core/journals/oryx/article/vulnerable-fishing-cat-prionailurus-viverrinus-and-other-globally-threatened-species-in-cambodias-coastal-mangroves/57146D6098F3E454A4407A3C6B9918E7" TargetMode="External"/><Relationship Id="rId48" Type="http://schemas.openxmlformats.org/officeDocument/2006/relationships/hyperlink" Target="https://www.mdpi.com/2077-1312/13/9/1644?utm_source=chatgpt.com" TargetMode="External"/><Relationship Id="rId56" Type="http://schemas.openxmlformats.org/officeDocument/2006/relationships/hyperlink" Target="https://wildearthallies.org/wp-content/uploads/2020/10/Kampot-Marine-Biodiversity-Assessment-2020_FINAL.pdf" TargetMode="External"/><Relationship Id="rId8" Type="http://schemas.openxmlformats.org/officeDocument/2006/relationships/footer" Target="footer1.xml"/><Relationship Id="rId51" Type="http://schemas.openxmlformats.org/officeDocument/2006/relationships/hyperlink" Target="https://data.opendevelopmentcambodia.net/en/laws_record/sub-decree-no-175-on-reclassifying-botum-sakor-national-park/resource/a50208a5-5722-4e30-bd45-c2ea9bf0e304" TargetMode="Externa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hyperlink" Target="https://www.mdpi.com/2072-4292/14/15/3657" TargetMode="External"/><Relationship Id="rId25" Type="http://schemas.openxmlformats.org/officeDocument/2006/relationships/hyperlink" Target="https://www.fauna-flora.org/wp-content/uploads/2023/05/FFI_2020_Koh-Rong-MPA.pdf" TargetMode="External"/><Relationship Id="rId33" Type="http://schemas.openxmlformats.org/officeDocument/2006/relationships/hyperlink" Target="https://www.ipcc.ch/report/ar6/wg2/chapter/chapter-10/" TargetMode="External"/><Relationship Id="rId38" Type="http://schemas.openxmlformats.org/officeDocument/2006/relationships/hyperlink" Target="https://www.mires-and-peat.net/article/128945.pdf?utm_source=chatgpt.com" TargetMode="External"/><Relationship Id="rId46" Type="http://schemas.openxmlformats.org/officeDocument/2006/relationships/hyperlink" Target="https://pcasia.org/wp-content/uploads/2024/08/20240813_Summary-report-on-Mangrove.pdf" TargetMode="External"/><Relationship Id="rId59" Type="http://schemas.openxmlformats.org/officeDocument/2006/relationships/hyperlink" Target="https://documents1.worldbank.org/curated/en/099556207032341413/pdf/IDU00eec67aa0872b04096088cd02fda633553f1.pdf" TargetMode="External"/><Relationship Id="rId20" Type="http://schemas.openxmlformats.org/officeDocument/2006/relationships/hyperlink" Target="https://dialogue.earth/en/nature/cambodias-ream-national-park-transformed-from-wildlife-haven-to-development-zone/" TargetMode="External"/><Relationship Id="rId41" Type="http://schemas.openxmlformats.org/officeDocument/2006/relationships/hyperlink" Target="https://documents1.worldbank.org/curated/en/099556207032341413/pdf/IDU00eec67aa0872b04096088cd02fda633553f1.pdf?utm_source=chatgpt.com" TargetMode="External"/><Relationship Id="rId54" Type="http://schemas.openxmlformats.org/officeDocument/2006/relationships/hyperlink" Target="https://unhabitat.org/sites/default/files/documents/2019-04/sihanoukville_city_vulnerability_assessment.pdf"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cambodia.actionaid.org/publications/2021/report-environmental-and-social-impact-assessment" TargetMode="External"/><Relationship Id="rId23" Type="http://schemas.openxmlformats.org/officeDocument/2006/relationships/hyperlink" Target="https://www.fao.org/fishery/statistics-query/en/capture" TargetMode="External"/><Relationship Id="rId28" Type="http://schemas.openxmlformats.org/officeDocument/2006/relationships/hyperlink" Target="https://faolex.fao.org/docs/pdf/cam219304.pdf" TargetMode="External"/><Relationship Id="rId36" Type="http://schemas.openxmlformats.org/officeDocument/2006/relationships/hyperlink" Target="https://www.khmertimeskh.com/501750614/positive-signs-for-dugongs-with-a-new-feeding-trail-in-cambodias-seagrass-beds/" TargetMode="External"/><Relationship Id="rId49" Type="http://schemas.openxmlformats.org/officeDocument/2006/relationships/hyperlink" Target="https://rsis.ramsar.org/RISapp/files/RISrep/KH998RIS.pdf?utm_source=chatgpt.com" TargetMode="External"/><Relationship Id="rId57" Type="http://schemas.openxmlformats.org/officeDocument/2006/relationships/hyperlink" Target="https://openknowledge.worldbank.org/entities/publication/60408468-05b9-5d25-920e-ce7010462340" TargetMode="External"/><Relationship Id="rId10" Type="http://schemas.openxmlformats.org/officeDocument/2006/relationships/image" Target="media/image2.emf"/><Relationship Id="rId31" Type="http://schemas.openxmlformats.org/officeDocument/2006/relationships/hyperlink" Target="https://research-portal.st-andrews.ac.uk/files/282360347/Girkin_2022_Anthropocene_Tropical_peatlands_CC.pdf?utm_source=chatgpt.com" TargetMode="External"/><Relationship Id="rId44" Type="http://schemas.openxmlformats.org/officeDocument/2006/relationships/hyperlink" Target="https://academic.oup.com/icesjms/article/80/8/2197/6511220?utm_source=chatgpt.com" TargetMode="External"/><Relationship Id="rId52" Type="http://schemas.openxmlformats.org/officeDocument/2006/relationships/hyperlink" Target="https://scssap.org/scs-sap-first-steering-committee-meeting/156-psc1-inf-3-cambodia-summary-profile/file" TargetMode="External"/><Relationship Id="rId6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4FA838-33D9-DE41-AAF5-2F1CCDCC1A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42</Pages>
  <Words>15424</Words>
  <Characters>97331</Characters>
  <Application>Microsoft Office Word</Application>
  <DocSecurity>0</DocSecurity>
  <Lines>3041</Lines>
  <Paragraphs>1427</Paragraphs>
  <ScaleCrop>false</ScaleCrop>
  <HeadingPairs>
    <vt:vector size="4" baseType="variant">
      <vt:variant>
        <vt:lpstr>Title</vt:lpstr>
      </vt:variant>
      <vt:variant>
        <vt:i4>1</vt:i4>
      </vt:variant>
      <vt:variant>
        <vt:lpstr>Headings</vt:lpstr>
      </vt:variant>
      <vt:variant>
        <vt:i4>16</vt:i4>
      </vt:variant>
    </vt:vector>
  </HeadingPairs>
  <TitlesOfParts>
    <vt:vector size="17" baseType="lpstr">
      <vt:lpstr/>
      <vt:lpstr>4. Ecosystems</vt:lpstr>
      <vt:lpstr>    4.1 Key Findings</vt:lpstr>
      <vt:lpstr>    4.2 Current Status</vt:lpstr>
      <vt:lpstr>        4.2.1 Mangroves and Wetlands</vt:lpstr>
      <vt:lpstr>        4.2.2 Coral Reefs and Seagrasses</vt:lpstr>
      <vt:lpstr>        4.2.3 Biodiversity Hotspots and Sensitive Areas</vt:lpstr>
      <vt:lpstr>        Endemic, Endangered, Threatened species</vt:lpstr>
      <vt:lpstr>    4.3 Discussion and conclusions</vt:lpstr>
      <vt:lpstr>        4.3.1 Priority transboundary biodiversity issues</vt:lpstr>
      <vt:lpstr>        4.3.2 Risk Assessment and Valuation of Economic Losses</vt:lpstr>
      <vt:lpstr>        4.3.3 Current management and institutions</vt:lpstr>
      <vt:lpstr>        4.3.4 Gaps and Priority Challenges</vt:lpstr>
      <vt:lpstr>        Recommended priority actions</vt:lpstr>
      <vt:lpstr>    4.4 Methodology and Analyses</vt:lpstr>
      <vt:lpstr>    References</vt:lpstr>
      <vt:lpstr>    Annex</vt:lpstr>
    </vt:vector>
  </TitlesOfParts>
  <Company/>
  <LinksUpToDate>false</LinksUpToDate>
  <CharactersWithSpaces>111328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Chhun Vireak</dc:creator>
  <cp:keywords/>
  <dc:description/>
  <cp:lastModifiedBy>Chhun Vireak</cp:lastModifiedBy>
  <cp:revision>3</cp:revision>
  <cp:lastPrinted>2025-12-21T10:53:00Z</cp:lastPrinted>
  <dcterms:created xsi:type="dcterms:W3CDTF">2025-12-21T10:53:00Z</dcterms:created>
  <dcterms:modified xsi:type="dcterms:W3CDTF">2025-12-21T10:53:00Z</dcterms:modified>
</cp:coreProperties>
</file>