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97CC4" w:rsidRPr="00AF6E52" w:rsidRDefault="00F97CC4" w:rsidP="00D504C1">
      <w:pPr>
        <w:rPr>
          <w:rFonts w:ascii="Arial" w:hAnsi="Arial" w:cs="Arial"/>
          <w:b/>
          <w:bCs/>
          <w:color w:val="002060"/>
          <w:sz w:val="36"/>
          <w:szCs w:val="36"/>
        </w:rPr>
      </w:pPr>
      <w:r w:rsidRPr="0018202F">
        <w:rPr>
          <w:rFonts w:ascii="Arial" w:hAnsi="Arial" w:cs="Arial"/>
          <w:b/>
          <w:bCs/>
          <w:sz w:val="36"/>
          <w:szCs w:val="36"/>
        </w:rPr>
        <w:t xml:space="preserve">Chapter </w:t>
      </w:r>
      <w:r w:rsidR="007E3AA0" w:rsidRPr="0018202F">
        <w:rPr>
          <w:rFonts w:ascii="Arial" w:hAnsi="Arial" w:cs="Arial"/>
          <w:b/>
          <w:bCs/>
          <w:sz w:val="36"/>
          <w:szCs w:val="36"/>
        </w:rPr>
        <w:t xml:space="preserve">5 </w:t>
      </w:r>
      <w:r w:rsidR="007E3AA0" w:rsidRPr="00AF6E52">
        <w:rPr>
          <w:rFonts w:ascii="Arial" w:hAnsi="Arial" w:cs="Arial"/>
          <w:b/>
          <w:bCs/>
          <w:color w:val="002060"/>
          <w:sz w:val="36"/>
          <w:szCs w:val="36"/>
        </w:rPr>
        <w:t>Fish, Fisheries and Aquaculture</w:t>
      </w:r>
    </w:p>
    <w:p w:rsidR="003404AF" w:rsidRDefault="003404AF" w:rsidP="003404AF">
      <w:pPr>
        <w:rPr>
          <w:rFonts w:ascii="Arial" w:hAnsi="Arial" w:cs="Arial"/>
          <w:b/>
          <w:bCs/>
          <w:color w:val="002060"/>
          <w:sz w:val="40"/>
          <w:szCs w:val="40"/>
        </w:rPr>
      </w:pPr>
    </w:p>
    <w:p w:rsidR="003404AF" w:rsidRDefault="003404AF" w:rsidP="003404AF">
      <w:pPr>
        <w:rPr>
          <w:rFonts w:ascii="Arial" w:hAnsi="Arial" w:cs="Arial"/>
          <w:b/>
          <w:bCs/>
          <w:color w:val="002060"/>
          <w:sz w:val="40"/>
          <w:szCs w:val="40"/>
        </w:rPr>
      </w:pPr>
    </w:p>
    <w:p w:rsidR="003404AF" w:rsidRDefault="003404AF" w:rsidP="003404AF">
      <w:pPr>
        <w:rPr>
          <w:rFonts w:ascii="Arial" w:hAnsi="Arial" w:cs="Arial"/>
          <w:b/>
          <w:bCs/>
          <w:color w:val="002060"/>
          <w:sz w:val="40"/>
          <w:szCs w:val="40"/>
        </w:rPr>
      </w:pPr>
    </w:p>
    <w:p w:rsidR="003404AF" w:rsidRDefault="003404AF" w:rsidP="003404AF">
      <w:pPr>
        <w:rPr>
          <w:rFonts w:ascii="Arial" w:hAnsi="Arial" w:cs="Arial"/>
          <w:b/>
          <w:bCs/>
          <w:color w:val="002060"/>
          <w:sz w:val="40"/>
          <w:szCs w:val="40"/>
        </w:rPr>
      </w:pPr>
    </w:p>
    <w:p w:rsidR="003404AF" w:rsidRPr="00F43B5D" w:rsidRDefault="003404AF" w:rsidP="003404AF">
      <w:pPr>
        <w:jc w:val="center"/>
        <w:rPr>
          <w:rFonts w:ascii="Arial" w:hAnsi="Arial" w:cs="Arial"/>
          <w:b/>
          <w:bCs/>
          <w:color w:val="000000" w:themeColor="text1"/>
          <w:sz w:val="28"/>
        </w:rPr>
      </w:pPr>
      <w:r w:rsidRPr="00F43B5D">
        <w:rPr>
          <w:rFonts w:ascii="Arial" w:hAnsi="Arial" w:cs="Arial"/>
          <w:b/>
          <w:bCs/>
          <w:color w:val="000000" w:themeColor="text1"/>
          <w:sz w:val="28"/>
        </w:rPr>
        <w:t>“Implementing the Strategic Action Programme for the South China Sea and Gulf of Thailand (SCS SAP Project)”</w:t>
      </w:r>
    </w:p>
    <w:p w:rsidR="003404AF" w:rsidRPr="00150993" w:rsidRDefault="003404AF" w:rsidP="003404AF">
      <w:pPr>
        <w:rPr>
          <w:rFonts w:ascii="Arial" w:hAnsi="Arial" w:cs="Arial"/>
          <w:b/>
          <w:bCs/>
          <w:sz w:val="40"/>
          <w:szCs w:val="40"/>
        </w:rPr>
      </w:pPr>
    </w:p>
    <w:p w:rsidR="003404AF" w:rsidRPr="00150993" w:rsidRDefault="003404AF" w:rsidP="003404AF">
      <w:pPr>
        <w:rPr>
          <w:rFonts w:ascii="Arial" w:hAnsi="Arial" w:cs="Arial"/>
          <w:b/>
          <w:bCs/>
          <w:sz w:val="32"/>
          <w:szCs w:val="32"/>
        </w:rPr>
      </w:pPr>
    </w:p>
    <w:p w:rsidR="003404AF" w:rsidRPr="00150993" w:rsidRDefault="003404AF" w:rsidP="003404AF">
      <w:pPr>
        <w:rPr>
          <w:rFonts w:ascii="Arial" w:hAnsi="Arial" w:cs="Arial"/>
          <w:b/>
          <w:bCs/>
        </w:rPr>
      </w:pPr>
    </w:p>
    <w:p w:rsidR="003404AF" w:rsidRPr="00150993" w:rsidRDefault="003404AF" w:rsidP="003404AF">
      <w:pPr>
        <w:rPr>
          <w:rFonts w:ascii="Arial" w:hAnsi="Arial" w:cs="Arial"/>
          <w:b/>
          <w:bCs/>
        </w:rPr>
      </w:pPr>
    </w:p>
    <w:p w:rsidR="003404AF" w:rsidRPr="00150993" w:rsidRDefault="003404AF" w:rsidP="003404AF">
      <w:pPr>
        <w:rPr>
          <w:rFonts w:ascii="Arial" w:hAnsi="Arial" w:cs="Arial"/>
          <w:b/>
          <w:bCs/>
        </w:rPr>
      </w:pPr>
    </w:p>
    <w:p w:rsidR="003404AF" w:rsidRPr="00150993" w:rsidRDefault="003404AF" w:rsidP="003404AF">
      <w:pPr>
        <w:rPr>
          <w:rFonts w:ascii="Arial" w:hAnsi="Arial" w:cs="Arial"/>
          <w:b/>
          <w:bCs/>
        </w:rPr>
      </w:pPr>
    </w:p>
    <w:p w:rsidR="003404AF" w:rsidRPr="00150993" w:rsidRDefault="003404AF" w:rsidP="003404AF">
      <w:pPr>
        <w:rPr>
          <w:rFonts w:ascii="Arial" w:hAnsi="Arial" w:cs="Arial"/>
          <w:b/>
          <w:bCs/>
        </w:rPr>
      </w:pPr>
    </w:p>
    <w:p w:rsidR="003404AF" w:rsidRPr="00150993" w:rsidRDefault="003404AF" w:rsidP="003404AF">
      <w:pPr>
        <w:rPr>
          <w:rFonts w:ascii="Arial" w:hAnsi="Arial" w:cs="Arial"/>
          <w:b/>
          <w:bCs/>
        </w:rPr>
      </w:pPr>
    </w:p>
    <w:p w:rsidR="003404AF" w:rsidRPr="00150993" w:rsidRDefault="003404AF" w:rsidP="003404AF">
      <w:pPr>
        <w:rPr>
          <w:rFonts w:ascii="Arial" w:hAnsi="Arial" w:cs="Arial"/>
          <w:b/>
          <w:bCs/>
        </w:rPr>
      </w:pPr>
    </w:p>
    <w:p w:rsidR="008C3616" w:rsidRPr="0018202F" w:rsidRDefault="008C3616" w:rsidP="008C3616">
      <w:pPr>
        <w:spacing w:line="276" w:lineRule="auto"/>
        <w:rPr>
          <w:rFonts w:ascii="Arial" w:hAnsi="Arial" w:cs="Arial"/>
          <w:b/>
          <w:bCs/>
        </w:rPr>
      </w:pPr>
      <w:r w:rsidRPr="0018202F">
        <w:rPr>
          <w:rFonts w:ascii="Arial" w:hAnsi="Arial" w:cs="Arial"/>
          <w:b/>
          <w:bCs/>
        </w:rPr>
        <w:t xml:space="preserve">Version: </w:t>
      </w:r>
      <w:r w:rsidR="003404AF">
        <w:rPr>
          <w:rFonts w:ascii="Arial" w:hAnsi="Arial" w:cs="Arial"/>
        </w:rPr>
        <w:t>Fourth</w:t>
      </w:r>
      <w:r w:rsidR="00926E25" w:rsidRPr="0018202F">
        <w:rPr>
          <w:rFonts w:ascii="Arial" w:hAnsi="Arial" w:cs="Arial"/>
        </w:rPr>
        <w:t xml:space="preserve"> </w:t>
      </w:r>
      <w:r w:rsidRPr="0018202F">
        <w:rPr>
          <w:rFonts w:ascii="Arial" w:hAnsi="Arial" w:cs="Arial"/>
        </w:rPr>
        <w:t>Draft</w:t>
      </w:r>
    </w:p>
    <w:p w:rsidR="008C3616" w:rsidRPr="0018202F" w:rsidRDefault="008C3616" w:rsidP="008C3616">
      <w:pPr>
        <w:spacing w:line="276" w:lineRule="auto"/>
        <w:rPr>
          <w:rFonts w:ascii="Arial" w:hAnsi="Arial" w:cs="Arial"/>
          <w:b/>
          <w:bCs/>
        </w:rPr>
      </w:pPr>
      <w:r w:rsidRPr="0018202F">
        <w:rPr>
          <w:rFonts w:ascii="Arial" w:hAnsi="Arial" w:cs="Arial"/>
          <w:b/>
          <w:bCs/>
        </w:rPr>
        <w:t xml:space="preserve">Date: </w:t>
      </w:r>
      <w:r w:rsidR="003404AF">
        <w:rPr>
          <w:rFonts w:ascii="Arial" w:hAnsi="Arial" w:cs="Arial"/>
        </w:rPr>
        <w:t>2</w:t>
      </w:r>
      <w:r w:rsidR="004A0B60">
        <w:rPr>
          <w:rFonts w:ascii="Arial" w:hAnsi="Arial" w:cs="Arial"/>
        </w:rPr>
        <w:t>1</w:t>
      </w:r>
      <w:r w:rsidR="004A0B60" w:rsidRPr="004A0B60">
        <w:rPr>
          <w:rFonts w:ascii="Arial" w:hAnsi="Arial" w:cs="Arial"/>
          <w:vertAlign w:val="superscript"/>
        </w:rPr>
        <w:t>st</w:t>
      </w:r>
      <w:r w:rsidR="004A0B60">
        <w:rPr>
          <w:rFonts w:ascii="Arial" w:hAnsi="Arial" w:cs="Arial"/>
        </w:rPr>
        <w:t xml:space="preserve"> </w:t>
      </w:r>
      <w:r w:rsidR="00021960">
        <w:rPr>
          <w:rFonts w:ascii="Arial" w:hAnsi="Arial" w:cs="Arial"/>
        </w:rPr>
        <w:t>December</w:t>
      </w:r>
      <w:r w:rsidRPr="0018202F">
        <w:rPr>
          <w:rFonts w:ascii="Arial" w:hAnsi="Arial" w:cs="Arial"/>
        </w:rPr>
        <w:t xml:space="preserve"> 2025</w:t>
      </w:r>
    </w:p>
    <w:p w:rsidR="003404AF" w:rsidRDefault="008C3616" w:rsidP="00107981">
      <w:pPr>
        <w:spacing w:line="276" w:lineRule="auto"/>
        <w:rPr>
          <w:rFonts w:ascii="Arial" w:hAnsi="Arial" w:cs="Arial"/>
        </w:rPr>
      </w:pPr>
      <w:r w:rsidRPr="0018202F">
        <w:rPr>
          <w:rFonts w:ascii="Arial" w:hAnsi="Arial" w:cs="Arial"/>
          <w:b/>
          <w:bCs/>
        </w:rPr>
        <w:t xml:space="preserve">Country: </w:t>
      </w:r>
      <w:r w:rsidRPr="0018202F">
        <w:rPr>
          <w:rFonts w:ascii="Arial" w:hAnsi="Arial" w:cs="Arial"/>
        </w:rPr>
        <w:t>Cambodia [KH</w:t>
      </w:r>
      <w:r w:rsidR="00D00C95" w:rsidRPr="0018202F">
        <w:rPr>
          <w:rFonts w:ascii="Arial" w:hAnsi="Arial" w:cs="Arial"/>
        </w:rPr>
        <w:t>M</w:t>
      </w:r>
      <w:r w:rsidRPr="0018202F">
        <w:rPr>
          <w:rFonts w:ascii="Arial" w:hAnsi="Arial" w:cs="Arial"/>
        </w:rPr>
        <w:t>]</w:t>
      </w:r>
    </w:p>
    <w:p w:rsidR="003404AF" w:rsidRPr="006D1C44" w:rsidRDefault="003404AF" w:rsidP="003404AF">
      <w:pPr>
        <w:rPr>
          <w:rFonts w:ascii="Arial" w:hAnsi="Arial" w:cs="Arial"/>
          <w:b/>
          <w:bCs/>
          <w:i/>
          <w:iCs/>
        </w:rPr>
      </w:pPr>
      <w:r>
        <w:rPr>
          <w:rFonts w:ascii="Arial" w:hAnsi="Arial" w:cs="Arial"/>
        </w:rPr>
        <w:br w:type="column"/>
      </w:r>
      <w:r w:rsidRPr="006D1C44">
        <w:rPr>
          <w:rFonts w:ascii="Arial" w:hAnsi="Arial" w:cs="Arial"/>
          <w:b/>
          <w:bCs/>
          <w:i/>
          <w:iCs/>
        </w:rPr>
        <w:lastRenderedPageBreak/>
        <w:t>Abstract</w:t>
      </w:r>
    </w:p>
    <w:p w:rsidR="00125149" w:rsidRPr="00B77C8F" w:rsidRDefault="00125149" w:rsidP="00125149">
      <w:pPr>
        <w:pStyle w:val="NormalWeb"/>
        <w:jc w:val="both"/>
        <w:rPr>
          <w:rStyle w:val="relative"/>
          <w:rFonts w:ascii="Arial" w:eastAsiaTheme="majorEastAsia" w:hAnsi="Arial" w:cs="Arial"/>
          <w:sz w:val="22"/>
          <w:szCs w:val="22"/>
        </w:rPr>
      </w:pPr>
      <w:r w:rsidRPr="00125149">
        <w:rPr>
          <w:rStyle w:val="relative"/>
          <w:rFonts w:ascii="Arial" w:eastAsiaTheme="majorEastAsia" w:hAnsi="Arial" w:cs="Arial"/>
          <w:sz w:val="22"/>
          <w:szCs w:val="22"/>
        </w:rPr>
        <w:t xml:space="preserve">Cambodia’s fisheries and aquaculture remain central to national food security, livelihoods, and coastal economies, but available indicators show that ecological limits have been exceeded and recovery capacity is </w:t>
      </w:r>
      <w:r>
        <w:rPr>
          <w:rStyle w:val="relative"/>
          <w:rFonts w:ascii="Arial" w:eastAsiaTheme="majorEastAsia" w:hAnsi="Arial" w:cs="Arial"/>
          <w:sz w:val="22"/>
          <w:szCs w:val="22"/>
        </w:rPr>
        <w:t>challenging</w:t>
      </w:r>
      <w:r w:rsidRPr="00125149">
        <w:rPr>
          <w:rStyle w:val="relative"/>
          <w:rFonts w:ascii="Arial" w:eastAsiaTheme="majorEastAsia" w:hAnsi="Arial" w:cs="Arial"/>
          <w:sz w:val="22"/>
          <w:szCs w:val="22"/>
        </w:rPr>
        <w:t>. Marine production is highly concentrated: the four coastal provinces contribute roughly one quarter of national catch, with Preah Sihanouk and Koh Kong supplying the majority of marine landings. The marine sector is strongly trawl-dependent—trawls and purse seines together account for most landings, with bottom trawls alone contributing over half—while the fleet is predominantly small-scale, informal, and weakly regulated, with very low vessel registration and most engines below 50 HP. Stock and ecosystem indicators consistently signal severe depletion: demersal trawl CPUE has fallen from historical levels to around 26 kg/hour in recent surveys, and stock-status reconstructions show a long-term shift toward over-exploited and collapsed stocks. Ecosystem indices (MTI, FiB and PPR) indicate “fishing down the food web” and harvest levels operating at or beyond ecological carrying capacity.</w:t>
      </w:r>
      <w:r>
        <w:rPr>
          <w:rStyle w:val="relative"/>
          <w:rFonts w:ascii="Arial" w:eastAsiaTheme="majorEastAsia" w:hAnsi="Arial" w:cs="Arial"/>
          <w:sz w:val="22"/>
          <w:szCs w:val="22"/>
        </w:rPr>
        <w:t xml:space="preserve"> </w:t>
      </w:r>
      <w:r w:rsidRPr="00125149">
        <w:rPr>
          <w:rStyle w:val="relative"/>
          <w:rFonts w:ascii="Arial" w:eastAsiaTheme="majorEastAsia" w:hAnsi="Arial" w:cs="Arial"/>
          <w:sz w:val="22"/>
          <w:szCs w:val="22"/>
        </w:rPr>
        <w:t>Aquaculture has expanded rapidly over recent decades, dominated by freshwater systems, but coastal aquaculture has recently contracted sharply and become more spatially concentrated, increasing livelihood risk in coastal provinces. These pressures are transboundary: shared stocks, cross-border fishing and IUU activity, habitat degradation, and pollution-driven impacts interact with climate change (warming, sea-level rise, altered hydrology) to compound risks. The chapter concludes with priority actions focused on rebuilding stocks through effort reduction and improved selectivity, protecting critical habitats, strengthening MCS and co-management, modernizing fisheries information systems, and deepening regional cooperation on stock assessment, harmonized standards, and coordinated enforcement.</w:t>
      </w:r>
    </w:p>
    <w:p w:rsidR="003404AF" w:rsidRPr="008764B6" w:rsidRDefault="003404AF" w:rsidP="003404AF">
      <w:pPr>
        <w:jc w:val="both"/>
        <w:rPr>
          <w:rFonts w:ascii="Arial" w:hAnsi="Arial" w:cs="Arial"/>
          <w:i/>
          <w:iCs/>
          <w:sz w:val="22"/>
          <w:szCs w:val="22"/>
        </w:rPr>
        <w:sectPr w:rsidR="003404AF" w:rsidRPr="008764B6" w:rsidSect="00394091">
          <w:footerReference w:type="default" r:id="rId8"/>
          <w:pgSz w:w="11900" w:h="16840"/>
          <w:pgMar w:top="1701" w:right="1440" w:bottom="1440" w:left="1440" w:header="720" w:footer="720" w:gutter="0"/>
          <w:pgNumType w:fmt="lowerRoman" w:start="1"/>
          <w:cols w:space="720"/>
          <w:docGrid w:linePitch="360"/>
        </w:sectPr>
      </w:pPr>
      <w:r w:rsidRPr="00CD2D9E">
        <w:rPr>
          <w:rFonts w:ascii="Arial" w:hAnsi="Arial" w:cs="Arial"/>
          <w:b/>
          <w:bCs/>
          <w:i/>
          <w:iCs/>
        </w:rPr>
        <w:t>Keywords:</w:t>
      </w:r>
      <w:r w:rsidR="00125149">
        <w:rPr>
          <w:rFonts w:ascii="Arial" w:hAnsi="Arial" w:cs="Arial"/>
          <w:b/>
          <w:bCs/>
          <w:i/>
          <w:iCs/>
        </w:rPr>
        <w:t xml:space="preserve"> </w:t>
      </w:r>
      <w:r w:rsidR="00125149" w:rsidRPr="00125149">
        <w:rPr>
          <w:rFonts w:ascii="Arial" w:hAnsi="Arial" w:cs="Arial"/>
          <w:i/>
          <w:iCs/>
          <w:sz w:val="22"/>
          <w:szCs w:val="22"/>
        </w:rPr>
        <w:t>Cambodia, Fisheries; Aquaculture; Overfishing; Stock depletion; CPUE; Bottom trawling; IUU fishing; Ecosystem indicators (MTI, FiB, PPR); Marine protected areas/MFMA; Monitoring, Control and Surveillance (MCS); Gulf of Thailand; Climate change impacts; Co-management; Regional cooperation.</w:t>
      </w:r>
    </w:p>
    <w:p w:rsidR="008C3616" w:rsidRPr="0018202F" w:rsidRDefault="008C3616" w:rsidP="003A68FA">
      <w:pPr>
        <w:adjustRightInd w:val="0"/>
        <w:snapToGrid w:val="0"/>
        <w:spacing w:after="100" w:afterAutospacing="1"/>
        <w:jc w:val="both"/>
        <w:outlineLvl w:val="0"/>
        <w:rPr>
          <w:rFonts w:ascii="Arial" w:hAnsi="Arial" w:cs="Arial"/>
          <w:b/>
          <w:bCs/>
          <w:kern w:val="36"/>
          <w:sz w:val="32"/>
          <w:szCs w:val="32"/>
        </w:rPr>
      </w:pPr>
      <w:bookmarkStart w:id="0" w:name="OLE_LINK16"/>
      <w:bookmarkStart w:id="1" w:name="OLE_LINK17"/>
      <w:bookmarkStart w:id="2" w:name="OLE_LINK8"/>
      <w:bookmarkStart w:id="3" w:name="_Toc217232052"/>
      <w:r w:rsidRPr="0018202F">
        <w:rPr>
          <w:rFonts w:ascii="Arial" w:hAnsi="Arial" w:cs="Arial"/>
          <w:b/>
          <w:bCs/>
          <w:kern w:val="36"/>
          <w:sz w:val="32"/>
          <w:szCs w:val="32"/>
        </w:rPr>
        <w:t>5. Fish, Fisheries and Aquaculture</w:t>
      </w:r>
      <w:bookmarkEnd w:id="3"/>
    </w:p>
    <w:p w:rsidR="00402BCE" w:rsidRPr="006D4D25" w:rsidRDefault="007E3AA0" w:rsidP="008C3616">
      <w:pPr>
        <w:pStyle w:val="Heading2"/>
        <w:keepNext/>
        <w:keepLines/>
        <w:spacing w:before="40" w:beforeAutospacing="0" w:after="200" w:afterAutospacing="0" w:line="276" w:lineRule="auto"/>
        <w:jc w:val="both"/>
        <w:rPr>
          <w:rFonts w:ascii="Arial" w:eastAsiaTheme="majorEastAsia" w:hAnsi="Arial" w:cs="Arial"/>
          <w:color w:val="000000" w:themeColor="text1"/>
          <w:sz w:val="28"/>
          <w:szCs w:val="28"/>
        </w:rPr>
      </w:pPr>
      <w:bookmarkStart w:id="4" w:name="_Toc217232053"/>
      <w:r w:rsidRPr="006D4D25">
        <w:rPr>
          <w:rFonts w:ascii="Arial" w:eastAsiaTheme="majorEastAsia" w:hAnsi="Arial" w:cs="Arial"/>
          <w:color w:val="000000" w:themeColor="text1"/>
          <w:sz w:val="28"/>
          <w:szCs w:val="28"/>
        </w:rPr>
        <w:t>5.1 Key Findings</w:t>
      </w:r>
      <w:bookmarkEnd w:id="4"/>
    </w:p>
    <w:p w:rsidR="003A68FA" w:rsidRPr="0018202F" w:rsidRDefault="003A68FA" w:rsidP="003A68FA">
      <w:pPr>
        <w:pStyle w:val="NormalWeb"/>
        <w:numPr>
          <w:ilvl w:val="0"/>
          <w:numId w:val="46"/>
        </w:numPr>
        <w:adjustRightInd w:val="0"/>
        <w:snapToGrid w:val="0"/>
        <w:spacing w:before="120" w:beforeAutospacing="0" w:after="120" w:afterAutospacing="0"/>
        <w:ind w:left="714" w:hanging="357"/>
        <w:jc w:val="both"/>
        <w:rPr>
          <w:rFonts w:ascii="Arial" w:hAnsi="Arial" w:cs="Arial"/>
          <w:sz w:val="22"/>
          <w:szCs w:val="22"/>
        </w:rPr>
      </w:pPr>
      <w:r w:rsidRPr="0018202F">
        <w:rPr>
          <w:rStyle w:val="Strong"/>
          <w:rFonts w:ascii="Arial" w:hAnsi="Arial" w:cs="Arial"/>
          <w:sz w:val="22"/>
          <w:szCs w:val="22"/>
        </w:rPr>
        <w:t>Marine production is highly concentrated and ecologically imbalanced.</w:t>
      </w:r>
      <w:r w:rsidRPr="0018202F">
        <w:rPr>
          <w:rFonts w:ascii="Arial" w:hAnsi="Arial" w:cs="Arial"/>
          <w:sz w:val="22"/>
          <w:szCs w:val="22"/>
        </w:rPr>
        <w:t xml:space="preserve"> The four coastal provinces produce ~25% of national catch, with Preah Sihanouk and Koh Kong supplying 75–80%. Demersal species dominate, while sharks and rays have collapsed to single-digit tonnes.</w:t>
      </w:r>
    </w:p>
    <w:p w:rsidR="003A68FA" w:rsidRPr="0018202F" w:rsidRDefault="003A68FA" w:rsidP="003A68FA">
      <w:pPr>
        <w:pStyle w:val="NormalWeb"/>
        <w:numPr>
          <w:ilvl w:val="0"/>
          <w:numId w:val="46"/>
        </w:numPr>
        <w:adjustRightInd w:val="0"/>
        <w:snapToGrid w:val="0"/>
        <w:spacing w:before="120" w:beforeAutospacing="0" w:after="120" w:afterAutospacing="0"/>
        <w:ind w:left="714" w:hanging="357"/>
        <w:jc w:val="both"/>
        <w:rPr>
          <w:rFonts w:ascii="Arial" w:hAnsi="Arial" w:cs="Arial"/>
          <w:sz w:val="22"/>
          <w:szCs w:val="22"/>
        </w:rPr>
      </w:pPr>
      <w:r w:rsidRPr="0018202F">
        <w:rPr>
          <w:rStyle w:val="Strong"/>
          <w:rFonts w:ascii="Arial" w:hAnsi="Arial" w:cs="Arial"/>
          <w:sz w:val="22"/>
          <w:szCs w:val="22"/>
        </w:rPr>
        <w:t>Aquaculture is expanding but uneven.</w:t>
      </w:r>
      <w:r w:rsidRPr="0018202F">
        <w:rPr>
          <w:rFonts w:ascii="Arial" w:hAnsi="Arial" w:cs="Arial"/>
          <w:sz w:val="22"/>
          <w:szCs w:val="22"/>
        </w:rPr>
        <w:t xml:space="preserve"> Farmed output grew from 4 tonnes (1976) to 330,600 tonnes (2022), mostly freshwater. Coastal aquaculture fell sharply—from 35,460 t (2020) to 16,499 tonnes (2024)—and is now dominated by Koh Kong.</w:t>
      </w:r>
    </w:p>
    <w:p w:rsidR="003A68FA" w:rsidRPr="0018202F" w:rsidRDefault="003A68FA" w:rsidP="003A68FA">
      <w:pPr>
        <w:pStyle w:val="NormalWeb"/>
        <w:numPr>
          <w:ilvl w:val="0"/>
          <w:numId w:val="46"/>
        </w:numPr>
        <w:adjustRightInd w:val="0"/>
        <w:snapToGrid w:val="0"/>
        <w:spacing w:before="120" w:beforeAutospacing="0" w:after="120" w:afterAutospacing="0"/>
        <w:ind w:left="714" w:hanging="357"/>
        <w:jc w:val="both"/>
        <w:rPr>
          <w:rFonts w:ascii="Arial" w:hAnsi="Arial" w:cs="Arial"/>
          <w:sz w:val="22"/>
          <w:szCs w:val="22"/>
        </w:rPr>
      </w:pPr>
      <w:r w:rsidRPr="0018202F">
        <w:rPr>
          <w:rStyle w:val="Strong"/>
          <w:rFonts w:ascii="Arial" w:hAnsi="Arial" w:cs="Arial"/>
          <w:sz w:val="22"/>
          <w:szCs w:val="22"/>
        </w:rPr>
        <w:t>The fleet is largely small-scale and trawl-dependent.</w:t>
      </w:r>
      <w:r w:rsidRPr="0018202F">
        <w:rPr>
          <w:rFonts w:ascii="Arial" w:hAnsi="Arial" w:cs="Arial"/>
          <w:sz w:val="22"/>
          <w:szCs w:val="22"/>
        </w:rPr>
        <w:t xml:space="preserve"> In 2018, 7,552 vessels were recorded—97% unregistered and 89% under 50 HP. Trawls and purse seines generate 85–90% of landings, with bottom trawls alone contributing 55–60%.</w:t>
      </w:r>
    </w:p>
    <w:p w:rsidR="003A68FA" w:rsidRPr="0018202F" w:rsidRDefault="003A68FA" w:rsidP="003A68FA">
      <w:pPr>
        <w:pStyle w:val="NormalWeb"/>
        <w:numPr>
          <w:ilvl w:val="0"/>
          <w:numId w:val="46"/>
        </w:numPr>
        <w:adjustRightInd w:val="0"/>
        <w:snapToGrid w:val="0"/>
        <w:spacing w:before="120" w:beforeAutospacing="0" w:after="120" w:afterAutospacing="0"/>
        <w:ind w:left="714" w:hanging="357"/>
        <w:jc w:val="both"/>
        <w:rPr>
          <w:rFonts w:ascii="Arial" w:hAnsi="Arial" w:cs="Arial"/>
          <w:sz w:val="22"/>
          <w:szCs w:val="22"/>
        </w:rPr>
      </w:pPr>
      <w:r w:rsidRPr="0018202F">
        <w:rPr>
          <w:rStyle w:val="Strong"/>
          <w:rFonts w:ascii="Arial" w:hAnsi="Arial" w:cs="Arial"/>
          <w:sz w:val="22"/>
          <w:szCs w:val="22"/>
        </w:rPr>
        <w:t>CPUE and stock indicators show severe depletion.</w:t>
      </w:r>
      <w:r w:rsidRPr="0018202F">
        <w:rPr>
          <w:rFonts w:ascii="Arial" w:hAnsi="Arial" w:cs="Arial"/>
          <w:sz w:val="22"/>
          <w:szCs w:val="22"/>
        </w:rPr>
        <w:t xml:space="preserve"> Demersal trawl CPUE has dropped from 173 kg/hr (1960s) to ~26 kg/hr, and stock-status plots show over-exploited and collapsed stocks dominating landings.</w:t>
      </w:r>
    </w:p>
    <w:p w:rsidR="003A68FA" w:rsidRPr="0018202F" w:rsidRDefault="003A68FA" w:rsidP="003A68FA">
      <w:pPr>
        <w:pStyle w:val="NormalWeb"/>
        <w:numPr>
          <w:ilvl w:val="0"/>
          <w:numId w:val="46"/>
        </w:numPr>
        <w:adjustRightInd w:val="0"/>
        <w:snapToGrid w:val="0"/>
        <w:spacing w:before="120" w:beforeAutospacing="0" w:after="120" w:afterAutospacing="0"/>
        <w:ind w:left="714" w:hanging="357"/>
        <w:jc w:val="both"/>
        <w:rPr>
          <w:rFonts w:ascii="Arial" w:hAnsi="Arial" w:cs="Arial"/>
          <w:sz w:val="22"/>
          <w:szCs w:val="22"/>
        </w:rPr>
      </w:pPr>
      <w:r w:rsidRPr="0018202F">
        <w:rPr>
          <w:rStyle w:val="Strong"/>
          <w:rFonts w:ascii="Arial" w:hAnsi="Arial" w:cs="Arial"/>
          <w:sz w:val="22"/>
          <w:szCs w:val="22"/>
        </w:rPr>
        <w:t>Ecosystem indices show limits have been exceeded.</w:t>
      </w:r>
      <w:r w:rsidRPr="0018202F">
        <w:rPr>
          <w:rFonts w:ascii="Arial" w:hAnsi="Arial" w:cs="Arial"/>
          <w:sz w:val="22"/>
          <w:szCs w:val="22"/>
        </w:rPr>
        <w:t xml:space="preserve"> MTI fell from ~3.8 to ~3.5; FiB peaked near 3.0 then declined; PPR exceeded 2.0 during 1990–2010—clear signs of fishing shifting to lower-trophic species and surpassing ecological capacity.</w:t>
      </w:r>
    </w:p>
    <w:p w:rsidR="00042D24" w:rsidRPr="0018202F" w:rsidRDefault="003A68FA" w:rsidP="00DD495E">
      <w:pPr>
        <w:pStyle w:val="NormalWeb"/>
        <w:numPr>
          <w:ilvl w:val="0"/>
          <w:numId w:val="46"/>
        </w:numPr>
        <w:adjustRightInd w:val="0"/>
        <w:snapToGrid w:val="0"/>
        <w:spacing w:before="120" w:beforeAutospacing="0" w:after="120" w:afterAutospacing="0"/>
        <w:ind w:left="714" w:hanging="357"/>
        <w:jc w:val="both"/>
        <w:rPr>
          <w:rFonts w:ascii="Arial" w:hAnsi="Arial" w:cs="Arial"/>
          <w:sz w:val="22"/>
          <w:szCs w:val="22"/>
        </w:rPr>
      </w:pPr>
      <w:r w:rsidRPr="0018202F">
        <w:rPr>
          <w:rStyle w:val="Strong"/>
          <w:rFonts w:ascii="Arial" w:hAnsi="Arial" w:cs="Arial"/>
          <w:sz w:val="22"/>
          <w:szCs w:val="22"/>
        </w:rPr>
        <w:t>Past subsidies accelerated over-capacity.</w:t>
      </w:r>
      <w:r w:rsidRPr="0018202F">
        <w:rPr>
          <w:rFonts w:ascii="Arial" w:hAnsi="Arial" w:cs="Arial"/>
          <w:sz w:val="22"/>
          <w:szCs w:val="22"/>
        </w:rPr>
        <w:t xml:space="preserve"> In 2003, 60% of ~USD 29 million in subsidies were capacity-enhancing (ratio 0.12). Although reduced later, these incentives, combined with weak registration and heavy trawl use, helped drive chronic over-exploitation.</w:t>
      </w:r>
    </w:p>
    <w:p w:rsidR="007E3AA0" w:rsidRPr="006D4D25" w:rsidRDefault="007E3AA0" w:rsidP="00107981">
      <w:pPr>
        <w:pStyle w:val="Heading2"/>
        <w:keepNext/>
        <w:spacing w:before="240" w:beforeAutospacing="0" w:after="240" w:afterAutospacing="0"/>
        <w:jc w:val="both"/>
        <w:rPr>
          <w:rFonts w:ascii="Arial" w:eastAsiaTheme="majorEastAsia" w:hAnsi="Arial" w:cs="Arial"/>
          <w:color w:val="000000" w:themeColor="text1"/>
          <w:sz w:val="28"/>
          <w:szCs w:val="28"/>
        </w:rPr>
      </w:pPr>
      <w:bookmarkStart w:id="5" w:name="OLE_LINK4"/>
      <w:bookmarkStart w:id="6" w:name="OLE_LINK5"/>
      <w:bookmarkStart w:id="7" w:name="OLE_LINK6"/>
      <w:bookmarkStart w:id="8" w:name="OLE_LINK7"/>
      <w:bookmarkStart w:id="9" w:name="_Toc217232054"/>
      <w:r w:rsidRPr="006D4D25">
        <w:rPr>
          <w:rFonts w:ascii="Arial" w:eastAsiaTheme="majorEastAsia" w:hAnsi="Arial" w:cs="Arial"/>
          <w:color w:val="000000" w:themeColor="text1"/>
          <w:sz w:val="28"/>
          <w:szCs w:val="28"/>
        </w:rPr>
        <w:t>5.2 Current Status of Fisheries and Ecosystem Health</w:t>
      </w:r>
      <w:bookmarkEnd w:id="9"/>
    </w:p>
    <w:p w:rsidR="007E3AA0" w:rsidRPr="0018202F" w:rsidRDefault="007E3AA0" w:rsidP="00107981">
      <w:pPr>
        <w:pStyle w:val="Heading3"/>
        <w:keepNext/>
        <w:rPr>
          <w:rFonts w:ascii="Arial" w:hAnsi="Arial" w:cs="Arial"/>
          <w:sz w:val="24"/>
          <w:szCs w:val="24"/>
        </w:rPr>
      </w:pPr>
      <w:bookmarkStart w:id="10" w:name="_Toc217232055"/>
      <w:r w:rsidRPr="0018202F">
        <w:rPr>
          <w:rFonts w:ascii="Arial" w:hAnsi="Arial" w:cs="Arial"/>
          <w:sz w:val="24"/>
          <w:szCs w:val="24"/>
        </w:rPr>
        <w:t xml:space="preserve">5.2.1 </w:t>
      </w:r>
      <w:r w:rsidR="00857B85" w:rsidRPr="0018202F">
        <w:rPr>
          <w:rFonts w:ascii="Arial" w:hAnsi="Arial" w:cs="Arial"/>
          <w:sz w:val="24"/>
          <w:szCs w:val="24"/>
        </w:rPr>
        <w:t>Current Status of F</w:t>
      </w:r>
      <w:r w:rsidRPr="0018202F">
        <w:rPr>
          <w:rFonts w:ascii="Arial" w:hAnsi="Arial" w:cs="Arial"/>
          <w:sz w:val="24"/>
          <w:szCs w:val="24"/>
        </w:rPr>
        <w:t>isheries</w:t>
      </w:r>
      <w:bookmarkEnd w:id="10"/>
    </w:p>
    <w:p w:rsidR="00430F3F" w:rsidRPr="006D4D25" w:rsidRDefault="00CC4895" w:rsidP="00107981">
      <w:pPr>
        <w:pStyle w:val="Heading4"/>
        <w:keepNext/>
        <w:rPr>
          <w:rFonts w:ascii="Arial" w:hAnsi="Arial" w:cs="Arial"/>
          <w:b w:val="0"/>
          <w:bCs w:val="0"/>
          <w:color w:val="0070C0"/>
        </w:rPr>
      </w:pPr>
      <w:r w:rsidRPr="006D4D25">
        <w:rPr>
          <w:rStyle w:val="Strong"/>
          <w:rFonts w:ascii="Arial" w:hAnsi="Arial" w:cs="Arial"/>
          <w:b/>
          <w:bCs/>
          <w:color w:val="0070C0"/>
          <w:sz w:val="22"/>
          <w:szCs w:val="22"/>
        </w:rPr>
        <w:t xml:space="preserve">5.2.1.1 </w:t>
      </w:r>
      <w:r w:rsidR="00DB5E57" w:rsidRPr="006D4D25">
        <w:rPr>
          <w:rStyle w:val="Strong"/>
          <w:rFonts w:ascii="Arial" w:hAnsi="Arial" w:cs="Arial"/>
          <w:b/>
          <w:bCs/>
          <w:color w:val="0070C0"/>
          <w:sz w:val="22"/>
          <w:szCs w:val="22"/>
        </w:rPr>
        <w:t>A</w:t>
      </w:r>
      <w:r w:rsidR="00AE6FF1" w:rsidRPr="006D4D25">
        <w:rPr>
          <w:rStyle w:val="Strong"/>
          <w:rFonts w:ascii="Arial" w:hAnsi="Arial" w:cs="Arial"/>
          <w:b/>
          <w:bCs/>
          <w:color w:val="0070C0"/>
          <w:sz w:val="22"/>
          <w:szCs w:val="22"/>
        </w:rPr>
        <w:t xml:space="preserve">nnual </w:t>
      </w:r>
      <w:r w:rsidR="00CD2053" w:rsidRPr="006D4D25">
        <w:rPr>
          <w:rStyle w:val="Strong"/>
          <w:rFonts w:ascii="Arial" w:hAnsi="Arial" w:cs="Arial"/>
          <w:b/>
          <w:bCs/>
          <w:color w:val="0070C0"/>
          <w:sz w:val="22"/>
          <w:szCs w:val="22"/>
        </w:rPr>
        <w:t>c</w:t>
      </w:r>
      <w:r w:rsidR="00430F3F" w:rsidRPr="006D4D25">
        <w:rPr>
          <w:rStyle w:val="Strong"/>
          <w:rFonts w:ascii="Arial" w:hAnsi="Arial" w:cs="Arial"/>
          <w:b/>
          <w:bCs/>
          <w:color w:val="0070C0"/>
          <w:sz w:val="22"/>
          <w:szCs w:val="22"/>
        </w:rPr>
        <w:t>atch</w:t>
      </w:r>
      <w:r w:rsidR="00CC3866" w:rsidRPr="006D4D25">
        <w:rPr>
          <w:rStyle w:val="Strong"/>
          <w:rFonts w:ascii="Arial" w:hAnsi="Arial" w:cs="Arial"/>
          <w:b/>
          <w:bCs/>
          <w:color w:val="0070C0"/>
          <w:sz w:val="22"/>
          <w:szCs w:val="22"/>
        </w:rPr>
        <w:t>/</w:t>
      </w:r>
      <w:r w:rsidR="00AE6FF1" w:rsidRPr="006D4D25">
        <w:rPr>
          <w:rStyle w:val="Strong"/>
          <w:rFonts w:ascii="Arial" w:hAnsi="Arial" w:cs="Arial"/>
          <w:b/>
          <w:bCs/>
          <w:color w:val="0070C0"/>
          <w:sz w:val="22"/>
          <w:szCs w:val="22"/>
        </w:rPr>
        <w:t>capture</w:t>
      </w:r>
      <w:r w:rsidR="00DB5E57" w:rsidRPr="006D4D25">
        <w:rPr>
          <w:rStyle w:val="Strong"/>
          <w:rFonts w:ascii="Arial" w:hAnsi="Arial" w:cs="Arial"/>
          <w:b/>
          <w:bCs/>
          <w:color w:val="0070C0"/>
          <w:sz w:val="22"/>
          <w:szCs w:val="22"/>
        </w:rPr>
        <w:t xml:space="preserve"> fisheries production</w:t>
      </w:r>
    </w:p>
    <w:p w:rsidR="00CC4895" w:rsidRPr="006D4D25" w:rsidRDefault="008108E0" w:rsidP="008108E0">
      <w:pPr>
        <w:spacing w:before="120" w:after="120"/>
        <w:jc w:val="both"/>
        <w:rPr>
          <w:rFonts w:ascii="Arial" w:hAnsi="Arial" w:cs="Arial"/>
          <w:color w:val="000000" w:themeColor="text1"/>
          <w:sz w:val="22"/>
          <w:szCs w:val="22"/>
        </w:rPr>
      </w:pPr>
      <w:bookmarkStart w:id="11" w:name="OLE_LINK1"/>
      <w:bookmarkStart w:id="12" w:name="OLE_LINK2"/>
      <w:r w:rsidRPr="006D4D25">
        <w:rPr>
          <w:rFonts w:ascii="Arial" w:hAnsi="Arial" w:cs="Arial"/>
          <w:b/>
          <w:bCs/>
          <w:i/>
          <w:iCs/>
          <w:color w:val="000000" w:themeColor="text1"/>
          <w:sz w:val="22"/>
          <w:szCs w:val="22"/>
        </w:rPr>
        <w:t xml:space="preserve">a) </w:t>
      </w:r>
      <w:r w:rsidR="00AE4E74" w:rsidRPr="006D4D25">
        <w:rPr>
          <w:rFonts w:ascii="Arial" w:hAnsi="Arial" w:cs="Arial"/>
          <w:b/>
          <w:bCs/>
          <w:i/>
          <w:iCs/>
          <w:color w:val="000000" w:themeColor="text1"/>
          <w:sz w:val="22"/>
          <w:szCs w:val="22"/>
        </w:rPr>
        <w:t>Catch quantity (tonnes)</w:t>
      </w:r>
    </w:p>
    <w:p w:rsidR="00347D71" w:rsidRPr="0018202F" w:rsidRDefault="008108E0" w:rsidP="00CC4895">
      <w:pPr>
        <w:spacing w:before="120" w:after="120"/>
        <w:jc w:val="both"/>
        <w:rPr>
          <w:rFonts w:ascii="Arial" w:hAnsi="Arial" w:cs="Arial"/>
          <w:sz w:val="22"/>
          <w:szCs w:val="22"/>
        </w:rPr>
      </w:pPr>
      <w:r w:rsidRPr="0018202F">
        <w:rPr>
          <w:rFonts w:ascii="Arial" w:hAnsi="Arial" w:cs="Arial"/>
          <w:sz w:val="22"/>
          <w:szCs w:val="22"/>
        </w:rPr>
        <w:t xml:space="preserve">According to FAO FishStatJ (1950–2022), as shown in </w:t>
      </w:r>
      <w:r w:rsidRPr="0018202F">
        <w:rPr>
          <w:rFonts w:ascii="Arial" w:hAnsi="Arial" w:cs="Arial"/>
          <w:color w:val="0070C0"/>
          <w:sz w:val="22"/>
          <w:szCs w:val="22"/>
        </w:rPr>
        <w:fldChar w:fldCharType="begin"/>
      </w:r>
      <w:r w:rsidRPr="0018202F">
        <w:rPr>
          <w:rFonts w:ascii="Arial" w:hAnsi="Arial" w:cs="Arial"/>
          <w:color w:val="0070C0"/>
          <w:sz w:val="22"/>
          <w:szCs w:val="22"/>
        </w:rPr>
        <w:instrText xml:space="preserve"> REF _Ref212049543 \h  \* MERGEFORMAT </w:instrText>
      </w:r>
      <w:r w:rsidRPr="0018202F">
        <w:rPr>
          <w:rFonts w:ascii="Arial" w:hAnsi="Arial" w:cs="Arial"/>
          <w:color w:val="0070C0"/>
          <w:sz w:val="22"/>
          <w:szCs w:val="22"/>
        </w:rPr>
      </w:r>
      <w:r w:rsidRPr="0018202F">
        <w:rPr>
          <w:rFonts w:ascii="Arial" w:hAnsi="Arial" w:cs="Arial"/>
          <w:color w:val="0070C0"/>
          <w:sz w:val="22"/>
          <w:szCs w:val="22"/>
        </w:rPr>
        <w:fldChar w:fldCharType="separate"/>
      </w:r>
      <w:r w:rsidR="00F72397" w:rsidRPr="00F72397">
        <w:rPr>
          <w:rFonts w:ascii="Arial" w:hAnsi="Arial" w:cs="Arial"/>
          <w:color w:val="0070C0"/>
          <w:sz w:val="22"/>
          <w:szCs w:val="22"/>
        </w:rPr>
        <w:t>Figure 5-1</w:t>
      </w:r>
      <w:r w:rsidRPr="0018202F">
        <w:rPr>
          <w:rFonts w:ascii="Arial" w:hAnsi="Arial" w:cs="Arial"/>
          <w:color w:val="0070C0"/>
          <w:sz w:val="22"/>
          <w:szCs w:val="22"/>
        </w:rPr>
        <w:fldChar w:fldCharType="end"/>
      </w:r>
      <w:r w:rsidRPr="0018202F">
        <w:rPr>
          <w:rFonts w:ascii="Arial" w:hAnsi="Arial" w:cs="Arial"/>
          <w:color w:val="0070C0"/>
          <w:sz w:val="22"/>
          <w:szCs w:val="22"/>
        </w:rPr>
        <w:t xml:space="preserve">, </w:t>
      </w:r>
      <w:r w:rsidRPr="0018202F">
        <w:rPr>
          <w:rFonts w:ascii="Arial" w:hAnsi="Arial" w:cs="Arial"/>
          <w:sz w:val="22"/>
          <w:szCs w:val="22"/>
        </w:rPr>
        <w:t xml:space="preserve"> Cambodia’s total capture fisheries increased from about 35,000 tonnes in 1960 to a peak of 656,105 tonnes in 2018, before easing to 533,450 tonnes in 2022 (FAO FishStatJ, 2024)</w:t>
      </w:r>
      <w:r w:rsidR="00347D71" w:rsidRPr="0018202F">
        <w:rPr>
          <w:rFonts w:ascii="Arial" w:hAnsi="Arial" w:cs="Arial"/>
          <w:sz w:val="22"/>
          <w:szCs w:val="22"/>
        </w:rPr>
        <w:t>.</w:t>
      </w:r>
    </w:p>
    <w:p w:rsidR="00347D71" w:rsidRPr="0018202F" w:rsidRDefault="008108E0" w:rsidP="00CC4895">
      <w:pPr>
        <w:spacing w:before="120" w:after="120"/>
        <w:jc w:val="both"/>
        <w:rPr>
          <w:rFonts w:ascii="Arial" w:hAnsi="Arial" w:cs="Arial"/>
          <w:sz w:val="22"/>
          <w:szCs w:val="22"/>
        </w:rPr>
      </w:pPr>
      <w:r w:rsidRPr="0018202F">
        <w:rPr>
          <w:rFonts w:ascii="Arial" w:hAnsi="Arial" w:cs="Arial"/>
          <w:b/>
          <w:bCs/>
          <w:sz w:val="22"/>
          <w:szCs w:val="22"/>
        </w:rPr>
        <w:t>Inland fisheries</w:t>
      </w:r>
      <w:r w:rsidRPr="0018202F">
        <w:rPr>
          <w:rFonts w:ascii="Arial" w:hAnsi="Arial" w:cs="Arial"/>
          <w:sz w:val="22"/>
          <w:szCs w:val="22"/>
        </w:rPr>
        <w:t xml:space="preserve"> have consistently provided 70–75% of national catch, rising from 29,100 tonnes in 1960 to around 402,205 tonnes in 2022, driven by the Tonle Sap–Mekong floodplain system and expansion of community fisheries (FiA, 2025). </w:t>
      </w:r>
    </w:p>
    <w:p w:rsidR="008108E0" w:rsidRPr="0018202F" w:rsidRDefault="008108E0" w:rsidP="00CC4895">
      <w:pPr>
        <w:spacing w:before="120" w:after="120"/>
        <w:jc w:val="both"/>
        <w:rPr>
          <w:rFonts w:ascii="Arial" w:hAnsi="Arial" w:cs="Arial"/>
          <w:sz w:val="22"/>
          <w:szCs w:val="22"/>
        </w:rPr>
      </w:pPr>
      <w:r w:rsidRPr="0018202F">
        <w:rPr>
          <w:rFonts w:ascii="Arial" w:hAnsi="Arial" w:cs="Arial"/>
          <w:b/>
          <w:bCs/>
          <w:sz w:val="22"/>
          <w:szCs w:val="22"/>
        </w:rPr>
        <w:t>Marine capture</w:t>
      </w:r>
      <w:r w:rsidRPr="0018202F">
        <w:rPr>
          <w:rFonts w:ascii="Arial" w:hAnsi="Arial" w:cs="Arial"/>
          <w:sz w:val="22"/>
          <w:szCs w:val="22"/>
        </w:rPr>
        <w:t xml:space="preserve"> grew more modestly—from 5,900 tonnes in 1960 to 131,245 tonnes in 2022—with the four coastal provinces now contributing roughly one quarter of national production. The long-term trajectory reflects improved reporting, fleet motorization and post-1999 structural growth, but also mounting pressure on coastal and inland ecosystems, reinforcing the need for stronger co-management and data-based regulation.</w:t>
      </w:r>
    </w:p>
    <w:p w:rsidR="00581FFA" w:rsidRPr="0018202F" w:rsidRDefault="00CC4895" w:rsidP="00581FFA">
      <w:pPr>
        <w:spacing w:before="120" w:after="120"/>
        <w:jc w:val="center"/>
        <w:rPr>
          <w:rFonts w:ascii="Arial" w:hAnsi="Arial" w:cs="Arial"/>
          <w:sz w:val="22"/>
          <w:szCs w:val="22"/>
        </w:rPr>
      </w:pPr>
      <w:r w:rsidRPr="0018202F">
        <w:rPr>
          <w:rFonts w:ascii="Arial" w:hAnsi="Arial" w:cs="Arial"/>
          <w:noProof/>
          <w14:ligatures w14:val="standardContextual"/>
        </w:rPr>
        <w:drawing>
          <wp:inline distT="0" distB="0" distL="0" distR="0" wp14:anchorId="4B921296" wp14:editId="3DDFD2CB">
            <wp:extent cx="5534025" cy="2486527"/>
            <wp:effectExtent l="0" t="0" r="15875" b="15875"/>
            <wp:docPr id="1182474152" name="Chart 1">
              <a:extLst xmlns:a="http://schemas.openxmlformats.org/drawingml/2006/main">
                <a:ext uri="{FF2B5EF4-FFF2-40B4-BE49-F238E27FC236}">
                  <a16:creationId xmlns:a16="http://schemas.microsoft.com/office/drawing/2014/main" id="{B55AB4EE-30AA-33E6-89EE-6F07EFF445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81FFA" w:rsidRPr="0018202F" w:rsidRDefault="006771C0" w:rsidP="00D202D3">
      <w:pPr>
        <w:pStyle w:val="Caption"/>
        <w:spacing w:after="120"/>
        <w:rPr>
          <w:rFonts w:ascii="Arial" w:hAnsi="Arial" w:cs="Arial"/>
          <w:i w:val="0"/>
          <w:iCs w:val="0"/>
          <w:color w:val="002060"/>
          <w:sz w:val="21"/>
          <w:szCs w:val="21"/>
        </w:rPr>
      </w:pPr>
      <w:bookmarkStart w:id="13" w:name="_Ref212049543"/>
      <w:bookmarkStart w:id="14" w:name="_Toc215223769"/>
      <w:bookmarkEnd w:id="11"/>
      <w:bookmarkEnd w:id="12"/>
      <w:r w:rsidRPr="0018202F">
        <w:rPr>
          <w:rFonts w:ascii="Arial" w:hAnsi="Arial" w:cs="Arial"/>
          <w:i w:val="0"/>
          <w:iCs w:val="0"/>
          <w:color w:val="002060"/>
          <w:sz w:val="21"/>
          <w:szCs w:val="21"/>
        </w:rPr>
        <w:t>Figure 5-</w:t>
      </w:r>
      <w:r w:rsidRPr="0018202F">
        <w:rPr>
          <w:rFonts w:ascii="Arial" w:hAnsi="Arial" w:cs="Arial"/>
          <w:i w:val="0"/>
          <w:iCs w:val="0"/>
          <w:color w:val="002060"/>
          <w:sz w:val="21"/>
          <w:szCs w:val="21"/>
        </w:rPr>
        <w:fldChar w:fldCharType="begin"/>
      </w:r>
      <w:r w:rsidRPr="0018202F">
        <w:rPr>
          <w:rFonts w:ascii="Arial" w:hAnsi="Arial" w:cs="Arial"/>
          <w:i w:val="0"/>
          <w:iCs w:val="0"/>
          <w:color w:val="002060"/>
          <w:sz w:val="21"/>
          <w:szCs w:val="21"/>
        </w:rPr>
        <w:instrText xml:space="preserve"> SEQ Figure_5- \* ARABIC </w:instrText>
      </w:r>
      <w:r w:rsidRPr="0018202F">
        <w:rPr>
          <w:rFonts w:ascii="Arial" w:hAnsi="Arial" w:cs="Arial"/>
          <w:i w:val="0"/>
          <w:iCs w:val="0"/>
          <w:color w:val="002060"/>
          <w:sz w:val="21"/>
          <w:szCs w:val="21"/>
        </w:rPr>
        <w:fldChar w:fldCharType="separate"/>
      </w:r>
      <w:r w:rsidR="00F72397">
        <w:rPr>
          <w:rFonts w:ascii="Arial" w:hAnsi="Arial" w:cs="Arial"/>
          <w:i w:val="0"/>
          <w:iCs w:val="0"/>
          <w:noProof/>
          <w:color w:val="002060"/>
          <w:sz w:val="21"/>
          <w:szCs w:val="21"/>
        </w:rPr>
        <w:t>1</w:t>
      </w:r>
      <w:r w:rsidRPr="0018202F">
        <w:rPr>
          <w:rFonts w:ascii="Arial" w:hAnsi="Arial" w:cs="Arial"/>
          <w:i w:val="0"/>
          <w:iCs w:val="0"/>
          <w:color w:val="002060"/>
          <w:sz w:val="21"/>
          <w:szCs w:val="21"/>
        </w:rPr>
        <w:fldChar w:fldCharType="end"/>
      </w:r>
      <w:bookmarkEnd w:id="13"/>
      <w:r w:rsidR="00251EEB" w:rsidRPr="0018202F">
        <w:rPr>
          <w:rFonts w:ascii="Arial" w:hAnsi="Arial" w:cs="Arial"/>
          <w:i w:val="0"/>
          <w:iCs w:val="0"/>
          <w:color w:val="002060"/>
          <w:sz w:val="21"/>
          <w:szCs w:val="21"/>
        </w:rPr>
        <w:t xml:space="preserve"> </w:t>
      </w:r>
      <w:r w:rsidR="00CC4895" w:rsidRPr="0018202F">
        <w:rPr>
          <w:rFonts w:ascii="Arial" w:hAnsi="Arial" w:cs="Arial"/>
          <w:i w:val="0"/>
          <w:iCs w:val="0"/>
          <w:color w:val="002060"/>
          <w:sz w:val="21"/>
          <w:szCs w:val="21"/>
        </w:rPr>
        <w:t>Capture fisheries production in Cambodia, 1960–2022 (</w:t>
      </w:r>
      <w:r w:rsidR="00251EEB" w:rsidRPr="0018202F">
        <w:rPr>
          <w:rFonts w:ascii="Arial" w:hAnsi="Arial" w:cs="Arial"/>
          <w:i w:val="0"/>
          <w:iCs w:val="0"/>
          <w:color w:val="002060"/>
          <w:sz w:val="21"/>
          <w:szCs w:val="21"/>
        </w:rPr>
        <w:t xml:space="preserve">total vs. </w:t>
      </w:r>
      <w:r w:rsidR="00CC4895" w:rsidRPr="0018202F">
        <w:rPr>
          <w:rFonts w:ascii="Arial" w:hAnsi="Arial" w:cs="Arial"/>
          <w:i w:val="0"/>
          <w:iCs w:val="0"/>
          <w:color w:val="002060"/>
          <w:sz w:val="21"/>
          <w:szCs w:val="21"/>
        </w:rPr>
        <w:t>marine vs. inland)</w:t>
      </w:r>
      <w:bookmarkEnd w:id="14"/>
    </w:p>
    <w:p w:rsidR="00CC4895" w:rsidRPr="0018202F" w:rsidRDefault="00E67FD4" w:rsidP="00DB5E57">
      <w:pPr>
        <w:jc w:val="both"/>
        <w:rPr>
          <w:rFonts w:ascii="Arial" w:hAnsi="Arial" w:cs="Arial"/>
          <w:i/>
          <w:iCs/>
          <w:sz w:val="20"/>
          <w:szCs w:val="20"/>
        </w:rPr>
      </w:pPr>
      <w:r w:rsidRPr="0018202F">
        <w:rPr>
          <w:rFonts w:ascii="Arial" w:hAnsi="Arial" w:cs="Arial"/>
          <w:b/>
          <w:bCs/>
          <w:i/>
          <w:iCs/>
          <w:sz w:val="20"/>
          <w:szCs w:val="20"/>
        </w:rPr>
        <w:t>(</w:t>
      </w:r>
      <w:r w:rsidR="00DB5E57" w:rsidRPr="0018202F">
        <w:rPr>
          <w:rFonts w:ascii="Arial" w:hAnsi="Arial" w:cs="Arial"/>
          <w:b/>
          <w:bCs/>
          <w:i/>
          <w:iCs/>
          <w:sz w:val="20"/>
          <w:szCs w:val="20"/>
        </w:rPr>
        <w:t>Source:</w:t>
      </w:r>
      <w:r w:rsidR="00DB5E57" w:rsidRPr="0018202F">
        <w:rPr>
          <w:rFonts w:ascii="Arial" w:hAnsi="Arial" w:cs="Arial"/>
          <w:i/>
          <w:iCs/>
          <w:sz w:val="20"/>
          <w:szCs w:val="20"/>
        </w:rPr>
        <w:t xml:space="preserve"> FAO FishStatJ</w:t>
      </w:r>
      <w:r w:rsidRPr="0018202F">
        <w:rPr>
          <w:rFonts w:ascii="Arial" w:hAnsi="Arial" w:cs="Arial"/>
          <w:i/>
          <w:iCs/>
          <w:sz w:val="20"/>
          <w:szCs w:val="20"/>
        </w:rPr>
        <w:t>, 2024)</w:t>
      </w:r>
    </w:p>
    <w:p w:rsidR="00DB5E57" w:rsidRPr="0018202F" w:rsidRDefault="00DB5E57" w:rsidP="00DB5E57">
      <w:pPr>
        <w:jc w:val="both"/>
        <w:rPr>
          <w:rFonts w:ascii="Arial" w:hAnsi="Arial" w:cs="Arial"/>
          <w:i/>
          <w:iCs/>
          <w:sz w:val="20"/>
          <w:szCs w:val="20"/>
        </w:rPr>
      </w:pPr>
    </w:p>
    <w:p w:rsidR="008108E0" w:rsidRPr="0018202F" w:rsidRDefault="008108E0" w:rsidP="00581FFA">
      <w:pPr>
        <w:spacing w:before="120" w:after="120"/>
        <w:jc w:val="both"/>
        <w:rPr>
          <w:rFonts w:ascii="Arial" w:hAnsi="Arial" w:cs="Arial"/>
          <w:sz w:val="22"/>
          <w:szCs w:val="22"/>
        </w:rPr>
      </w:pPr>
      <w:r w:rsidRPr="0018202F">
        <w:rPr>
          <w:rFonts w:ascii="Arial" w:hAnsi="Arial" w:cs="Arial"/>
          <w:sz w:val="22"/>
          <w:szCs w:val="22"/>
        </w:rPr>
        <w:t>FiA data (</w:t>
      </w:r>
      <w:r w:rsidRPr="0018202F">
        <w:rPr>
          <w:rFonts w:ascii="Arial" w:hAnsi="Arial" w:cs="Arial"/>
          <w:sz w:val="22"/>
          <w:szCs w:val="22"/>
        </w:rPr>
        <w:fldChar w:fldCharType="begin"/>
      </w:r>
      <w:r w:rsidRPr="0018202F">
        <w:rPr>
          <w:rFonts w:ascii="Arial" w:hAnsi="Arial" w:cs="Arial"/>
          <w:sz w:val="22"/>
          <w:szCs w:val="22"/>
        </w:rPr>
        <w:instrText xml:space="preserve"> REF _Ref215222643 \h  \* MERGEFORMAT </w:instrText>
      </w:r>
      <w:r w:rsidRPr="0018202F">
        <w:rPr>
          <w:rFonts w:ascii="Arial" w:hAnsi="Arial" w:cs="Arial"/>
          <w:sz w:val="22"/>
          <w:szCs w:val="22"/>
        </w:rPr>
      </w:r>
      <w:r w:rsidRPr="0018202F">
        <w:rPr>
          <w:rFonts w:ascii="Arial" w:hAnsi="Arial" w:cs="Arial"/>
          <w:sz w:val="22"/>
          <w:szCs w:val="22"/>
        </w:rPr>
        <w:fldChar w:fldCharType="separate"/>
      </w:r>
      <w:r w:rsidR="00F72397" w:rsidRPr="00F72397">
        <w:rPr>
          <w:rFonts w:ascii="Arial" w:hAnsi="Arial" w:cs="Arial"/>
          <w:color w:val="0070C0"/>
          <w:sz w:val="22"/>
          <w:szCs w:val="22"/>
        </w:rPr>
        <w:t>Table 5-1</w:t>
      </w:r>
      <w:r w:rsidRPr="0018202F">
        <w:rPr>
          <w:rFonts w:ascii="Arial" w:hAnsi="Arial" w:cs="Arial"/>
          <w:sz w:val="22"/>
          <w:szCs w:val="22"/>
        </w:rPr>
        <w:fldChar w:fldCharType="end"/>
      </w:r>
      <w:r w:rsidRPr="0018202F">
        <w:rPr>
          <w:rFonts w:ascii="Arial" w:hAnsi="Arial" w:cs="Arial"/>
          <w:sz w:val="22"/>
          <w:szCs w:val="22"/>
        </w:rPr>
        <w:t xml:space="preserve">) show coastal </w:t>
      </w:r>
      <w:r w:rsidR="00357EC2" w:rsidRPr="0018202F">
        <w:rPr>
          <w:rFonts w:ascii="Arial" w:hAnsi="Arial" w:cs="Arial"/>
          <w:sz w:val="22"/>
          <w:szCs w:val="22"/>
        </w:rPr>
        <w:t>marine production rising from about 91,000 tonnes in 2011 to 139,310 tonnes in 2024—a 53% increase overall (FiA, 2025). Nearly all landings came from the four coastal provinces, with Preah Sihanouk remained the top producer (≈45,000–57,000 tonnes/year), driven by trawl and purse-seine fleets and expanded port capacity. Koh Kong increased from 40,100 tonnes (2012) to 53,470 tonnes (2024), while Kampot showed seasonal fluctuations linked to inshore gear rules. Kep’s small-scale fishery grew from 1,400 tonnes (2016) to 4,430 tonnes (2024).</w:t>
      </w:r>
    </w:p>
    <w:p w:rsidR="007E1D4B" w:rsidRPr="0018202F" w:rsidRDefault="00696C92" w:rsidP="00D202D3">
      <w:pPr>
        <w:pStyle w:val="Caption"/>
        <w:keepNext/>
        <w:adjustRightInd w:val="0"/>
        <w:snapToGrid w:val="0"/>
        <w:spacing w:before="240" w:after="120"/>
        <w:rPr>
          <w:rStyle w:val="Strong"/>
          <w:rFonts w:ascii="Arial" w:hAnsi="Arial" w:cs="Arial"/>
          <w:b w:val="0"/>
          <w:bCs w:val="0"/>
          <w:i w:val="0"/>
          <w:iCs w:val="0"/>
          <w:color w:val="0070C0"/>
          <w:sz w:val="28"/>
          <w:szCs w:val="28"/>
        </w:rPr>
      </w:pPr>
      <w:bookmarkStart w:id="15" w:name="_Ref215222643"/>
      <w:bookmarkStart w:id="16" w:name="_Toc213661060"/>
      <w:r w:rsidRPr="0018202F">
        <w:rPr>
          <w:rFonts w:ascii="Arial" w:hAnsi="Arial" w:cs="Arial"/>
          <w:i w:val="0"/>
          <w:iCs w:val="0"/>
          <w:color w:val="0070C0"/>
          <w:sz w:val="21"/>
          <w:szCs w:val="21"/>
        </w:rPr>
        <w:t>Table 5-</w:t>
      </w:r>
      <w:r w:rsidRPr="0018202F">
        <w:rPr>
          <w:rFonts w:ascii="Arial" w:hAnsi="Arial" w:cs="Arial"/>
          <w:i w:val="0"/>
          <w:iCs w:val="0"/>
          <w:color w:val="0070C0"/>
          <w:sz w:val="21"/>
          <w:szCs w:val="21"/>
        </w:rPr>
        <w:fldChar w:fldCharType="begin"/>
      </w:r>
      <w:r w:rsidRPr="0018202F">
        <w:rPr>
          <w:rFonts w:ascii="Arial" w:hAnsi="Arial" w:cs="Arial"/>
          <w:i w:val="0"/>
          <w:iCs w:val="0"/>
          <w:color w:val="0070C0"/>
          <w:sz w:val="21"/>
          <w:szCs w:val="21"/>
        </w:rPr>
        <w:instrText xml:space="preserve"> SEQ Table_5- \* ARABIC </w:instrText>
      </w:r>
      <w:r w:rsidRPr="0018202F">
        <w:rPr>
          <w:rFonts w:ascii="Arial" w:hAnsi="Arial" w:cs="Arial"/>
          <w:i w:val="0"/>
          <w:iCs w:val="0"/>
          <w:color w:val="0070C0"/>
          <w:sz w:val="21"/>
          <w:szCs w:val="21"/>
        </w:rPr>
        <w:fldChar w:fldCharType="separate"/>
      </w:r>
      <w:r w:rsidR="00F72397">
        <w:rPr>
          <w:rFonts w:ascii="Arial" w:hAnsi="Arial" w:cs="Arial"/>
          <w:i w:val="0"/>
          <w:iCs w:val="0"/>
          <w:noProof/>
          <w:color w:val="0070C0"/>
          <w:sz w:val="21"/>
          <w:szCs w:val="21"/>
        </w:rPr>
        <w:t>1</w:t>
      </w:r>
      <w:r w:rsidRPr="0018202F">
        <w:rPr>
          <w:rFonts w:ascii="Arial" w:hAnsi="Arial" w:cs="Arial"/>
          <w:i w:val="0"/>
          <w:iCs w:val="0"/>
          <w:color w:val="0070C0"/>
          <w:sz w:val="21"/>
          <w:szCs w:val="21"/>
        </w:rPr>
        <w:fldChar w:fldCharType="end"/>
      </w:r>
      <w:bookmarkEnd w:id="15"/>
      <w:r w:rsidRPr="0018202F">
        <w:rPr>
          <w:rFonts w:ascii="Arial" w:hAnsi="Arial" w:cs="Arial"/>
          <w:i w:val="0"/>
          <w:iCs w:val="0"/>
          <w:color w:val="0070C0"/>
          <w:sz w:val="21"/>
          <w:szCs w:val="21"/>
        </w:rPr>
        <w:t xml:space="preserve"> </w:t>
      </w:r>
      <w:r w:rsidR="00A65FDD" w:rsidRPr="0018202F">
        <w:rPr>
          <w:rFonts w:ascii="Arial" w:hAnsi="Arial" w:cs="Arial"/>
          <w:i w:val="0"/>
          <w:iCs w:val="0"/>
          <w:color w:val="0070C0"/>
          <w:sz w:val="21"/>
          <w:szCs w:val="21"/>
        </w:rPr>
        <w:t>Marine capture by province</w:t>
      </w:r>
      <w:r w:rsidR="00F97CC4" w:rsidRPr="0018202F">
        <w:rPr>
          <w:rFonts w:ascii="Arial" w:hAnsi="Arial" w:cs="Arial"/>
          <w:i w:val="0"/>
          <w:iCs w:val="0"/>
          <w:color w:val="0070C0"/>
          <w:sz w:val="21"/>
          <w:szCs w:val="21"/>
        </w:rPr>
        <w:t>s</w:t>
      </w:r>
      <w:r w:rsidR="00A65FDD" w:rsidRPr="0018202F">
        <w:rPr>
          <w:rFonts w:ascii="Arial" w:hAnsi="Arial" w:cs="Arial"/>
          <w:i w:val="0"/>
          <w:iCs w:val="0"/>
          <w:color w:val="0070C0"/>
          <w:sz w:val="21"/>
          <w:szCs w:val="21"/>
        </w:rPr>
        <w:t xml:space="preserve"> (national series) </w:t>
      </w:r>
      <w:r w:rsidR="00857B85" w:rsidRPr="0018202F">
        <w:rPr>
          <w:rFonts w:ascii="Arial" w:hAnsi="Arial" w:cs="Arial"/>
          <w:i w:val="0"/>
          <w:iCs w:val="0"/>
          <w:color w:val="0070C0"/>
          <w:sz w:val="21"/>
          <w:szCs w:val="21"/>
        </w:rPr>
        <w:t>– tonnes</w:t>
      </w:r>
      <w:bookmarkEnd w:id="16"/>
    </w:p>
    <w:tbl>
      <w:tblPr>
        <w:tblStyle w:val="GridTable4-Accent5"/>
        <w:tblW w:w="8943" w:type="dxa"/>
        <w:tblLook w:val="04A0" w:firstRow="1" w:lastRow="0" w:firstColumn="1" w:lastColumn="0" w:noHBand="0" w:noVBand="1"/>
      </w:tblPr>
      <w:tblGrid>
        <w:gridCol w:w="1258"/>
        <w:gridCol w:w="1537"/>
        <w:gridCol w:w="1537"/>
        <w:gridCol w:w="1537"/>
        <w:gridCol w:w="1537"/>
        <w:gridCol w:w="1537"/>
      </w:tblGrid>
      <w:tr w:rsidR="007E1D4B" w:rsidRPr="0018202F" w:rsidTr="008108E0">
        <w:trPr>
          <w:cnfStyle w:val="100000000000" w:firstRow="1" w:lastRow="0" w:firstColumn="0" w:lastColumn="0" w:oddVBand="0" w:evenVBand="0" w:oddHBand="0" w:evenHBand="0" w:firstRowFirstColumn="0" w:firstRowLastColumn="0" w:lastRowFirstColumn="0" w:lastRowLastColumn="0"/>
          <w:trHeight w:val="497"/>
        </w:trPr>
        <w:tc>
          <w:tcPr>
            <w:cnfStyle w:val="001000000000" w:firstRow="0" w:lastRow="0" w:firstColumn="1" w:lastColumn="0" w:oddVBand="0" w:evenVBand="0" w:oddHBand="0" w:evenHBand="0" w:firstRowFirstColumn="0" w:firstRowLastColumn="0" w:lastRowFirstColumn="0" w:lastRowLastColumn="0"/>
            <w:tcW w:w="1258" w:type="dxa"/>
            <w:hideMark/>
          </w:tcPr>
          <w:p w:rsidR="007E1D4B" w:rsidRPr="0018202F" w:rsidRDefault="007E1D4B" w:rsidP="00F97CC4">
            <w:pPr>
              <w:jc w:val="center"/>
              <w:rPr>
                <w:rFonts w:ascii="Arial" w:hAnsi="Arial" w:cs="Arial"/>
                <w:sz w:val="20"/>
                <w:szCs w:val="20"/>
              </w:rPr>
            </w:pPr>
            <w:r w:rsidRPr="0018202F">
              <w:rPr>
                <w:rFonts w:ascii="Arial" w:hAnsi="Arial" w:cs="Arial"/>
                <w:sz w:val="20"/>
                <w:szCs w:val="20"/>
              </w:rPr>
              <w:t>Year</w:t>
            </w:r>
          </w:p>
        </w:tc>
        <w:tc>
          <w:tcPr>
            <w:tcW w:w="1537" w:type="dxa"/>
            <w:hideMark/>
          </w:tcPr>
          <w:p w:rsidR="007E1D4B" w:rsidRPr="0018202F" w:rsidRDefault="007E1D4B" w:rsidP="00F97CC4">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8202F">
              <w:rPr>
                <w:rFonts w:ascii="Arial" w:hAnsi="Arial" w:cs="Arial"/>
                <w:sz w:val="20"/>
                <w:szCs w:val="20"/>
              </w:rPr>
              <w:t>Coastal province</w:t>
            </w:r>
          </w:p>
        </w:tc>
        <w:tc>
          <w:tcPr>
            <w:tcW w:w="1537" w:type="dxa"/>
            <w:hideMark/>
          </w:tcPr>
          <w:p w:rsidR="007E1D4B" w:rsidRPr="0018202F" w:rsidRDefault="007E1D4B" w:rsidP="00F97CC4">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8202F">
              <w:rPr>
                <w:rFonts w:ascii="Arial" w:hAnsi="Arial" w:cs="Arial"/>
                <w:sz w:val="20"/>
                <w:szCs w:val="20"/>
              </w:rPr>
              <w:t>Kep</w:t>
            </w:r>
          </w:p>
        </w:tc>
        <w:tc>
          <w:tcPr>
            <w:tcW w:w="1537" w:type="dxa"/>
            <w:hideMark/>
          </w:tcPr>
          <w:p w:rsidR="007E1D4B" w:rsidRPr="0018202F" w:rsidRDefault="007E1D4B" w:rsidP="00F97CC4">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8202F">
              <w:rPr>
                <w:rFonts w:ascii="Arial" w:hAnsi="Arial" w:cs="Arial"/>
                <w:sz w:val="20"/>
                <w:szCs w:val="20"/>
              </w:rPr>
              <w:t>Kampot</w:t>
            </w:r>
          </w:p>
        </w:tc>
        <w:tc>
          <w:tcPr>
            <w:tcW w:w="1537" w:type="dxa"/>
            <w:hideMark/>
          </w:tcPr>
          <w:p w:rsidR="007E1D4B" w:rsidRPr="0018202F" w:rsidRDefault="007E1D4B" w:rsidP="00F97CC4">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8202F">
              <w:rPr>
                <w:rFonts w:ascii="Arial" w:hAnsi="Arial" w:cs="Arial"/>
                <w:sz w:val="20"/>
                <w:szCs w:val="20"/>
              </w:rPr>
              <w:t>Preah Sihanouk</w:t>
            </w:r>
          </w:p>
        </w:tc>
        <w:tc>
          <w:tcPr>
            <w:tcW w:w="1537" w:type="dxa"/>
            <w:hideMark/>
          </w:tcPr>
          <w:p w:rsidR="007E1D4B" w:rsidRPr="0018202F" w:rsidRDefault="007E1D4B" w:rsidP="00F97CC4">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8202F">
              <w:rPr>
                <w:rFonts w:ascii="Arial" w:hAnsi="Arial" w:cs="Arial"/>
                <w:sz w:val="20"/>
                <w:szCs w:val="20"/>
              </w:rPr>
              <w:t xml:space="preserve">Koh </w:t>
            </w:r>
            <w:r w:rsidR="007C6769" w:rsidRPr="0018202F">
              <w:rPr>
                <w:rFonts w:ascii="Arial" w:hAnsi="Arial" w:cs="Arial"/>
                <w:sz w:val="20"/>
                <w:szCs w:val="20"/>
              </w:rPr>
              <w:t>K</w:t>
            </w:r>
            <w:r w:rsidRPr="0018202F">
              <w:rPr>
                <w:rFonts w:ascii="Arial" w:hAnsi="Arial" w:cs="Arial"/>
                <w:sz w:val="20"/>
                <w:szCs w:val="20"/>
              </w:rPr>
              <w:t>ong</w:t>
            </w:r>
          </w:p>
        </w:tc>
      </w:tr>
      <w:tr w:rsidR="00857B85" w:rsidRPr="0018202F" w:rsidTr="008108E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58" w:type="dxa"/>
            <w:noWrap/>
            <w:hideMark/>
          </w:tcPr>
          <w:p w:rsidR="007E1D4B" w:rsidRPr="0018202F" w:rsidRDefault="007E1D4B">
            <w:pPr>
              <w:jc w:val="center"/>
              <w:rPr>
                <w:rFonts w:ascii="Arial" w:hAnsi="Arial" w:cs="Arial"/>
                <w:color w:val="000000" w:themeColor="text1"/>
                <w:sz w:val="20"/>
                <w:szCs w:val="20"/>
              </w:rPr>
            </w:pPr>
            <w:r w:rsidRPr="0018202F">
              <w:rPr>
                <w:rFonts w:ascii="Arial" w:hAnsi="Arial" w:cs="Arial"/>
                <w:color w:val="000000" w:themeColor="text1"/>
                <w:sz w:val="20"/>
                <w:szCs w:val="20"/>
              </w:rPr>
              <w:t>2011</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91,000</w:t>
            </w:r>
          </w:p>
        </w:tc>
        <w:tc>
          <w:tcPr>
            <w:tcW w:w="1537" w:type="dxa"/>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w:t>
            </w:r>
          </w:p>
        </w:tc>
        <w:tc>
          <w:tcPr>
            <w:tcW w:w="1537" w:type="dxa"/>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w:t>
            </w:r>
          </w:p>
        </w:tc>
        <w:tc>
          <w:tcPr>
            <w:tcW w:w="1537" w:type="dxa"/>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w:t>
            </w:r>
          </w:p>
        </w:tc>
        <w:tc>
          <w:tcPr>
            <w:tcW w:w="1537" w:type="dxa"/>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w:t>
            </w:r>
          </w:p>
        </w:tc>
      </w:tr>
      <w:tr w:rsidR="00857B85" w:rsidRPr="0018202F" w:rsidTr="008108E0">
        <w:trPr>
          <w:trHeight w:val="264"/>
        </w:trPr>
        <w:tc>
          <w:tcPr>
            <w:cnfStyle w:val="001000000000" w:firstRow="0" w:lastRow="0" w:firstColumn="1" w:lastColumn="0" w:oddVBand="0" w:evenVBand="0" w:oddHBand="0" w:evenHBand="0" w:firstRowFirstColumn="0" w:firstRowLastColumn="0" w:lastRowFirstColumn="0" w:lastRowLastColumn="0"/>
            <w:tcW w:w="1258" w:type="dxa"/>
            <w:noWrap/>
            <w:hideMark/>
          </w:tcPr>
          <w:p w:rsidR="007E1D4B" w:rsidRPr="0018202F" w:rsidRDefault="007E1D4B">
            <w:pPr>
              <w:jc w:val="center"/>
              <w:rPr>
                <w:rFonts w:ascii="Arial" w:hAnsi="Arial" w:cs="Arial"/>
                <w:color w:val="000000" w:themeColor="text1"/>
                <w:sz w:val="20"/>
                <w:szCs w:val="20"/>
              </w:rPr>
            </w:pPr>
            <w:r w:rsidRPr="0018202F">
              <w:rPr>
                <w:rFonts w:ascii="Arial" w:hAnsi="Arial" w:cs="Arial"/>
                <w:color w:val="000000" w:themeColor="text1"/>
                <w:sz w:val="20"/>
                <w:szCs w:val="20"/>
              </w:rPr>
              <w:t>2012</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99,000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11,100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47,800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40,100</w:t>
            </w:r>
          </w:p>
        </w:tc>
      </w:tr>
      <w:tr w:rsidR="00857B85" w:rsidRPr="0018202F" w:rsidTr="008108E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58" w:type="dxa"/>
            <w:noWrap/>
            <w:hideMark/>
          </w:tcPr>
          <w:p w:rsidR="007E1D4B" w:rsidRPr="0018202F" w:rsidRDefault="007E1D4B">
            <w:pPr>
              <w:jc w:val="center"/>
              <w:rPr>
                <w:rFonts w:ascii="Arial" w:hAnsi="Arial" w:cs="Arial"/>
                <w:color w:val="000000" w:themeColor="text1"/>
                <w:sz w:val="20"/>
                <w:szCs w:val="20"/>
              </w:rPr>
            </w:pPr>
            <w:r w:rsidRPr="0018202F">
              <w:rPr>
                <w:rFonts w:ascii="Arial" w:hAnsi="Arial" w:cs="Arial"/>
                <w:color w:val="000000" w:themeColor="text1"/>
                <w:sz w:val="20"/>
                <w:szCs w:val="20"/>
              </w:rPr>
              <w:t>2013</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110,000</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19,500</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49,000</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41,500</w:t>
            </w:r>
          </w:p>
        </w:tc>
      </w:tr>
      <w:tr w:rsidR="00857B85" w:rsidRPr="0018202F" w:rsidTr="008108E0">
        <w:trPr>
          <w:trHeight w:val="264"/>
        </w:trPr>
        <w:tc>
          <w:tcPr>
            <w:cnfStyle w:val="001000000000" w:firstRow="0" w:lastRow="0" w:firstColumn="1" w:lastColumn="0" w:oddVBand="0" w:evenVBand="0" w:oddHBand="0" w:evenHBand="0" w:firstRowFirstColumn="0" w:firstRowLastColumn="0" w:lastRowFirstColumn="0" w:lastRowLastColumn="0"/>
            <w:tcW w:w="1258" w:type="dxa"/>
            <w:noWrap/>
            <w:hideMark/>
          </w:tcPr>
          <w:p w:rsidR="007E1D4B" w:rsidRPr="0018202F" w:rsidRDefault="007E1D4B">
            <w:pPr>
              <w:jc w:val="center"/>
              <w:rPr>
                <w:rFonts w:ascii="Arial" w:hAnsi="Arial" w:cs="Arial"/>
                <w:color w:val="000000" w:themeColor="text1"/>
                <w:sz w:val="20"/>
                <w:szCs w:val="20"/>
              </w:rPr>
            </w:pPr>
            <w:r w:rsidRPr="0018202F">
              <w:rPr>
                <w:rFonts w:ascii="Arial" w:hAnsi="Arial" w:cs="Arial"/>
                <w:color w:val="000000" w:themeColor="text1"/>
                <w:sz w:val="20"/>
                <w:szCs w:val="20"/>
              </w:rPr>
              <w:t>2014</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120,250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16,789</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55,819</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47,642</w:t>
            </w:r>
          </w:p>
        </w:tc>
      </w:tr>
      <w:tr w:rsidR="00857B85" w:rsidRPr="0018202F" w:rsidTr="008108E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58" w:type="dxa"/>
            <w:noWrap/>
            <w:hideMark/>
          </w:tcPr>
          <w:p w:rsidR="007E1D4B" w:rsidRPr="0018202F" w:rsidRDefault="007E1D4B">
            <w:pPr>
              <w:jc w:val="center"/>
              <w:rPr>
                <w:rFonts w:ascii="Arial" w:hAnsi="Arial" w:cs="Arial"/>
                <w:color w:val="000000" w:themeColor="text1"/>
                <w:sz w:val="20"/>
                <w:szCs w:val="20"/>
              </w:rPr>
            </w:pPr>
            <w:r w:rsidRPr="0018202F">
              <w:rPr>
                <w:rFonts w:ascii="Arial" w:hAnsi="Arial" w:cs="Arial"/>
                <w:color w:val="000000" w:themeColor="text1"/>
                <w:sz w:val="20"/>
                <w:szCs w:val="20"/>
              </w:rPr>
              <w:t>2015</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110,000</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12,000</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50,000</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48,000</w:t>
            </w:r>
          </w:p>
        </w:tc>
      </w:tr>
      <w:tr w:rsidR="00857B85" w:rsidRPr="0018202F" w:rsidTr="008108E0">
        <w:trPr>
          <w:trHeight w:val="264"/>
        </w:trPr>
        <w:tc>
          <w:tcPr>
            <w:cnfStyle w:val="001000000000" w:firstRow="0" w:lastRow="0" w:firstColumn="1" w:lastColumn="0" w:oddVBand="0" w:evenVBand="0" w:oddHBand="0" w:evenHBand="0" w:firstRowFirstColumn="0" w:firstRowLastColumn="0" w:lastRowFirstColumn="0" w:lastRowLastColumn="0"/>
            <w:tcW w:w="1258" w:type="dxa"/>
            <w:noWrap/>
            <w:hideMark/>
          </w:tcPr>
          <w:p w:rsidR="007E1D4B" w:rsidRPr="0018202F" w:rsidRDefault="007E1D4B">
            <w:pPr>
              <w:jc w:val="center"/>
              <w:rPr>
                <w:rFonts w:ascii="Arial" w:hAnsi="Arial" w:cs="Arial"/>
                <w:color w:val="000000" w:themeColor="text1"/>
                <w:sz w:val="20"/>
                <w:szCs w:val="20"/>
              </w:rPr>
            </w:pPr>
            <w:r w:rsidRPr="0018202F">
              <w:rPr>
                <w:rFonts w:ascii="Arial" w:hAnsi="Arial" w:cs="Arial"/>
                <w:color w:val="000000" w:themeColor="text1"/>
                <w:sz w:val="20"/>
                <w:szCs w:val="20"/>
              </w:rPr>
              <w:t>2016</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120,600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1,370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23,180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46,000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50,050</w:t>
            </w:r>
          </w:p>
        </w:tc>
      </w:tr>
      <w:tr w:rsidR="00857B85" w:rsidRPr="0018202F" w:rsidTr="008108E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58" w:type="dxa"/>
            <w:noWrap/>
            <w:hideMark/>
          </w:tcPr>
          <w:p w:rsidR="007E1D4B" w:rsidRPr="0018202F" w:rsidRDefault="007E1D4B">
            <w:pPr>
              <w:jc w:val="center"/>
              <w:rPr>
                <w:rFonts w:ascii="Arial" w:hAnsi="Arial" w:cs="Arial"/>
                <w:color w:val="000000" w:themeColor="text1"/>
                <w:sz w:val="20"/>
                <w:szCs w:val="20"/>
              </w:rPr>
            </w:pPr>
            <w:r w:rsidRPr="0018202F">
              <w:rPr>
                <w:rFonts w:ascii="Arial" w:hAnsi="Arial" w:cs="Arial"/>
                <w:color w:val="000000" w:themeColor="text1"/>
                <w:sz w:val="20"/>
                <w:szCs w:val="20"/>
              </w:rPr>
              <w:t>2017</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121,025</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1,400</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21,645</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47,790</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50,190</w:t>
            </w:r>
          </w:p>
        </w:tc>
      </w:tr>
      <w:tr w:rsidR="00857B85" w:rsidRPr="0018202F" w:rsidTr="008108E0">
        <w:trPr>
          <w:trHeight w:val="264"/>
        </w:trPr>
        <w:tc>
          <w:tcPr>
            <w:cnfStyle w:val="001000000000" w:firstRow="0" w:lastRow="0" w:firstColumn="1" w:lastColumn="0" w:oddVBand="0" w:evenVBand="0" w:oddHBand="0" w:evenHBand="0" w:firstRowFirstColumn="0" w:firstRowLastColumn="0" w:lastRowFirstColumn="0" w:lastRowLastColumn="0"/>
            <w:tcW w:w="1258" w:type="dxa"/>
            <w:noWrap/>
            <w:hideMark/>
          </w:tcPr>
          <w:p w:rsidR="007E1D4B" w:rsidRPr="0018202F" w:rsidRDefault="007E1D4B">
            <w:pPr>
              <w:jc w:val="center"/>
              <w:rPr>
                <w:rFonts w:ascii="Arial" w:hAnsi="Arial" w:cs="Arial"/>
                <w:color w:val="000000" w:themeColor="text1"/>
                <w:sz w:val="20"/>
                <w:szCs w:val="20"/>
              </w:rPr>
            </w:pPr>
            <w:r w:rsidRPr="0018202F">
              <w:rPr>
                <w:rFonts w:ascii="Arial" w:hAnsi="Arial" w:cs="Arial"/>
                <w:color w:val="000000" w:themeColor="text1"/>
                <w:sz w:val="20"/>
                <w:szCs w:val="20"/>
              </w:rPr>
              <w:t>2018</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121,100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1,410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21,660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47,820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50,210</w:t>
            </w:r>
          </w:p>
        </w:tc>
      </w:tr>
      <w:tr w:rsidR="00857B85" w:rsidRPr="0018202F" w:rsidTr="008108E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58" w:type="dxa"/>
            <w:noWrap/>
            <w:hideMark/>
          </w:tcPr>
          <w:p w:rsidR="007E1D4B" w:rsidRPr="0018202F" w:rsidRDefault="007E1D4B">
            <w:pPr>
              <w:jc w:val="center"/>
              <w:rPr>
                <w:rFonts w:ascii="Arial" w:hAnsi="Arial" w:cs="Arial"/>
                <w:color w:val="000000" w:themeColor="text1"/>
                <w:sz w:val="20"/>
                <w:szCs w:val="20"/>
              </w:rPr>
            </w:pPr>
            <w:r w:rsidRPr="0018202F">
              <w:rPr>
                <w:rFonts w:ascii="Arial" w:hAnsi="Arial" w:cs="Arial"/>
                <w:color w:val="000000" w:themeColor="text1"/>
                <w:sz w:val="20"/>
                <w:szCs w:val="20"/>
              </w:rPr>
              <w:t>2019</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121,250</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4,315</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23,509</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45,266</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48,160</w:t>
            </w:r>
          </w:p>
        </w:tc>
      </w:tr>
      <w:tr w:rsidR="00857B85" w:rsidRPr="0018202F" w:rsidTr="008108E0">
        <w:trPr>
          <w:trHeight w:val="264"/>
        </w:trPr>
        <w:tc>
          <w:tcPr>
            <w:cnfStyle w:val="001000000000" w:firstRow="0" w:lastRow="0" w:firstColumn="1" w:lastColumn="0" w:oddVBand="0" w:evenVBand="0" w:oddHBand="0" w:evenHBand="0" w:firstRowFirstColumn="0" w:firstRowLastColumn="0" w:lastRowFirstColumn="0" w:lastRowLastColumn="0"/>
            <w:tcW w:w="1258" w:type="dxa"/>
            <w:noWrap/>
            <w:hideMark/>
          </w:tcPr>
          <w:p w:rsidR="007E1D4B" w:rsidRPr="0018202F" w:rsidRDefault="007E1D4B">
            <w:pPr>
              <w:jc w:val="center"/>
              <w:rPr>
                <w:rFonts w:ascii="Arial" w:hAnsi="Arial" w:cs="Arial"/>
                <w:color w:val="000000" w:themeColor="text1"/>
                <w:sz w:val="20"/>
                <w:szCs w:val="20"/>
              </w:rPr>
            </w:pPr>
            <w:r w:rsidRPr="0018202F">
              <w:rPr>
                <w:rFonts w:ascii="Arial" w:hAnsi="Arial" w:cs="Arial"/>
                <w:color w:val="000000" w:themeColor="text1"/>
                <w:sz w:val="20"/>
                <w:szCs w:val="20"/>
              </w:rPr>
              <w:t>2020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122,700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5,253</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20,300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44,598</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52,549</w:t>
            </w:r>
          </w:p>
        </w:tc>
      </w:tr>
      <w:tr w:rsidR="00857B85" w:rsidRPr="0018202F" w:rsidTr="008108E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58" w:type="dxa"/>
            <w:noWrap/>
            <w:hideMark/>
          </w:tcPr>
          <w:p w:rsidR="007E1D4B" w:rsidRPr="0018202F" w:rsidRDefault="007E1D4B">
            <w:pPr>
              <w:jc w:val="center"/>
              <w:rPr>
                <w:rFonts w:ascii="Arial" w:hAnsi="Arial" w:cs="Arial"/>
                <w:color w:val="000000" w:themeColor="text1"/>
                <w:sz w:val="20"/>
                <w:szCs w:val="20"/>
              </w:rPr>
            </w:pPr>
            <w:r w:rsidRPr="0018202F">
              <w:rPr>
                <w:rFonts w:ascii="Arial" w:hAnsi="Arial" w:cs="Arial"/>
                <w:color w:val="000000" w:themeColor="text1"/>
                <w:sz w:val="20"/>
                <w:szCs w:val="20"/>
              </w:rPr>
              <w:t>2021</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125,000</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5,657</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18,708</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47,410</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53,225</w:t>
            </w:r>
          </w:p>
        </w:tc>
      </w:tr>
      <w:tr w:rsidR="00857B85" w:rsidRPr="0018202F" w:rsidTr="008108E0">
        <w:trPr>
          <w:trHeight w:val="264"/>
        </w:trPr>
        <w:tc>
          <w:tcPr>
            <w:cnfStyle w:val="001000000000" w:firstRow="0" w:lastRow="0" w:firstColumn="1" w:lastColumn="0" w:oddVBand="0" w:evenVBand="0" w:oddHBand="0" w:evenHBand="0" w:firstRowFirstColumn="0" w:firstRowLastColumn="0" w:lastRowFirstColumn="0" w:lastRowLastColumn="0"/>
            <w:tcW w:w="1258" w:type="dxa"/>
            <w:noWrap/>
            <w:hideMark/>
          </w:tcPr>
          <w:p w:rsidR="007E1D4B" w:rsidRPr="0018202F" w:rsidRDefault="007E1D4B">
            <w:pPr>
              <w:jc w:val="center"/>
              <w:rPr>
                <w:rFonts w:ascii="Arial" w:hAnsi="Arial" w:cs="Arial"/>
                <w:color w:val="000000" w:themeColor="text1"/>
                <w:sz w:val="20"/>
                <w:szCs w:val="20"/>
              </w:rPr>
            </w:pPr>
            <w:r w:rsidRPr="0018202F">
              <w:rPr>
                <w:rFonts w:ascii="Arial" w:hAnsi="Arial" w:cs="Arial"/>
                <w:color w:val="000000" w:themeColor="text1"/>
                <w:sz w:val="20"/>
                <w:szCs w:val="20"/>
              </w:rPr>
              <w:t>2022</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125,200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2,530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22,740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49,550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50,380</w:t>
            </w:r>
          </w:p>
        </w:tc>
      </w:tr>
      <w:tr w:rsidR="00857B85" w:rsidRPr="0018202F" w:rsidTr="008108E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58" w:type="dxa"/>
            <w:noWrap/>
            <w:hideMark/>
          </w:tcPr>
          <w:p w:rsidR="007E1D4B" w:rsidRPr="0018202F" w:rsidRDefault="007E1D4B">
            <w:pPr>
              <w:jc w:val="center"/>
              <w:rPr>
                <w:rFonts w:ascii="Arial" w:hAnsi="Arial" w:cs="Arial"/>
                <w:color w:val="000000" w:themeColor="text1"/>
                <w:sz w:val="20"/>
                <w:szCs w:val="20"/>
              </w:rPr>
            </w:pPr>
            <w:r w:rsidRPr="0018202F">
              <w:rPr>
                <w:rFonts w:ascii="Arial" w:hAnsi="Arial" w:cs="Arial"/>
                <w:color w:val="000000" w:themeColor="text1"/>
                <w:sz w:val="20"/>
                <w:szCs w:val="20"/>
              </w:rPr>
              <w:t>2023</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125,500</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2,620</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22,080</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50,400</w:t>
            </w:r>
          </w:p>
        </w:tc>
        <w:tc>
          <w:tcPr>
            <w:tcW w:w="1537" w:type="dxa"/>
            <w:noWrap/>
            <w:hideMark/>
          </w:tcPr>
          <w:p w:rsidR="007E1D4B" w:rsidRPr="0018202F" w:rsidRDefault="007E1D4B">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50,400</w:t>
            </w:r>
          </w:p>
        </w:tc>
      </w:tr>
      <w:tr w:rsidR="00857B85" w:rsidRPr="0018202F" w:rsidTr="008108E0">
        <w:trPr>
          <w:trHeight w:val="264"/>
        </w:trPr>
        <w:tc>
          <w:tcPr>
            <w:cnfStyle w:val="001000000000" w:firstRow="0" w:lastRow="0" w:firstColumn="1" w:lastColumn="0" w:oddVBand="0" w:evenVBand="0" w:oddHBand="0" w:evenHBand="0" w:firstRowFirstColumn="0" w:firstRowLastColumn="0" w:lastRowFirstColumn="0" w:lastRowLastColumn="0"/>
            <w:tcW w:w="1258" w:type="dxa"/>
            <w:noWrap/>
            <w:hideMark/>
          </w:tcPr>
          <w:p w:rsidR="007E1D4B" w:rsidRPr="0018202F" w:rsidRDefault="007E1D4B">
            <w:pPr>
              <w:jc w:val="center"/>
              <w:rPr>
                <w:rFonts w:ascii="Arial" w:hAnsi="Arial" w:cs="Arial"/>
                <w:color w:val="000000" w:themeColor="text1"/>
                <w:sz w:val="20"/>
                <w:szCs w:val="20"/>
              </w:rPr>
            </w:pPr>
            <w:r w:rsidRPr="0018202F">
              <w:rPr>
                <w:rFonts w:ascii="Arial" w:hAnsi="Arial" w:cs="Arial"/>
                <w:color w:val="000000" w:themeColor="text1"/>
                <w:sz w:val="20"/>
                <w:szCs w:val="20"/>
              </w:rPr>
              <w:t>2024</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139,310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4,430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24,400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57,010</w:t>
            </w:r>
          </w:p>
        </w:tc>
        <w:tc>
          <w:tcPr>
            <w:tcW w:w="1537" w:type="dxa"/>
            <w:noWrap/>
            <w:hideMark/>
          </w:tcPr>
          <w:p w:rsidR="007E1D4B" w:rsidRPr="0018202F" w:rsidRDefault="007E1D4B">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sidRPr="0018202F">
              <w:rPr>
                <w:rFonts w:ascii="Arial" w:hAnsi="Arial" w:cs="Arial"/>
                <w:color w:val="000000" w:themeColor="text1"/>
                <w:sz w:val="20"/>
                <w:szCs w:val="20"/>
              </w:rPr>
              <w:t>53,470</w:t>
            </w:r>
          </w:p>
        </w:tc>
      </w:tr>
    </w:tbl>
    <w:p w:rsidR="0061407C" w:rsidRPr="0018202F" w:rsidRDefault="00DB5E57" w:rsidP="00084AFC">
      <w:pPr>
        <w:adjustRightInd w:val="0"/>
        <w:snapToGrid w:val="0"/>
        <w:jc w:val="both"/>
        <w:rPr>
          <w:rFonts w:ascii="Arial" w:hAnsi="Arial" w:cs="Arial"/>
          <w:color w:val="000000" w:themeColor="text1"/>
          <w:sz w:val="16"/>
          <w:szCs w:val="16"/>
        </w:rPr>
      </w:pPr>
      <w:bookmarkStart w:id="17" w:name="OLE_LINK3"/>
      <w:r w:rsidRPr="0018202F">
        <w:rPr>
          <w:rStyle w:val="Strong"/>
          <w:rFonts w:ascii="Arial" w:hAnsi="Arial" w:cs="Arial"/>
          <w:color w:val="000000" w:themeColor="text1"/>
          <w:sz w:val="18"/>
          <w:szCs w:val="18"/>
        </w:rPr>
        <w:t xml:space="preserve">Source: </w:t>
      </w:r>
      <w:r w:rsidR="00A65FDD" w:rsidRPr="0018202F">
        <w:rPr>
          <w:rStyle w:val="Strong"/>
          <w:rFonts w:ascii="Arial" w:hAnsi="Arial" w:cs="Arial"/>
          <w:color w:val="000000" w:themeColor="text1"/>
          <w:sz w:val="18"/>
          <w:szCs w:val="18"/>
        </w:rPr>
        <w:t>FiA</w:t>
      </w:r>
      <w:r w:rsidR="00CE50E0" w:rsidRPr="0018202F">
        <w:rPr>
          <w:rStyle w:val="Strong"/>
          <w:rFonts w:ascii="Arial" w:hAnsi="Arial" w:cs="Arial"/>
          <w:color w:val="000000" w:themeColor="text1"/>
          <w:sz w:val="18"/>
          <w:szCs w:val="18"/>
        </w:rPr>
        <w:t>’s</w:t>
      </w:r>
      <w:r w:rsidR="00A65FDD" w:rsidRPr="0018202F">
        <w:rPr>
          <w:rFonts w:ascii="Arial" w:hAnsi="Arial" w:cs="Arial"/>
          <w:color w:val="000000" w:themeColor="text1"/>
          <w:sz w:val="18"/>
          <w:szCs w:val="18"/>
        </w:rPr>
        <w:t xml:space="preserve"> </w:t>
      </w:r>
      <w:r w:rsidR="00A65FDD" w:rsidRPr="0018202F">
        <w:rPr>
          <w:rStyle w:val="Emphasis"/>
          <w:rFonts w:ascii="Arial" w:hAnsi="Arial" w:cs="Arial"/>
          <w:color w:val="000000" w:themeColor="text1"/>
          <w:sz w:val="18"/>
          <w:szCs w:val="18"/>
        </w:rPr>
        <w:t>Annual Fisheries Statistical Report (2012–2024)</w:t>
      </w:r>
      <w:bookmarkEnd w:id="17"/>
    </w:p>
    <w:p w:rsidR="008108E0" w:rsidRPr="006D4D25" w:rsidRDefault="008108E0" w:rsidP="00084AFC">
      <w:pPr>
        <w:spacing w:before="240" w:after="120"/>
        <w:jc w:val="both"/>
        <w:rPr>
          <w:rFonts w:ascii="Arial" w:hAnsi="Arial" w:cs="Arial"/>
          <w:b/>
          <w:bCs/>
          <w:i/>
          <w:iCs/>
          <w:color w:val="000000" w:themeColor="text1"/>
          <w:sz w:val="22"/>
          <w:szCs w:val="22"/>
        </w:rPr>
      </w:pPr>
      <w:r w:rsidRPr="006D4D25">
        <w:rPr>
          <w:rFonts w:ascii="Arial" w:hAnsi="Arial" w:cs="Arial"/>
          <w:b/>
          <w:bCs/>
          <w:i/>
          <w:iCs/>
          <w:color w:val="000000" w:themeColor="text1"/>
          <w:sz w:val="22"/>
          <w:szCs w:val="22"/>
        </w:rPr>
        <w:t xml:space="preserve">b) </w:t>
      </w:r>
      <w:r w:rsidR="00AE4E74" w:rsidRPr="006D4D25">
        <w:rPr>
          <w:rFonts w:ascii="Arial" w:hAnsi="Arial" w:cs="Arial"/>
          <w:b/>
          <w:bCs/>
          <w:i/>
          <w:iCs/>
          <w:color w:val="000000" w:themeColor="text1"/>
          <w:sz w:val="22"/>
          <w:szCs w:val="22"/>
        </w:rPr>
        <w:t>Catch value (US$ 1,000)</w:t>
      </w:r>
    </w:p>
    <w:p w:rsidR="007E3AA0" w:rsidRPr="0018202F" w:rsidRDefault="00F3081E" w:rsidP="00696C92">
      <w:pPr>
        <w:spacing w:before="120" w:after="120"/>
        <w:jc w:val="both"/>
        <w:rPr>
          <w:rFonts w:ascii="Arial" w:hAnsi="Arial" w:cs="Arial"/>
          <w:b/>
          <w:bCs/>
          <w:i/>
          <w:iCs/>
          <w:color w:val="0070C0"/>
          <w:sz w:val="22"/>
          <w:szCs w:val="22"/>
        </w:rPr>
      </w:pPr>
      <w:r w:rsidRPr="0018202F">
        <w:rPr>
          <w:rStyle w:val="Strong"/>
          <w:rFonts w:ascii="Arial" w:hAnsi="Arial" w:cs="Arial"/>
          <w:b w:val="0"/>
          <w:bCs w:val="0"/>
          <w:sz w:val="22"/>
          <w:szCs w:val="22"/>
        </w:rPr>
        <w:t>In recent years, Cambodia’s marine fisheries production value has stabilized around USD 190–200 million, contributing roughly one quarter of total national fisheries value, underscoring the sector’s continued economic importance despite signs of ecological pressure and resource decline (FAO FishStatJ, 2024).</w:t>
      </w:r>
      <w:r w:rsidRPr="0018202F">
        <w:rPr>
          <w:rStyle w:val="Strong"/>
          <w:rFonts w:ascii="Arial" w:hAnsi="Arial" w:cs="Arial"/>
          <w:sz w:val="22"/>
          <w:szCs w:val="22"/>
        </w:rPr>
        <w:t xml:space="preserve"> </w:t>
      </w:r>
      <w:r w:rsidRPr="0018202F">
        <w:rPr>
          <w:rStyle w:val="Strong"/>
          <w:rFonts w:ascii="Arial" w:hAnsi="Arial" w:cs="Arial"/>
          <w:b w:val="0"/>
          <w:bCs w:val="0"/>
          <w:sz w:val="22"/>
          <w:szCs w:val="22"/>
        </w:rPr>
        <w:t>Moreover,</w:t>
      </w:r>
      <w:r w:rsidRPr="0018202F">
        <w:rPr>
          <w:rStyle w:val="Strong"/>
          <w:rFonts w:ascii="Arial" w:hAnsi="Arial" w:cs="Arial"/>
          <w:sz w:val="22"/>
          <w:szCs w:val="22"/>
        </w:rPr>
        <w:t xml:space="preserve"> </w:t>
      </w:r>
      <w:r w:rsidRPr="0018202F">
        <w:rPr>
          <w:rFonts w:ascii="Arial" w:hAnsi="Arial" w:cs="Arial"/>
          <w:sz w:val="22"/>
          <w:szCs w:val="22"/>
        </w:rPr>
        <w:t>r</w:t>
      </w:r>
      <w:r w:rsidR="00AE6FF1" w:rsidRPr="0018202F">
        <w:rPr>
          <w:rFonts w:ascii="Arial" w:hAnsi="Arial" w:cs="Arial"/>
          <w:sz w:val="22"/>
          <w:szCs w:val="22"/>
        </w:rPr>
        <w:t xml:space="preserve">econstructed catch value rose with expansion, peaking near </w:t>
      </w:r>
      <w:r w:rsidR="00AE6FF1" w:rsidRPr="0018202F">
        <w:rPr>
          <w:rStyle w:val="Strong"/>
          <w:rFonts w:ascii="Arial" w:hAnsi="Arial" w:cs="Arial"/>
          <w:b w:val="0"/>
          <w:bCs w:val="0"/>
          <w:sz w:val="22"/>
          <w:szCs w:val="22"/>
        </w:rPr>
        <w:t>US$449.7M (2008)</w:t>
      </w:r>
      <w:r w:rsidR="00AE6FF1" w:rsidRPr="0018202F">
        <w:rPr>
          <w:rFonts w:ascii="Arial" w:hAnsi="Arial" w:cs="Arial"/>
          <w:b/>
          <w:bCs/>
          <w:sz w:val="22"/>
          <w:szCs w:val="22"/>
        </w:rPr>
        <w:t>;</w:t>
      </w:r>
      <w:r w:rsidR="00AE6FF1" w:rsidRPr="0018202F">
        <w:rPr>
          <w:rFonts w:ascii="Arial" w:hAnsi="Arial" w:cs="Arial"/>
          <w:sz w:val="22"/>
          <w:szCs w:val="22"/>
        </w:rPr>
        <w:t xml:space="preserve"> values later dipped to </w:t>
      </w:r>
      <w:r w:rsidR="00AE6FF1" w:rsidRPr="0018202F">
        <w:rPr>
          <w:rStyle w:val="Strong"/>
          <w:rFonts w:ascii="Arial" w:hAnsi="Arial" w:cs="Arial"/>
          <w:b w:val="0"/>
          <w:bCs w:val="0"/>
          <w:sz w:val="22"/>
          <w:szCs w:val="22"/>
        </w:rPr>
        <w:t>US$245.2M (2019)</w:t>
      </w:r>
      <w:r w:rsidR="00AE6FF1" w:rsidRPr="0018202F">
        <w:rPr>
          <w:rFonts w:ascii="Arial" w:hAnsi="Arial" w:cs="Arial"/>
          <w:b/>
          <w:bCs/>
          <w:sz w:val="22"/>
          <w:szCs w:val="22"/>
        </w:rPr>
        <w:t>,</w:t>
      </w:r>
      <w:r w:rsidR="00AE6FF1" w:rsidRPr="0018202F">
        <w:rPr>
          <w:rFonts w:ascii="Arial" w:hAnsi="Arial" w:cs="Arial"/>
          <w:sz w:val="22"/>
          <w:szCs w:val="22"/>
        </w:rPr>
        <w:t xml:space="preserve"> tracking FiB’s volatility and lower-trophic reliance</w:t>
      </w:r>
      <w:r w:rsidRPr="0018202F">
        <w:rPr>
          <w:rFonts w:ascii="Arial" w:hAnsi="Arial" w:cs="Arial"/>
          <w:sz w:val="22"/>
          <w:szCs w:val="22"/>
        </w:rPr>
        <w:t xml:space="preserve"> (Sea Around Us (SAU), 2024)</w:t>
      </w:r>
      <w:r w:rsidR="00AE6FF1" w:rsidRPr="0018202F">
        <w:rPr>
          <w:rFonts w:ascii="Arial" w:hAnsi="Arial" w:cs="Arial"/>
          <w:sz w:val="22"/>
          <w:szCs w:val="22"/>
        </w:rPr>
        <w:t>.</w:t>
      </w:r>
    </w:p>
    <w:p w:rsidR="00AE4E74" w:rsidRPr="006D4D25" w:rsidRDefault="00AE4E74" w:rsidP="00AE4E74">
      <w:pPr>
        <w:pStyle w:val="Heading4"/>
        <w:rPr>
          <w:rStyle w:val="Strong"/>
          <w:rFonts w:ascii="Arial" w:hAnsi="Arial" w:cs="Arial"/>
          <w:b/>
          <w:bCs/>
          <w:color w:val="0070C0"/>
          <w:sz w:val="22"/>
          <w:szCs w:val="22"/>
        </w:rPr>
      </w:pPr>
      <w:r w:rsidRPr="006D4D25">
        <w:rPr>
          <w:rStyle w:val="Strong"/>
          <w:rFonts w:ascii="Arial" w:hAnsi="Arial" w:cs="Arial"/>
          <w:b/>
          <w:bCs/>
          <w:color w:val="0070C0"/>
          <w:sz w:val="22"/>
          <w:szCs w:val="22"/>
        </w:rPr>
        <w:t>5.2.1.2 Species Population Size (marine capture fisheries)</w:t>
      </w:r>
    </w:p>
    <w:p w:rsidR="00357EC2" w:rsidRPr="0018202F" w:rsidRDefault="00985468" w:rsidP="00357EC2">
      <w:pPr>
        <w:pStyle w:val="NormalWeb"/>
        <w:jc w:val="both"/>
        <w:rPr>
          <w:rFonts w:ascii="Arial" w:hAnsi="Arial" w:cs="Arial"/>
          <w:sz w:val="22"/>
          <w:szCs w:val="22"/>
        </w:rPr>
      </w:pPr>
      <w:r w:rsidRPr="00985468">
        <w:rPr>
          <w:rFonts w:ascii="Arial" w:hAnsi="Arial" w:cs="Arial"/>
          <w:color w:val="0070C0"/>
          <w:sz w:val="22"/>
          <w:szCs w:val="22"/>
        </w:rPr>
        <w:fldChar w:fldCharType="begin"/>
      </w:r>
      <w:r w:rsidRPr="00985468">
        <w:rPr>
          <w:rFonts w:ascii="Arial" w:hAnsi="Arial" w:cs="Arial"/>
          <w:color w:val="0070C0"/>
          <w:sz w:val="22"/>
          <w:szCs w:val="22"/>
        </w:rPr>
        <w:instrText xml:space="preserve"> REF _Ref216596687 \h </w:instrText>
      </w:r>
      <w:r w:rsidRPr="00985468">
        <w:rPr>
          <w:rFonts w:ascii="Arial" w:hAnsi="Arial" w:cs="Arial"/>
          <w:color w:val="0070C0"/>
          <w:sz w:val="22"/>
          <w:szCs w:val="22"/>
        </w:rPr>
      </w:r>
      <w:r w:rsidRPr="00985468">
        <w:rPr>
          <w:rFonts w:ascii="Arial" w:hAnsi="Arial" w:cs="Arial"/>
          <w:color w:val="0070C0"/>
          <w:sz w:val="22"/>
          <w:szCs w:val="22"/>
        </w:rPr>
        <w:fldChar w:fldCharType="separate"/>
      </w:r>
      <w:r w:rsidR="00F72397" w:rsidRPr="0018202F">
        <w:rPr>
          <w:rFonts w:ascii="Arial" w:hAnsi="Arial" w:cs="Arial"/>
          <w:color w:val="002060"/>
          <w:sz w:val="21"/>
          <w:szCs w:val="21"/>
        </w:rPr>
        <w:t>Figure 5-</w:t>
      </w:r>
      <w:r w:rsidR="00F72397">
        <w:rPr>
          <w:rFonts w:ascii="Arial" w:hAnsi="Arial" w:cs="Arial"/>
          <w:i/>
          <w:iCs/>
          <w:noProof/>
          <w:color w:val="002060"/>
          <w:sz w:val="21"/>
          <w:szCs w:val="21"/>
        </w:rPr>
        <w:t>2</w:t>
      </w:r>
      <w:r w:rsidRPr="00985468">
        <w:rPr>
          <w:rFonts w:ascii="Arial" w:hAnsi="Arial" w:cs="Arial"/>
          <w:color w:val="0070C0"/>
          <w:sz w:val="22"/>
          <w:szCs w:val="22"/>
        </w:rPr>
        <w:fldChar w:fldCharType="end"/>
      </w:r>
      <w:r w:rsidRPr="00985468">
        <w:rPr>
          <w:rFonts w:ascii="Arial" w:hAnsi="Arial" w:cs="Arial"/>
          <w:color w:val="0070C0"/>
          <w:sz w:val="22"/>
          <w:szCs w:val="22"/>
        </w:rPr>
        <w:t xml:space="preserve"> </w:t>
      </w:r>
      <w:r w:rsidR="00357EC2" w:rsidRPr="0018202F">
        <w:rPr>
          <w:rFonts w:ascii="Arial" w:hAnsi="Arial" w:cs="Arial"/>
          <w:sz w:val="22"/>
          <w:szCs w:val="22"/>
        </w:rPr>
        <w:t>summarizes long-term trends for Cambodia’s main marine species groups based on reconstructed Sea Around Us (1960–2019) catch data.</w:t>
      </w:r>
      <w:r w:rsidR="00107981" w:rsidRPr="0018202F">
        <w:rPr>
          <w:rFonts w:ascii="Arial" w:hAnsi="Arial" w:cs="Arial"/>
          <w:sz w:val="22"/>
          <w:szCs w:val="22"/>
        </w:rPr>
        <w:t xml:space="preserve"> The data sh</w:t>
      </w:r>
      <w:r w:rsidR="006E78E7">
        <w:rPr>
          <w:rFonts w:ascii="Arial" w:hAnsi="Arial" w:cs="Arial"/>
          <w:sz w:val="22"/>
          <w:szCs w:val="22"/>
        </w:rPr>
        <w:t>o</w:t>
      </w:r>
      <w:r w:rsidR="00107981" w:rsidRPr="0018202F">
        <w:rPr>
          <w:rFonts w:ascii="Arial" w:hAnsi="Arial" w:cs="Arial"/>
          <w:sz w:val="22"/>
          <w:szCs w:val="22"/>
        </w:rPr>
        <w:t>ws:</w:t>
      </w:r>
    </w:p>
    <w:p w:rsidR="00357EC2" w:rsidRPr="0018202F" w:rsidRDefault="00357EC2" w:rsidP="006D4D25">
      <w:pPr>
        <w:pStyle w:val="NormalWeb"/>
        <w:spacing w:before="120" w:beforeAutospacing="0" w:after="120" w:afterAutospacing="0"/>
        <w:jc w:val="both"/>
        <w:rPr>
          <w:rFonts w:ascii="Arial" w:hAnsi="Arial" w:cs="Arial"/>
          <w:sz w:val="22"/>
          <w:szCs w:val="22"/>
        </w:rPr>
      </w:pPr>
      <w:r w:rsidRPr="0018202F">
        <w:rPr>
          <w:rStyle w:val="Strong"/>
          <w:rFonts w:ascii="Arial" w:hAnsi="Arial" w:cs="Arial"/>
          <w:sz w:val="22"/>
          <w:szCs w:val="22"/>
        </w:rPr>
        <w:t>Perch-likes (demersal/reef finfish):</w:t>
      </w:r>
      <w:r w:rsidRPr="0018202F">
        <w:rPr>
          <w:rFonts w:ascii="Arial" w:hAnsi="Arial" w:cs="Arial"/>
          <w:sz w:val="22"/>
          <w:szCs w:val="22"/>
        </w:rPr>
        <w:t xml:space="preserve"> Increased from about 8,700 tonnes in 1960 to a peak of ~188,000 tonnes in 1999, then declined to 97,000–123,000 tonnes in 2014–2019. They still make up roughly half of recent marine catch, reflecting high dependence on mixed demersal fisheries.</w:t>
      </w:r>
    </w:p>
    <w:p w:rsidR="00357EC2" w:rsidRPr="0018202F" w:rsidRDefault="00357EC2" w:rsidP="006D4D25">
      <w:pPr>
        <w:pStyle w:val="NormalWeb"/>
        <w:spacing w:before="120" w:beforeAutospacing="0" w:after="120" w:afterAutospacing="0"/>
        <w:jc w:val="both"/>
        <w:rPr>
          <w:rFonts w:ascii="Arial" w:hAnsi="Arial" w:cs="Arial"/>
          <w:sz w:val="22"/>
          <w:szCs w:val="22"/>
        </w:rPr>
      </w:pPr>
      <w:r w:rsidRPr="0018202F">
        <w:rPr>
          <w:rStyle w:val="Strong"/>
          <w:rFonts w:ascii="Arial" w:hAnsi="Arial" w:cs="Arial"/>
          <w:sz w:val="22"/>
          <w:szCs w:val="22"/>
        </w:rPr>
        <w:t>Crustaceans (shrimps, crabs):</w:t>
      </w:r>
      <w:r w:rsidRPr="0018202F">
        <w:rPr>
          <w:rFonts w:ascii="Arial" w:hAnsi="Arial" w:cs="Arial"/>
          <w:sz w:val="22"/>
          <w:szCs w:val="22"/>
        </w:rPr>
        <w:t xml:space="preserve"> Rose from 2,800 tonnes in 1960 to ~50,000–54,000 tonnes in 2000–2002, easing to 30,000–37,000 tonnes by 2015–2019 due to nursery-ground degradation, gear controls and market shifts.</w:t>
      </w:r>
    </w:p>
    <w:p w:rsidR="00357EC2" w:rsidRPr="0018202F" w:rsidRDefault="00357EC2" w:rsidP="006D4D25">
      <w:pPr>
        <w:pStyle w:val="NormalWeb"/>
        <w:spacing w:before="120" w:beforeAutospacing="0" w:after="120" w:afterAutospacing="0"/>
        <w:jc w:val="both"/>
        <w:rPr>
          <w:rFonts w:ascii="Arial" w:hAnsi="Arial" w:cs="Arial"/>
          <w:sz w:val="22"/>
          <w:szCs w:val="22"/>
        </w:rPr>
      </w:pPr>
      <w:r w:rsidRPr="0018202F">
        <w:rPr>
          <w:rStyle w:val="Strong"/>
          <w:rFonts w:ascii="Arial" w:hAnsi="Arial" w:cs="Arial"/>
          <w:sz w:val="22"/>
          <w:szCs w:val="22"/>
        </w:rPr>
        <w:t>Herring-likes (small pelagics):</w:t>
      </w:r>
      <w:r w:rsidRPr="0018202F">
        <w:rPr>
          <w:rFonts w:ascii="Arial" w:hAnsi="Arial" w:cs="Arial"/>
          <w:sz w:val="22"/>
          <w:szCs w:val="22"/>
        </w:rPr>
        <w:t xml:space="preserve"> Grew from 700 tonnes in 1960 to 22,000–32,000 tonnes in 1999–2002, then declined to 6,000–9,000 tonnes in 2013–2019, indicating early over-expansion and later stock depletion.</w:t>
      </w:r>
    </w:p>
    <w:p w:rsidR="00357EC2" w:rsidRPr="0018202F" w:rsidRDefault="00357EC2" w:rsidP="006D4D25">
      <w:pPr>
        <w:pStyle w:val="NormalWeb"/>
        <w:spacing w:before="120" w:beforeAutospacing="0" w:after="120" w:afterAutospacing="0"/>
        <w:jc w:val="both"/>
        <w:rPr>
          <w:rFonts w:ascii="Arial" w:hAnsi="Arial" w:cs="Arial"/>
          <w:sz w:val="22"/>
          <w:szCs w:val="22"/>
        </w:rPr>
      </w:pPr>
      <w:r w:rsidRPr="0018202F">
        <w:rPr>
          <w:rStyle w:val="Strong"/>
          <w:rFonts w:ascii="Arial" w:hAnsi="Arial" w:cs="Arial"/>
          <w:sz w:val="22"/>
          <w:szCs w:val="22"/>
        </w:rPr>
        <w:t>Anchovies:</w:t>
      </w:r>
      <w:r w:rsidRPr="0018202F">
        <w:rPr>
          <w:rFonts w:ascii="Arial" w:hAnsi="Arial" w:cs="Arial"/>
          <w:sz w:val="22"/>
          <w:szCs w:val="22"/>
        </w:rPr>
        <w:t xml:space="preserve"> Increased from 700 tonnes in 1960 to ~22,000–23,000 tonnes in 2003–2005, falling to 8,000–10,000 tonnes in 2013–2019, mirroring the broader contraction of small pelagics.</w:t>
      </w:r>
    </w:p>
    <w:p w:rsidR="00357EC2" w:rsidRPr="0018202F" w:rsidRDefault="00357EC2" w:rsidP="006D4D25">
      <w:pPr>
        <w:pStyle w:val="NormalWeb"/>
        <w:spacing w:before="120" w:beforeAutospacing="0" w:after="120" w:afterAutospacing="0"/>
        <w:jc w:val="both"/>
        <w:rPr>
          <w:rFonts w:ascii="Arial" w:hAnsi="Arial" w:cs="Arial"/>
          <w:sz w:val="22"/>
          <w:szCs w:val="22"/>
        </w:rPr>
      </w:pPr>
      <w:r w:rsidRPr="0018202F">
        <w:rPr>
          <w:rStyle w:val="Strong"/>
          <w:rFonts w:ascii="Arial" w:hAnsi="Arial" w:cs="Arial"/>
          <w:sz w:val="22"/>
          <w:szCs w:val="22"/>
        </w:rPr>
        <w:t>Molluscs (cephalopods, bivalves):</w:t>
      </w:r>
      <w:r w:rsidRPr="0018202F">
        <w:rPr>
          <w:rFonts w:ascii="Arial" w:hAnsi="Arial" w:cs="Arial"/>
          <w:sz w:val="22"/>
          <w:szCs w:val="22"/>
        </w:rPr>
        <w:t xml:space="preserve"> Virtually absent in early decades, rising to 24,000–32,000 tonnes in 1999–2001 and </w:t>
      </w:r>
      <w:r w:rsidR="00084AFC" w:rsidRPr="0018202F">
        <w:rPr>
          <w:rFonts w:ascii="Arial" w:hAnsi="Arial" w:cs="Arial"/>
          <w:sz w:val="22"/>
          <w:szCs w:val="22"/>
        </w:rPr>
        <w:t>normalizing</w:t>
      </w:r>
      <w:r w:rsidRPr="0018202F">
        <w:rPr>
          <w:rFonts w:ascii="Arial" w:hAnsi="Arial" w:cs="Arial"/>
          <w:sz w:val="22"/>
          <w:szCs w:val="22"/>
        </w:rPr>
        <w:t xml:space="preserve"> at 11,000–12,000 tonnes by 2018–2019 following cyclical targeting and variable availability.</w:t>
      </w:r>
    </w:p>
    <w:p w:rsidR="00357EC2" w:rsidRPr="0018202F" w:rsidRDefault="00357EC2" w:rsidP="006D4D25">
      <w:pPr>
        <w:pStyle w:val="NormalWeb"/>
        <w:spacing w:before="120" w:beforeAutospacing="0" w:after="120" w:afterAutospacing="0"/>
        <w:jc w:val="both"/>
        <w:rPr>
          <w:rFonts w:ascii="Arial" w:hAnsi="Arial" w:cs="Arial"/>
          <w:sz w:val="22"/>
          <w:szCs w:val="22"/>
        </w:rPr>
      </w:pPr>
      <w:r w:rsidRPr="0018202F">
        <w:rPr>
          <w:rStyle w:val="Strong"/>
          <w:rFonts w:ascii="Arial" w:hAnsi="Arial" w:cs="Arial"/>
          <w:sz w:val="22"/>
          <w:szCs w:val="22"/>
        </w:rPr>
        <w:t>Scorpionfishes:</w:t>
      </w:r>
      <w:r w:rsidRPr="0018202F">
        <w:rPr>
          <w:rFonts w:ascii="Arial" w:hAnsi="Arial" w:cs="Arial"/>
          <w:sz w:val="22"/>
          <w:szCs w:val="22"/>
        </w:rPr>
        <w:t xml:space="preserve"> Reached 9,000–10,000 tonnes in the mid-1980s, then dropped to under 1,000 tonnes after 2010 due to depletion of nearshore reefs.</w:t>
      </w:r>
    </w:p>
    <w:p w:rsidR="00357EC2" w:rsidRPr="0018202F" w:rsidRDefault="00357EC2" w:rsidP="006D4D25">
      <w:pPr>
        <w:pStyle w:val="NormalWeb"/>
        <w:spacing w:before="120" w:beforeAutospacing="0" w:after="120" w:afterAutospacing="0"/>
        <w:jc w:val="both"/>
        <w:rPr>
          <w:rFonts w:ascii="Arial" w:hAnsi="Arial" w:cs="Arial"/>
          <w:sz w:val="22"/>
          <w:szCs w:val="22"/>
        </w:rPr>
      </w:pPr>
      <w:r w:rsidRPr="0018202F">
        <w:rPr>
          <w:rStyle w:val="Strong"/>
          <w:rFonts w:ascii="Arial" w:hAnsi="Arial" w:cs="Arial"/>
          <w:sz w:val="22"/>
          <w:szCs w:val="22"/>
        </w:rPr>
        <w:t>Sharks and rays:</w:t>
      </w:r>
      <w:r w:rsidRPr="0018202F">
        <w:rPr>
          <w:rFonts w:ascii="Arial" w:hAnsi="Arial" w:cs="Arial"/>
          <w:sz w:val="22"/>
          <w:szCs w:val="22"/>
        </w:rPr>
        <w:t xml:space="preserve"> Collapsed from 2,000–4,000 tonnes in 2000–2003 to below 100 tonnes after 2010 and only single-digit tonnes by 2018–2019, reflecting severe long-term depletion.</w:t>
      </w:r>
    </w:p>
    <w:p w:rsidR="00357EC2" w:rsidRPr="0018202F" w:rsidRDefault="00357EC2" w:rsidP="006D4D25">
      <w:pPr>
        <w:pStyle w:val="NormalWeb"/>
        <w:spacing w:before="120" w:beforeAutospacing="0" w:after="120" w:afterAutospacing="0"/>
        <w:jc w:val="both"/>
        <w:rPr>
          <w:rFonts w:ascii="Arial" w:hAnsi="Arial" w:cs="Arial"/>
          <w:sz w:val="22"/>
          <w:szCs w:val="22"/>
        </w:rPr>
      </w:pPr>
      <w:r w:rsidRPr="0018202F">
        <w:rPr>
          <w:rStyle w:val="Strong"/>
          <w:rFonts w:ascii="Arial" w:hAnsi="Arial" w:cs="Arial"/>
          <w:sz w:val="22"/>
          <w:szCs w:val="22"/>
        </w:rPr>
        <w:t>Other fishes and invertebrates:</w:t>
      </w:r>
      <w:r w:rsidRPr="0018202F">
        <w:rPr>
          <w:rFonts w:ascii="Arial" w:hAnsi="Arial" w:cs="Arial"/>
          <w:sz w:val="22"/>
          <w:szCs w:val="22"/>
        </w:rPr>
        <w:t xml:space="preserve"> Increased from 2,900 tonnes in 1960 to ~74,000 tonnes around 2000, then </w:t>
      </w:r>
      <w:r w:rsidR="00084AFC" w:rsidRPr="0018202F">
        <w:rPr>
          <w:rFonts w:ascii="Arial" w:hAnsi="Arial" w:cs="Arial"/>
          <w:sz w:val="22"/>
          <w:szCs w:val="22"/>
        </w:rPr>
        <w:t>stabilized</w:t>
      </w:r>
      <w:r w:rsidRPr="0018202F">
        <w:rPr>
          <w:rFonts w:ascii="Arial" w:hAnsi="Arial" w:cs="Arial"/>
          <w:sz w:val="22"/>
          <w:szCs w:val="22"/>
        </w:rPr>
        <w:t xml:space="preserve"> at 30,000–35,000 tonnes in 2013–2019, representing diverse nearshore multispecies catches for domestic markets.</w:t>
      </w:r>
    </w:p>
    <w:p w:rsidR="00EA430A" w:rsidRPr="0018202F" w:rsidRDefault="00EA430A" w:rsidP="00357EC2">
      <w:pPr>
        <w:spacing w:before="100" w:beforeAutospacing="1" w:after="100" w:afterAutospacing="1"/>
        <w:jc w:val="both"/>
        <w:rPr>
          <w:rFonts w:ascii="Arial" w:hAnsi="Arial" w:cs="Arial"/>
          <w:sz w:val="22"/>
          <w:szCs w:val="22"/>
        </w:rPr>
      </w:pPr>
      <w:r w:rsidRPr="0018202F">
        <w:rPr>
          <w:rFonts w:ascii="Arial" w:hAnsi="Arial" w:cs="Arial"/>
          <w:noProof/>
        </w:rPr>
        <w:drawing>
          <wp:inline distT="0" distB="0" distL="0" distR="0" wp14:anchorId="4197C0A5" wp14:editId="75C64E15">
            <wp:extent cx="5684715" cy="2754154"/>
            <wp:effectExtent l="12700" t="12700" r="17780" b="14605"/>
            <wp:docPr id="15640444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4044415" name="Picture 1564044415"/>
                    <pic:cNvPicPr/>
                  </pic:nvPicPr>
                  <pic:blipFill rotWithShape="1">
                    <a:blip r:embed="rId10" cstate="print">
                      <a:extLst>
                        <a:ext uri="{28A0092B-C50C-407E-A947-70E740481C1C}">
                          <a14:useLocalDpi xmlns:a14="http://schemas.microsoft.com/office/drawing/2010/main" val="0"/>
                        </a:ext>
                      </a:extLst>
                    </a:blip>
                    <a:srcRect l="1536"/>
                    <a:stretch/>
                  </pic:blipFill>
                  <pic:spPr bwMode="auto">
                    <a:xfrm>
                      <a:off x="0" y="0"/>
                      <a:ext cx="5684715" cy="2754154"/>
                    </a:xfrm>
                    <a:prstGeom prst="rect">
                      <a:avLst/>
                    </a:prstGeom>
                    <a:ln>
                      <a:solidFill>
                        <a:schemeClr val="accent5">
                          <a:lumMod val="20000"/>
                          <a:lumOff val="80000"/>
                        </a:schemeClr>
                      </a:solidFill>
                    </a:ln>
                    <a:extLst>
                      <a:ext uri="{53640926-AAD7-44D8-BBD7-CCE9431645EC}">
                        <a14:shadowObscured xmlns:a14="http://schemas.microsoft.com/office/drawing/2010/main"/>
                      </a:ext>
                    </a:extLst>
                  </pic:spPr>
                </pic:pic>
              </a:graphicData>
            </a:graphic>
          </wp:inline>
        </w:drawing>
      </w:r>
    </w:p>
    <w:p w:rsidR="00EA430A" w:rsidRPr="0018202F" w:rsidRDefault="00E0545C" w:rsidP="00D202D3">
      <w:pPr>
        <w:pStyle w:val="Caption"/>
        <w:snapToGrid w:val="0"/>
        <w:spacing w:after="0"/>
        <w:rPr>
          <w:rFonts w:ascii="Arial" w:hAnsi="Arial" w:cs="Arial"/>
          <w:i w:val="0"/>
          <w:iCs w:val="0"/>
          <w:color w:val="002060"/>
          <w:sz w:val="21"/>
          <w:szCs w:val="21"/>
        </w:rPr>
      </w:pPr>
      <w:bookmarkStart w:id="18" w:name="_Ref216596687"/>
      <w:bookmarkStart w:id="19" w:name="_Toc215223770"/>
      <w:r w:rsidRPr="0018202F">
        <w:rPr>
          <w:rFonts w:ascii="Arial" w:hAnsi="Arial" w:cs="Arial"/>
          <w:i w:val="0"/>
          <w:iCs w:val="0"/>
          <w:color w:val="002060"/>
          <w:sz w:val="21"/>
          <w:szCs w:val="21"/>
        </w:rPr>
        <w:t>Figure 5-</w:t>
      </w:r>
      <w:r w:rsidRPr="0018202F">
        <w:rPr>
          <w:rFonts w:ascii="Arial" w:hAnsi="Arial" w:cs="Arial"/>
          <w:i w:val="0"/>
          <w:iCs w:val="0"/>
          <w:color w:val="002060"/>
          <w:sz w:val="21"/>
          <w:szCs w:val="21"/>
        </w:rPr>
        <w:fldChar w:fldCharType="begin"/>
      </w:r>
      <w:r w:rsidRPr="0018202F">
        <w:rPr>
          <w:rFonts w:ascii="Arial" w:hAnsi="Arial" w:cs="Arial"/>
          <w:i w:val="0"/>
          <w:iCs w:val="0"/>
          <w:color w:val="002060"/>
          <w:sz w:val="21"/>
          <w:szCs w:val="21"/>
        </w:rPr>
        <w:instrText xml:space="preserve"> SEQ Figure_5- \* ARABIC </w:instrText>
      </w:r>
      <w:r w:rsidRPr="0018202F">
        <w:rPr>
          <w:rFonts w:ascii="Arial" w:hAnsi="Arial" w:cs="Arial"/>
          <w:i w:val="0"/>
          <w:iCs w:val="0"/>
          <w:color w:val="002060"/>
          <w:sz w:val="21"/>
          <w:szCs w:val="21"/>
        </w:rPr>
        <w:fldChar w:fldCharType="separate"/>
      </w:r>
      <w:r w:rsidR="00F72397">
        <w:rPr>
          <w:rFonts w:ascii="Arial" w:hAnsi="Arial" w:cs="Arial"/>
          <w:i w:val="0"/>
          <w:iCs w:val="0"/>
          <w:noProof/>
          <w:color w:val="002060"/>
          <w:sz w:val="21"/>
          <w:szCs w:val="21"/>
        </w:rPr>
        <w:t>2</w:t>
      </w:r>
      <w:r w:rsidRPr="0018202F">
        <w:rPr>
          <w:rFonts w:ascii="Arial" w:hAnsi="Arial" w:cs="Arial"/>
          <w:i w:val="0"/>
          <w:iCs w:val="0"/>
          <w:color w:val="002060"/>
          <w:sz w:val="21"/>
          <w:szCs w:val="21"/>
        </w:rPr>
        <w:fldChar w:fldCharType="end"/>
      </w:r>
      <w:bookmarkEnd w:id="18"/>
      <w:r w:rsidR="00EA430A" w:rsidRPr="0018202F">
        <w:rPr>
          <w:rFonts w:ascii="Arial" w:hAnsi="Arial" w:cs="Arial"/>
          <w:i w:val="0"/>
          <w:iCs w:val="0"/>
          <w:color w:val="002060"/>
          <w:sz w:val="21"/>
          <w:szCs w:val="21"/>
        </w:rPr>
        <w:t xml:space="preserve"> </w:t>
      </w:r>
      <w:r w:rsidR="007C6769" w:rsidRPr="0018202F">
        <w:rPr>
          <w:rFonts w:ascii="Arial" w:hAnsi="Arial" w:cs="Arial"/>
          <w:i w:val="0"/>
          <w:iCs w:val="0"/>
          <w:color w:val="002060"/>
          <w:sz w:val="21"/>
          <w:szCs w:val="21"/>
        </w:rPr>
        <w:t xml:space="preserve">Catches by </w:t>
      </w:r>
      <w:r w:rsidR="00857B85" w:rsidRPr="0018202F">
        <w:rPr>
          <w:rFonts w:ascii="Arial" w:hAnsi="Arial" w:cs="Arial"/>
          <w:i w:val="0"/>
          <w:iCs w:val="0"/>
          <w:color w:val="002060"/>
          <w:sz w:val="21"/>
          <w:szCs w:val="21"/>
        </w:rPr>
        <w:t>c</w:t>
      </w:r>
      <w:r w:rsidR="007C6769" w:rsidRPr="0018202F">
        <w:rPr>
          <w:rFonts w:ascii="Arial" w:hAnsi="Arial" w:cs="Arial"/>
          <w:i w:val="0"/>
          <w:iCs w:val="0"/>
          <w:color w:val="002060"/>
          <w:sz w:val="21"/>
          <w:szCs w:val="21"/>
        </w:rPr>
        <w:t>ommercial groups in the waters of Cambodia (1950-2019)</w:t>
      </w:r>
      <w:bookmarkEnd w:id="19"/>
    </w:p>
    <w:p w:rsidR="0061407C" w:rsidRPr="0018202F" w:rsidRDefault="0061407C" w:rsidP="0061407C">
      <w:pPr>
        <w:spacing w:before="120"/>
        <w:rPr>
          <w:rFonts w:ascii="Arial" w:hAnsi="Arial" w:cs="Arial"/>
        </w:rPr>
      </w:pPr>
      <w:r w:rsidRPr="0018202F">
        <w:rPr>
          <w:rFonts w:ascii="Arial" w:hAnsi="Arial" w:cs="Arial"/>
          <w:b/>
          <w:bCs/>
          <w:i/>
          <w:iCs/>
          <w:sz w:val="20"/>
          <w:szCs w:val="20"/>
        </w:rPr>
        <w:t xml:space="preserve">Source: </w:t>
      </w:r>
      <w:r w:rsidRPr="0018202F">
        <w:rPr>
          <w:rFonts w:ascii="Arial" w:hAnsi="Arial" w:cs="Arial"/>
          <w:i/>
          <w:iCs/>
          <w:sz w:val="20"/>
          <w:szCs w:val="20"/>
        </w:rPr>
        <w:t>Sea Around Us (SAU), 2024. Cambodia marine species group production, 1950–2019</w:t>
      </w:r>
    </w:p>
    <w:p w:rsidR="00394761" w:rsidRPr="006D4D25" w:rsidRDefault="00857B85" w:rsidP="008274D2">
      <w:pPr>
        <w:pStyle w:val="Heading4"/>
        <w:keepNext/>
        <w:rPr>
          <w:rFonts w:ascii="Arial" w:hAnsi="Arial" w:cs="Arial"/>
          <w:color w:val="0070C0"/>
          <w:sz w:val="22"/>
          <w:szCs w:val="22"/>
        </w:rPr>
      </w:pPr>
      <w:r w:rsidRPr="006D4D25">
        <w:rPr>
          <w:rStyle w:val="Strong"/>
          <w:rFonts w:ascii="Arial" w:hAnsi="Arial" w:cs="Arial"/>
          <w:b/>
          <w:bCs/>
          <w:color w:val="0070C0"/>
          <w:sz w:val="22"/>
          <w:szCs w:val="22"/>
        </w:rPr>
        <w:t>5.2.1.</w:t>
      </w:r>
      <w:r w:rsidR="00917CAC" w:rsidRPr="006D4D25">
        <w:rPr>
          <w:rStyle w:val="Strong"/>
          <w:rFonts w:ascii="Arial" w:hAnsi="Arial" w:cs="Arial"/>
          <w:b/>
          <w:bCs/>
          <w:color w:val="0070C0"/>
          <w:sz w:val="22"/>
          <w:szCs w:val="22"/>
        </w:rPr>
        <w:t>3</w:t>
      </w:r>
      <w:r w:rsidRPr="006D4D25">
        <w:rPr>
          <w:rStyle w:val="Strong"/>
          <w:rFonts w:ascii="Arial" w:hAnsi="Arial" w:cs="Arial"/>
          <w:b/>
          <w:bCs/>
          <w:color w:val="0070C0"/>
          <w:sz w:val="22"/>
          <w:szCs w:val="22"/>
        </w:rPr>
        <w:t xml:space="preserve"> Aquaculture Product</w:t>
      </w:r>
      <w:r w:rsidR="0061407C" w:rsidRPr="006D4D25">
        <w:rPr>
          <w:rStyle w:val="Strong"/>
          <w:rFonts w:ascii="Arial" w:hAnsi="Arial" w:cs="Arial"/>
          <w:b/>
          <w:bCs/>
          <w:color w:val="0070C0"/>
          <w:sz w:val="22"/>
          <w:szCs w:val="22"/>
        </w:rPr>
        <w:t>ion</w:t>
      </w:r>
    </w:p>
    <w:p w:rsidR="004570F7" w:rsidRPr="0018202F" w:rsidRDefault="00357EC2" w:rsidP="008274D2">
      <w:pPr>
        <w:spacing w:before="120" w:after="120"/>
        <w:jc w:val="both"/>
        <w:rPr>
          <w:rFonts w:ascii="Arial" w:hAnsi="Arial" w:cs="Arial"/>
          <w:b/>
          <w:bCs/>
          <w:i/>
          <w:iCs/>
          <w:color w:val="0070C0"/>
          <w:sz w:val="22"/>
          <w:szCs w:val="22"/>
        </w:rPr>
      </w:pPr>
      <w:r w:rsidRPr="0018202F">
        <w:rPr>
          <w:rFonts w:ascii="Arial" w:hAnsi="Arial" w:cs="Arial"/>
          <w:b/>
          <w:bCs/>
          <w:i/>
          <w:iCs/>
          <w:color w:val="0070C0"/>
          <w:sz w:val="22"/>
          <w:szCs w:val="22"/>
        </w:rPr>
        <w:t xml:space="preserve">a) </w:t>
      </w:r>
      <w:r w:rsidR="008274D2" w:rsidRPr="0018202F">
        <w:rPr>
          <w:rFonts w:ascii="Arial" w:hAnsi="Arial" w:cs="Arial"/>
          <w:b/>
          <w:bCs/>
          <w:i/>
          <w:iCs/>
          <w:color w:val="0070C0"/>
          <w:sz w:val="22"/>
          <w:szCs w:val="22"/>
        </w:rPr>
        <w:t>A</w:t>
      </w:r>
      <w:r w:rsidR="004570F7" w:rsidRPr="0018202F">
        <w:rPr>
          <w:rFonts w:ascii="Arial" w:hAnsi="Arial" w:cs="Arial"/>
          <w:b/>
          <w:bCs/>
          <w:i/>
          <w:iCs/>
          <w:color w:val="0070C0"/>
          <w:sz w:val="22"/>
          <w:szCs w:val="22"/>
        </w:rPr>
        <w:t>quaculture production: levels and trends (1976–2022)</w:t>
      </w:r>
    </w:p>
    <w:p w:rsidR="00CE50E0" w:rsidRPr="0018202F" w:rsidRDefault="007B68A5" w:rsidP="00CE50E0">
      <w:pPr>
        <w:spacing w:before="240" w:after="240"/>
        <w:jc w:val="both"/>
        <w:rPr>
          <w:rFonts w:ascii="Arial" w:hAnsi="Arial" w:cs="Arial"/>
          <w:sz w:val="22"/>
          <w:szCs w:val="22"/>
        </w:rPr>
      </w:pPr>
      <w:r w:rsidRPr="0018202F">
        <w:rPr>
          <w:rFonts w:ascii="Arial" w:hAnsi="Arial" w:cs="Arial"/>
          <w:sz w:val="22"/>
          <w:szCs w:val="22"/>
        </w:rPr>
        <w:t xml:space="preserve">Nationally, </w:t>
      </w:r>
      <w:r w:rsidR="00357EC2" w:rsidRPr="0018202F">
        <w:rPr>
          <w:rFonts w:ascii="Arial" w:hAnsi="Arial" w:cs="Arial"/>
          <w:sz w:val="22"/>
          <w:szCs w:val="22"/>
        </w:rPr>
        <w:t>Cambodia’s aquaculture expanded from 4 tonnes in 1976 to 330,600 tonnes in 2022, peaking at 400,400 tonnes in 2020 (FAO FishStatJ). Freshwater systems dominate, rising to 314,310 tonnes in 2022 and supplying about 95% of national output in recent years. Marine and brackishwater volumes remain small—~14,900 tonnes and ~1,400 tonnes in 2022—but marine farming has grown to 15,000–18,000 tonnes (around 4–5%) during 2020–2022</w:t>
      </w:r>
      <w:r w:rsidR="00CE50E0" w:rsidRPr="0018202F">
        <w:rPr>
          <w:rFonts w:ascii="Arial" w:hAnsi="Arial" w:cs="Arial"/>
          <w:sz w:val="22"/>
          <w:szCs w:val="22"/>
        </w:rPr>
        <w:t>)</w:t>
      </w:r>
      <w:r w:rsidR="00357EC2" w:rsidRPr="0018202F">
        <w:rPr>
          <w:rFonts w:ascii="Arial" w:hAnsi="Arial" w:cs="Arial"/>
          <w:sz w:val="22"/>
          <w:szCs w:val="22"/>
        </w:rPr>
        <w:t>. Marine production centres on cage-cultured finfish (groupers, Asian seabass) and oysters along Koh Kong, Preah Sihanouk and Kampot, aligning with regional classifications of Cambodia as predominantly freshwater-aquaculture (SEAFDEC; Kunthy, 2021).</w:t>
      </w:r>
      <w:r w:rsidR="004570F7" w:rsidRPr="0018202F">
        <w:rPr>
          <w:rFonts w:ascii="Arial" w:hAnsi="Arial" w:cs="Arial"/>
          <w:sz w:val="22"/>
          <w:szCs w:val="22"/>
        </w:rPr>
        <w:t xml:space="preserve"> </w:t>
      </w:r>
    </w:p>
    <w:p w:rsidR="00BD104B" w:rsidRPr="0018202F" w:rsidRDefault="008274D2" w:rsidP="00CE50E0">
      <w:pPr>
        <w:spacing w:before="240" w:after="240"/>
        <w:jc w:val="both"/>
        <w:rPr>
          <w:rFonts w:ascii="Arial" w:hAnsi="Arial" w:cs="Arial"/>
          <w:sz w:val="22"/>
          <w:szCs w:val="22"/>
        </w:rPr>
      </w:pPr>
      <w:r w:rsidRPr="0018202F">
        <w:rPr>
          <w:rFonts w:ascii="Arial" w:hAnsi="Arial" w:cs="Arial"/>
          <w:sz w:val="22"/>
          <w:szCs w:val="22"/>
        </w:rPr>
        <w:t>In the most recent three years (</w:t>
      </w:r>
      <w:r w:rsidR="00357EC2" w:rsidRPr="0018202F">
        <w:rPr>
          <w:rFonts w:ascii="Arial" w:hAnsi="Arial" w:cs="Arial"/>
          <w:sz w:val="22"/>
          <w:szCs w:val="22"/>
        </w:rPr>
        <w:fldChar w:fldCharType="begin"/>
      </w:r>
      <w:r w:rsidR="00357EC2" w:rsidRPr="0018202F">
        <w:rPr>
          <w:rFonts w:ascii="Arial" w:hAnsi="Arial" w:cs="Arial"/>
          <w:sz w:val="22"/>
          <w:szCs w:val="22"/>
        </w:rPr>
        <w:instrText xml:space="preserve"> REF _Ref215223251 \h </w:instrText>
      </w:r>
      <w:r w:rsidR="0018202F">
        <w:rPr>
          <w:rFonts w:ascii="Arial" w:hAnsi="Arial" w:cs="Arial"/>
          <w:sz w:val="22"/>
          <w:szCs w:val="22"/>
        </w:rPr>
        <w:instrText xml:space="preserve"> \* MERGEFORMAT </w:instrText>
      </w:r>
      <w:r w:rsidR="00357EC2" w:rsidRPr="0018202F">
        <w:rPr>
          <w:rFonts w:ascii="Arial" w:hAnsi="Arial" w:cs="Arial"/>
          <w:sz w:val="22"/>
          <w:szCs w:val="22"/>
        </w:rPr>
      </w:r>
      <w:r w:rsidR="00357EC2" w:rsidRPr="0018202F">
        <w:rPr>
          <w:rFonts w:ascii="Arial" w:hAnsi="Arial" w:cs="Arial"/>
          <w:sz w:val="22"/>
          <w:szCs w:val="22"/>
        </w:rPr>
        <w:fldChar w:fldCharType="separate"/>
      </w:r>
      <w:r w:rsidR="00F72397" w:rsidRPr="00F72397">
        <w:rPr>
          <w:rFonts w:ascii="Arial" w:hAnsi="Arial" w:cs="Arial"/>
          <w:color w:val="0070C0"/>
          <w:sz w:val="22"/>
          <w:szCs w:val="22"/>
        </w:rPr>
        <w:t>Table 5-3</w:t>
      </w:r>
      <w:r w:rsidR="00357EC2" w:rsidRPr="0018202F">
        <w:rPr>
          <w:rFonts w:ascii="Arial" w:hAnsi="Arial" w:cs="Arial"/>
          <w:sz w:val="22"/>
          <w:szCs w:val="22"/>
        </w:rPr>
        <w:fldChar w:fldCharType="end"/>
      </w:r>
      <w:r w:rsidRPr="0018202F">
        <w:rPr>
          <w:rFonts w:ascii="Arial" w:hAnsi="Arial" w:cs="Arial"/>
          <w:sz w:val="22"/>
          <w:szCs w:val="22"/>
        </w:rPr>
        <w:t xml:space="preserve">), </w:t>
      </w:r>
      <w:r w:rsidR="003B50E6" w:rsidRPr="0018202F">
        <w:rPr>
          <w:rFonts w:ascii="Arial" w:hAnsi="Arial" w:cs="Arial"/>
          <w:sz w:val="22"/>
          <w:szCs w:val="22"/>
        </w:rPr>
        <w:t>FiA’s Annual Fisheries Statistical Report 2020–2024 show a major contraction in coastal aquaculture, dropping from 35,460 t in 2020 to 16,499 t in 2024 (-53%). The steepest decline occurred in 2022–2023 (-46%), with only a modest rebound in 2024. Losses were strongest in Kampot (-74%) and Preah Sihanouk (-69%), while Koh Kong fell less sharply (-37%)</w:t>
      </w:r>
      <w:r w:rsidR="00CE50E0" w:rsidRPr="0018202F">
        <w:rPr>
          <w:rFonts w:ascii="Arial" w:hAnsi="Arial" w:cs="Arial"/>
          <w:sz w:val="22"/>
          <w:szCs w:val="22"/>
        </w:rPr>
        <w:t>—</w:t>
      </w:r>
      <w:r w:rsidR="003B50E6" w:rsidRPr="0018202F">
        <w:rPr>
          <w:rFonts w:ascii="Arial" w:hAnsi="Arial" w:cs="Arial"/>
          <w:sz w:val="22"/>
          <w:szCs w:val="22"/>
        </w:rPr>
        <w:t>increasingly dominated production. By 2024, Koh Kong accounted for nearly 68% of coastal output, up from 50% in 2020, highlighting both a severe overall downturn and growing spatial concentration of the sector (FiA, 2020–2024).</w:t>
      </w:r>
    </w:p>
    <w:p w:rsidR="00917CAC" w:rsidRPr="0018202F" w:rsidRDefault="00917CAC" w:rsidP="008274D2">
      <w:pPr>
        <w:spacing w:before="120" w:after="120"/>
        <w:jc w:val="both"/>
        <w:rPr>
          <w:rFonts w:ascii="Arial" w:hAnsi="Arial" w:cs="Arial"/>
          <w:color w:val="0070C0"/>
          <w:sz w:val="21"/>
          <w:szCs w:val="21"/>
        </w:rPr>
      </w:pPr>
      <w:r w:rsidRPr="0018202F">
        <w:rPr>
          <w:rFonts w:ascii="Arial" w:hAnsi="Arial" w:cs="Arial"/>
          <w:noProof/>
          <w14:ligatures w14:val="standardContextual"/>
        </w:rPr>
        <w:drawing>
          <wp:inline distT="0" distB="0" distL="0" distR="0" wp14:anchorId="7BD26E53" wp14:editId="52DF612F">
            <wp:extent cx="5727700" cy="2329884"/>
            <wp:effectExtent l="0" t="0" r="12700" b="6985"/>
            <wp:docPr id="679327094" name="Chart 1">
              <a:extLst xmlns:a="http://schemas.openxmlformats.org/drawingml/2006/main">
                <a:ext uri="{FF2B5EF4-FFF2-40B4-BE49-F238E27FC236}">
                  <a16:creationId xmlns:a16="http://schemas.microsoft.com/office/drawing/2014/main" id="{D0BD2ABC-18D0-8641-634C-FA1517F404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D104B" w:rsidRPr="0018202F" w:rsidRDefault="00E0545C" w:rsidP="00D202D3">
      <w:pPr>
        <w:pStyle w:val="Caption"/>
        <w:snapToGrid w:val="0"/>
        <w:spacing w:after="0"/>
        <w:rPr>
          <w:rFonts w:ascii="Arial" w:hAnsi="Arial" w:cs="Arial"/>
          <w:i w:val="0"/>
          <w:iCs w:val="0"/>
          <w:color w:val="002060"/>
          <w:sz w:val="21"/>
          <w:szCs w:val="21"/>
        </w:rPr>
      </w:pPr>
      <w:bookmarkStart w:id="20" w:name="_Toc215223771"/>
      <w:r w:rsidRPr="0018202F">
        <w:rPr>
          <w:rFonts w:ascii="Arial" w:hAnsi="Arial" w:cs="Arial"/>
          <w:i w:val="0"/>
          <w:iCs w:val="0"/>
          <w:color w:val="002060"/>
          <w:sz w:val="21"/>
          <w:szCs w:val="21"/>
        </w:rPr>
        <w:t>Figure 5-</w:t>
      </w:r>
      <w:r w:rsidRPr="0018202F">
        <w:rPr>
          <w:rFonts w:ascii="Arial" w:hAnsi="Arial" w:cs="Arial"/>
          <w:i w:val="0"/>
          <w:iCs w:val="0"/>
          <w:color w:val="002060"/>
          <w:sz w:val="21"/>
          <w:szCs w:val="21"/>
        </w:rPr>
        <w:fldChar w:fldCharType="begin"/>
      </w:r>
      <w:r w:rsidRPr="0018202F">
        <w:rPr>
          <w:rFonts w:ascii="Arial" w:hAnsi="Arial" w:cs="Arial"/>
          <w:i w:val="0"/>
          <w:iCs w:val="0"/>
          <w:color w:val="002060"/>
          <w:sz w:val="21"/>
          <w:szCs w:val="21"/>
        </w:rPr>
        <w:instrText xml:space="preserve"> SEQ Figure_5- \* ARABIC </w:instrText>
      </w:r>
      <w:r w:rsidRPr="0018202F">
        <w:rPr>
          <w:rFonts w:ascii="Arial" w:hAnsi="Arial" w:cs="Arial"/>
          <w:i w:val="0"/>
          <w:iCs w:val="0"/>
          <w:color w:val="002060"/>
          <w:sz w:val="21"/>
          <w:szCs w:val="21"/>
        </w:rPr>
        <w:fldChar w:fldCharType="separate"/>
      </w:r>
      <w:r w:rsidR="00F72397">
        <w:rPr>
          <w:rFonts w:ascii="Arial" w:hAnsi="Arial" w:cs="Arial"/>
          <w:i w:val="0"/>
          <w:iCs w:val="0"/>
          <w:noProof/>
          <w:color w:val="002060"/>
          <w:sz w:val="21"/>
          <w:szCs w:val="21"/>
        </w:rPr>
        <w:t>3</w:t>
      </w:r>
      <w:r w:rsidRPr="0018202F">
        <w:rPr>
          <w:rFonts w:ascii="Arial" w:hAnsi="Arial" w:cs="Arial"/>
          <w:i w:val="0"/>
          <w:iCs w:val="0"/>
          <w:color w:val="002060"/>
          <w:sz w:val="21"/>
          <w:szCs w:val="21"/>
        </w:rPr>
        <w:fldChar w:fldCharType="end"/>
      </w:r>
      <w:r w:rsidRPr="0018202F">
        <w:rPr>
          <w:rFonts w:ascii="Arial" w:hAnsi="Arial" w:cs="Arial"/>
          <w:i w:val="0"/>
          <w:iCs w:val="0"/>
          <w:color w:val="002060"/>
          <w:sz w:val="21"/>
          <w:szCs w:val="21"/>
        </w:rPr>
        <w:t xml:space="preserve"> </w:t>
      </w:r>
      <w:r w:rsidR="00BD104B" w:rsidRPr="0018202F">
        <w:rPr>
          <w:rFonts w:ascii="Arial" w:hAnsi="Arial" w:cs="Arial"/>
          <w:i w:val="0"/>
          <w:iCs w:val="0"/>
          <w:color w:val="002060"/>
          <w:sz w:val="21"/>
          <w:szCs w:val="21"/>
        </w:rPr>
        <w:t>Coastal provinces aquaculture trend (2020–2024)</w:t>
      </w:r>
      <w:bookmarkEnd w:id="20"/>
    </w:p>
    <w:p w:rsidR="00BD104B" w:rsidRPr="0018202F" w:rsidRDefault="00BD104B" w:rsidP="008274D2">
      <w:pPr>
        <w:spacing w:before="120" w:after="120"/>
        <w:jc w:val="both"/>
        <w:rPr>
          <w:rFonts w:ascii="Arial" w:hAnsi="Arial" w:cs="Arial"/>
          <w:b/>
          <w:bCs/>
          <w:i/>
          <w:iCs/>
          <w:color w:val="0070C0"/>
          <w:sz w:val="22"/>
          <w:szCs w:val="22"/>
        </w:rPr>
      </w:pPr>
      <w:r w:rsidRPr="0018202F">
        <w:rPr>
          <w:rStyle w:val="Strong"/>
          <w:rFonts w:ascii="Arial" w:hAnsi="Arial" w:cs="Arial"/>
          <w:color w:val="000000" w:themeColor="text1"/>
          <w:sz w:val="18"/>
          <w:szCs w:val="18"/>
        </w:rPr>
        <w:t>Source: FiA (Cambodia).</w:t>
      </w:r>
      <w:r w:rsidRPr="0018202F">
        <w:rPr>
          <w:rFonts w:ascii="Arial" w:hAnsi="Arial" w:cs="Arial"/>
          <w:color w:val="000000" w:themeColor="text1"/>
          <w:sz w:val="18"/>
          <w:szCs w:val="18"/>
        </w:rPr>
        <w:t xml:space="preserve"> </w:t>
      </w:r>
      <w:r w:rsidRPr="0018202F">
        <w:rPr>
          <w:rStyle w:val="Emphasis"/>
          <w:rFonts w:ascii="Arial" w:hAnsi="Arial" w:cs="Arial"/>
          <w:color w:val="000000" w:themeColor="text1"/>
          <w:sz w:val="18"/>
          <w:szCs w:val="18"/>
        </w:rPr>
        <w:t>Annual Fisheries Statistical Report (2020–2024)</w:t>
      </w:r>
    </w:p>
    <w:p w:rsidR="00917CAC" w:rsidRPr="0018202F" w:rsidRDefault="00917CAC" w:rsidP="008274D2">
      <w:pPr>
        <w:spacing w:before="120" w:after="120"/>
        <w:jc w:val="both"/>
        <w:rPr>
          <w:rFonts w:ascii="Arial" w:hAnsi="Arial" w:cs="Arial"/>
          <w:b/>
          <w:bCs/>
          <w:i/>
          <w:iCs/>
          <w:color w:val="0070C0"/>
          <w:sz w:val="22"/>
          <w:szCs w:val="22"/>
        </w:rPr>
      </w:pPr>
    </w:p>
    <w:p w:rsidR="004570F7" w:rsidRPr="0018202F" w:rsidRDefault="00107981" w:rsidP="008274D2">
      <w:pPr>
        <w:spacing w:before="120" w:after="120"/>
        <w:jc w:val="both"/>
        <w:rPr>
          <w:rFonts w:ascii="Arial" w:hAnsi="Arial" w:cs="Arial"/>
          <w:b/>
          <w:bCs/>
          <w:i/>
          <w:iCs/>
          <w:color w:val="0070C0"/>
          <w:sz w:val="22"/>
          <w:szCs w:val="22"/>
        </w:rPr>
      </w:pPr>
      <w:r w:rsidRPr="0018202F">
        <w:rPr>
          <w:rFonts w:ascii="Arial" w:hAnsi="Arial" w:cs="Arial"/>
          <w:b/>
          <w:bCs/>
          <w:i/>
          <w:iCs/>
          <w:color w:val="0070C0"/>
          <w:sz w:val="22"/>
          <w:szCs w:val="22"/>
        </w:rPr>
        <w:t xml:space="preserve">b) </w:t>
      </w:r>
      <w:r w:rsidR="004570F7" w:rsidRPr="0018202F">
        <w:rPr>
          <w:rFonts w:ascii="Arial" w:hAnsi="Arial" w:cs="Arial"/>
          <w:b/>
          <w:bCs/>
          <w:i/>
          <w:iCs/>
          <w:color w:val="0070C0"/>
          <w:sz w:val="22"/>
          <w:szCs w:val="22"/>
        </w:rPr>
        <w:t>Aquaculture value (USD) and unit values</w:t>
      </w:r>
    </w:p>
    <w:p w:rsidR="004570F7" w:rsidRPr="0018202F" w:rsidRDefault="00111FEC" w:rsidP="00917CAC">
      <w:pPr>
        <w:jc w:val="both"/>
        <w:rPr>
          <w:rFonts w:ascii="Arial" w:hAnsi="Arial" w:cs="Arial"/>
          <w:sz w:val="22"/>
          <w:szCs w:val="22"/>
        </w:rPr>
      </w:pPr>
      <w:r w:rsidRPr="0018202F">
        <w:rPr>
          <w:rFonts w:ascii="Arial" w:hAnsi="Arial" w:cs="Arial"/>
          <w:sz w:val="22"/>
          <w:szCs w:val="22"/>
        </w:rPr>
        <w:t xml:space="preserve">FAO data show farmed production value rising from USD 2.54 million in 1984 to a peak of USD 1.209 billion in 2020, then easing to USD 1.052 billion (2021) and USD 998.9 million (2022) (FAO FishStatJ, 2025). Unit values remained stable at ~USD 3,000/t from 2018–2022, indicating that recent value declines reflect lower volumes, not price changes. This national trend aligns with a rapidly growing global aquaculture sector, with 2022 marking the first year farmed aquatic-animal output surpassed wild capture, reaching 223.2 million tonnes (SOFIA 2024; FAO). See </w:t>
      </w:r>
      <w:r w:rsidR="00946189">
        <w:rPr>
          <w:rFonts w:ascii="Arial" w:hAnsi="Arial" w:cs="Arial"/>
          <w:sz w:val="22"/>
          <w:szCs w:val="22"/>
          <w:highlight w:val="yellow"/>
        </w:rPr>
        <w:fldChar w:fldCharType="begin"/>
      </w:r>
      <w:r w:rsidR="00946189">
        <w:rPr>
          <w:rFonts w:ascii="Arial" w:hAnsi="Arial" w:cs="Arial"/>
          <w:sz w:val="22"/>
          <w:szCs w:val="22"/>
        </w:rPr>
        <w:instrText xml:space="preserve"> REF _Ref215335562 \h </w:instrText>
      </w:r>
      <w:r w:rsidR="00946189">
        <w:rPr>
          <w:rFonts w:ascii="Arial" w:hAnsi="Arial" w:cs="Arial"/>
          <w:sz w:val="22"/>
          <w:szCs w:val="22"/>
          <w:highlight w:val="yellow"/>
        </w:rPr>
      </w:r>
      <w:r w:rsidR="00946189">
        <w:rPr>
          <w:rFonts w:ascii="Arial" w:hAnsi="Arial" w:cs="Arial"/>
          <w:sz w:val="22"/>
          <w:szCs w:val="22"/>
          <w:highlight w:val="yellow"/>
        </w:rPr>
        <w:fldChar w:fldCharType="separate"/>
      </w:r>
      <w:r w:rsidR="00F72397" w:rsidRPr="0018202F">
        <w:rPr>
          <w:rFonts w:ascii="Arial" w:hAnsi="Arial" w:cs="Arial"/>
          <w:color w:val="0070C0"/>
          <w:sz w:val="22"/>
          <w:szCs w:val="22"/>
        </w:rPr>
        <w:t>Annex Table 5-</w:t>
      </w:r>
      <w:r w:rsidR="00F72397">
        <w:rPr>
          <w:rFonts w:ascii="Arial" w:hAnsi="Arial" w:cs="Arial"/>
          <w:noProof/>
          <w:color w:val="0070C0"/>
          <w:sz w:val="22"/>
          <w:szCs w:val="22"/>
        </w:rPr>
        <w:t>5</w:t>
      </w:r>
      <w:r w:rsidR="00946189">
        <w:rPr>
          <w:rFonts w:ascii="Arial" w:hAnsi="Arial" w:cs="Arial"/>
          <w:sz w:val="22"/>
          <w:szCs w:val="22"/>
          <w:highlight w:val="yellow"/>
        </w:rPr>
        <w:fldChar w:fldCharType="end"/>
      </w:r>
      <w:r w:rsidR="009218D5" w:rsidRPr="009218D5">
        <w:rPr>
          <w:rFonts w:ascii="Arial" w:hAnsi="Arial" w:cs="Arial"/>
          <w:sz w:val="22"/>
          <w:szCs w:val="22"/>
        </w:rPr>
        <w:t xml:space="preserve"> </w:t>
      </w:r>
      <w:r w:rsidRPr="009218D5">
        <w:rPr>
          <w:rFonts w:ascii="Arial" w:hAnsi="Arial" w:cs="Arial"/>
          <w:sz w:val="22"/>
          <w:szCs w:val="22"/>
        </w:rPr>
        <w:t>for full series</w:t>
      </w:r>
      <w:r w:rsidR="009218D5">
        <w:rPr>
          <w:rFonts w:ascii="Arial" w:hAnsi="Arial" w:cs="Arial"/>
          <w:sz w:val="22"/>
          <w:szCs w:val="22"/>
        </w:rPr>
        <w:t xml:space="preserve"> and more detail</w:t>
      </w:r>
      <w:r w:rsidRPr="009218D5">
        <w:rPr>
          <w:rFonts w:ascii="Arial" w:hAnsi="Arial" w:cs="Arial"/>
          <w:sz w:val="22"/>
          <w:szCs w:val="22"/>
        </w:rPr>
        <w:t>.</w:t>
      </w:r>
      <w:r w:rsidRPr="0018202F">
        <w:rPr>
          <w:rFonts w:ascii="Arial" w:hAnsi="Arial" w:cs="Arial"/>
          <w:sz w:val="22"/>
          <w:szCs w:val="22"/>
        </w:rPr>
        <w:t xml:space="preserve"> </w:t>
      </w:r>
    </w:p>
    <w:p w:rsidR="0075776D" w:rsidRPr="006D4D25" w:rsidRDefault="00917CAC" w:rsidP="00917CAC">
      <w:pPr>
        <w:pStyle w:val="Heading4"/>
        <w:keepNext/>
        <w:rPr>
          <w:rStyle w:val="Strong"/>
          <w:rFonts w:ascii="Arial" w:hAnsi="Arial" w:cs="Arial"/>
          <w:b/>
          <w:bCs/>
          <w:color w:val="0070C0"/>
          <w:sz w:val="22"/>
          <w:szCs w:val="22"/>
        </w:rPr>
      </w:pPr>
      <w:r w:rsidRPr="006D4D25">
        <w:rPr>
          <w:rStyle w:val="Strong"/>
          <w:rFonts w:ascii="Arial" w:hAnsi="Arial" w:cs="Arial"/>
          <w:b/>
          <w:bCs/>
          <w:color w:val="0070C0"/>
          <w:sz w:val="22"/>
          <w:szCs w:val="22"/>
        </w:rPr>
        <w:t xml:space="preserve">5.2.1.4 </w:t>
      </w:r>
      <w:r w:rsidR="0075776D" w:rsidRPr="006D4D25">
        <w:rPr>
          <w:rStyle w:val="Strong"/>
          <w:rFonts w:ascii="Arial" w:hAnsi="Arial" w:cs="Arial"/>
          <w:b/>
          <w:bCs/>
          <w:color w:val="0070C0"/>
          <w:sz w:val="22"/>
          <w:szCs w:val="22"/>
        </w:rPr>
        <w:t xml:space="preserve">Annual </w:t>
      </w:r>
      <w:r w:rsidR="00E22C03" w:rsidRPr="006D4D25">
        <w:rPr>
          <w:rStyle w:val="Strong"/>
          <w:rFonts w:ascii="Arial" w:hAnsi="Arial" w:cs="Arial"/>
          <w:b/>
          <w:bCs/>
          <w:color w:val="0070C0"/>
          <w:sz w:val="22"/>
          <w:szCs w:val="22"/>
        </w:rPr>
        <w:t xml:space="preserve">marine </w:t>
      </w:r>
      <w:r w:rsidR="00397F3D" w:rsidRPr="006D4D25">
        <w:rPr>
          <w:rStyle w:val="Strong"/>
          <w:rFonts w:ascii="Arial" w:hAnsi="Arial" w:cs="Arial"/>
          <w:b/>
          <w:bCs/>
          <w:color w:val="0070C0"/>
          <w:sz w:val="22"/>
          <w:szCs w:val="22"/>
        </w:rPr>
        <w:t>c</w:t>
      </w:r>
      <w:r w:rsidR="0075776D" w:rsidRPr="006D4D25">
        <w:rPr>
          <w:rStyle w:val="Strong"/>
          <w:rFonts w:ascii="Arial" w:hAnsi="Arial" w:cs="Arial"/>
          <w:b/>
          <w:bCs/>
          <w:color w:val="0070C0"/>
          <w:sz w:val="22"/>
          <w:szCs w:val="22"/>
        </w:rPr>
        <w:t xml:space="preserve">atch by types of </w:t>
      </w:r>
      <w:r w:rsidR="00397F3D" w:rsidRPr="006D4D25">
        <w:rPr>
          <w:rStyle w:val="Strong"/>
          <w:rFonts w:ascii="Arial" w:hAnsi="Arial" w:cs="Arial"/>
          <w:b/>
          <w:bCs/>
          <w:color w:val="0070C0"/>
          <w:sz w:val="22"/>
          <w:szCs w:val="22"/>
        </w:rPr>
        <w:t>g</w:t>
      </w:r>
      <w:r w:rsidR="0075776D" w:rsidRPr="006D4D25">
        <w:rPr>
          <w:rStyle w:val="Strong"/>
          <w:rFonts w:ascii="Arial" w:hAnsi="Arial" w:cs="Arial"/>
          <w:b/>
          <w:bCs/>
          <w:color w:val="0070C0"/>
          <w:sz w:val="22"/>
          <w:szCs w:val="22"/>
        </w:rPr>
        <w:t xml:space="preserve">ear </w:t>
      </w:r>
    </w:p>
    <w:p w:rsidR="00111FEC" w:rsidRPr="0018202F" w:rsidRDefault="00111FEC" w:rsidP="00111FEC">
      <w:pPr>
        <w:pStyle w:val="Caption"/>
        <w:jc w:val="both"/>
        <w:rPr>
          <w:rFonts w:ascii="Arial" w:hAnsi="Arial" w:cs="Arial"/>
          <w:i w:val="0"/>
          <w:iCs w:val="0"/>
          <w:color w:val="auto"/>
          <w:sz w:val="22"/>
          <w:szCs w:val="22"/>
        </w:rPr>
      </w:pPr>
      <w:bookmarkStart w:id="21" w:name="_Ref215222887"/>
      <w:bookmarkStart w:id="22" w:name="_Toc213661061"/>
      <w:r w:rsidRPr="0018202F">
        <w:rPr>
          <w:rFonts w:ascii="Arial" w:hAnsi="Arial" w:cs="Arial"/>
          <w:i w:val="0"/>
          <w:iCs w:val="0"/>
          <w:color w:val="auto"/>
          <w:sz w:val="22"/>
          <w:szCs w:val="22"/>
        </w:rPr>
        <w:t>Cambodia’s marine fisheries have industrialized over time, shifting from mainly artisanal gears to a trawl-dominated sector from the mid-1980s, with some rebound of small-scale gears after 2005. Trawls now account for about 55–60% of marine catch and purse seines 30–35%, mirroring wider Gulf of Thailand trends. Trawl landings grew from &lt;1,000 t in the 1960s to a peak of ~181,000 t in 2002, then levelled at ~118,000–138,000 t, consistent with capacity saturation and zoning controls, but with significant benthic and demersal impacts. Purse-seine catches rose to ~191,500 t in 2000 before moderating to ~53,000–67,000 t per year as small pelagic stocks and regulations tightened. Small-scale gears (gillnets, traps, handlines) now contribute about 10% of landings but remain critical for food security and livelihoods, while other minor gears together provide &lt;1% of marine catch. For more detail, see supplementary material</w:t>
      </w:r>
      <w:r w:rsidR="00946189">
        <w:rPr>
          <w:rFonts w:ascii="Arial" w:hAnsi="Arial" w:cs="Arial"/>
          <w:i w:val="0"/>
          <w:iCs w:val="0"/>
          <w:color w:val="auto"/>
          <w:sz w:val="22"/>
          <w:szCs w:val="22"/>
        </w:rPr>
        <w:t xml:space="preserve"> in</w:t>
      </w:r>
      <w:r w:rsidRPr="0018202F">
        <w:rPr>
          <w:rFonts w:ascii="Arial" w:hAnsi="Arial" w:cs="Arial"/>
          <w:i w:val="0"/>
          <w:iCs w:val="0"/>
          <w:color w:val="auto"/>
          <w:sz w:val="22"/>
          <w:szCs w:val="22"/>
        </w:rPr>
        <w:t xml:space="preserve"> </w:t>
      </w:r>
      <w:r w:rsidR="00946189" w:rsidRPr="00985468">
        <w:rPr>
          <w:rFonts w:ascii="Arial" w:hAnsi="Arial" w:cs="Arial"/>
          <w:i w:val="0"/>
          <w:iCs w:val="0"/>
          <w:color w:val="auto"/>
          <w:sz w:val="22"/>
          <w:szCs w:val="22"/>
          <w:highlight w:val="yellow"/>
        </w:rPr>
        <w:fldChar w:fldCharType="begin"/>
      </w:r>
      <w:r w:rsidR="00946189" w:rsidRPr="00985468">
        <w:rPr>
          <w:rFonts w:ascii="Arial" w:hAnsi="Arial" w:cs="Arial"/>
          <w:i w:val="0"/>
          <w:iCs w:val="0"/>
          <w:color w:val="auto"/>
          <w:sz w:val="22"/>
          <w:szCs w:val="22"/>
          <w:highlight w:val="yellow"/>
        </w:rPr>
        <w:instrText xml:space="preserve"> REF _Ref215335649 \h </w:instrText>
      </w:r>
      <w:r w:rsidR="00985468" w:rsidRPr="00985468">
        <w:rPr>
          <w:rFonts w:ascii="Arial" w:hAnsi="Arial" w:cs="Arial"/>
          <w:i w:val="0"/>
          <w:iCs w:val="0"/>
          <w:color w:val="auto"/>
          <w:sz w:val="22"/>
          <w:szCs w:val="22"/>
          <w:highlight w:val="yellow"/>
        </w:rPr>
        <w:instrText xml:space="preserve"> \* MERGEFORMAT </w:instrText>
      </w:r>
      <w:r w:rsidR="00946189" w:rsidRPr="00985468">
        <w:rPr>
          <w:rFonts w:ascii="Arial" w:hAnsi="Arial" w:cs="Arial"/>
          <w:i w:val="0"/>
          <w:iCs w:val="0"/>
          <w:color w:val="auto"/>
          <w:sz w:val="22"/>
          <w:szCs w:val="22"/>
          <w:highlight w:val="yellow"/>
        </w:rPr>
      </w:r>
      <w:r w:rsidR="00946189" w:rsidRPr="00985468">
        <w:rPr>
          <w:rFonts w:ascii="Arial" w:hAnsi="Arial" w:cs="Arial"/>
          <w:i w:val="0"/>
          <w:iCs w:val="0"/>
          <w:color w:val="auto"/>
          <w:sz w:val="22"/>
          <w:szCs w:val="22"/>
          <w:highlight w:val="yellow"/>
        </w:rPr>
        <w:fldChar w:fldCharType="separate"/>
      </w:r>
      <w:r w:rsidR="00F72397" w:rsidRPr="00F72397">
        <w:rPr>
          <w:rFonts w:ascii="Arial" w:hAnsi="Arial" w:cs="Arial"/>
          <w:i w:val="0"/>
          <w:iCs w:val="0"/>
          <w:color w:val="0070C0"/>
          <w:sz w:val="22"/>
          <w:szCs w:val="22"/>
        </w:rPr>
        <w:t>Annex Table 5-4</w:t>
      </w:r>
      <w:r w:rsidR="00946189" w:rsidRPr="00985468">
        <w:rPr>
          <w:rFonts w:ascii="Arial" w:hAnsi="Arial" w:cs="Arial"/>
          <w:i w:val="0"/>
          <w:iCs w:val="0"/>
          <w:color w:val="auto"/>
          <w:sz w:val="22"/>
          <w:szCs w:val="22"/>
          <w:highlight w:val="yellow"/>
        </w:rPr>
        <w:fldChar w:fldCharType="end"/>
      </w:r>
      <w:r w:rsidR="00946189" w:rsidRPr="00985468">
        <w:rPr>
          <w:rFonts w:ascii="Arial" w:hAnsi="Arial" w:cs="Arial"/>
          <w:i w:val="0"/>
          <w:iCs w:val="0"/>
          <w:color w:val="auto"/>
          <w:sz w:val="22"/>
          <w:szCs w:val="22"/>
        </w:rPr>
        <w:t>.</w:t>
      </w:r>
      <w:r w:rsidR="00946189">
        <w:rPr>
          <w:rFonts w:ascii="Arial" w:hAnsi="Arial" w:cs="Arial"/>
          <w:i w:val="0"/>
          <w:iCs w:val="0"/>
          <w:color w:val="auto"/>
          <w:sz w:val="22"/>
          <w:szCs w:val="22"/>
        </w:rPr>
        <w:t xml:space="preserve"> </w:t>
      </w:r>
    </w:p>
    <w:p w:rsidR="00E22C03" w:rsidRPr="0018202F" w:rsidRDefault="00696C92" w:rsidP="00D202D3">
      <w:pPr>
        <w:pStyle w:val="Caption"/>
        <w:keepNext/>
        <w:adjustRightInd w:val="0"/>
        <w:snapToGrid w:val="0"/>
        <w:spacing w:before="240" w:after="120"/>
        <w:rPr>
          <w:rFonts w:ascii="Arial" w:hAnsi="Arial" w:cs="Arial"/>
          <w:i w:val="0"/>
          <w:iCs w:val="0"/>
          <w:color w:val="0070C0"/>
          <w:sz w:val="21"/>
          <w:szCs w:val="21"/>
        </w:rPr>
      </w:pPr>
      <w:r w:rsidRPr="0018202F">
        <w:rPr>
          <w:rFonts w:ascii="Arial" w:hAnsi="Arial" w:cs="Arial"/>
          <w:i w:val="0"/>
          <w:iCs w:val="0"/>
          <w:color w:val="0070C0"/>
          <w:sz w:val="21"/>
          <w:szCs w:val="21"/>
        </w:rPr>
        <w:t>Table 5-</w:t>
      </w:r>
      <w:r w:rsidRPr="0018202F">
        <w:rPr>
          <w:rFonts w:ascii="Arial" w:hAnsi="Arial" w:cs="Arial"/>
          <w:i w:val="0"/>
          <w:iCs w:val="0"/>
          <w:color w:val="0070C0"/>
          <w:sz w:val="21"/>
          <w:szCs w:val="21"/>
        </w:rPr>
        <w:fldChar w:fldCharType="begin"/>
      </w:r>
      <w:r w:rsidRPr="0018202F">
        <w:rPr>
          <w:rFonts w:ascii="Arial" w:hAnsi="Arial" w:cs="Arial"/>
          <w:i w:val="0"/>
          <w:iCs w:val="0"/>
          <w:color w:val="0070C0"/>
          <w:sz w:val="21"/>
          <w:szCs w:val="21"/>
        </w:rPr>
        <w:instrText xml:space="preserve"> SEQ Table_5- \* ARABIC </w:instrText>
      </w:r>
      <w:r w:rsidRPr="0018202F">
        <w:rPr>
          <w:rFonts w:ascii="Arial" w:hAnsi="Arial" w:cs="Arial"/>
          <w:i w:val="0"/>
          <w:iCs w:val="0"/>
          <w:color w:val="0070C0"/>
          <w:sz w:val="21"/>
          <w:szCs w:val="21"/>
        </w:rPr>
        <w:fldChar w:fldCharType="separate"/>
      </w:r>
      <w:r w:rsidR="00F72397">
        <w:rPr>
          <w:rFonts w:ascii="Arial" w:hAnsi="Arial" w:cs="Arial"/>
          <w:i w:val="0"/>
          <w:iCs w:val="0"/>
          <w:noProof/>
          <w:color w:val="0070C0"/>
          <w:sz w:val="21"/>
          <w:szCs w:val="21"/>
        </w:rPr>
        <w:t>2</w:t>
      </w:r>
      <w:r w:rsidRPr="0018202F">
        <w:rPr>
          <w:rFonts w:ascii="Arial" w:hAnsi="Arial" w:cs="Arial"/>
          <w:i w:val="0"/>
          <w:iCs w:val="0"/>
          <w:color w:val="0070C0"/>
          <w:sz w:val="21"/>
          <w:szCs w:val="21"/>
        </w:rPr>
        <w:fldChar w:fldCharType="end"/>
      </w:r>
      <w:bookmarkEnd w:id="21"/>
      <w:r w:rsidRPr="0018202F">
        <w:rPr>
          <w:rFonts w:ascii="Arial" w:hAnsi="Arial" w:cs="Arial"/>
          <w:i w:val="0"/>
          <w:iCs w:val="0"/>
          <w:color w:val="0070C0"/>
          <w:sz w:val="21"/>
          <w:szCs w:val="21"/>
        </w:rPr>
        <w:t xml:space="preserve"> </w:t>
      </w:r>
      <w:r w:rsidR="00084AFC" w:rsidRPr="0018202F">
        <w:rPr>
          <w:rFonts w:ascii="Arial" w:hAnsi="Arial" w:cs="Arial"/>
          <w:i w:val="0"/>
          <w:iCs w:val="0"/>
          <w:color w:val="0070C0"/>
          <w:sz w:val="21"/>
          <w:szCs w:val="21"/>
        </w:rPr>
        <w:t>Marine catches by gear type in Cambodian waters (tonnes &amp; %)</w:t>
      </w:r>
      <w:bookmarkEnd w:id="22"/>
    </w:p>
    <w:tbl>
      <w:tblPr>
        <w:tblStyle w:val="GridTable4-Accent5"/>
        <w:tblW w:w="8820" w:type="dxa"/>
        <w:tblLook w:val="04A0" w:firstRow="1" w:lastRow="0" w:firstColumn="1" w:lastColumn="0" w:noHBand="0" w:noVBand="1"/>
      </w:tblPr>
      <w:tblGrid>
        <w:gridCol w:w="980"/>
        <w:gridCol w:w="1113"/>
        <w:gridCol w:w="847"/>
        <w:gridCol w:w="1113"/>
        <w:gridCol w:w="847"/>
        <w:gridCol w:w="1049"/>
        <w:gridCol w:w="963"/>
        <w:gridCol w:w="1107"/>
        <w:gridCol w:w="853"/>
      </w:tblGrid>
      <w:tr w:rsidR="002D0252" w:rsidRPr="0018202F" w:rsidTr="00107981">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980" w:type="dxa"/>
            <w:vMerge w:val="restart"/>
            <w:noWrap/>
            <w:hideMark/>
          </w:tcPr>
          <w:p w:rsidR="002D0252" w:rsidRPr="0018202F" w:rsidRDefault="002D0252" w:rsidP="0046714E">
            <w:pPr>
              <w:jc w:val="center"/>
              <w:rPr>
                <w:rFonts w:ascii="Arial" w:hAnsi="Arial" w:cs="Arial"/>
                <w:sz w:val="22"/>
                <w:szCs w:val="22"/>
              </w:rPr>
            </w:pPr>
            <w:r w:rsidRPr="0018202F">
              <w:rPr>
                <w:rFonts w:ascii="Arial" w:hAnsi="Arial" w:cs="Arial"/>
                <w:sz w:val="22"/>
                <w:szCs w:val="22"/>
              </w:rPr>
              <w:t>Year</w:t>
            </w:r>
          </w:p>
        </w:tc>
        <w:tc>
          <w:tcPr>
            <w:tcW w:w="1960" w:type="dxa"/>
            <w:gridSpan w:val="2"/>
            <w:noWrap/>
            <w:hideMark/>
          </w:tcPr>
          <w:p w:rsidR="002D0252" w:rsidRPr="0018202F" w:rsidRDefault="002D0252" w:rsidP="0046714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Trawl</w:t>
            </w:r>
          </w:p>
        </w:tc>
        <w:tc>
          <w:tcPr>
            <w:tcW w:w="1960" w:type="dxa"/>
            <w:gridSpan w:val="2"/>
            <w:noWrap/>
            <w:hideMark/>
          </w:tcPr>
          <w:p w:rsidR="002D0252" w:rsidRPr="0018202F" w:rsidRDefault="002D0252" w:rsidP="0046714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Purse seine</w:t>
            </w:r>
          </w:p>
        </w:tc>
        <w:tc>
          <w:tcPr>
            <w:tcW w:w="1960" w:type="dxa"/>
            <w:gridSpan w:val="2"/>
            <w:noWrap/>
            <w:hideMark/>
          </w:tcPr>
          <w:p w:rsidR="002D0252" w:rsidRPr="0018202F" w:rsidRDefault="002D0252" w:rsidP="0046714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Small-scale</w:t>
            </w:r>
          </w:p>
        </w:tc>
        <w:tc>
          <w:tcPr>
            <w:tcW w:w="1960" w:type="dxa"/>
            <w:gridSpan w:val="2"/>
            <w:noWrap/>
            <w:hideMark/>
          </w:tcPr>
          <w:p w:rsidR="002D0252" w:rsidRPr="0018202F" w:rsidRDefault="002D0252" w:rsidP="0046714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Other</w:t>
            </w:r>
            <w:r w:rsidR="0046714E" w:rsidRPr="0018202F">
              <w:rPr>
                <w:rFonts w:ascii="Arial" w:hAnsi="Arial" w:cs="Arial"/>
                <w:sz w:val="22"/>
                <w:szCs w:val="22"/>
              </w:rPr>
              <w:t>s</w:t>
            </w:r>
          </w:p>
        </w:tc>
      </w:tr>
      <w:tr w:rsidR="0046714E" w:rsidRPr="0018202F" w:rsidTr="00111FE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980" w:type="dxa"/>
            <w:vMerge/>
            <w:hideMark/>
          </w:tcPr>
          <w:p w:rsidR="002D0252" w:rsidRPr="0018202F" w:rsidRDefault="002D0252" w:rsidP="0046714E">
            <w:pPr>
              <w:jc w:val="center"/>
              <w:rPr>
                <w:rFonts w:ascii="Arial" w:hAnsi="Arial" w:cs="Arial"/>
                <w:color w:val="000000"/>
                <w:sz w:val="22"/>
                <w:szCs w:val="22"/>
              </w:rPr>
            </w:pPr>
          </w:p>
        </w:tc>
        <w:tc>
          <w:tcPr>
            <w:tcW w:w="1113" w:type="dxa"/>
            <w:noWrap/>
            <w:hideMark/>
          </w:tcPr>
          <w:p w:rsidR="002D0252" w:rsidRPr="0018202F" w:rsidRDefault="002D0252" w:rsidP="0046714E">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2"/>
                <w:szCs w:val="22"/>
              </w:rPr>
            </w:pPr>
            <w:r w:rsidRPr="0018202F">
              <w:rPr>
                <w:rFonts w:ascii="Arial" w:hAnsi="Arial" w:cs="Arial"/>
                <w:b/>
                <w:bCs/>
                <w:color w:val="000000"/>
                <w:sz w:val="22"/>
                <w:szCs w:val="22"/>
              </w:rPr>
              <w:t>Tonne</w:t>
            </w:r>
          </w:p>
        </w:tc>
        <w:tc>
          <w:tcPr>
            <w:tcW w:w="847" w:type="dxa"/>
            <w:noWrap/>
            <w:hideMark/>
          </w:tcPr>
          <w:p w:rsidR="002D0252" w:rsidRPr="0018202F" w:rsidRDefault="002D0252" w:rsidP="0046714E">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2"/>
                <w:szCs w:val="22"/>
              </w:rPr>
            </w:pPr>
            <w:r w:rsidRPr="0018202F">
              <w:rPr>
                <w:rFonts w:ascii="Arial" w:hAnsi="Arial" w:cs="Arial"/>
                <w:b/>
                <w:bCs/>
                <w:color w:val="000000"/>
                <w:sz w:val="22"/>
                <w:szCs w:val="22"/>
              </w:rPr>
              <w:t>%</w:t>
            </w:r>
          </w:p>
        </w:tc>
        <w:tc>
          <w:tcPr>
            <w:tcW w:w="1113" w:type="dxa"/>
            <w:noWrap/>
            <w:hideMark/>
          </w:tcPr>
          <w:p w:rsidR="002D0252" w:rsidRPr="0018202F" w:rsidRDefault="002D0252" w:rsidP="0046714E">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2"/>
                <w:szCs w:val="22"/>
              </w:rPr>
            </w:pPr>
            <w:r w:rsidRPr="0018202F">
              <w:rPr>
                <w:rFonts w:ascii="Arial" w:hAnsi="Arial" w:cs="Arial"/>
                <w:b/>
                <w:bCs/>
                <w:color w:val="000000"/>
                <w:sz w:val="22"/>
                <w:szCs w:val="22"/>
              </w:rPr>
              <w:t>Tonne</w:t>
            </w:r>
          </w:p>
        </w:tc>
        <w:tc>
          <w:tcPr>
            <w:tcW w:w="847" w:type="dxa"/>
            <w:noWrap/>
            <w:hideMark/>
          </w:tcPr>
          <w:p w:rsidR="002D0252" w:rsidRPr="0018202F" w:rsidRDefault="002D0252" w:rsidP="0046714E">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2"/>
                <w:szCs w:val="22"/>
              </w:rPr>
            </w:pPr>
            <w:r w:rsidRPr="0018202F">
              <w:rPr>
                <w:rFonts w:ascii="Arial" w:hAnsi="Arial" w:cs="Arial"/>
                <w:b/>
                <w:bCs/>
                <w:color w:val="000000"/>
                <w:sz w:val="22"/>
                <w:szCs w:val="22"/>
              </w:rPr>
              <w:t>%</w:t>
            </w:r>
          </w:p>
        </w:tc>
        <w:tc>
          <w:tcPr>
            <w:tcW w:w="1049" w:type="dxa"/>
            <w:noWrap/>
            <w:hideMark/>
          </w:tcPr>
          <w:p w:rsidR="002D0252" w:rsidRPr="0018202F" w:rsidRDefault="002D0252" w:rsidP="0046714E">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2"/>
                <w:szCs w:val="22"/>
              </w:rPr>
            </w:pPr>
            <w:r w:rsidRPr="0018202F">
              <w:rPr>
                <w:rFonts w:ascii="Arial" w:hAnsi="Arial" w:cs="Arial"/>
                <w:b/>
                <w:bCs/>
                <w:color w:val="000000"/>
                <w:sz w:val="22"/>
                <w:szCs w:val="22"/>
              </w:rPr>
              <w:t>Tonne</w:t>
            </w:r>
          </w:p>
        </w:tc>
        <w:tc>
          <w:tcPr>
            <w:tcW w:w="911" w:type="dxa"/>
            <w:noWrap/>
            <w:hideMark/>
          </w:tcPr>
          <w:p w:rsidR="002D0252" w:rsidRPr="0018202F" w:rsidRDefault="002D0252" w:rsidP="0046714E">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2"/>
                <w:szCs w:val="22"/>
              </w:rPr>
            </w:pPr>
            <w:r w:rsidRPr="0018202F">
              <w:rPr>
                <w:rFonts w:ascii="Arial" w:hAnsi="Arial" w:cs="Arial"/>
                <w:b/>
                <w:bCs/>
                <w:color w:val="000000"/>
                <w:sz w:val="22"/>
                <w:szCs w:val="22"/>
              </w:rPr>
              <w:t>%</w:t>
            </w:r>
          </w:p>
        </w:tc>
        <w:tc>
          <w:tcPr>
            <w:tcW w:w="1107" w:type="dxa"/>
            <w:noWrap/>
            <w:hideMark/>
          </w:tcPr>
          <w:p w:rsidR="002D0252" w:rsidRPr="0018202F" w:rsidRDefault="002D0252" w:rsidP="0046714E">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2"/>
                <w:szCs w:val="22"/>
              </w:rPr>
            </w:pPr>
            <w:r w:rsidRPr="0018202F">
              <w:rPr>
                <w:rFonts w:ascii="Arial" w:hAnsi="Arial" w:cs="Arial"/>
                <w:b/>
                <w:bCs/>
                <w:color w:val="000000"/>
                <w:sz w:val="22"/>
                <w:szCs w:val="22"/>
              </w:rPr>
              <w:t>Tonne</w:t>
            </w:r>
          </w:p>
        </w:tc>
        <w:tc>
          <w:tcPr>
            <w:tcW w:w="853" w:type="dxa"/>
            <w:noWrap/>
            <w:hideMark/>
          </w:tcPr>
          <w:p w:rsidR="002D0252" w:rsidRPr="0018202F" w:rsidRDefault="002D0252" w:rsidP="0046714E">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2"/>
                <w:szCs w:val="22"/>
              </w:rPr>
            </w:pPr>
            <w:r w:rsidRPr="0018202F">
              <w:rPr>
                <w:rFonts w:ascii="Arial" w:hAnsi="Arial" w:cs="Arial"/>
                <w:b/>
                <w:bCs/>
                <w:color w:val="000000"/>
                <w:sz w:val="22"/>
                <w:szCs w:val="22"/>
              </w:rPr>
              <w:t>%</w:t>
            </w:r>
          </w:p>
        </w:tc>
      </w:tr>
      <w:tr w:rsidR="002D0252" w:rsidRPr="0018202F" w:rsidTr="00111FEC">
        <w:trPr>
          <w:trHeight w:val="320"/>
        </w:trPr>
        <w:tc>
          <w:tcPr>
            <w:cnfStyle w:val="001000000000" w:firstRow="0" w:lastRow="0" w:firstColumn="1" w:lastColumn="0" w:oddVBand="0" w:evenVBand="0" w:oddHBand="0" w:evenHBand="0" w:firstRowFirstColumn="0" w:firstRowLastColumn="0" w:lastRowFirstColumn="0" w:lastRowLastColumn="0"/>
            <w:tcW w:w="980" w:type="dxa"/>
            <w:noWrap/>
            <w:hideMark/>
          </w:tcPr>
          <w:p w:rsidR="002D0252" w:rsidRPr="0018202F" w:rsidRDefault="002D0252">
            <w:pPr>
              <w:jc w:val="center"/>
              <w:rPr>
                <w:rFonts w:ascii="Arial" w:hAnsi="Arial" w:cs="Arial"/>
                <w:b w:val="0"/>
                <w:bCs w:val="0"/>
                <w:color w:val="000000"/>
                <w:sz w:val="22"/>
                <w:szCs w:val="22"/>
              </w:rPr>
            </w:pPr>
            <w:r w:rsidRPr="0018202F">
              <w:rPr>
                <w:rFonts w:ascii="Arial" w:hAnsi="Arial" w:cs="Arial"/>
                <w:b w:val="0"/>
                <w:bCs w:val="0"/>
                <w:color w:val="000000"/>
                <w:sz w:val="22"/>
                <w:szCs w:val="22"/>
              </w:rPr>
              <w:t>1960</w:t>
            </w:r>
          </w:p>
        </w:tc>
        <w:tc>
          <w:tcPr>
            <w:tcW w:w="1113"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0</w:t>
            </w:r>
          </w:p>
        </w:tc>
        <w:tc>
          <w:tcPr>
            <w:tcW w:w="847"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0.0%</w:t>
            </w:r>
          </w:p>
        </w:tc>
        <w:tc>
          <w:tcPr>
            <w:tcW w:w="1113"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0</w:t>
            </w:r>
          </w:p>
        </w:tc>
        <w:tc>
          <w:tcPr>
            <w:tcW w:w="847"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0.0%</w:t>
            </w:r>
          </w:p>
        </w:tc>
        <w:tc>
          <w:tcPr>
            <w:tcW w:w="1049"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15,900</w:t>
            </w:r>
          </w:p>
        </w:tc>
        <w:tc>
          <w:tcPr>
            <w:tcW w:w="911"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100.0%</w:t>
            </w:r>
          </w:p>
        </w:tc>
        <w:tc>
          <w:tcPr>
            <w:tcW w:w="1107"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w:t>
            </w:r>
          </w:p>
        </w:tc>
        <w:tc>
          <w:tcPr>
            <w:tcW w:w="853"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0.0%</w:t>
            </w:r>
          </w:p>
        </w:tc>
      </w:tr>
      <w:tr w:rsidR="0046714E" w:rsidRPr="0018202F" w:rsidTr="00111FE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980" w:type="dxa"/>
            <w:noWrap/>
            <w:hideMark/>
          </w:tcPr>
          <w:p w:rsidR="002D0252" w:rsidRPr="0018202F" w:rsidRDefault="002D0252">
            <w:pPr>
              <w:jc w:val="center"/>
              <w:rPr>
                <w:rFonts w:ascii="Arial" w:hAnsi="Arial" w:cs="Arial"/>
                <w:color w:val="000000"/>
                <w:sz w:val="22"/>
                <w:szCs w:val="22"/>
              </w:rPr>
            </w:pPr>
            <w:r w:rsidRPr="0018202F">
              <w:rPr>
                <w:rFonts w:ascii="Arial" w:hAnsi="Arial" w:cs="Arial"/>
                <w:b w:val="0"/>
                <w:bCs w:val="0"/>
                <w:color w:val="000000"/>
                <w:sz w:val="22"/>
                <w:szCs w:val="22"/>
              </w:rPr>
              <w:t>1970</w:t>
            </w:r>
          </w:p>
        </w:tc>
        <w:tc>
          <w:tcPr>
            <w:tcW w:w="1113"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71,875</w:t>
            </w:r>
          </w:p>
        </w:tc>
        <w:tc>
          <w:tcPr>
            <w:tcW w:w="847"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60.6%</w:t>
            </w:r>
          </w:p>
        </w:tc>
        <w:tc>
          <w:tcPr>
            <w:tcW w:w="1113"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33,463</w:t>
            </w:r>
          </w:p>
        </w:tc>
        <w:tc>
          <w:tcPr>
            <w:tcW w:w="847"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28.2%</w:t>
            </w:r>
          </w:p>
        </w:tc>
        <w:tc>
          <w:tcPr>
            <w:tcW w:w="1049"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13,227</w:t>
            </w:r>
          </w:p>
        </w:tc>
        <w:tc>
          <w:tcPr>
            <w:tcW w:w="911"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11.2%</w:t>
            </w:r>
          </w:p>
        </w:tc>
        <w:tc>
          <w:tcPr>
            <w:tcW w:w="1107"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6</w:t>
            </w:r>
          </w:p>
        </w:tc>
        <w:tc>
          <w:tcPr>
            <w:tcW w:w="853"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0.0%</w:t>
            </w:r>
          </w:p>
        </w:tc>
      </w:tr>
      <w:tr w:rsidR="002D0252" w:rsidRPr="0018202F" w:rsidTr="00111FEC">
        <w:trPr>
          <w:trHeight w:val="320"/>
        </w:trPr>
        <w:tc>
          <w:tcPr>
            <w:cnfStyle w:val="001000000000" w:firstRow="0" w:lastRow="0" w:firstColumn="1" w:lastColumn="0" w:oddVBand="0" w:evenVBand="0" w:oddHBand="0" w:evenHBand="0" w:firstRowFirstColumn="0" w:firstRowLastColumn="0" w:lastRowFirstColumn="0" w:lastRowLastColumn="0"/>
            <w:tcW w:w="980" w:type="dxa"/>
            <w:noWrap/>
            <w:hideMark/>
          </w:tcPr>
          <w:p w:rsidR="002D0252" w:rsidRPr="0018202F" w:rsidRDefault="002D0252">
            <w:pPr>
              <w:jc w:val="center"/>
              <w:rPr>
                <w:rFonts w:ascii="Arial" w:hAnsi="Arial" w:cs="Arial"/>
                <w:color w:val="000000"/>
                <w:sz w:val="22"/>
                <w:szCs w:val="22"/>
              </w:rPr>
            </w:pPr>
            <w:r w:rsidRPr="0018202F">
              <w:rPr>
                <w:rFonts w:ascii="Arial" w:hAnsi="Arial" w:cs="Arial"/>
                <w:b w:val="0"/>
                <w:bCs w:val="0"/>
                <w:color w:val="000000"/>
                <w:sz w:val="22"/>
                <w:szCs w:val="22"/>
              </w:rPr>
              <w:t>1980</w:t>
            </w:r>
          </w:p>
        </w:tc>
        <w:tc>
          <w:tcPr>
            <w:tcW w:w="1113"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59,144</w:t>
            </w:r>
          </w:p>
        </w:tc>
        <w:tc>
          <w:tcPr>
            <w:tcW w:w="847"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53.8%</w:t>
            </w:r>
          </w:p>
        </w:tc>
        <w:tc>
          <w:tcPr>
            <w:tcW w:w="1113"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38,878</w:t>
            </w:r>
          </w:p>
        </w:tc>
        <w:tc>
          <w:tcPr>
            <w:tcW w:w="847"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35.4%</w:t>
            </w:r>
          </w:p>
        </w:tc>
        <w:tc>
          <w:tcPr>
            <w:tcW w:w="1049"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11,888</w:t>
            </w:r>
          </w:p>
        </w:tc>
        <w:tc>
          <w:tcPr>
            <w:tcW w:w="911"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10.8%</w:t>
            </w:r>
          </w:p>
        </w:tc>
        <w:tc>
          <w:tcPr>
            <w:tcW w:w="1107"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6</w:t>
            </w:r>
          </w:p>
        </w:tc>
        <w:tc>
          <w:tcPr>
            <w:tcW w:w="853"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0.0%</w:t>
            </w:r>
          </w:p>
        </w:tc>
      </w:tr>
      <w:tr w:rsidR="0046714E" w:rsidRPr="0018202F" w:rsidTr="00111FE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980" w:type="dxa"/>
            <w:noWrap/>
            <w:hideMark/>
          </w:tcPr>
          <w:p w:rsidR="002D0252" w:rsidRPr="0018202F" w:rsidRDefault="002D0252">
            <w:pPr>
              <w:jc w:val="center"/>
              <w:rPr>
                <w:rFonts w:ascii="Arial" w:hAnsi="Arial" w:cs="Arial"/>
                <w:color w:val="000000"/>
                <w:sz w:val="22"/>
                <w:szCs w:val="22"/>
              </w:rPr>
            </w:pPr>
            <w:r w:rsidRPr="0018202F">
              <w:rPr>
                <w:rFonts w:ascii="Arial" w:hAnsi="Arial" w:cs="Arial"/>
                <w:b w:val="0"/>
                <w:bCs w:val="0"/>
                <w:color w:val="000000"/>
                <w:sz w:val="22"/>
                <w:szCs w:val="22"/>
              </w:rPr>
              <w:t>1990</w:t>
            </w:r>
          </w:p>
        </w:tc>
        <w:tc>
          <w:tcPr>
            <w:tcW w:w="1113"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153,674</w:t>
            </w:r>
          </w:p>
        </w:tc>
        <w:tc>
          <w:tcPr>
            <w:tcW w:w="847"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49.9%</w:t>
            </w:r>
          </w:p>
        </w:tc>
        <w:tc>
          <w:tcPr>
            <w:tcW w:w="1113"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108,375</w:t>
            </w:r>
          </w:p>
        </w:tc>
        <w:tc>
          <w:tcPr>
            <w:tcW w:w="847"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35.2%</w:t>
            </w:r>
          </w:p>
        </w:tc>
        <w:tc>
          <w:tcPr>
            <w:tcW w:w="1049"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45,622</w:t>
            </w:r>
          </w:p>
        </w:tc>
        <w:tc>
          <w:tcPr>
            <w:tcW w:w="911"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14.8%</w:t>
            </w:r>
          </w:p>
        </w:tc>
        <w:tc>
          <w:tcPr>
            <w:tcW w:w="1107"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523</w:t>
            </w:r>
          </w:p>
        </w:tc>
        <w:tc>
          <w:tcPr>
            <w:tcW w:w="853"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0.2%</w:t>
            </w:r>
          </w:p>
        </w:tc>
      </w:tr>
      <w:tr w:rsidR="002D0252" w:rsidRPr="0018202F" w:rsidTr="00111FEC">
        <w:trPr>
          <w:trHeight w:val="320"/>
        </w:trPr>
        <w:tc>
          <w:tcPr>
            <w:cnfStyle w:val="001000000000" w:firstRow="0" w:lastRow="0" w:firstColumn="1" w:lastColumn="0" w:oddVBand="0" w:evenVBand="0" w:oddHBand="0" w:evenHBand="0" w:firstRowFirstColumn="0" w:firstRowLastColumn="0" w:lastRowFirstColumn="0" w:lastRowLastColumn="0"/>
            <w:tcW w:w="980" w:type="dxa"/>
            <w:noWrap/>
            <w:hideMark/>
          </w:tcPr>
          <w:p w:rsidR="002D0252" w:rsidRPr="0018202F" w:rsidRDefault="002D0252">
            <w:pPr>
              <w:jc w:val="center"/>
              <w:rPr>
                <w:rFonts w:ascii="Arial" w:hAnsi="Arial" w:cs="Arial"/>
                <w:color w:val="000000"/>
                <w:sz w:val="22"/>
                <w:szCs w:val="22"/>
              </w:rPr>
            </w:pPr>
            <w:r w:rsidRPr="0018202F">
              <w:rPr>
                <w:rFonts w:ascii="Arial" w:hAnsi="Arial" w:cs="Arial"/>
                <w:b w:val="0"/>
                <w:bCs w:val="0"/>
                <w:color w:val="000000"/>
                <w:sz w:val="22"/>
                <w:szCs w:val="22"/>
              </w:rPr>
              <w:t>2000</w:t>
            </w:r>
          </w:p>
        </w:tc>
        <w:tc>
          <w:tcPr>
            <w:tcW w:w="1113"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174,434</w:t>
            </w:r>
          </w:p>
        </w:tc>
        <w:tc>
          <w:tcPr>
            <w:tcW w:w="847"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43.9%</w:t>
            </w:r>
          </w:p>
        </w:tc>
        <w:tc>
          <w:tcPr>
            <w:tcW w:w="1113"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191,546</w:t>
            </w:r>
          </w:p>
        </w:tc>
        <w:tc>
          <w:tcPr>
            <w:tcW w:w="847"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48.2%</w:t>
            </w:r>
          </w:p>
        </w:tc>
        <w:tc>
          <w:tcPr>
            <w:tcW w:w="1049"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30,148</w:t>
            </w:r>
          </w:p>
        </w:tc>
        <w:tc>
          <w:tcPr>
            <w:tcW w:w="911"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7.6%</w:t>
            </w:r>
          </w:p>
        </w:tc>
        <w:tc>
          <w:tcPr>
            <w:tcW w:w="1107"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1,448</w:t>
            </w:r>
          </w:p>
        </w:tc>
        <w:tc>
          <w:tcPr>
            <w:tcW w:w="853"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0.4%</w:t>
            </w:r>
          </w:p>
        </w:tc>
      </w:tr>
      <w:tr w:rsidR="0046714E" w:rsidRPr="0018202F" w:rsidTr="00111FE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980" w:type="dxa"/>
            <w:noWrap/>
            <w:hideMark/>
          </w:tcPr>
          <w:p w:rsidR="002D0252" w:rsidRPr="0018202F" w:rsidRDefault="002D0252">
            <w:pPr>
              <w:jc w:val="center"/>
              <w:rPr>
                <w:rFonts w:ascii="Arial" w:hAnsi="Arial" w:cs="Arial"/>
                <w:color w:val="000000"/>
                <w:sz w:val="22"/>
                <w:szCs w:val="22"/>
              </w:rPr>
            </w:pPr>
            <w:r w:rsidRPr="0018202F">
              <w:rPr>
                <w:rFonts w:ascii="Arial" w:hAnsi="Arial" w:cs="Arial"/>
                <w:b w:val="0"/>
                <w:bCs w:val="0"/>
                <w:color w:val="000000"/>
                <w:sz w:val="22"/>
                <w:szCs w:val="22"/>
              </w:rPr>
              <w:t>2010</w:t>
            </w:r>
          </w:p>
        </w:tc>
        <w:tc>
          <w:tcPr>
            <w:tcW w:w="1113"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92,606</w:t>
            </w:r>
          </w:p>
        </w:tc>
        <w:tc>
          <w:tcPr>
            <w:tcW w:w="847"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55.3%</w:t>
            </w:r>
          </w:p>
        </w:tc>
        <w:tc>
          <w:tcPr>
            <w:tcW w:w="1113"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57,656</w:t>
            </w:r>
          </w:p>
        </w:tc>
        <w:tc>
          <w:tcPr>
            <w:tcW w:w="847"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34.4%</w:t>
            </w:r>
          </w:p>
        </w:tc>
        <w:tc>
          <w:tcPr>
            <w:tcW w:w="1049"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15,677</w:t>
            </w:r>
          </w:p>
        </w:tc>
        <w:tc>
          <w:tcPr>
            <w:tcW w:w="911"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9.4%</w:t>
            </w:r>
          </w:p>
        </w:tc>
        <w:tc>
          <w:tcPr>
            <w:tcW w:w="1107"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1,612</w:t>
            </w:r>
          </w:p>
        </w:tc>
        <w:tc>
          <w:tcPr>
            <w:tcW w:w="853" w:type="dxa"/>
            <w:noWrap/>
            <w:hideMark/>
          </w:tcPr>
          <w:p w:rsidR="002D0252" w:rsidRPr="0018202F" w:rsidRDefault="002D0252">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1.0%</w:t>
            </w:r>
          </w:p>
        </w:tc>
      </w:tr>
      <w:tr w:rsidR="002D0252" w:rsidRPr="0018202F" w:rsidTr="00111FEC">
        <w:trPr>
          <w:trHeight w:val="320"/>
        </w:trPr>
        <w:tc>
          <w:tcPr>
            <w:cnfStyle w:val="001000000000" w:firstRow="0" w:lastRow="0" w:firstColumn="1" w:lastColumn="0" w:oddVBand="0" w:evenVBand="0" w:oddHBand="0" w:evenHBand="0" w:firstRowFirstColumn="0" w:firstRowLastColumn="0" w:lastRowFirstColumn="0" w:lastRowLastColumn="0"/>
            <w:tcW w:w="980" w:type="dxa"/>
            <w:noWrap/>
            <w:hideMark/>
          </w:tcPr>
          <w:p w:rsidR="002D0252" w:rsidRPr="0018202F" w:rsidRDefault="002D0252">
            <w:pPr>
              <w:jc w:val="center"/>
              <w:rPr>
                <w:rFonts w:ascii="Arial" w:hAnsi="Arial" w:cs="Arial"/>
                <w:color w:val="000000"/>
                <w:sz w:val="22"/>
                <w:szCs w:val="22"/>
              </w:rPr>
            </w:pPr>
            <w:r w:rsidRPr="0018202F">
              <w:rPr>
                <w:rFonts w:ascii="Arial" w:hAnsi="Arial" w:cs="Arial"/>
                <w:b w:val="0"/>
                <w:bCs w:val="0"/>
                <w:color w:val="000000"/>
                <w:sz w:val="22"/>
                <w:szCs w:val="22"/>
              </w:rPr>
              <w:t>2019</w:t>
            </w:r>
          </w:p>
        </w:tc>
        <w:tc>
          <w:tcPr>
            <w:tcW w:w="1113"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128,483</w:t>
            </w:r>
          </w:p>
        </w:tc>
        <w:tc>
          <w:tcPr>
            <w:tcW w:w="847"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60.7%</w:t>
            </w:r>
          </w:p>
        </w:tc>
        <w:tc>
          <w:tcPr>
            <w:tcW w:w="1113"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63,634</w:t>
            </w:r>
          </w:p>
        </w:tc>
        <w:tc>
          <w:tcPr>
            <w:tcW w:w="847"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30.1%</w:t>
            </w:r>
          </w:p>
        </w:tc>
        <w:tc>
          <w:tcPr>
            <w:tcW w:w="1049"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17,644</w:t>
            </w:r>
          </w:p>
        </w:tc>
        <w:tc>
          <w:tcPr>
            <w:tcW w:w="911"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8.3%</w:t>
            </w:r>
          </w:p>
        </w:tc>
        <w:tc>
          <w:tcPr>
            <w:tcW w:w="1107"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1,986</w:t>
            </w:r>
          </w:p>
        </w:tc>
        <w:tc>
          <w:tcPr>
            <w:tcW w:w="853" w:type="dxa"/>
            <w:noWrap/>
            <w:hideMark/>
          </w:tcPr>
          <w:p w:rsidR="002D0252" w:rsidRPr="0018202F" w:rsidRDefault="002D0252">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18202F">
              <w:rPr>
                <w:rFonts w:ascii="Arial" w:hAnsi="Arial" w:cs="Arial"/>
                <w:color w:val="000000"/>
                <w:sz w:val="22"/>
                <w:szCs w:val="22"/>
              </w:rPr>
              <w:t>0.9%</w:t>
            </w:r>
          </w:p>
        </w:tc>
      </w:tr>
    </w:tbl>
    <w:p w:rsidR="00397F3D" w:rsidRPr="0018202F" w:rsidRDefault="0046714E" w:rsidP="009B3740">
      <w:pPr>
        <w:rPr>
          <w:rFonts w:ascii="Arial" w:hAnsi="Arial" w:cs="Arial"/>
          <w:i/>
          <w:iCs/>
          <w:sz w:val="22"/>
          <w:szCs w:val="22"/>
        </w:rPr>
      </w:pPr>
      <w:r w:rsidRPr="0018202F">
        <w:rPr>
          <w:rFonts w:ascii="Arial" w:hAnsi="Arial" w:cs="Arial"/>
          <w:b/>
          <w:bCs/>
          <w:i/>
          <w:iCs/>
          <w:sz w:val="20"/>
          <w:szCs w:val="20"/>
        </w:rPr>
        <w:t xml:space="preserve">Source: </w:t>
      </w:r>
      <w:r w:rsidRPr="0018202F">
        <w:rPr>
          <w:rFonts w:ascii="Arial" w:hAnsi="Arial" w:cs="Arial"/>
          <w:i/>
          <w:iCs/>
          <w:sz w:val="20"/>
          <w:szCs w:val="20"/>
        </w:rPr>
        <w:t xml:space="preserve">Sea Around Us (SAU), 2024. Catches by Gear in the waters of Cambodia (computed by </w:t>
      </w:r>
      <w:r w:rsidR="00130A33" w:rsidRPr="0018202F">
        <w:rPr>
          <w:rFonts w:ascii="Arial" w:hAnsi="Arial" w:cs="Arial"/>
          <w:i/>
          <w:iCs/>
          <w:sz w:val="20"/>
          <w:szCs w:val="20"/>
        </w:rPr>
        <w:t>author)</w:t>
      </w:r>
    </w:p>
    <w:p w:rsidR="00761122" w:rsidRPr="006D4D25" w:rsidRDefault="00917CAC" w:rsidP="0046714E">
      <w:pPr>
        <w:pStyle w:val="Heading4"/>
        <w:rPr>
          <w:rStyle w:val="Strong"/>
          <w:rFonts w:ascii="Arial" w:hAnsi="Arial" w:cs="Arial"/>
          <w:b/>
          <w:bCs/>
          <w:color w:val="0070C0"/>
          <w:sz w:val="22"/>
          <w:szCs w:val="22"/>
        </w:rPr>
      </w:pPr>
      <w:r w:rsidRPr="006D4D25">
        <w:rPr>
          <w:rStyle w:val="Strong"/>
          <w:rFonts w:ascii="Arial" w:hAnsi="Arial" w:cs="Arial"/>
          <w:b/>
          <w:bCs/>
          <w:color w:val="0070C0"/>
          <w:sz w:val="22"/>
          <w:szCs w:val="22"/>
        </w:rPr>
        <w:t>5.2.1.</w:t>
      </w:r>
      <w:r w:rsidR="001D2742" w:rsidRPr="006D4D25">
        <w:rPr>
          <w:rStyle w:val="Strong"/>
          <w:rFonts w:ascii="Arial" w:hAnsi="Arial" w:cs="Arial"/>
          <w:b/>
          <w:bCs/>
          <w:color w:val="0070C0"/>
          <w:sz w:val="22"/>
          <w:szCs w:val="22"/>
        </w:rPr>
        <w:t>5</w:t>
      </w:r>
      <w:r w:rsidRPr="006D4D25">
        <w:rPr>
          <w:rStyle w:val="Strong"/>
          <w:rFonts w:ascii="Arial" w:hAnsi="Arial" w:cs="Arial"/>
          <w:b/>
          <w:bCs/>
          <w:color w:val="0070C0"/>
          <w:sz w:val="22"/>
          <w:szCs w:val="22"/>
        </w:rPr>
        <w:t xml:space="preserve"> </w:t>
      </w:r>
      <w:r w:rsidR="00761122" w:rsidRPr="006D4D25">
        <w:rPr>
          <w:rStyle w:val="Strong"/>
          <w:rFonts w:ascii="Arial" w:hAnsi="Arial" w:cs="Arial"/>
          <w:b/>
          <w:bCs/>
          <w:color w:val="0070C0"/>
          <w:sz w:val="22"/>
          <w:szCs w:val="22"/>
        </w:rPr>
        <w:t>Number of marine fishing vessels</w:t>
      </w:r>
    </w:p>
    <w:p w:rsidR="007B68A5" w:rsidRPr="0018202F" w:rsidRDefault="007B68A5" w:rsidP="007B68A5">
      <w:pPr>
        <w:spacing w:before="240" w:after="240"/>
        <w:jc w:val="both"/>
        <w:rPr>
          <w:rFonts w:ascii="Arial" w:hAnsi="Arial" w:cs="Arial"/>
          <w:sz w:val="22"/>
          <w:szCs w:val="22"/>
        </w:rPr>
      </w:pPr>
      <w:r w:rsidRPr="0018202F">
        <w:rPr>
          <w:rFonts w:ascii="Arial" w:hAnsi="Arial" w:cs="Arial"/>
          <w:sz w:val="22"/>
          <w:szCs w:val="22"/>
        </w:rPr>
        <w:t>FiA’s 2018 marine vessel census (</w:t>
      </w:r>
      <w:r w:rsidRPr="0018202F">
        <w:rPr>
          <w:rFonts w:ascii="Arial" w:hAnsi="Arial" w:cs="Arial"/>
          <w:sz w:val="22"/>
          <w:szCs w:val="22"/>
        </w:rPr>
        <w:fldChar w:fldCharType="begin"/>
      </w:r>
      <w:r w:rsidRPr="0018202F">
        <w:rPr>
          <w:rFonts w:ascii="Arial" w:hAnsi="Arial" w:cs="Arial"/>
          <w:sz w:val="22"/>
          <w:szCs w:val="22"/>
        </w:rPr>
        <w:instrText xml:space="preserve"> REF _Ref215223251 \h </w:instrText>
      </w:r>
      <w:r w:rsidR="0018202F">
        <w:rPr>
          <w:rFonts w:ascii="Arial" w:hAnsi="Arial" w:cs="Arial"/>
          <w:sz w:val="22"/>
          <w:szCs w:val="22"/>
        </w:rPr>
        <w:instrText xml:space="preserve"> \* MERGEFORMAT </w:instrText>
      </w:r>
      <w:r w:rsidRPr="0018202F">
        <w:rPr>
          <w:rFonts w:ascii="Arial" w:hAnsi="Arial" w:cs="Arial"/>
          <w:sz w:val="22"/>
          <w:szCs w:val="22"/>
        </w:rPr>
      </w:r>
      <w:r w:rsidRPr="0018202F">
        <w:rPr>
          <w:rFonts w:ascii="Arial" w:hAnsi="Arial" w:cs="Arial"/>
          <w:sz w:val="22"/>
          <w:szCs w:val="22"/>
        </w:rPr>
        <w:fldChar w:fldCharType="separate"/>
      </w:r>
      <w:r w:rsidR="00F72397" w:rsidRPr="00F72397">
        <w:rPr>
          <w:rFonts w:ascii="Arial" w:hAnsi="Arial" w:cs="Arial"/>
          <w:color w:val="0070C0"/>
          <w:sz w:val="22"/>
          <w:szCs w:val="22"/>
        </w:rPr>
        <w:t>Table 5-3</w:t>
      </w:r>
      <w:r w:rsidRPr="0018202F">
        <w:rPr>
          <w:rFonts w:ascii="Arial" w:hAnsi="Arial" w:cs="Arial"/>
          <w:sz w:val="22"/>
          <w:szCs w:val="22"/>
        </w:rPr>
        <w:fldChar w:fldCharType="end"/>
      </w:r>
      <w:r w:rsidRPr="0018202F">
        <w:rPr>
          <w:rFonts w:ascii="Arial" w:hAnsi="Arial" w:cs="Arial"/>
          <w:sz w:val="22"/>
          <w:szCs w:val="22"/>
        </w:rPr>
        <w:t>) recorded 7,552 fishing vessels across the four coastal provinces, confirming a predominantly small- and medium-scale fleet. Small-scale boats made up 53% of all vessels (4,030 units), while medium-scale vessels accounted for 47% (3,512 units). Only 10 vessels ≥24m were identified, indicating a very limited industrial fleet. The fleet is geographically concentrated: Koh Kong held 45% of all vessels (3,396 units), followed by Preah Sihanouk 33%, Kampot 14%, and Kep 8%. Koh Kong’s dominance reflects its extensive coastline and long-established trawl and gill-net fleets, while Kampot and Kep remain largely artisanal.</w:t>
      </w:r>
    </w:p>
    <w:p w:rsidR="00CB1C60" w:rsidRPr="0018202F" w:rsidRDefault="00696C92" w:rsidP="00D202D3">
      <w:pPr>
        <w:pStyle w:val="Caption"/>
        <w:keepNext/>
        <w:adjustRightInd w:val="0"/>
        <w:snapToGrid w:val="0"/>
        <w:spacing w:before="240" w:after="120"/>
        <w:rPr>
          <w:rFonts w:ascii="Arial" w:hAnsi="Arial" w:cs="Arial"/>
          <w:i w:val="0"/>
          <w:iCs w:val="0"/>
          <w:color w:val="0070C0"/>
          <w:sz w:val="21"/>
          <w:szCs w:val="21"/>
        </w:rPr>
      </w:pPr>
      <w:bookmarkStart w:id="23" w:name="_Ref215223251"/>
      <w:bookmarkStart w:id="24" w:name="_Toc213661062"/>
      <w:r w:rsidRPr="0018202F">
        <w:rPr>
          <w:rFonts w:ascii="Arial" w:hAnsi="Arial" w:cs="Arial"/>
          <w:i w:val="0"/>
          <w:iCs w:val="0"/>
          <w:color w:val="0070C0"/>
          <w:sz w:val="21"/>
          <w:szCs w:val="21"/>
        </w:rPr>
        <w:t>Table 5-</w:t>
      </w:r>
      <w:r w:rsidRPr="0018202F">
        <w:rPr>
          <w:rFonts w:ascii="Arial" w:hAnsi="Arial" w:cs="Arial"/>
          <w:i w:val="0"/>
          <w:iCs w:val="0"/>
          <w:color w:val="0070C0"/>
          <w:sz w:val="21"/>
          <w:szCs w:val="21"/>
        </w:rPr>
        <w:fldChar w:fldCharType="begin"/>
      </w:r>
      <w:r w:rsidRPr="0018202F">
        <w:rPr>
          <w:rFonts w:ascii="Arial" w:hAnsi="Arial" w:cs="Arial"/>
          <w:i w:val="0"/>
          <w:iCs w:val="0"/>
          <w:color w:val="0070C0"/>
          <w:sz w:val="21"/>
          <w:szCs w:val="21"/>
        </w:rPr>
        <w:instrText xml:space="preserve"> SEQ Table_5- \* ARABIC </w:instrText>
      </w:r>
      <w:r w:rsidRPr="0018202F">
        <w:rPr>
          <w:rFonts w:ascii="Arial" w:hAnsi="Arial" w:cs="Arial"/>
          <w:i w:val="0"/>
          <w:iCs w:val="0"/>
          <w:color w:val="0070C0"/>
          <w:sz w:val="21"/>
          <w:szCs w:val="21"/>
        </w:rPr>
        <w:fldChar w:fldCharType="separate"/>
      </w:r>
      <w:r w:rsidR="00F72397">
        <w:rPr>
          <w:rFonts w:ascii="Arial" w:hAnsi="Arial" w:cs="Arial"/>
          <w:i w:val="0"/>
          <w:iCs w:val="0"/>
          <w:noProof/>
          <w:color w:val="0070C0"/>
          <w:sz w:val="21"/>
          <w:szCs w:val="21"/>
        </w:rPr>
        <w:t>3</w:t>
      </w:r>
      <w:r w:rsidRPr="0018202F">
        <w:rPr>
          <w:rFonts w:ascii="Arial" w:hAnsi="Arial" w:cs="Arial"/>
          <w:i w:val="0"/>
          <w:iCs w:val="0"/>
          <w:color w:val="0070C0"/>
          <w:sz w:val="21"/>
          <w:szCs w:val="21"/>
        </w:rPr>
        <w:fldChar w:fldCharType="end"/>
      </w:r>
      <w:bookmarkEnd w:id="23"/>
      <w:r w:rsidRPr="0018202F">
        <w:rPr>
          <w:rFonts w:ascii="Arial" w:hAnsi="Arial" w:cs="Arial"/>
          <w:i w:val="0"/>
          <w:iCs w:val="0"/>
          <w:color w:val="0070C0"/>
          <w:sz w:val="21"/>
          <w:szCs w:val="21"/>
        </w:rPr>
        <w:t xml:space="preserve"> </w:t>
      </w:r>
      <w:r w:rsidR="007B68A5" w:rsidRPr="0018202F">
        <w:rPr>
          <w:rFonts w:ascii="Arial" w:hAnsi="Arial" w:cs="Arial"/>
          <w:i w:val="0"/>
          <w:iCs w:val="0"/>
          <w:color w:val="0070C0"/>
          <w:sz w:val="21"/>
          <w:szCs w:val="21"/>
        </w:rPr>
        <w:t xml:space="preserve">Number of marine fishing vessels: large, </w:t>
      </w:r>
      <w:r w:rsidR="00CE50E0" w:rsidRPr="0018202F">
        <w:rPr>
          <w:rFonts w:ascii="Arial" w:hAnsi="Arial" w:cs="Arial"/>
          <w:i w:val="0"/>
          <w:iCs w:val="0"/>
          <w:color w:val="0070C0"/>
          <w:sz w:val="21"/>
          <w:szCs w:val="21"/>
        </w:rPr>
        <w:t>medium,</w:t>
      </w:r>
      <w:r w:rsidR="007B68A5" w:rsidRPr="0018202F">
        <w:rPr>
          <w:rFonts w:ascii="Arial" w:hAnsi="Arial" w:cs="Arial"/>
          <w:i w:val="0"/>
          <w:iCs w:val="0"/>
          <w:color w:val="0070C0"/>
          <w:sz w:val="21"/>
          <w:szCs w:val="21"/>
        </w:rPr>
        <w:t xml:space="preserve"> and small scale</w:t>
      </w:r>
      <w:bookmarkEnd w:id="24"/>
    </w:p>
    <w:tbl>
      <w:tblPr>
        <w:tblStyle w:val="GridTable1Light-Accent5"/>
        <w:tblW w:w="8961" w:type="dxa"/>
        <w:tblLook w:val="04A0" w:firstRow="1" w:lastRow="0" w:firstColumn="1" w:lastColumn="0" w:noHBand="0" w:noVBand="1"/>
      </w:tblPr>
      <w:tblGrid>
        <w:gridCol w:w="3010"/>
        <w:gridCol w:w="1351"/>
        <w:gridCol w:w="2004"/>
        <w:gridCol w:w="1104"/>
        <w:gridCol w:w="674"/>
        <w:gridCol w:w="818"/>
      </w:tblGrid>
      <w:tr w:rsidR="00CB1C60" w:rsidRPr="0018202F" w:rsidTr="00CB1C60">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rsidR="00385994" w:rsidRPr="0018202F" w:rsidRDefault="00385994">
            <w:pPr>
              <w:rPr>
                <w:rFonts w:ascii="Arial" w:hAnsi="Arial" w:cs="Arial"/>
                <w:sz w:val="22"/>
                <w:szCs w:val="22"/>
              </w:rPr>
            </w:pPr>
            <w:r w:rsidRPr="0018202F">
              <w:rPr>
                <w:rFonts w:ascii="Arial" w:hAnsi="Arial" w:cs="Arial"/>
                <w:sz w:val="22"/>
                <w:szCs w:val="22"/>
              </w:rPr>
              <w:t>Vessel Type (Ranking m)</w:t>
            </w:r>
          </w:p>
        </w:tc>
        <w:tc>
          <w:tcPr>
            <w:tcW w:w="0" w:type="auto"/>
            <w:hideMark/>
          </w:tcPr>
          <w:p w:rsidR="00385994" w:rsidRPr="0018202F" w:rsidRDefault="00385994">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Koh Kong</w:t>
            </w:r>
          </w:p>
        </w:tc>
        <w:tc>
          <w:tcPr>
            <w:tcW w:w="0" w:type="auto"/>
            <w:hideMark/>
          </w:tcPr>
          <w:p w:rsidR="00385994" w:rsidRPr="0018202F" w:rsidRDefault="00385994">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Preah Sihanouk</w:t>
            </w:r>
          </w:p>
        </w:tc>
        <w:tc>
          <w:tcPr>
            <w:tcW w:w="0" w:type="auto"/>
            <w:hideMark/>
          </w:tcPr>
          <w:p w:rsidR="00385994" w:rsidRPr="0018202F" w:rsidRDefault="00385994">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Kampot</w:t>
            </w:r>
          </w:p>
        </w:tc>
        <w:tc>
          <w:tcPr>
            <w:tcW w:w="0" w:type="auto"/>
            <w:hideMark/>
          </w:tcPr>
          <w:p w:rsidR="00385994" w:rsidRPr="0018202F" w:rsidRDefault="00385994">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Kep</w:t>
            </w:r>
          </w:p>
        </w:tc>
        <w:tc>
          <w:tcPr>
            <w:tcW w:w="0" w:type="auto"/>
            <w:hideMark/>
          </w:tcPr>
          <w:p w:rsidR="00385994" w:rsidRPr="0018202F" w:rsidRDefault="00385994">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Total</w:t>
            </w:r>
          </w:p>
        </w:tc>
      </w:tr>
      <w:tr w:rsidR="00CB1C60" w:rsidRPr="0018202F" w:rsidTr="00CB1C60">
        <w:trPr>
          <w:trHeight w:val="334"/>
        </w:trPr>
        <w:tc>
          <w:tcPr>
            <w:cnfStyle w:val="001000000000" w:firstRow="0" w:lastRow="0" w:firstColumn="1" w:lastColumn="0" w:oddVBand="0" w:evenVBand="0" w:oddHBand="0" w:evenHBand="0" w:firstRowFirstColumn="0" w:firstRowLastColumn="0" w:lastRowFirstColumn="0" w:lastRowLastColumn="0"/>
            <w:tcW w:w="0" w:type="auto"/>
            <w:hideMark/>
          </w:tcPr>
          <w:p w:rsidR="00385994" w:rsidRPr="0018202F" w:rsidRDefault="00385994">
            <w:pPr>
              <w:rPr>
                <w:rFonts w:ascii="Arial" w:hAnsi="Arial" w:cs="Arial"/>
                <w:b w:val="0"/>
                <w:bCs w:val="0"/>
                <w:sz w:val="22"/>
                <w:szCs w:val="22"/>
              </w:rPr>
            </w:pPr>
            <w:r w:rsidRPr="0018202F">
              <w:rPr>
                <w:rFonts w:ascii="Arial" w:hAnsi="Arial" w:cs="Arial"/>
                <w:b w:val="0"/>
                <w:bCs w:val="0"/>
                <w:sz w:val="22"/>
                <w:szCs w:val="22"/>
              </w:rPr>
              <w:t>Large Scale (≥ 24 m)</w:t>
            </w:r>
          </w:p>
        </w:tc>
        <w:tc>
          <w:tcPr>
            <w:tcW w:w="0" w:type="auto"/>
            <w:hideMark/>
          </w:tcPr>
          <w:p w:rsidR="00385994" w:rsidRPr="0018202F" w:rsidRDefault="00385994">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10</w:t>
            </w:r>
          </w:p>
        </w:tc>
        <w:tc>
          <w:tcPr>
            <w:tcW w:w="0" w:type="auto"/>
            <w:hideMark/>
          </w:tcPr>
          <w:p w:rsidR="00385994" w:rsidRPr="0018202F" w:rsidRDefault="00385994">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0" w:type="auto"/>
            <w:hideMark/>
          </w:tcPr>
          <w:p w:rsidR="00385994" w:rsidRPr="0018202F" w:rsidRDefault="00385994">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0" w:type="auto"/>
            <w:hideMark/>
          </w:tcPr>
          <w:p w:rsidR="00385994" w:rsidRPr="0018202F" w:rsidRDefault="00385994">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0" w:type="auto"/>
            <w:hideMark/>
          </w:tcPr>
          <w:p w:rsidR="00385994" w:rsidRPr="0018202F" w:rsidRDefault="00385994">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10</w:t>
            </w:r>
          </w:p>
        </w:tc>
      </w:tr>
      <w:tr w:rsidR="00CB1C60" w:rsidRPr="0018202F" w:rsidTr="00CB1C6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rsidR="00385994" w:rsidRPr="0018202F" w:rsidRDefault="00385994">
            <w:pPr>
              <w:rPr>
                <w:rFonts w:ascii="Arial" w:hAnsi="Arial" w:cs="Arial"/>
                <w:b w:val="0"/>
                <w:bCs w:val="0"/>
                <w:sz w:val="22"/>
                <w:szCs w:val="22"/>
              </w:rPr>
            </w:pPr>
            <w:r w:rsidRPr="0018202F">
              <w:rPr>
                <w:rFonts w:ascii="Arial" w:hAnsi="Arial" w:cs="Arial"/>
                <w:b w:val="0"/>
                <w:bCs w:val="0"/>
                <w:sz w:val="22"/>
                <w:szCs w:val="22"/>
              </w:rPr>
              <w:t xml:space="preserve">Medium Scale </w:t>
            </w:r>
            <w:r w:rsidR="00CB1C60" w:rsidRPr="0018202F">
              <w:rPr>
                <w:rFonts w:ascii="Arial" w:hAnsi="Arial" w:cs="Arial"/>
                <w:b w:val="0"/>
                <w:bCs w:val="0"/>
                <w:sz w:val="22"/>
                <w:szCs w:val="22"/>
              </w:rPr>
              <w:t>(12 ≤ 24)</w:t>
            </w:r>
          </w:p>
        </w:tc>
        <w:tc>
          <w:tcPr>
            <w:tcW w:w="0" w:type="auto"/>
            <w:hideMark/>
          </w:tcPr>
          <w:p w:rsidR="00385994" w:rsidRPr="0018202F" w:rsidRDefault="00385994">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962</w:t>
            </w:r>
          </w:p>
        </w:tc>
        <w:tc>
          <w:tcPr>
            <w:tcW w:w="0" w:type="auto"/>
            <w:hideMark/>
          </w:tcPr>
          <w:p w:rsidR="00385994" w:rsidRPr="0018202F" w:rsidRDefault="00385994">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1,545</w:t>
            </w:r>
          </w:p>
        </w:tc>
        <w:tc>
          <w:tcPr>
            <w:tcW w:w="0" w:type="auto"/>
            <w:hideMark/>
          </w:tcPr>
          <w:p w:rsidR="00385994" w:rsidRPr="0018202F" w:rsidRDefault="00385994">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629</w:t>
            </w:r>
          </w:p>
        </w:tc>
        <w:tc>
          <w:tcPr>
            <w:tcW w:w="0" w:type="auto"/>
            <w:hideMark/>
          </w:tcPr>
          <w:p w:rsidR="00385994" w:rsidRPr="0018202F" w:rsidRDefault="00385994">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367</w:t>
            </w:r>
          </w:p>
        </w:tc>
        <w:tc>
          <w:tcPr>
            <w:tcW w:w="0" w:type="auto"/>
            <w:hideMark/>
          </w:tcPr>
          <w:p w:rsidR="00385994" w:rsidRPr="0018202F" w:rsidRDefault="00385994">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3,512</w:t>
            </w:r>
          </w:p>
        </w:tc>
      </w:tr>
      <w:tr w:rsidR="00CB1C60" w:rsidRPr="0018202F" w:rsidTr="00CB1C6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rsidR="00385994" w:rsidRPr="0018202F" w:rsidRDefault="00385994">
            <w:pPr>
              <w:rPr>
                <w:rFonts w:ascii="Arial" w:hAnsi="Arial" w:cs="Arial"/>
                <w:b w:val="0"/>
                <w:bCs w:val="0"/>
                <w:sz w:val="22"/>
                <w:szCs w:val="22"/>
              </w:rPr>
            </w:pPr>
            <w:r w:rsidRPr="0018202F">
              <w:rPr>
                <w:rFonts w:ascii="Arial" w:hAnsi="Arial" w:cs="Arial"/>
                <w:b w:val="0"/>
                <w:bCs w:val="0"/>
                <w:sz w:val="22"/>
                <w:szCs w:val="22"/>
              </w:rPr>
              <w:t>Small Scale (&lt; 12 m)</w:t>
            </w:r>
          </w:p>
        </w:tc>
        <w:tc>
          <w:tcPr>
            <w:tcW w:w="0" w:type="auto"/>
            <w:hideMark/>
          </w:tcPr>
          <w:p w:rsidR="00385994" w:rsidRPr="0018202F" w:rsidRDefault="00385994">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2,424</w:t>
            </w:r>
          </w:p>
        </w:tc>
        <w:tc>
          <w:tcPr>
            <w:tcW w:w="0" w:type="auto"/>
            <w:hideMark/>
          </w:tcPr>
          <w:p w:rsidR="00385994" w:rsidRPr="0018202F" w:rsidRDefault="00385994">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978</w:t>
            </w:r>
          </w:p>
        </w:tc>
        <w:tc>
          <w:tcPr>
            <w:tcW w:w="0" w:type="auto"/>
            <w:hideMark/>
          </w:tcPr>
          <w:p w:rsidR="00385994" w:rsidRPr="0018202F" w:rsidRDefault="00385994">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410</w:t>
            </w:r>
          </w:p>
        </w:tc>
        <w:tc>
          <w:tcPr>
            <w:tcW w:w="0" w:type="auto"/>
            <w:hideMark/>
          </w:tcPr>
          <w:p w:rsidR="00385994" w:rsidRPr="0018202F" w:rsidRDefault="00385994">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227</w:t>
            </w:r>
          </w:p>
        </w:tc>
        <w:tc>
          <w:tcPr>
            <w:tcW w:w="0" w:type="auto"/>
            <w:hideMark/>
          </w:tcPr>
          <w:p w:rsidR="00385994" w:rsidRPr="0018202F" w:rsidRDefault="00385994">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4,030</w:t>
            </w:r>
          </w:p>
        </w:tc>
      </w:tr>
      <w:tr w:rsidR="00CB1C60" w:rsidRPr="0018202F" w:rsidTr="00CB1C6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rsidR="00CB1C60" w:rsidRPr="0018202F" w:rsidRDefault="00CB1C60" w:rsidP="00CB1C60">
            <w:pPr>
              <w:rPr>
                <w:rFonts w:ascii="Arial" w:hAnsi="Arial" w:cs="Arial"/>
                <w:sz w:val="22"/>
                <w:szCs w:val="22"/>
              </w:rPr>
            </w:pPr>
            <w:r w:rsidRPr="0018202F">
              <w:rPr>
                <w:rStyle w:val="Strong"/>
                <w:rFonts w:ascii="Arial" w:hAnsi="Arial" w:cs="Arial"/>
                <w:b/>
                <w:bCs/>
                <w:sz w:val="22"/>
                <w:szCs w:val="22"/>
              </w:rPr>
              <w:t>Total</w:t>
            </w:r>
          </w:p>
        </w:tc>
        <w:tc>
          <w:tcPr>
            <w:tcW w:w="0" w:type="auto"/>
            <w:hideMark/>
          </w:tcPr>
          <w:p w:rsidR="00CB1C60" w:rsidRPr="0018202F" w:rsidRDefault="00CB1C60" w:rsidP="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3,396</w:t>
            </w:r>
          </w:p>
        </w:tc>
        <w:tc>
          <w:tcPr>
            <w:tcW w:w="0" w:type="auto"/>
          </w:tcPr>
          <w:p w:rsidR="00CB1C60" w:rsidRPr="0018202F" w:rsidRDefault="00CB1C60" w:rsidP="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2,523</w:t>
            </w:r>
          </w:p>
        </w:tc>
        <w:tc>
          <w:tcPr>
            <w:tcW w:w="0" w:type="auto"/>
          </w:tcPr>
          <w:p w:rsidR="00CB1C60" w:rsidRPr="0018202F" w:rsidRDefault="00CB1C60" w:rsidP="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1,039</w:t>
            </w:r>
          </w:p>
        </w:tc>
        <w:tc>
          <w:tcPr>
            <w:tcW w:w="0" w:type="auto"/>
          </w:tcPr>
          <w:p w:rsidR="00CB1C60" w:rsidRPr="0018202F" w:rsidRDefault="00CB1C60" w:rsidP="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594</w:t>
            </w:r>
          </w:p>
        </w:tc>
        <w:tc>
          <w:tcPr>
            <w:tcW w:w="0" w:type="auto"/>
          </w:tcPr>
          <w:p w:rsidR="00CB1C60" w:rsidRPr="0018202F" w:rsidRDefault="00CB1C60" w:rsidP="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Fonts w:ascii="Arial" w:hAnsi="Arial" w:cs="Arial"/>
                <w:b/>
                <w:bCs/>
                <w:sz w:val="22"/>
                <w:szCs w:val="22"/>
              </w:rPr>
              <w:t>7552</w:t>
            </w:r>
          </w:p>
        </w:tc>
      </w:tr>
    </w:tbl>
    <w:p w:rsidR="00130A33" w:rsidRPr="0018202F" w:rsidRDefault="00130A33" w:rsidP="00130A33">
      <w:pPr>
        <w:jc w:val="both"/>
        <w:rPr>
          <w:rFonts w:ascii="Arial" w:hAnsi="Arial" w:cs="Arial"/>
          <w:i/>
          <w:iCs/>
          <w:sz w:val="18"/>
          <w:szCs w:val="18"/>
        </w:rPr>
      </w:pPr>
      <w:r w:rsidRPr="0018202F">
        <w:rPr>
          <w:rFonts w:ascii="Arial" w:hAnsi="Arial" w:cs="Arial"/>
          <w:b/>
          <w:bCs/>
          <w:i/>
          <w:iCs/>
          <w:sz w:val="18"/>
          <w:szCs w:val="18"/>
        </w:rPr>
        <w:t>Source:</w:t>
      </w:r>
      <w:r w:rsidRPr="0018202F">
        <w:rPr>
          <w:rFonts w:ascii="Arial" w:hAnsi="Arial" w:cs="Arial"/>
          <w:i/>
          <w:iCs/>
          <w:sz w:val="18"/>
          <w:szCs w:val="18"/>
        </w:rPr>
        <w:t xml:space="preserve"> FiA, MAFF. Marine Fishing Vessel and Licensing Database.</w:t>
      </w:r>
    </w:p>
    <w:p w:rsidR="00385994" w:rsidRPr="0018202F" w:rsidRDefault="00CB1C60" w:rsidP="00130A33">
      <w:pPr>
        <w:spacing w:before="240" w:after="240"/>
        <w:jc w:val="both"/>
        <w:rPr>
          <w:rFonts w:ascii="Arial" w:hAnsi="Arial" w:cs="Arial"/>
          <w:sz w:val="22"/>
          <w:szCs w:val="22"/>
        </w:rPr>
      </w:pPr>
      <w:r w:rsidRPr="0018202F">
        <w:rPr>
          <w:rFonts w:ascii="Arial" w:hAnsi="Arial" w:cs="Arial"/>
          <w:sz w:val="22"/>
          <w:szCs w:val="22"/>
        </w:rPr>
        <w:t>Vessel classification</w:t>
      </w:r>
      <w:r w:rsidR="007B68A5" w:rsidRPr="0018202F">
        <w:rPr>
          <w:rFonts w:ascii="Arial" w:hAnsi="Arial" w:cs="Arial"/>
          <w:sz w:val="22"/>
          <w:szCs w:val="22"/>
        </w:rPr>
        <w:t xml:space="preserve"> (</w:t>
      </w:r>
      <w:r w:rsidR="007B68A5" w:rsidRPr="0018202F">
        <w:rPr>
          <w:rFonts w:ascii="Arial" w:hAnsi="Arial" w:cs="Arial"/>
          <w:sz w:val="22"/>
          <w:szCs w:val="22"/>
        </w:rPr>
        <w:fldChar w:fldCharType="begin"/>
      </w:r>
      <w:r w:rsidR="007B68A5" w:rsidRPr="0018202F">
        <w:rPr>
          <w:rFonts w:ascii="Arial" w:hAnsi="Arial" w:cs="Arial"/>
          <w:sz w:val="22"/>
          <w:szCs w:val="22"/>
        </w:rPr>
        <w:instrText xml:space="preserve"> REF _Ref215233076 \h </w:instrText>
      </w:r>
      <w:r w:rsidR="0018202F">
        <w:rPr>
          <w:rFonts w:ascii="Arial" w:hAnsi="Arial" w:cs="Arial"/>
          <w:sz w:val="22"/>
          <w:szCs w:val="22"/>
        </w:rPr>
        <w:instrText xml:space="preserve"> \* MERGEFORMAT </w:instrText>
      </w:r>
      <w:r w:rsidR="007B68A5" w:rsidRPr="0018202F">
        <w:rPr>
          <w:rFonts w:ascii="Arial" w:hAnsi="Arial" w:cs="Arial"/>
          <w:sz w:val="22"/>
          <w:szCs w:val="22"/>
        </w:rPr>
      </w:r>
      <w:r w:rsidR="007B68A5" w:rsidRPr="0018202F">
        <w:rPr>
          <w:rFonts w:ascii="Arial" w:hAnsi="Arial" w:cs="Arial"/>
          <w:sz w:val="22"/>
          <w:szCs w:val="22"/>
        </w:rPr>
        <w:fldChar w:fldCharType="separate"/>
      </w:r>
      <w:r w:rsidR="00F72397" w:rsidRPr="00F72397">
        <w:rPr>
          <w:rFonts w:ascii="Arial" w:hAnsi="Arial" w:cs="Arial"/>
          <w:color w:val="0070C0"/>
          <w:sz w:val="22"/>
          <w:szCs w:val="22"/>
        </w:rPr>
        <w:t>Table 5-4</w:t>
      </w:r>
      <w:r w:rsidR="007B68A5" w:rsidRPr="0018202F">
        <w:rPr>
          <w:rFonts w:ascii="Arial" w:hAnsi="Arial" w:cs="Arial"/>
          <w:sz w:val="22"/>
          <w:szCs w:val="22"/>
        </w:rPr>
        <w:fldChar w:fldCharType="end"/>
      </w:r>
      <w:r w:rsidR="007B68A5" w:rsidRPr="0018202F">
        <w:rPr>
          <w:rFonts w:ascii="Arial" w:hAnsi="Arial" w:cs="Arial"/>
          <w:sz w:val="22"/>
          <w:szCs w:val="22"/>
        </w:rPr>
        <w:t>)</w:t>
      </w:r>
      <w:r w:rsidRPr="0018202F">
        <w:rPr>
          <w:rFonts w:ascii="Arial" w:hAnsi="Arial" w:cs="Arial"/>
          <w:sz w:val="22"/>
          <w:szCs w:val="22"/>
        </w:rPr>
        <w:t xml:space="preserve"> by engine power confirms the small-scale character of the fleet: approximately 6,699 vessels (89 %) were under 50 HP, with only a small minority exceeding 90 HP. This pattern suggests limited offshore capability and strong dependence on coastal and inshore fishing grounds. The few higher-horsepower vessels (181–540 HP) are mainly trawlers and purse-seiners operating from Koh Kong and Preah Sihanouk.</w:t>
      </w:r>
    </w:p>
    <w:p w:rsidR="00130A33" w:rsidRPr="0018202F" w:rsidRDefault="00696C92" w:rsidP="00D202D3">
      <w:pPr>
        <w:pStyle w:val="Caption"/>
        <w:keepNext/>
        <w:adjustRightInd w:val="0"/>
        <w:snapToGrid w:val="0"/>
        <w:spacing w:before="240" w:after="120"/>
        <w:rPr>
          <w:rFonts w:ascii="Arial" w:hAnsi="Arial" w:cs="Arial"/>
          <w:i w:val="0"/>
          <w:iCs w:val="0"/>
          <w:color w:val="0070C0"/>
          <w:sz w:val="21"/>
          <w:szCs w:val="21"/>
        </w:rPr>
      </w:pPr>
      <w:bookmarkStart w:id="25" w:name="_Ref215233076"/>
      <w:bookmarkStart w:id="26" w:name="_Toc213661063"/>
      <w:r w:rsidRPr="0018202F">
        <w:rPr>
          <w:rFonts w:ascii="Arial" w:hAnsi="Arial" w:cs="Arial"/>
          <w:i w:val="0"/>
          <w:iCs w:val="0"/>
          <w:color w:val="0070C0"/>
          <w:sz w:val="21"/>
          <w:szCs w:val="21"/>
        </w:rPr>
        <w:t>Table 5-</w:t>
      </w:r>
      <w:r w:rsidRPr="0018202F">
        <w:rPr>
          <w:rFonts w:ascii="Arial" w:hAnsi="Arial" w:cs="Arial"/>
          <w:i w:val="0"/>
          <w:iCs w:val="0"/>
          <w:color w:val="0070C0"/>
          <w:sz w:val="21"/>
          <w:szCs w:val="21"/>
        </w:rPr>
        <w:fldChar w:fldCharType="begin"/>
      </w:r>
      <w:r w:rsidRPr="0018202F">
        <w:rPr>
          <w:rFonts w:ascii="Arial" w:hAnsi="Arial" w:cs="Arial"/>
          <w:i w:val="0"/>
          <w:iCs w:val="0"/>
          <w:color w:val="0070C0"/>
          <w:sz w:val="21"/>
          <w:szCs w:val="21"/>
        </w:rPr>
        <w:instrText xml:space="preserve"> SEQ Table_5- \* ARABIC </w:instrText>
      </w:r>
      <w:r w:rsidRPr="0018202F">
        <w:rPr>
          <w:rFonts w:ascii="Arial" w:hAnsi="Arial" w:cs="Arial"/>
          <w:i w:val="0"/>
          <w:iCs w:val="0"/>
          <w:color w:val="0070C0"/>
          <w:sz w:val="21"/>
          <w:szCs w:val="21"/>
        </w:rPr>
        <w:fldChar w:fldCharType="separate"/>
      </w:r>
      <w:r w:rsidR="00F72397">
        <w:rPr>
          <w:rFonts w:ascii="Arial" w:hAnsi="Arial" w:cs="Arial"/>
          <w:i w:val="0"/>
          <w:iCs w:val="0"/>
          <w:noProof/>
          <w:color w:val="0070C0"/>
          <w:sz w:val="21"/>
          <w:szCs w:val="21"/>
        </w:rPr>
        <w:t>4</w:t>
      </w:r>
      <w:r w:rsidRPr="0018202F">
        <w:rPr>
          <w:rFonts w:ascii="Arial" w:hAnsi="Arial" w:cs="Arial"/>
          <w:i w:val="0"/>
          <w:iCs w:val="0"/>
          <w:color w:val="0070C0"/>
          <w:sz w:val="21"/>
          <w:szCs w:val="21"/>
        </w:rPr>
        <w:fldChar w:fldCharType="end"/>
      </w:r>
      <w:bookmarkEnd w:id="25"/>
      <w:r w:rsidRPr="0018202F">
        <w:rPr>
          <w:rFonts w:ascii="Arial" w:hAnsi="Arial" w:cs="Arial"/>
          <w:i w:val="0"/>
          <w:iCs w:val="0"/>
          <w:color w:val="0070C0"/>
          <w:sz w:val="21"/>
          <w:szCs w:val="21"/>
        </w:rPr>
        <w:t xml:space="preserve"> </w:t>
      </w:r>
      <w:r w:rsidR="007B68A5" w:rsidRPr="0018202F">
        <w:rPr>
          <w:rFonts w:ascii="Arial" w:hAnsi="Arial" w:cs="Arial"/>
          <w:i w:val="0"/>
          <w:iCs w:val="0"/>
          <w:color w:val="0070C0"/>
          <w:sz w:val="21"/>
          <w:szCs w:val="21"/>
        </w:rPr>
        <w:t>Number of marine fishing vessels by engine power</w:t>
      </w:r>
      <w:bookmarkEnd w:id="26"/>
      <w:r w:rsidR="007B68A5" w:rsidRPr="0018202F">
        <w:rPr>
          <w:rFonts w:ascii="Arial" w:hAnsi="Arial" w:cs="Arial"/>
          <w:i w:val="0"/>
          <w:iCs w:val="0"/>
          <w:color w:val="0070C0"/>
          <w:sz w:val="21"/>
          <w:szCs w:val="21"/>
        </w:rPr>
        <w:t xml:space="preserve"> </w:t>
      </w:r>
    </w:p>
    <w:tbl>
      <w:tblPr>
        <w:tblStyle w:val="GridTable1Light-Accent5"/>
        <w:tblW w:w="9012" w:type="dxa"/>
        <w:tblLook w:val="04A0" w:firstRow="1" w:lastRow="0" w:firstColumn="1" w:lastColumn="0" w:noHBand="0" w:noVBand="1"/>
      </w:tblPr>
      <w:tblGrid>
        <w:gridCol w:w="3170"/>
        <w:gridCol w:w="1326"/>
        <w:gridCol w:w="1967"/>
        <w:gridCol w:w="1084"/>
        <w:gridCol w:w="662"/>
        <w:gridCol w:w="803"/>
      </w:tblGrid>
      <w:tr w:rsidR="00CB1C60" w:rsidRPr="0018202F" w:rsidTr="00CB1C60">
        <w:trPr>
          <w:cnfStyle w:val="100000000000" w:firstRow="1" w:lastRow="0" w:firstColumn="0" w:lastColumn="0" w:oddVBand="0" w:evenVBand="0" w:oddHBand="0"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0" w:type="auto"/>
            <w:hideMark/>
          </w:tcPr>
          <w:p w:rsidR="00CB1C60" w:rsidRPr="0018202F" w:rsidRDefault="00CB1C60">
            <w:pPr>
              <w:rPr>
                <w:rFonts w:ascii="Arial" w:hAnsi="Arial" w:cs="Arial"/>
                <w:sz w:val="22"/>
                <w:szCs w:val="22"/>
              </w:rPr>
            </w:pPr>
            <w:r w:rsidRPr="0018202F">
              <w:rPr>
                <w:rFonts w:ascii="Arial" w:hAnsi="Arial" w:cs="Arial"/>
                <w:sz w:val="22"/>
                <w:szCs w:val="22"/>
              </w:rPr>
              <w:t>Type of Engine Power (HP)</w:t>
            </w:r>
          </w:p>
        </w:tc>
        <w:tc>
          <w:tcPr>
            <w:tcW w:w="0" w:type="auto"/>
            <w:hideMark/>
          </w:tcPr>
          <w:p w:rsidR="00CB1C60" w:rsidRPr="0018202F" w:rsidRDefault="00CB1C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Koh Kong</w:t>
            </w:r>
          </w:p>
        </w:tc>
        <w:tc>
          <w:tcPr>
            <w:tcW w:w="0" w:type="auto"/>
            <w:hideMark/>
          </w:tcPr>
          <w:p w:rsidR="00CB1C60" w:rsidRPr="0018202F" w:rsidRDefault="00CB1C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Preah Sihanouk</w:t>
            </w:r>
          </w:p>
        </w:tc>
        <w:tc>
          <w:tcPr>
            <w:tcW w:w="0" w:type="auto"/>
            <w:hideMark/>
          </w:tcPr>
          <w:p w:rsidR="00CB1C60" w:rsidRPr="0018202F" w:rsidRDefault="00CB1C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Kampot</w:t>
            </w:r>
          </w:p>
        </w:tc>
        <w:tc>
          <w:tcPr>
            <w:tcW w:w="0" w:type="auto"/>
            <w:hideMark/>
          </w:tcPr>
          <w:p w:rsidR="00CB1C60" w:rsidRPr="0018202F" w:rsidRDefault="00CB1C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Kep</w:t>
            </w:r>
          </w:p>
        </w:tc>
        <w:tc>
          <w:tcPr>
            <w:tcW w:w="0" w:type="auto"/>
            <w:hideMark/>
          </w:tcPr>
          <w:p w:rsidR="00CB1C60" w:rsidRPr="0018202F" w:rsidRDefault="00CB1C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Total</w:t>
            </w:r>
          </w:p>
        </w:tc>
      </w:tr>
      <w:tr w:rsidR="00CB1C60" w:rsidRPr="0018202F" w:rsidTr="00CB1C60">
        <w:trPr>
          <w:trHeight w:val="295"/>
        </w:trPr>
        <w:tc>
          <w:tcPr>
            <w:cnfStyle w:val="001000000000" w:firstRow="0" w:lastRow="0" w:firstColumn="1" w:lastColumn="0" w:oddVBand="0" w:evenVBand="0" w:oddHBand="0" w:evenHBand="0" w:firstRowFirstColumn="0" w:firstRowLastColumn="0" w:lastRowFirstColumn="0" w:lastRowLastColumn="0"/>
            <w:tcW w:w="0" w:type="auto"/>
            <w:hideMark/>
          </w:tcPr>
          <w:p w:rsidR="00CB1C60" w:rsidRPr="0018202F" w:rsidRDefault="00CB1C60">
            <w:pPr>
              <w:rPr>
                <w:rFonts w:ascii="Arial" w:hAnsi="Arial" w:cs="Arial"/>
                <w:b w:val="0"/>
                <w:bCs w:val="0"/>
                <w:sz w:val="22"/>
                <w:szCs w:val="22"/>
              </w:rPr>
            </w:pPr>
            <w:r w:rsidRPr="0018202F">
              <w:rPr>
                <w:rFonts w:ascii="Arial" w:hAnsi="Arial" w:cs="Arial"/>
                <w:b w:val="0"/>
                <w:bCs w:val="0"/>
                <w:sz w:val="22"/>
                <w:szCs w:val="22"/>
              </w:rPr>
              <w:t>&lt; 50</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2,967</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2,115</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1,028</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589</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6,699</w:t>
            </w:r>
          </w:p>
        </w:tc>
      </w:tr>
      <w:tr w:rsidR="00CB1C60" w:rsidRPr="0018202F" w:rsidTr="00CB1C60">
        <w:trPr>
          <w:trHeight w:val="278"/>
        </w:trPr>
        <w:tc>
          <w:tcPr>
            <w:cnfStyle w:val="001000000000" w:firstRow="0" w:lastRow="0" w:firstColumn="1" w:lastColumn="0" w:oddVBand="0" w:evenVBand="0" w:oddHBand="0" w:evenHBand="0" w:firstRowFirstColumn="0" w:firstRowLastColumn="0" w:lastRowFirstColumn="0" w:lastRowLastColumn="0"/>
            <w:tcW w:w="0" w:type="auto"/>
            <w:hideMark/>
          </w:tcPr>
          <w:p w:rsidR="00CB1C60" w:rsidRPr="0018202F" w:rsidRDefault="00CB1C60">
            <w:pPr>
              <w:rPr>
                <w:rFonts w:ascii="Arial" w:hAnsi="Arial" w:cs="Arial"/>
                <w:b w:val="0"/>
                <w:bCs w:val="0"/>
                <w:sz w:val="22"/>
                <w:szCs w:val="22"/>
              </w:rPr>
            </w:pPr>
            <w:r w:rsidRPr="0018202F">
              <w:rPr>
                <w:rFonts w:ascii="Arial" w:hAnsi="Arial" w:cs="Arial"/>
                <w:b w:val="0"/>
                <w:bCs w:val="0"/>
                <w:sz w:val="22"/>
                <w:szCs w:val="22"/>
              </w:rPr>
              <w:t>51 – 90</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157</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110</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7</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7</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279</w:t>
            </w:r>
          </w:p>
        </w:tc>
      </w:tr>
      <w:tr w:rsidR="00CB1C60" w:rsidRPr="0018202F" w:rsidTr="00CB1C60">
        <w:trPr>
          <w:trHeight w:val="278"/>
        </w:trPr>
        <w:tc>
          <w:tcPr>
            <w:cnfStyle w:val="001000000000" w:firstRow="0" w:lastRow="0" w:firstColumn="1" w:lastColumn="0" w:oddVBand="0" w:evenVBand="0" w:oddHBand="0" w:evenHBand="0" w:firstRowFirstColumn="0" w:firstRowLastColumn="0" w:lastRowFirstColumn="0" w:lastRowLastColumn="0"/>
            <w:tcW w:w="0" w:type="auto"/>
            <w:hideMark/>
          </w:tcPr>
          <w:p w:rsidR="00CB1C60" w:rsidRPr="0018202F" w:rsidRDefault="00CB1C60">
            <w:pPr>
              <w:rPr>
                <w:rFonts w:ascii="Arial" w:hAnsi="Arial" w:cs="Arial"/>
                <w:b w:val="0"/>
                <w:bCs w:val="0"/>
                <w:sz w:val="22"/>
                <w:szCs w:val="22"/>
              </w:rPr>
            </w:pPr>
            <w:r w:rsidRPr="0018202F">
              <w:rPr>
                <w:rFonts w:ascii="Arial" w:hAnsi="Arial" w:cs="Arial"/>
                <w:b w:val="0"/>
                <w:bCs w:val="0"/>
                <w:sz w:val="22"/>
                <w:szCs w:val="22"/>
              </w:rPr>
              <w:t>91 – 180</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179</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257</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4</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440</w:t>
            </w:r>
          </w:p>
        </w:tc>
      </w:tr>
      <w:tr w:rsidR="00CB1C60" w:rsidRPr="0018202F" w:rsidTr="00CB1C60">
        <w:trPr>
          <w:trHeight w:val="278"/>
        </w:trPr>
        <w:tc>
          <w:tcPr>
            <w:cnfStyle w:val="001000000000" w:firstRow="0" w:lastRow="0" w:firstColumn="1" w:lastColumn="0" w:oddVBand="0" w:evenVBand="0" w:oddHBand="0" w:evenHBand="0" w:firstRowFirstColumn="0" w:firstRowLastColumn="0" w:lastRowFirstColumn="0" w:lastRowLastColumn="0"/>
            <w:tcW w:w="0" w:type="auto"/>
            <w:hideMark/>
          </w:tcPr>
          <w:p w:rsidR="00CB1C60" w:rsidRPr="0018202F" w:rsidRDefault="00CB1C60">
            <w:pPr>
              <w:rPr>
                <w:rFonts w:ascii="Arial" w:hAnsi="Arial" w:cs="Arial"/>
                <w:b w:val="0"/>
                <w:bCs w:val="0"/>
                <w:sz w:val="22"/>
                <w:szCs w:val="22"/>
              </w:rPr>
            </w:pPr>
            <w:r w:rsidRPr="0018202F">
              <w:rPr>
                <w:rFonts w:ascii="Arial" w:hAnsi="Arial" w:cs="Arial"/>
                <w:b w:val="0"/>
                <w:bCs w:val="0"/>
                <w:sz w:val="22"/>
                <w:szCs w:val="22"/>
              </w:rPr>
              <w:t>181 – 270</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57</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26</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83</w:t>
            </w:r>
          </w:p>
        </w:tc>
      </w:tr>
      <w:tr w:rsidR="00CB1C60" w:rsidRPr="0018202F" w:rsidTr="00CB1C60">
        <w:trPr>
          <w:trHeight w:val="278"/>
        </w:trPr>
        <w:tc>
          <w:tcPr>
            <w:cnfStyle w:val="001000000000" w:firstRow="0" w:lastRow="0" w:firstColumn="1" w:lastColumn="0" w:oddVBand="0" w:evenVBand="0" w:oddHBand="0" w:evenHBand="0" w:firstRowFirstColumn="0" w:firstRowLastColumn="0" w:lastRowFirstColumn="0" w:lastRowLastColumn="0"/>
            <w:tcW w:w="0" w:type="auto"/>
            <w:hideMark/>
          </w:tcPr>
          <w:p w:rsidR="00CB1C60" w:rsidRPr="0018202F" w:rsidRDefault="00CB1C60">
            <w:pPr>
              <w:rPr>
                <w:rFonts w:ascii="Arial" w:hAnsi="Arial" w:cs="Arial"/>
                <w:b w:val="0"/>
                <w:bCs w:val="0"/>
                <w:sz w:val="22"/>
                <w:szCs w:val="22"/>
              </w:rPr>
            </w:pPr>
            <w:r w:rsidRPr="0018202F">
              <w:rPr>
                <w:rFonts w:ascii="Arial" w:hAnsi="Arial" w:cs="Arial"/>
                <w:b w:val="0"/>
                <w:bCs w:val="0"/>
                <w:sz w:val="22"/>
                <w:szCs w:val="22"/>
              </w:rPr>
              <w:t>271 – 540</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36</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15</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51</w:t>
            </w:r>
          </w:p>
        </w:tc>
      </w:tr>
      <w:tr w:rsidR="00CB1C60" w:rsidRPr="0018202F" w:rsidTr="00CB1C60">
        <w:trPr>
          <w:trHeight w:val="278"/>
        </w:trPr>
        <w:tc>
          <w:tcPr>
            <w:cnfStyle w:val="001000000000" w:firstRow="0" w:lastRow="0" w:firstColumn="1" w:lastColumn="0" w:oddVBand="0" w:evenVBand="0" w:oddHBand="0" w:evenHBand="0" w:firstRowFirstColumn="0" w:firstRowLastColumn="0" w:lastRowFirstColumn="0" w:lastRowLastColumn="0"/>
            <w:tcW w:w="0" w:type="auto"/>
            <w:hideMark/>
          </w:tcPr>
          <w:p w:rsidR="00CB1C60" w:rsidRPr="0018202F" w:rsidRDefault="00CB1C60" w:rsidP="00CB1C60">
            <w:pPr>
              <w:rPr>
                <w:rFonts w:ascii="Arial" w:hAnsi="Arial" w:cs="Arial"/>
                <w:sz w:val="22"/>
                <w:szCs w:val="22"/>
              </w:rPr>
            </w:pPr>
            <w:r w:rsidRPr="0018202F">
              <w:rPr>
                <w:rStyle w:val="Strong"/>
                <w:rFonts w:ascii="Arial" w:hAnsi="Arial" w:cs="Arial"/>
                <w:b/>
                <w:bCs/>
                <w:sz w:val="22"/>
                <w:szCs w:val="22"/>
              </w:rPr>
              <w:t>Total</w:t>
            </w:r>
          </w:p>
        </w:tc>
        <w:tc>
          <w:tcPr>
            <w:tcW w:w="0" w:type="auto"/>
            <w:hideMark/>
          </w:tcPr>
          <w:p w:rsidR="00CB1C60" w:rsidRPr="0018202F" w:rsidRDefault="00CB1C60" w:rsidP="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3,396</w:t>
            </w:r>
          </w:p>
        </w:tc>
        <w:tc>
          <w:tcPr>
            <w:tcW w:w="0" w:type="auto"/>
          </w:tcPr>
          <w:p w:rsidR="00CB1C60" w:rsidRPr="0018202F" w:rsidRDefault="00CB1C60" w:rsidP="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2,523</w:t>
            </w:r>
          </w:p>
        </w:tc>
        <w:tc>
          <w:tcPr>
            <w:tcW w:w="0" w:type="auto"/>
          </w:tcPr>
          <w:p w:rsidR="00CB1C60" w:rsidRPr="0018202F" w:rsidRDefault="00CB1C60" w:rsidP="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1,039</w:t>
            </w:r>
          </w:p>
        </w:tc>
        <w:tc>
          <w:tcPr>
            <w:tcW w:w="0" w:type="auto"/>
          </w:tcPr>
          <w:p w:rsidR="00CB1C60" w:rsidRPr="0018202F" w:rsidRDefault="00CB1C60" w:rsidP="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594</w:t>
            </w:r>
          </w:p>
        </w:tc>
        <w:tc>
          <w:tcPr>
            <w:tcW w:w="0" w:type="auto"/>
          </w:tcPr>
          <w:p w:rsidR="00CB1C60" w:rsidRPr="0018202F" w:rsidRDefault="00CB1C60" w:rsidP="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Fonts w:ascii="Arial" w:hAnsi="Arial" w:cs="Arial"/>
                <w:b/>
                <w:bCs/>
                <w:sz w:val="22"/>
                <w:szCs w:val="22"/>
              </w:rPr>
              <w:t>7552</w:t>
            </w:r>
          </w:p>
        </w:tc>
      </w:tr>
    </w:tbl>
    <w:p w:rsidR="00CB1C60" w:rsidRPr="0018202F" w:rsidRDefault="00130A33" w:rsidP="00CB1C60">
      <w:pPr>
        <w:jc w:val="both"/>
        <w:rPr>
          <w:rFonts w:ascii="Arial" w:hAnsi="Arial" w:cs="Arial"/>
          <w:sz w:val="22"/>
          <w:szCs w:val="22"/>
        </w:rPr>
      </w:pPr>
      <w:r w:rsidRPr="0018202F">
        <w:rPr>
          <w:rFonts w:ascii="Arial" w:hAnsi="Arial" w:cs="Arial"/>
          <w:b/>
          <w:bCs/>
          <w:sz w:val="20"/>
          <w:szCs w:val="20"/>
        </w:rPr>
        <w:t>Source:</w:t>
      </w:r>
      <w:r w:rsidRPr="0018202F">
        <w:rPr>
          <w:rFonts w:ascii="Arial" w:hAnsi="Arial" w:cs="Arial"/>
          <w:sz w:val="20"/>
          <w:szCs w:val="20"/>
        </w:rPr>
        <w:t xml:space="preserve"> FiA, MAFF. Marine Fishing Vessel and Licensing Database.</w:t>
      </w:r>
    </w:p>
    <w:p w:rsidR="00CB1C60" w:rsidRPr="0018202F" w:rsidRDefault="007B68A5" w:rsidP="00130A33">
      <w:pPr>
        <w:spacing w:before="240" w:after="240"/>
        <w:jc w:val="both"/>
        <w:rPr>
          <w:rFonts w:ascii="Arial" w:hAnsi="Arial" w:cs="Arial"/>
          <w:sz w:val="22"/>
          <w:szCs w:val="22"/>
        </w:rPr>
      </w:pPr>
      <w:r w:rsidRPr="0018202F">
        <w:rPr>
          <w:rFonts w:ascii="Arial" w:hAnsi="Arial" w:cs="Arial"/>
          <w:b/>
          <w:bCs/>
          <w:sz w:val="22"/>
          <w:szCs w:val="22"/>
        </w:rPr>
        <w:fldChar w:fldCharType="begin"/>
      </w:r>
      <w:r w:rsidRPr="0018202F">
        <w:rPr>
          <w:rFonts w:ascii="Arial" w:hAnsi="Arial" w:cs="Arial"/>
          <w:sz w:val="22"/>
          <w:szCs w:val="22"/>
        </w:rPr>
        <w:instrText xml:space="preserve"> REF _Ref215233310 \h </w:instrText>
      </w:r>
      <w:r w:rsidR="0018202F">
        <w:rPr>
          <w:rFonts w:ascii="Arial" w:hAnsi="Arial" w:cs="Arial"/>
          <w:b/>
          <w:bCs/>
          <w:sz w:val="22"/>
          <w:szCs w:val="22"/>
        </w:rPr>
        <w:instrText xml:space="preserve"> \* MERGEFORMAT </w:instrText>
      </w:r>
      <w:r w:rsidRPr="0018202F">
        <w:rPr>
          <w:rFonts w:ascii="Arial" w:hAnsi="Arial" w:cs="Arial"/>
          <w:b/>
          <w:bCs/>
          <w:sz w:val="22"/>
          <w:szCs w:val="22"/>
        </w:rPr>
      </w:r>
      <w:r w:rsidRPr="0018202F">
        <w:rPr>
          <w:rFonts w:ascii="Arial" w:hAnsi="Arial" w:cs="Arial"/>
          <w:b/>
          <w:bCs/>
          <w:sz w:val="22"/>
          <w:szCs w:val="22"/>
        </w:rPr>
        <w:fldChar w:fldCharType="separate"/>
      </w:r>
      <w:r w:rsidR="00F72397" w:rsidRPr="00F72397">
        <w:rPr>
          <w:rFonts w:ascii="Arial" w:hAnsi="Arial" w:cs="Arial"/>
          <w:color w:val="0070C0"/>
          <w:sz w:val="22"/>
          <w:szCs w:val="22"/>
        </w:rPr>
        <w:t>Table 5-5</w:t>
      </w:r>
      <w:r w:rsidRPr="0018202F">
        <w:rPr>
          <w:rFonts w:ascii="Arial" w:hAnsi="Arial" w:cs="Arial"/>
          <w:b/>
          <w:bCs/>
          <w:sz w:val="22"/>
          <w:szCs w:val="22"/>
        </w:rPr>
        <w:fldChar w:fldCharType="end"/>
      </w:r>
      <w:r w:rsidRPr="0018202F">
        <w:rPr>
          <w:rFonts w:ascii="Arial" w:hAnsi="Arial" w:cs="Arial"/>
          <w:b/>
          <w:bCs/>
          <w:sz w:val="22"/>
          <w:szCs w:val="22"/>
        </w:rPr>
        <w:t xml:space="preserve"> </w:t>
      </w:r>
      <w:r w:rsidRPr="0018202F">
        <w:rPr>
          <w:rFonts w:ascii="Arial" w:hAnsi="Arial" w:cs="Arial"/>
          <w:sz w:val="22"/>
          <w:szCs w:val="22"/>
        </w:rPr>
        <w:t>shows that</w:t>
      </w:r>
      <w:r w:rsidRPr="0018202F">
        <w:rPr>
          <w:rFonts w:ascii="Arial" w:hAnsi="Arial" w:cs="Arial"/>
          <w:b/>
          <w:bCs/>
          <w:sz w:val="22"/>
          <w:szCs w:val="22"/>
        </w:rPr>
        <w:t xml:space="preserve"> </w:t>
      </w:r>
      <w:r w:rsidRPr="0018202F">
        <w:rPr>
          <w:rFonts w:ascii="Arial" w:hAnsi="Arial" w:cs="Arial"/>
          <w:sz w:val="22"/>
          <w:szCs w:val="22"/>
        </w:rPr>
        <w:t>o</w:t>
      </w:r>
      <w:r w:rsidR="00CB1C60" w:rsidRPr="0018202F">
        <w:rPr>
          <w:rFonts w:ascii="Arial" w:hAnsi="Arial" w:cs="Arial"/>
          <w:sz w:val="22"/>
          <w:szCs w:val="22"/>
        </w:rPr>
        <w:t>f the 7,552 vessels enumerated, 97% were non-registered, and only 3% held valid registration. This extremely low compliance rate underscores persistent governance challenges, including inadequate enforcement capacity, outdated vessel records, and the prevalence of informal operations. The predominance of unregistered craft complicates management of fishing effort and hinders the implementation of licensing and monitoring systems essential for sustainable fisheries management.</w:t>
      </w:r>
    </w:p>
    <w:p w:rsidR="00130A33" w:rsidRPr="0018202F" w:rsidRDefault="00696C92" w:rsidP="00D202D3">
      <w:pPr>
        <w:pStyle w:val="Caption"/>
        <w:keepNext/>
        <w:adjustRightInd w:val="0"/>
        <w:snapToGrid w:val="0"/>
        <w:spacing w:before="240" w:after="120"/>
        <w:rPr>
          <w:rFonts w:ascii="Arial" w:hAnsi="Arial" w:cs="Arial"/>
          <w:i w:val="0"/>
          <w:iCs w:val="0"/>
          <w:color w:val="0070C0"/>
          <w:sz w:val="21"/>
          <w:szCs w:val="21"/>
        </w:rPr>
      </w:pPr>
      <w:bookmarkStart w:id="27" w:name="_Ref215233310"/>
      <w:bookmarkStart w:id="28" w:name="_Toc213661064"/>
      <w:r w:rsidRPr="0018202F">
        <w:rPr>
          <w:rFonts w:ascii="Arial" w:hAnsi="Arial" w:cs="Arial"/>
          <w:i w:val="0"/>
          <w:iCs w:val="0"/>
          <w:color w:val="0070C0"/>
          <w:sz w:val="21"/>
          <w:szCs w:val="21"/>
        </w:rPr>
        <w:t>Table 5-</w:t>
      </w:r>
      <w:r w:rsidRPr="0018202F">
        <w:rPr>
          <w:rFonts w:ascii="Arial" w:hAnsi="Arial" w:cs="Arial"/>
          <w:i w:val="0"/>
          <w:iCs w:val="0"/>
          <w:color w:val="0070C0"/>
          <w:sz w:val="21"/>
          <w:szCs w:val="21"/>
        </w:rPr>
        <w:fldChar w:fldCharType="begin"/>
      </w:r>
      <w:r w:rsidRPr="0018202F">
        <w:rPr>
          <w:rFonts w:ascii="Arial" w:hAnsi="Arial" w:cs="Arial"/>
          <w:i w:val="0"/>
          <w:iCs w:val="0"/>
          <w:color w:val="0070C0"/>
          <w:sz w:val="21"/>
          <w:szCs w:val="21"/>
        </w:rPr>
        <w:instrText xml:space="preserve"> SEQ Table_5- \* ARABIC </w:instrText>
      </w:r>
      <w:r w:rsidRPr="0018202F">
        <w:rPr>
          <w:rFonts w:ascii="Arial" w:hAnsi="Arial" w:cs="Arial"/>
          <w:i w:val="0"/>
          <w:iCs w:val="0"/>
          <w:color w:val="0070C0"/>
          <w:sz w:val="21"/>
          <w:szCs w:val="21"/>
        </w:rPr>
        <w:fldChar w:fldCharType="separate"/>
      </w:r>
      <w:r w:rsidR="00F72397">
        <w:rPr>
          <w:rFonts w:ascii="Arial" w:hAnsi="Arial" w:cs="Arial"/>
          <w:i w:val="0"/>
          <w:iCs w:val="0"/>
          <w:noProof/>
          <w:color w:val="0070C0"/>
          <w:sz w:val="21"/>
          <w:szCs w:val="21"/>
        </w:rPr>
        <w:t>5</w:t>
      </w:r>
      <w:r w:rsidRPr="0018202F">
        <w:rPr>
          <w:rFonts w:ascii="Arial" w:hAnsi="Arial" w:cs="Arial"/>
          <w:i w:val="0"/>
          <w:iCs w:val="0"/>
          <w:color w:val="0070C0"/>
          <w:sz w:val="21"/>
          <w:szCs w:val="21"/>
        </w:rPr>
        <w:fldChar w:fldCharType="end"/>
      </w:r>
      <w:bookmarkEnd w:id="27"/>
      <w:r w:rsidRPr="0018202F">
        <w:rPr>
          <w:rFonts w:ascii="Arial" w:hAnsi="Arial" w:cs="Arial"/>
          <w:i w:val="0"/>
          <w:iCs w:val="0"/>
          <w:color w:val="0070C0"/>
          <w:sz w:val="21"/>
          <w:szCs w:val="21"/>
        </w:rPr>
        <w:t xml:space="preserve"> </w:t>
      </w:r>
      <w:r w:rsidR="007B68A5" w:rsidRPr="0018202F">
        <w:rPr>
          <w:rFonts w:ascii="Arial" w:hAnsi="Arial" w:cs="Arial"/>
          <w:i w:val="0"/>
          <w:iCs w:val="0"/>
          <w:color w:val="0070C0"/>
          <w:sz w:val="21"/>
          <w:szCs w:val="21"/>
        </w:rPr>
        <w:t>Number of registered and non-registered marine fishing vessels</w:t>
      </w:r>
      <w:bookmarkEnd w:id="28"/>
    </w:p>
    <w:tbl>
      <w:tblPr>
        <w:tblStyle w:val="GridTable1Light-Accent5"/>
        <w:tblW w:w="9042" w:type="dxa"/>
        <w:tblLook w:val="04A0" w:firstRow="1" w:lastRow="0" w:firstColumn="1" w:lastColumn="0" w:noHBand="0" w:noVBand="1"/>
      </w:tblPr>
      <w:tblGrid>
        <w:gridCol w:w="2404"/>
        <w:gridCol w:w="1364"/>
        <w:gridCol w:w="2023"/>
        <w:gridCol w:w="1115"/>
        <w:gridCol w:w="681"/>
        <w:gridCol w:w="826"/>
        <w:gridCol w:w="629"/>
      </w:tblGrid>
      <w:tr w:rsidR="00CB1C60" w:rsidRPr="0018202F" w:rsidTr="00CB1C60">
        <w:trPr>
          <w:cnfStyle w:val="100000000000" w:firstRow="1" w:lastRow="0" w:firstColumn="0" w:lastColumn="0" w:oddVBand="0" w:evenVBand="0" w:oddHBand="0"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0" w:type="auto"/>
            <w:hideMark/>
          </w:tcPr>
          <w:p w:rsidR="00CB1C60" w:rsidRPr="0018202F" w:rsidRDefault="00CB1C60">
            <w:pPr>
              <w:rPr>
                <w:rFonts w:ascii="Arial" w:hAnsi="Arial" w:cs="Arial"/>
                <w:sz w:val="22"/>
                <w:szCs w:val="22"/>
              </w:rPr>
            </w:pPr>
            <w:r w:rsidRPr="0018202F">
              <w:rPr>
                <w:rFonts w:ascii="Arial" w:hAnsi="Arial" w:cs="Arial"/>
                <w:sz w:val="22"/>
                <w:szCs w:val="22"/>
              </w:rPr>
              <w:t>Registration Status</w:t>
            </w:r>
          </w:p>
        </w:tc>
        <w:tc>
          <w:tcPr>
            <w:tcW w:w="0" w:type="auto"/>
            <w:hideMark/>
          </w:tcPr>
          <w:p w:rsidR="00CB1C60" w:rsidRPr="0018202F" w:rsidRDefault="00CB1C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Koh Kong</w:t>
            </w:r>
          </w:p>
        </w:tc>
        <w:tc>
          <w:tcPr>
            <w:tcW w:w="0" w:type="auto"/>
            <w:hideMark/>
          </w:tcPr>
          <w:p w:rsidR="00CB1C60" w:rsidRPr="0018202F" w:rsidRDefault="00CB1C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Preah Sihanouk</w:t>
            </w:r>
          </w:p>
        </w:tc>
        <w:tc>
          <w:tcPr>
            <w:tcW w:w="0" w:type="auto"/>
            <w:hideMark/>
          </w:tcPr>
          <w:p w:rsidR="00CB1C60" w:rsidRPr="0018202F" w:rsidRDefault="00CB1C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Kampot</w:t>
            </w:r>
          </w:p>
        </w:tc>
        <w:tc>
          <w:tcPr>
            <w:tcW w:w="0" w:type="auto"/>
            <w:hideMark/>
          </w:tcPr>
          <w:p w:rsidR="00CB1C60" w:rsidRPr="0018202F" w:rsidRDefault="00CB1C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Kep</w:t>
            </w:r>
          </w:p>
        </w:tc>
        <w:tc>
          <w:tcPr>
            <w:tcW w:w="0" w:type="auto"/>
            <w:hideMark/>
          </w:tcPr>
          <w:p w:rsidR="00CB1C60" w:rsidRPr="0018202F" w:rsidRDefault="00CB1C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Total</w:t>
            </w:r>
          </w:p>
        </w:tc>
        <w:tc>
          <w:tcPr>
            <w:tcW w:w="0" w:type="auto"/>
            <w:hideMark/>
          </w:tcPr>
          <w:p w:rsidR="00CB1C60" w:rsidRPr="0018202F" w:rsidRDefault="00CB1C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w:t>
            </w:r>
          </w:p>
        </w:tc>
      </w:tr>
      <w:tr w:rsidR="00CB1C60" w:rsidRPr="0018202F" w:rsidTr="00CB1C60">
        <w:trPr>
          <w:trHeight w:val="341"/>
        </w:trPr>
        <w:tc>
          <w:tcPr>
            <w:cnfStyle w:val="001000000000" w:firstRow="0" w:lastRow="0" w:firstColumn="1" w:lastColumn="0" w:oddVBand="0" w:evenVBand="0" w:oddHBand="0" w:evenHBand="0" w:firstRowFirstColumn="0" w:firstRowLastColumn="0" w:lastRowFirstColumn="0" w:lastRowLastColumn="0"/>
            <w:tcW w:w="0" w:type="auto"/>
            <w:hideMark/>
          </w:tcPr>
          <w:p w:rsidR="00CB1C60" w:rsidRPr="0018202F" w:rsidRDefault="00CB1C60">
            <w:pPr>
              <w:rPr>
                <w:rFonts w:ascii="Arial" w:hAnsi="Arial" w:cs="Arial"/>
                <w:b w:val="0"/>
                <w:bCs w:val="0"/>
                <w:sz w:val="22"/>
                <w:szCs w:val="22"/>
              </w:rPr>
            </w:pPr>
            <w:r w:rsidRPr="0018202F">
              <w:rPr>
                <w:rFonts w:ascii="Arial" w:hAnsi="Arial" w:cs="Arial"/>
                <w:b w:val="0"/>
                <w:bCs w:val="0"/>
                <w:sz w:val="22"/>
                <w:szCs w:val="22"/>
              </w:rPr>
              <w:t>Non-Registered</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3,217</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2,469</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1,039</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593</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7,318</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97</w:t>
            </w:r>
          </w:p>
        </w:tc>
      </w:tr>
      <w:tr w:rsidR="00CB1C60" w:rsidRPr="0018202F" w:rsidTr="00CB1C60">
        <w:trPr>
          <w:trHeight w:val="321"/>
        </w:trPr>
        <w:tc>
          <w:tcPr>
            <w:cnfStyle w:val="001000000000" w:firstRow="0" w:lastRow="0" w:firstColumn="1" w:lastColumn="0" w:oddVBand="0" w:evenVBand="0" w:oddHBand="0" w:evenHBand="0" w:firstRowFirstColumn="0" w:firstRowLastColumn="0" w:lastRowFirstColumn="0" w:lastRowLastColumn="0"/>
            <w:tcW w:w="0" w:type="auto"/>
            <w:hideMark/>
          </w:tcPr>
          <w:p w:rsidR="00CB1C60" w:rsidRPr="0018202F" w:rsidRDefault="00CB1C60">
            <w:pPr>
              <w:rPr>
                <w:rFonts w:ascii="Arial" w:hAnsi="Arial" w:cs="Arial"/>
                <w:b w:val="0"/>
                <w:bCs w:val="0"/>
                <w:sz w:val="22"/>
                <w:szCs w:val="22"/>
              </w:rPr>
            </w:pPr>
            <w:r w:rsidRPr="0018202F">
              <w:rPr>
                <w:rFonts w:ascii="Arial" w:hAnsi="Arial" w:cs="Arial"/>
                <w:b w:val="0"/>
                <w:bCs w:val="0"/>
                <w:sz w:val="22"/>
                <w:szCs w:val="22"/>
              </w:rPr>
              <w:t>Registered</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191</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41</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2</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234</w:t>
            </w:r>
          </w:p>
        </w:tc>
        <w:tc>
          <w:tcPr>
            <w:tcW w:w="0" w:type="auto"/>
            <w:hideMark/>
          </w:tcPr>
          <w:p w:rsidR="00CB1C60" w:rsidRPr="0018202F" w:rsidRDefault="00CB1C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3</w:t>
            </w:r>
          </w:p>
        </w:tc>
      </w:tr>
      <w:tr w:rsidR="00130A33" w:rsidRPr="0018202F" w:rsidTr="00130A33">
        <w:trPr>
          <w:trHeight w:val="321"/>
        </w:trPr>
        <w:tc>
          <w:tcPr>
            <w:cnfStyle w:val="001000000000" w:firstRow="0" w:lastRow="0" w:firstColumn="1" w:lastColumn="0" w:oddVBand="0" w:evenVBand="0" w:oddHBand="0" w:evenHBand="0" w:firstRowFirstColumn="0" w:firstRowLastColumn="0" w:lastRowFirstColumn="0" w:lastRowLastColumn="0"/>
            <w:tcW w:w="0" w:type="auto"/>
            <w:hideMark/>
          </w:tcPr>
          <w:p w:rsidR="00130A33" w:rsidRPr="0018202F" w:rsidRDefault="00130A33" w:rsidP="00130A33">
            <w:pPr>
              <w:rPr>
                <w:rFonts w:ascii="Arial" w:hAnsi="Arial" w:cs="Arial"/>
                <w:b w:val="0"/>
                <w:bCs w:val="0"/>
                <w:sz w:val="22"/>
                <w:szCs w:val="22"/>
              </w:rPr>
            </w:pPr>
            <w:r w:rsidRPr="0018202F">
              <w:rPr>
                <w:rStyle w:val="Strong"/>
                <w:rFonts w:ascii="Arial" w:hAnsi="Arial" w:cs="Arial"/>
                <w:b/>
                <w:bCs/>
                <w:sz w:val="22"/>
                <w:szCs w:val="22"/>
              </w:rPr>
              <w:t>Total</w:t>
            </w:r>
          </w:p>
        </w:tc>
        <w:tc>
          <w:tcPr>
            <w:tcW w:w="0" w:type="auto"/>
            <w:hideMark/>
          </w:tcPr>
          <w:p w:rsidR="00130A33" w:rsidRPr="0018202F" w:rsidRDefault="00130A33" w:rsidP="00130A33">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Style w:val="Strong"/>
                <w:rFonts w:ascii="Arial" w:hAnsi="Arial" w:cs="Arial"/>
                <w:sz w:val="22"/>
                <w:szCs w:val="22"/>
              </w:rPr>
              <w:t>3,408</w:t>
            </w:r>
          </w:p>
        </w:tc>
        <w:tc>
          <w:tcPr>
            <w:tcW w:w="0" w:type="auto"/>
          </w:tcPr>
          <w:p w:rsidR="00130A33" w:rsidRPr="0018202F" w:rsidRDefault="00130A33" w:rsidP="00130A33">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Style w:val="Strong"/>
                <w:rFonts w:ascii="Arial" w:hAnsi="Arial" w:cs="Arial"/>
                <w:sz w:val="22"/>
                <w:szCs w:val="22"/>
              </w:rPr>
              <w:t>2,510</w:t>
            </w:r>
          </w:p>
        </w:tc>
        <w:tc>
          <w:tcPr>
            <w:tcW w:w="0" w:type="auto"/>
          </w:tcPr>
          <w:p w:rsidR="00130A33" w:rsidRPr="0018202F" w:rsidRDefault="00130A33" w:rsidP="00130A33">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Style w:val="Strong"/>
                <w:rFonts w:ascii="Arial" w:hAnsi="Arial" w:cs="Arial"/>
                <w:sz w:val="22"/>
                <w:szCs w:val="22"/>
              </w:rPr>
              <w:t>1,041</w:t>
            </w:r>
          </w:p>
        </w:tc>
        <w:tc>
          <w:tcPr>
            <w:tcW w:w="0" w:type="auto"/>
          </w:tcPr>
          <w:p w:rsidR="00130A33" w:rsidRPr="0018202F" w:rsidRDefault="00130A33" w:rsidP="00130A33">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Style w:val="Strong"/>
                <w:rFonts w:ascii="Arial" w:hAnsi="Arial" w:cs="Arial"/>
                <w:sz w:val="22"/>
                <w:szCs w:val="22"/>
              </w:rPr>
              <w:t>593</w:t>
            </w:r>
          </w:p>
        </w:tc>
        <w:tc>
          <w:tcPr>
            <w:tcW w:w="0" w:type="auto"/>
          </w:tcPr>
          <w:p w:rsidR="00130A33" w:rsidRPr="0018202F" w:rsidRDefault="00130A33" w:rsidP="00130A33">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Style w:val="Strong"/>
                <w:rFonts w:ascii="Arial" w:hAnsi="Arial" w:cs="Arial"/>
                <w:sz w:val="22"/>
                <w:szCs w:val="22"/>
              </w:rPr>
              <w:t>7,552</w:t>
            </w:r>
          </w:p>
        </w:tc>
        <w:tc>
          <w:tcPr>
            <w:tcW w:w="0" w:type="auto"/>
          </w:tcPr>
          <w:p w:rsidR="00130A33" w:rsidRPr="0018202F" w:rsidRDefault="00130A33" w:rsidP="00130A33">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100</w:t>
            </w:r>
          </w:p>
        </w:tc>
      </w:tr>
    </w:tbl>
    <w:p w:rsidR="00CB1C60" w:rsidRPr="0018202F" w:rsidRDefault="00130A33" w:rsidP="00CB1C60">
      <w:pPr>
        <w:jc w:val="both"/>
        <w:rPr>
          <w:rFonts w:ascii="Arial" w:hAnsi="Arial" w:cs="Arial"/>
          <w:i/>
          <w:iCs/>
          <w:sz w:val="21"/>
          <w:szCs w:val="21"/>
        </w:rPr>
      </w:pPr>
      <w:r w:rsidRPr="0018202F">
        <w:rPr>
          <w:rFonts w:ascii="Arial" w:hAnsi="Arial" w:cs="Arial"/>
          <w:b/>
          <w:bCs/>
          <w:i/>
          <w:iCs/>
          <w:sz w:val="18"/>
          <w:szCs w:val="18"/>
        </w:rPr>
        <w:t>Source:</w:t>
      </w:r>
      <w:r w:rsidRPr="0018202F">
        <w:rPr>
          <w:rFonts w:ascii="Arial" w:hAnsi="Arial" w:cs="Arial"/>
          <w:i/>
          <w:iCs/>
          <w:sz w:val="18"/>
          <w:szCs w:val="18"/>
        </w:rPr>
        <w:t xml:space="preserve"> FiA, MAFF. Marine Fishing Vessel and Licensing Database.</w:t>
      </w:r>
    </w:p>
    <w:p w:rsidR="007B68A5" w:rsidRPr="0018202F" w:rsidRDefault="007B68A5" w:rsidP="00F3081E">
      <w:pPr>
        <w:jc w:val="both"/>
        <w:rPr>
          <w:rFonts w:ascii="Arial" w:hAnsi="Arial" w:cs="Arial"/>
          <w:sz w:val="22"/>
          <w:szCs w:val="22"/>
        </w:rPr>
      </w:pPr>
    </w:p>
    <w:p w:rsidR="00761122" w:rsidRPr="0018202F" w:rsidRDefault="009B3740" w:rsidP="00F3081E">
      <w:pPr>
        <w:jc w:val="both"/>
        <w:rPr>
          <w:rStyle w:val="Strong"/>
          <w:rFonts w:ascii="Arial" w:hAnsi="Arial" w:cs="Arial"/>
          <w:b w:val="0"/>
          <w:bCs w:val="0"/>
          <w:sz w:val="22"/>
          <w:szCs w:val="22"/>
        </w:rPr>
      </w:pPr>
      <w:r w:rsidRPr="0018202F">
        <w:rPr>
          <w:rFonts w:ascii="Arial" w:hAnsi="Arial" w:cs="Arial"/>
          <w:sz w:val="22"/>
          <w:szCs w:val="22"/>
        </w:rPr>
        <w:t>Furthermore</w:t>
      </w:r>
      <w:r w:rsidR="00385994" w:rsidRPr="0018202F">
        <w:rPr>
          <w:rFonts w:ascii="Arial" w:hAnsi="Arial" w:cs="Arial"/>
          <w:sz w:val="22"/>
          <w:szCs w:val="22"/>
        </w:rPr>
        <w:t xml:space="preserve">, </w:t>
      </w:r>
      <w:r w:rsidRPr="0018202F">
        <w:rPr>
          <w:rFonts w:ascii="Arial" w:hAnsi="Arial" w:cs="Arial"/>
          <w:sz w:val="22"/>
          <w:szCs w:val="22"/>
        </w:rPr>
        <w:t>t</w:t>
      </w:r>
      <w:r w:rsidR="0046714E" w:rsidRPr="0018202F">
        <w:rPr>
          <w:rFonts w:ascii="Arial" w:hAnsi="Arial" w:cs="Arial"/>
          <w:sz w:val="22"/>
          <w:szCs w:val="22"/>
        </w:rPr>
        <w:t>he FAO-CAPFISH MaFReDI Fish Catch Monitoring Manual (2021) reported that about 1,100 trawl vessels under 12m are active, making trawling a dominant gear among small-scale fishers. Approximately 50 % of vessels operate multiple gears, complicating catch monitoring and management (FiA, 2021).</w:t>
      </w:r>
    </w:p>
    <w:p w:rsidR="00857B85" w:rsidRPr="006D4D25" w:rsidRDefault="00761122" w:rsidP="00857B85">
      <w:pPr>
        <w:pStyle w:val="Heading4"/>
        <w:rPr>
          <w:rStyle w:val="Strong"/>
          <w:rFonts w:ascii="Arial" w:hAnsi="Arial" w:cs="Arial"/>
          <w:b/>
          <w:bCs/>
          <w:color w:val="0070C0"/>
          <w:sz w:val="22"/>
          <w:szCs w:val="22"/>
        </w:rPr>
      </w:pPr>
      <w:r w:rsidRPr="006D4D25">
        <w:rPr>
          <w:rStyle w:val="Strong"/>
          <w:rFonts w:ascii="Arial" w:hAnsi="Arial" w:cs="Arial"/>
          <w:b/>
          <w:bCs/>
          <w:color w:val="0070C0"/>
          <w:sz w:val="22"/>
          <w:szCs w:val="22"/>
        </w:rPr>
        <w:t xml:space="preserve">5.2.1.6 </w:t>
      </w:r>
      <w:r w:rsidR="00857B85" w:rsidRPr="006D4D25">
        <w:rPr>
          <w:rStyle w:val="Strong"/>
          <w:rFonts w:ascii="Arial" w:hAnsi="Arial" w:cs="Arial"/>
          <w:b/>
          <w:bCs/>
          <w:color w:val="0070C0"/>
          <w:sz w:val="22"/>
          <w:szCs w:val="22"/>
        </w:rPr>
        <w:t xml:space="preserve">Catch </w:t>
      </w:r>
      <w:r w:rsidR="007E3AA0" w:rsidRPr="006D4D25">
        <w:rPr>
          <w:rStyle w:val="Strong"/>
          <w:rFonts w:ascii="Arial" w:hAnsi="Arial" w:cs="Arial"/>
          <w:b/>
          <w:bCs/>
          <w:color w:val="0070C0"/>
          <w:sz w:val="22"/>
          <w:szCs w:val="22"/>
        </w:rPr>
        <w:t>Effort and CPUE</w:t>
      </w:r>
    </w:p>
    <w:p w:rsidR="004570F7" w:rsidRPr="0018202F" w:rsidRDefault="004570F7" w:rsidP="0016005B">
      <w:pPr>
        <w:spacing w:before="100" w:beforeAutospacing="1" w:after="100" w:afterAutospacing="1"/>
        <w:jc w:val="both"/>
        <w:rPr>
          <w:rFonts w:ascii="Arial" w:hAnsi="Arial" w:cs="Arial"/>
          <w:sz w:val="22"/>
          <w:szCs w:val="22"/>
        </w:rPr>
      </w:pPr>
      <w:r w:rsidRPr="0018202F">
        <w:rPr>
          <w:rFonts w:ascii="Arial" w:hAnsi="Arial" w:cs="Arial"/>
          <w:sz w:val="22"/>
          <w:szCs w:val="22"/>
        </w:rPr>
        <w:t>Vessel census data indicate thousands of small- and medium-scale boats, with limited large-scale units; however, consistent CPUE time series for bottom trawl in Cambodia’s waters remain sparse. Available snapshots show mid-scale trawl CPUE around ~252 kg/day, with gear-specific CPUEs for gillnets/traps ranging ~7–148 kg/day, underscoring high variability across fleets and habitats (MaFReDI technical report cited by FiA; see FiA FIMS portal).</w:t>
      </w:r>
      <w:r w:rsidR="00CD08F6" w:rsidRPr="0018202F">
        <w:rPr>
          <w:rFonts w:ascii="Arial" w:hAnsi="Arial" w:cs="Arial"/>
          <w:sz w:val="22"/>
          <w:szCs w:val="22"/>
        </w:rPr>
        <w:t xml:space="preserve"> </w:t>
      </w:r>
      <w:r w:rsidR="00CD08F6" w:rsidRPr="0018202F">
        <w:rPr>
          <w:rStyle w:val="Strong"/>
          <w:rFonts w:ascii="Arial" w:hAnsi="Arial" w:cs="Arial"/>
          <w:b w:val="0"/>
          <w:bCs w:val="0"/>
          <w:sz w:val="22"/>
          <w:szCs w:val="22"/>
        </w:rPr>
        <w:t>Historical trawl surveys show demersal catch-per-unit-effort (CPUE) falling from about 173 kg/hour in 1966 to 21 kg/hour in 1995, reflecting an estimated 80–90 % reduction in demersal fishable biomass across the region (SEAFDEC, 2019). Recent joint Thai–Cambodian surveys (2019) reported CPUE levels of only 26.27 kg/hour in Cambodian waters, indicating continued depletion of bottom fish stocks (SEAFDEC, 2019).</w:t>
      </w:r>
    </w:p>
    <w:p w:rsidR="004570F7" w:rsidRPr="006D4D25" w:rsidRDefault="001D2742" w:rsidP="001D2742">
      <w:pPr>
        <w:pStyle w:val="Heading4"/>
        <w:rPr>
          <w:rStyle w:val="Strong"/>
          <w:rFonts w:ascii="Arial" w:hAnsi="Arial" w:cs="Arial"/>
          <w:b/>
          <w:bCs/>
          <w:color w:val="0070C0"/>
          <w:sz w:val="22"/>
          <w:szCs w:val="22"/>
        </w:rPr>
      </w:pPr>
      <w:r w:rsidRPr="006D4D25">
        <w:rPr>
          <w:rStyle w:val="Strong"/>
          <w:rFonts w:ascii="Arial" w:hAnsi="Arial" w:cs="Arial"/>
          <w:b/>
          <w:bCs/>
          <w:color w:val="0070C0"/>
          <w:sz w:val="22"/>
          <w:szCs w:val="22"/>
        </w:rPr>
        <w:t>5.2.1.</w:t>
      </w:r>
      <w:r w:rsidR="00F653C4" w:rsidRPr="006D4D25">
        <w:rPr>
          <w:rStyle w:val="Strong"/>
          <w:rFonts w:ascii="Arial" w:hAnsi="Arial" w:cs="Arial"/>
          <w:b/>
          <w:bCs/>
          <w:color w:val="0070C0"/>
          <w:sz w:val="22"/>
          <w:szCs w:val="22"/>
        </w:rPr>
        <w:t>7</w:t>
      </w:r>
      <w:r w:rsidRPr="006D4D25">
        <w:rPr>
          <w:rStyle w:val="Strong"/>
          <w:rFonts w:ascii="Arial" w:hAnsi="Arial" w:cs="Arial"/>
          <w:b/>
          <w:bCs/>
          <w:color w:val="0070C0"/>
          <w:sz w:val="22"/>
          <w:szCs w:val="22"/>
        </w:rPr>
        <w:t xml:space="preserve"> </w:t>
      </w:r>
      <w:r w:rsidR="007E3AA0" w:rsidRPr="006D4D25">
        <w:rPr>
          <w:rStyle w:val="Strong"/>
          <w:rFonts w:ascii="Arial" w:hAnsi="Arial" w:cs="Arial"/>
          <w:b/>
          <w:bCs/>
          <w:color w:val="0070C0"/>
          <w:sz w:val="22"/>
          <w:szCs w:val="22"/>
        </w:rPr>
        <w:t>Subsidies</w:t>
      </w:r>
    </w:p>
    <w:p w:rsidR="004B5504" w:rsidRPr="0018202F" w:rsidRDefault="008C4A4A" w:rsidP="000C6290">
      <w:pPr>
        <w:spacing w:before="100" w:beforeAutospacing="1" w:after="100" w:afterAutospacing="1"/>
        <w:jc w:val="both"/>
        <w:rPr>
          <w:rFonts w:ascii="Arial" w:hAnsi="Arial" w:cs="Arial"/>
          <w:sz w:val="22"/>
          <w:szCs w:val="22"/>
        </w:rPr>
      </w:pPr>
      <w:r w:rsidRPr="0018202F">
        <w:rPr>
          <w:rFonts w:ascii="Arial" w:hAnsi="Arial" w:cs="Arial"/>
          <w:sz w:val="22"/>
          <w:szCs w:val="22"/>
        </w:rPr>
        <w:t>Based on Sea Around Us (SAUP) subsidy data</w:t>
      </w:r>
      <w:r w:rsidR="000C6290" w:rsidRPr="0018202F">
        <w:rPr>
          <w:rFonts w:ascii="Arial" w:hAnsi="Arial" w:cs="Arial"/>
          <w:sz w:val="22"/>
          <w:szCs w:val="22"/>
        </w:rPr>
        <w:t xml:space="preserve"> as shown in </w:t>
      </w:r>
      <w:r w:rsidR="000C6290" w:rsidRPr="0018202F">
        <w:rPr>
          <w:rFonts w:ascii="Arial" w:hAnsi="Arial" w:cs="Arial"/>
          <w:sz w:val="22"/>
          <w:szCs w:val="22"/>
        </w:rPr>
        <w:fldChar w:fldCharType="begin"/>
      </w:r>
      <w:r w:rsidR="000C6290" w:rsidRPr="0018202F">
        <w:rPr>
          <w:rFonts w:ascii="Arial" w:hAnsi="Arial" w:cs="Arial"/>
          <w:sz w:val="22"/>
          <w:szCs w:val="22"/>
        </w:rPr>
        <w:instrText xml:space="preserve"> REF _Ref215233758 \h </w:instrText>
      </w:r>
      <w:r w:rsidR="0018202F">
        <w:rPr>
          <w:rFonts w:ascii="Arial" w:hAnsi="Arial" w:cs="Arial"/>
          <w:sz w:val="22"/>
          <w:szCs w:val="22"/>
        </w:rPr>
        <w:instrText xml:space="preserve"> \* MERGEFORMAT </w:instrText>
      </w:r>
      <w:r w:rsidR="000C6290" w:rsidRPr="0018202F">
        <w:rPr>
          <w:rFonts w:ascii="Arial" w:hAnsi="Arial" w:cs="Arial"/>
          <w:sz w:val="22"/>
          <w:szCs w:val="22"/>
        </w:rPr>
      </w:r>
      <w:r w:rsidR="000C6290" w:rsidRPr="0018202F">
        <w:rPr>
          <w:rFonts w:ascii="Arial" w:hAnsi="Arial" w:cs="Arial"/>
          <w:sz w:val="22"/>
          <w:szCs w:val="22"/>
        </w:rPr>
        <w:fldChar w:fldCharType="separate"/>
      </w:r>
      <w:r w:rsidR="00F72397" w:rsidRPr="00F72397">
        <w:rPr>
          <w:rFonts w:ascii="Arial" w:hAnsi="Arial" w:cs="Arial"/>
          <w:color w:val="0070C0"/>
          <w:sz w:val="22"/>
          <w:szCs w:val="22"/>
        </w:rPr>
        <w:t>Table 5-6</w:t>
      </w:r>
      <w:r w:rsidR="000C6290" w:rsidRPr="0018202F">
        <w:rPr>
          <w:rFonts w:ascii="Arial" w:hAnsi="Arial" w:cs="Arial"/>
          <w:sz w:val="22"/>
          <w:szCs w:val="22"/>
        </w:rPr>
        <w:fldChar w:fldCharType="end"/>
      </w:r>
      <w:r w:rsidRPr="0018202F">
        <w:rPr>
          <w:rFonts w:ascii="Arial" w:hAnsi="Arial" w:cs="Arial"/>
          <w:sz w:val="22"/>
          <w:szCs w:val="22"/>
        </w:rPr>
        <w:t xml:space="preserve">, </w:t>
      </w:r>
      <w:r w:rsidR="000C6290" w:rsidRPr="0018202F">
        <w:rPr>
          <w:rFonts w:ascii="Arial" w:hAnsi="Arial" w:cs="Arial"/>
          <w:sz w:val="22"/>
          <w:szCs w:val="22"/>
        </w:rPr>
        <w:t>Cambodia received an estimated US$28.98 million in fisheries subsidies in 2003, of which ~US$17.5 million (≈60%) were capacity-enhancing (mainly vessel modernization and development support). With a marine catch value of ~US$145 million, the capacity-enhancing subsidy-to-landed-value ratio was 0.12—a relatively high level by global standards, indicating strong state-driven expansion of fishing capacity. By 2009, total subsidies had fallen sharply to US$4.05 million, with only US$0.69 million (≈17%) capacity-enhancing, lowering the ratio to 0.005. This shift reflects a move away from direct fleet expansion toward management, community support and R&amp;D, though the earlier high subsidies contributed to long-term pressure on marine ecosystems.</w:t>
      </w:r>
    </w:p>
    <w:p w:rsidR="003B443F" w:rsidRPr="0018202F" w:rsidRDefault="004B5504" w:rsidP="00D202D3">
      <w:pPr>
        <w:pStyle w:val="Caption"/>
        <w:keepNext/>
        <w:adjustRightInd w:val="0"/>
        <w:snapToGrid w:val="0"/>
        <w:spacing w:before="240" w:after="120"/>
        <w:rPr>
          <w:rFonts w:ascii="Arial" w:hAnsi="Arial" w:cs="Arial"/>
          <w:i w:val="0"/>
          <w:iCs w:val="0"/>
          <w:color w:val="0070C0"/>
          <w:sz w:val="21"/>
          <w:szCs w:val="21"/>
        </w:rPr>
      </w:pPr>
      <w:bookmarkStart w:id="29" w:name="_Ref215233758"/>
      <w:bookmarkStart w:id="30" w:name="_Toc213661065"/>
      <w:r w:rsidRPr="0018202F">
        <w:rPr>
          <w:rFonts w:ascii="Arial" w:hAnsi="Arial" w:cs="Arial"/>
          <w:i w:val="0"/>
          <w:iCs w:val="0"/>
          <w:color w:val="0070C0"/>
          <w:sz w:val="21"/>
          <w:szCs w:val="21"/>
        </w:rPr>
        <w:t>Table 5-</w:t>
      </w:r>
      <w:r w:rsidRPr="0018202F">
        <w:rPr>
          <w:rFonts w:ascii="Arial" w:hAnsi="Arial" w:cs="Arial"/>
          <w:i w:val="0"/>
          <w:iCs w:val="0"/>
          <w:color w:val="0070C0"/>
          <w:sz w:val="21"/>
          <w:szCs w:val="21"/>
        </w:rPr>
        <w:fldChar w:fldCharType="begin"/>
      </w:r>
      <w:r w:rsidRPr="0018202F">
        <w:rPr>
          <w:rFonts w:ascii="Arial" w:hAnsi="Arial" w:cs="Arial"/>
          <w:i w:val="0"/>
          <w:iCs w:val="0"/>
          <w:color w:val="0070C0"/>
          <w:sz w:val="21"/>
          <w:szCs w:val="21"/>
        </w:rPr>
        <w:instrText xml:space="preserve"> SEQ Table_5- \* ARABIC </w:instrText>
      </w:r>
      <w:r w:rsidRPr="0018202F">
        <w:rPr>
          <w:rFonts w:ascii="Arial" w:hAnsi="Arial" w:cs="Arial"/>
          <w:i w:val="0"/>
          <w:iCs w:val="0"/>
          <w:color w:val="0070C0"/>
          <w:sz w:val="21"/>
          <w:szCs w:val="21"/>
        </w:rPr>
        <w:fldChar w:fldCharType="separate"/>
      </w:r>
      <w:r w:rsidR="00F72397">
        <w:rPr>
          <w:rFonts w:ascii="Arial" w:hAnsi="Arial" w:cs="Arial"/>
          <w:i w:val="0"/>
          <w:iCs w:val="0"/>
          <w:noProof/>
          <w:color w:val="0070C0"/>
          <w:sz w:val="21"/>
          <w:szCs w:val="21"/>
        </w:rPr>
        <w:t>6</w:t>
      </w:r>
      <w:r w:rsidRPr="0018202F">
        <w:rPr>
          <w:rFonts w:ascii="Arial" w:hAnsi="Arial" w:cs="Arial"/>
          <w:i w:val="0"/>
          <w:iCs w:val="0"/>
          <w:color w:val="0070C0"/>
          <w:sz w:val="21"/>
          <w:szCs w:val="21"/>
        </w:rPr>
        <w:fldChar w:fldCharType="end"/>
      </w:r>
      <w:bookmarkEnd w:id="29"/>
      <w:r w:rsidRPr="0018202F">
        <w:rPr>
          <w:rFonts w:ascii="Arial" w:hAnsi="Arial" w:cs="Arial"/>
          <w:i w:val="0"/>
          <w:iCs w:val="0"/>
          <w:color w:val="0070C0"/>
          <w:sz w:val="21"/>
          <w:szCs w:val="21"/>
        </w:rPr>
        <w:t xml:space="preserve"> </w:t>
      </w:r>
      <w:r w:rsidR="003B443F" w:rsidRPr="0018202F">
        <w:rPr>
          <w:rFonts w:ascii="Arial" w:hAnsi="Arial" w:cs="Arial"/>
          <w:i w:val="0"/>
          <w:iCs w:val="0"/>
          <w:color w:val="0070C0"/>
          <w:sz w:val="21"/>
          <w:szCs w:val="21"/>
        </w:rPr>
        <w:t>Capacity-Enhancing Subsidies and Landed-Value Ratios in Cambodian Marine Fisheries</w:t>
      </w:r>
      <w:bookmarkEnd w:id="30"/>
    </w:p>
    <w:tbl>
      <w:tblPr>
        <w:tblStyle w:val="GridTable4-Accent5"/>
        <w:tblW w:w="0" w:type="auto"/>
        <w:tblLook w:val="04A0" w:firstRow="1" w:lastRow="0" w:firstColumn="1" w:lastColumn="0" w:noHBand="0" w:noVBand="1"/>
      </w:tblPr>
      <w:tblGrid>
        <w:gridCol w:w="661"/>
        <w:gridCol w:w="1208"/>
        <w:gridCol w:w="1505"/>
        <w:gridCol w:w="1299"/>
        <w:gridCol w:w="1418"/>
        <w:gridCol w:w="2896"/>
      </w:tblGrid>
      <w:tr w:rsidR="008C4A4A" w:rsidRPr="0018202F" w:rsidTr="000C62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8C4A4A" w:rsidRPr="0018202F" w:rsidRDefault="008C4A4A" w:rsidP="003B443F">
            <w:pPr>
              <w:jc w:val="center"/>
              <w:rPr>
                <w:rFonts w:ascii="Arial" w:hAnsi="Arial" w:cs="Arial"/>
                <w:sz w:val="18"/>
                <w:szCs w:val="18"/>
              </w:rPr>
            </w:pPr>
            <w:r w:rsidRPr="0018202F">
              <w:rPr>
                <w:rFonts w:ascii="Arial" w:hAnsi="Arial" w:cs="Arial"/>
                <w:sz w:val="18"/>
                <w:szCs w:val="18"/>
              </w:rPr>
              <w:t>Year</w:t>
            </w:r>
          </w:p>
        </w:tc>
        <w:tc>
          <w:tcPr>
            <w:tcW w:w="1208" w:type="dxa"/>
            <w:hideMark/>
          </w:tcPr>
          <w:p w:rsidR="008C4A4A" w:rsidRPr="0018202F" w:rsidRDefault="008C4A4A" w:rsidP="003B443F">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18202F">
              <w:rPr>
                <w:rFonts w:ascii="Arial" w:hAnsi="Arial" w:cs="Arial"/>
                <w:sz w:val="18"/>
                <w:szCs w:val="18"/>
              </w:rPr>
              <w:t>Total Fisheries Subsidies (US$ million)</w:t>
            </w:r>
          </w:p>
        </w:tc>
        <w:tc>
          <w:tcPr>
            <w:tcW w:w="1505" w:type="dxa"/>
            <w:hideMark/>
          </w:tcPr>
          <w:p w:rsidR="008C4A4A" w:rsidRPr="0018202F" w:rsidRDefault="008C4A4A" w:rsidP="003B443F">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18202F">
              <w:rPr>
                <w:rFonts w:ascii="Arial" w:hAnsi="Arial" w:cs="Arial"/>
                <w:sz w:val="18"/>
                <w:szCs w:val="18"/>
              </w:rPr>
              <w:t>Capacity-Enhancing Subsidies* (US$ million)</w:t>
            </w:r>
          </w:p>
        </w:tc>
        <w:tc>
          <w:tcPr>
            <w:tcW w:w="1299" w:type="dxa"/>
            <w:hideMark/>
          </w:tcPr>
          <w:p w:rsidR="008C4A4A" w:rsidRPr="0018202F" w:rsidRDefault="008C4A4A" w:rsidP="003B443F">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18202F">
              <w:rPr>
                <w:rFonts w:ascii="Arial" w:hAnsi="Arial" w:cs="Arial"/>
                <w:sz w:val="18"/>
                <w:szCs w:val="18"/>
              </w:rPr>
              <w:t>Marine Catch Value (US$ million, FAO)</w:t>
            </w:r>
          </w:p>
        </w:tc>
        <w:tc>
          <w:tcPr>
            <w:tcW w:w="1418" w:type="dxa"/>
            <w:hideMark/>
          </w:tcPr>
          <w:p w:rsidR="008C4A4A" w:rsidRPr="0018202F" w:rsidRDefault="008C4A4A" w:rsidP="003B443F">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18202F">
              <w:rPr>
                <w:rFonts w:ascii="Arial" w:hAnsi="Arial" w:cs="Arial"/>
                <w:sz w:val="18"/>
                <w:szCs w:val="18"/>
              </w:rPr>
              <w:t>Ratio (Capacity-Enhancing Subsidy / Landed Value)</w:t>
            </w:r>
          </w:p>
        </w:tc>
        <w:tc>
          <w:tcPr>
            <w:tcW w:w="2896" w:type="dxa"/>
            <w:hideMark/>
          </w:tcPr>
          <w:p w:rsidR="008C4A4A" w:rsidRPr="0018202F" w:rsidRDefault="008C4A4A" w:rsidP="003B443F">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18202F">
              <w:rPr>
                <w:rFonts w:ascii="Arial" w:hAnsi="Arial" w:cs="Arial"/>
                <w:sz w:val="18"/>
                <w:szCs w:val="18"/>
              </w:rPr>
              <w:t>Notes</w:t>
            </w:r>
          </w:p>
        </w:tc>
      </w:tr>
      <w:tr w:rsidR="008C4A4A" w:rsidRPr="0018202F" w:rsidTr="000C62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8C4A4A" w:rsidRPr="0018202F" w:rsidRDefault="008C4A4A" w:rsidP="00F15AD9">
            <w:pPr>
              <w:jc w:val="center"/>
              <w:rPr>
                <w:rFonts w:ascii="Arial" w:hAnsi="Arial" w:cs="Arial"/>
                <w:b w:val="0"/>
                <w:bCs w:val="0"/>
                <w:sz w:val="20"/>
                <w:szCs w:val="20"/>
              </w:rPr>
            </w:pPr>
            <w:r w:rsidRPr="0018202F">
              <w:rPr>
                <w:rFonts w:ascii="Arial" w:hAnsi="Arial" w:cs="Arial"/>
                <w:b w:val="0"/>
                <w:bCs w:val="0"/>
                <w:sz w:val="20"/>
                <w:szCs w:val="20"/>
              </w:rPr>
              <w:t>2003</w:t>
            </w:r>
          </w:p>
        </w:tc>
        <w:tc>
          <w:tcPr>
            <w:tcW w:w="1208" w:type="dxa"/>
            <w:hideMark/>
          </w:tcPr>
          <w:p w:rsidR="008C4A4A" w:rsidRPr="0018202F" w:rsidRDefault="008C4A4A" w:rsidP="00F15AD9">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8202F">
              <w:rPr>
                <w:rFonts w:ascii="Arial" w:hAnsi="Arial" w:cs="Arial"/>
                <w:sz w:val="20"/>
                <w:szCs w:val="20"/>
              </w:rPr>
              <w:t>28.98</w:t>
            </w:r>
          </w:p>
        </w:tc>
        <w:tc>
          <w:tcPr>
            <w:tcW w:w="1505" w:type="dxa"/>
            <w:hideMark/>
          </w:tcPr>
          <w:p w:rsidR="008C4A4A" w:rsidRPr="0018202F" w:rsidRDefault="008C4A4A" w:rsidP="00F15AD9">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8202F">
              <w:rPr>
                <w:rFonts w:ascii="Arial" w:hAnsi="Arial" w:cs="Arial"/>
                <w:sz w:val="20"/>
                <w:szCs w:val="20"/>
              </w:rPr>
              <w:t>17.47</w:t>
            </w:r>
          </w:p>
        </w:tc>
        <w:tc>
          <w:tcPr>
            <w:tcW w:w="1299" w:type="dxa"/>
            <w:hideMark/>
          </w:tcPr>
          <w:p w:rsidR="008C4A4A" w:rsidRPr="0018202F" w:rsidRDefault="008C4A4A" w:rsidP="00F15AD9">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8202F">
              <w:rPr>
                <w:rFonts w:ascii="Arial" w:hAnsi="Arial" w:cs="Arial"/>
                <w:sz w:val="20"/>
                <w:szCs w:val="20"/>
              </w:rPr>
              <w:t>145.7</w:t>
            </w:r>
          </w:p>
        </w:tc>
        <w:tc>
          <w:tcPr>
            <w:tcW w:w="1418" w:type="dxa"/>
            <w:hideMark/>
          </w:tcPr>
          <w:p w:rsidR="008C4A4A" w:rsidRPr="0018202F" w:rsidRDefault="008C4A4A" w:rsidP="00F15AD9">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8202F">
              <w:rPr>
                <w:rStyle w:val="Strong"/>
                <w:rFonts w:ascii="Arial" w:hAnsi="Arial" w:cs="Arial"/>
                <w:b w:val="0"/>
                <w:bCs w:val="0"/>
                <w:sz w:val="20"/>
                <w:szCs w:val="20"/>
              </w:rPr>
              <w:t>0.12</w:t>
            </w:r>
          </w:p>
        </w:tc>
        <w:tc>
          <w:tcPr>
            <w:tcW w:w="2896" w:type="dxa"/>
            <w:hideMark/>
          </w:tcPr>
          <w:p w:rsidR="008C4A4A" w:rsidRPr="0018202F" w:rsidRDefault="008C4A4A" w:rsidP="009155D8">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8202F">
              <w:rPr>
                <w:rFonts w:ascii="Arial" w:hAnsi="Arial" w:cs="Arial"/>
                <w:sz w:val="20"/>
                <w:szCs w:val="20"/>
              </w:rPr>
              <w:t>High capacity-enhancing share (fleet modernization, development support); reflects expansion phase</w:t>
            </w:r>
          </w:p>
        </w:tc>
      </w:tr>
      <w:tr w:rsidR="008C4A4A" w:rsidRPr="0018202F" w:rsidTr="000C6290">
        <w:tc>
          <w:tcPr>
            <w:cnfStyle w:val="001000000000" w:firstRow="0" w:lastRow="0" w:firstColumn="1" w:lastColumn="0" w:oddVBand="0" w:evenVBand="0" w:oddHBand="0" w:evenHBand="0" w:firstRowFirstColumn="0" w:firstRowLastColumn="0" w:lastRowFirstColumn="0" w:lastRowLastColumn="0"/>
            <w:tcW w:w="0" w:type="auto"/>
            <w:hideMark/>
          </w:tcPr>
          <w:p w:rsidR="008C4A4A" w:rsidRPr="0018202F" w:rsidRDefault="008C4A4A" w:rsidP="00F15AD9">
            <w:pPr>
              <w:jc w:val="center"/>
              <w:rPr>
                <w:rFonts w:ascii="Arial" w:hAnsi="Arial" w:cs="Arial"/>
                <w:b w:val="0"/>
                <w:bCs w:val="0"/>
                <w:sz w:val="20"/>
                <w:szCs w:val="20"/>
              </w:rPr>
            </w:pPr>
            <w:r w:rsidRPr="0018202F">
              <w:rPr>
                <w:rFonts w:ascii="Arial" w:hAnsi="Arial" w:cs="Arial"/>
                <w:b w:val="0"/>
                <w:bCs w:val="0"/>
                <w:sz w:val="20"/>
                <w:szCs w:val="20"/>
              </w:rPr>
              <w:t>2009</w:t>
            </w:r>
          </w:p>
        </w:tc>
        <w:tc>
          <w:tcPr>
            <w:tcW w:w="1208" w:type="dxa"/>
            <w:hideMark/>
          </w:tcPr>
          <w:p w:rsidR="008C4A4A" w:rsidRPr="0018202F" w:rsidRDefault="008C4A4A" w:rsidP="00F15AD9">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8202F">
              <w:rPr>
                <w:rFonts w:ascii="Arial" w:hAnsi="Arial" w:cs="Arial"/>
                <w:sz w:val="20"/>
                <w:szCs w:val="20"/>
              </w:rPr>
              <w:t>4.05</w:t>
            </w:r>
          </w:p>
        </w:tc>
        <w:tc>
          <w:tcPr>
            <w:tcW w:w="1505" w:type="dxa"/>
            <w:hideMark/>
          </w:tcPr>
          <w:p w:rsidR="008C4A4A" w:rsidRPr="0018202F" w:rsidRDefault="008C4A4A" w:rsidP="00F15AD9">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8202F">
              <w:rPr>
                <w:rFonts w:ascii="Arial" w:hAnsi="Arial" w:cs="Arial"/>
                <w:sz w:val="20"/>
                <w:szCs w:val="20"/>
              </w:rPr>
              <w:t>0.69</w:t>
            </w:r>
          </w:p>
        </w:tc>
        <w:tc>
          <w:tcPr>
            <w:tcW w:w="1299" w:type="dxa"/>
            <w:hideMark/>
          </w:tcPr>
          <w:p w:rsidR="008C4A4A" w:rsidRPr="0018202F" w:rsidRDefault="008C4A4A" w:rsidP="00F15AD9">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8202F">
              <w:rPr>
                <w:rFonts w:ascii="Arial" w:hAnsi="Arial" w:cs="Arial"/>
                <w:sz w:val="20"/>
                <w:szCs w:val="20"/>
              </w:rPr>
              <w:t>148.0</w:t>
            </w:r>
          </w:p>
        </w:tc>
        <w:tc>
          <w:tcPr>
            <w:tcW w:w="1418" w:type="dxa"/>
            <w:hideMark/>
          </w:tcPr>
          <w:p w:rsidR="008C4A4A" w:rsidRPr="0018202F" w:rsidRDefault="008C4A4A" w:rsidP="00F15AD9">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8202F">
              <w:rPr>
                <w:rStyle w:val="Strong"/>
                <w:rFonts w:ascii="Arial" w:hAnsi="Arial" w:cs="Arial"/>
                <w:b w:val="0"/>
                <w:bCs w:val="0"/>
                <w:sz w:val="20"/>
                <w:szCs w:val="20"/>
              </w:rPr>
              <w:t>0.005</w:t>
            </w:r>
          </w:p>
        </w:tc>
        <w:tc>
          <w:tcPr>
            <w:tcW w:w="2896" w:type="dxa"/>
            <w:hideMark/>
          </w:tcPr>
          <w:p w:rsidR="008C4A4A" w:rsidRPr="0018202F" w:rsidRDefault="008C4A4A" w:rsidP="009155D8">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8202F">
              <w:rPr>
                <w:rFonts w:ascii="Arial" w:hAnsi="Arial" w:cs="Arial"/>
                <w:sz w:val="20"/>
                <w:szCs w:val="20"/>
              </w:rPr>
              <w:t>Sharp contraction; policy shift toward management and R&amp;D support</w:t>
            </w:r>
          </w:p>
        </w:tc>
      </w:tr>
    </w:tbl>
    <w:p w:rsidR="009B3740" w:rsidRPr="0018202F" w:rsidRDefault="003B443F" w:rsidP="009B3740">
      <w:pPr>
        <w:jc w:val="both"/>
        <w:rPr>
          <w:rStyle w:val="Emphasis"/>
          <w:rFonts w:ascii="Arial" w:hAnsi="Arial" w:cs="Arial"/>
          <w:i w:val="0"/>
          <w:iCs w:val="0"/>
          <w:sz w:val="18"/>
          <w:szCs w:val="18"/>
        </w:rPr>
      </w:pPr>
      <w:r w:rsidRPr="0018202F">
        <w:rPr>
          <w:rStyle w:val="Strong"/>
          <w:rFonts w:ascii="Arial" w:hAnsi="Arial" w:cs="Arial"/>
          <w:sz w:val="18"/>
          <w:szCs w:val="18"/>
        </w:rPr>
        <w:t>Source:</w:t>
      </w:r>
      <w:r w:rsidRPr="0018202F">
        <w:rPr>
          <w:rFonts w:ascii="Arial" w:hAnsi="Arial" w:cs="Arial"/>
          <w:sz w:val="18"/>
          <w:szCs w:val="18"/>
        </w:rPr>
        <w:t xml:space="preserve"> Pauly &amp; Zeller (2020) –</w:t>
      </w:r>
      <w:r w:rsidRPr="0018202F">
        <w:rPr>
          <w:rFonts w:ascii="Arial" w:hAnsi="Arial" w:cs="Arial"/>
          <w:i/>
          <w:iCs/>
          <w:sz w:val="18"/>
          <w:szCs w:val="18"/>
        </w:rPr>
        <w:t xml:space="preserve"> </w:t>
      </w:r>
      <w:r w:rsidRPr="0018202F">
        <w:rPr>
          <w:rStyle w:val="Emphasis"/>
          <w:rFonts w:ascii="Arial" w:hAnsi="Arial" w:cs="Arial"/>
          <w:i w:val="0"/>
          <w:iCs w:val="0"/>
          <w:sz w:val="18"/>
          <w:szCs w:val="18"/>
        </w:rPr>
        <w:t>Sea Around Us Global Fisheries Subsidies Database (1950–2019)</w:t>
      </w:r>
    </w:p>
    <w:p w:rsidR="007E3AA0" w:rsidRPr="0018202F" w:rsidRDefault="007E3AA0" w:rsidP="00F3081E">
      <w:pPr>
        <w:keepNext/>
        <w:spacing w:before="100" w:beforeAutospacing="1" w:after="100" w:afterAutospacing="1"/>
        <w:jc w:val="both"/>
        <w:outlineLvl w:val="2"/>
        <w:rPr>
          <w:rFonts w:ascii="Arial" w:hAnsi="Arial" w:cs="Arial"/>
          <w:b/>
          <w:bCs/>
        </w:rPr>
      </w:pPr>
      <w:bookmarkStart w:id="31" w:name="_Toc217232056"/>
      <w:r w:rsidRPr="0018202F">
        <w:rPr>
          <w:rFonts w:ascii="Arial" w:hAnsi="Arial" w:cs="Arial"/>
          <w:b/>
          <w:bCs/>
        </w:rPr>
        <w:t xml:space="preserve">5.2.2 </w:t>
      </w:r>
      <w:r w:rsidR="00857B85" w:rsidRPr="0018202F">
        <w:rPr>
          <w:rFonts w:ascii="Arial" w:hAnsi="Arial" w:cs="Arial"/>
          <w:b/>
          <w:bCs/>
        </w:rPr>
        <w:t>Current Status of E</w:t>
      </w:r>
      <w:r w:rsidRPr="0018202F">
        <w:rPr>
          <w:rFonts w:ascii="Arial" w:hAnsi="Arial" w:cs="Arial"/>
          <w:b/>
          <w:bCs/>
        </w:rPr>
        <w:t>cosystem-health</w:t>
      </w:r>
      <w:bookmarkEnd w:id="31"/>
    </w:p>
    <w:p w:rsidR="006D151E" w:rsidRPr="006D4D25" w:rsidRDefault="001005EF" w:rsidP="00F3081E">
      <w:pPr>
        <w:pStyle w:val="Heading4"/>
        <w:keepNext/>
        <w:rPr>
          <w:rStyle w:val="Strong"/>
          <w:rFonts w:ascii="Arial" w:hAnsi="Arial" w:cs="Arial"/>
          <w:color w:val="0070C0"/>
          <w:sz w:val="22"/>
          <w:szCs w:val="22"/>
        </w:rPr>
      </w:pPr>
      <w:r w:rsidRPr="006D4D25">
        <w:rPr>
          <w:rStyle w:val="Strong"/>
          <w:rFonts w:ascii="Arial" w:hAnsi="Arial" w:cs="Arial"/>
          <w:b/>
          <w:bCs/>
          <w:color w:val="0070C0"/>
          <w:sz w:val="22"/>
          <w:szCs w:val="22"/>
        </w:rPr>
        <w:t>5.2.2.1 Stock-status plots</w:t>
      </w:r>
    </w:p>
    <w:p w:rsidR="00E920B7" w:rsidRPr="0018202F" w:rsidRDefault="00E920B7" w:rsidP="00E920B7">
      <w:pPr>
        <w:keepNext/>
        <w:spacing w:before="100" w:beforeAutospacing="1" w:after="100" w:afterAutospacing="1"/>
        <w:jc w:val="both"/>
        <w:rPr>
          <w:rFonts w:ascii="Arial" w:hAnsi="Arial" w:cs="Arial"/>
          <w:sz w:val="22"/>
          <w:szCs w:val="22"/>
        </w:rPr>
      </w:pPr>
      <w:r w:rsidRPr="0018202F">
        <w:rPr>
          <w:rFonts w:ascii="Arial" w:hAnsi="Arial" w:cs="Arial"/>
          <w:sz w:val="22"/>
          <w:szCs w:val="22"/>
        </w:rPr>
        <w:t>Cambodia’s marine fisheries have moved from developing to heavily exploited and increasingly collapsed conditions. Stock-status plots (</w:t>
      </w:r>
      <w:r w:rsidRPr="0018202F">
        <w:rPr>
          <w:rFonts w:ascii="Arial" w:hAnsi="Arial" w:cs="Arial"/>
          <w:sz w:val="22"/>
          <w:szCs w:val="22"/>
        </w:rPr>
        <w:fldChar w:fldCharType="begin"/>
      </w:r>
      <w:r w:rsidRPr="0018202F">
        <w:rPr>
          <w:rFonts w:ascii="Arial" w:hAnsi="Arial" w:cs="Arial"/>
          <w:sz w:val="22"/>
          <w:szCs w:val="22"/>
        </w:rPr>
        <w:instrText xml:space="preserve"> REF _Ref215233906 \h </w:instrText>
      </w:r>
      <w:r w:rsidR="0018202F">
        <w:rPr>
          <w:rFonts w:ascii="Arial" w:hAnsi="Arial" w:cs="Arial"/>
          <w:sz w:val="22"/>
          <w:szCs w:val="22"/>
        </w:rPr>
        <w:instrText xml:space="preserve"> \* MERGEFORMAT </w:instrText>
      </w:r>
      <w:r w:rsidRPr="0018202F">
        <w:rPr>
          <w:rFonts w:ascii="Arial" w:hAnsi="Arial" w:cs="Arial"/>
          <w:sz w:val="22"/>
          <w:szCs w:val="22"/>
        </w:rPr>
      </w:r>
      <w:r w:rsidRPr="0018202F">
        <w:rPr>
          <w:rFonts w:ascii="Arial" w:hAnsi="Arial" w:cs="Arial"/>
          <w:sz w:val="22"/>
          <w:szCs w:val="22"/>
        </w:rPr>
        <w:fldChar w:fldCharType="separate"/>
      </w:r>
      <w:r w:rsidR="00F72397" w:rsidRPr="00F72397">
        <w:rPr>
          <w:rFonts w:ascii="Arial" w:hAnsi="Arial" w:cs="Arial"/>
          <w:color w:val="0070C0"/>
          <w:sz w:val="21"/>
          <w:szCs w:val="21"/>
        </w:rPr>
        <w:t>Figure 5-4</w:t>
      </w:r>
      <w:r w:rsidRPr="0018202F">
        <w:rPr>
          <w:rFonts w:ascii="Arial" w:hAnsi="Arial" w:cs="Arial"/>
          <w:sz w:val="22"/>
          <w:szCs w:val="22"/>
        </w:rPr>
        <w:fldChar w:fldCharType="end"/>
      </w:r>
      <w:r w:rsidRPr="0018202F">
        <w:rPr>
          <w:rFonts w:ascii="Arial" w:hAnsi="Arial" w:cs="Arial"/>
          <w:sz w:val="22"/>
          <w:szCs w:val="22"/>
        </w:rPr>
        <w:t>), show a clear long-term shift from healthy “Developing” stocks to growing shares of Over-exploited and Collapsed stocks, indicating a fishery under severe ecological stress.</w:t>
      </w:r>
    </w:p>
    <w:p w:rsidR="00E920B7" w:rsidRPr="0018202F" w:rsidRDefault="00E920B7" w:rsidP="00E920B7">
      <w:pPr>
        <w:pStyle w:val="ListParagraph"/>
        <w:keepNext/>
        <w:numPr>
          <w:ilvl w:val="0"/>
          <w:numId w:val="48"/>
        </w:numPr>
        <w:adjustRightInd w:val="0"/>
        <w:snapToGrid w:val="0"/>
        <w:spacing w:before="120" w:after="120"/>
        <w:ind w:left="714" w:hanging="357"/>
        <w:contextualSpacing w:val="0"/>
        <w:jc w:val="both"/>
        <w:rPr>
          <w:rFonts w:ascii="Arial" w:hAnsi="Arial" w:cs="Arial"/>
          <w:sz w:val="22"/>
          <w:szCs w:val="22"/>
        </w:rPr>
      </w:pPr>
      <w:r w:rsidRPr="0018202F">
        <w:rPr>
          <w:rFonts w:ascii="Arial" w:hAnsi="Arial" w:cs="Arial"/>
          <w:b/>
          <w:bCs/>
          <w:sz w:val="22"/>
          <w:szCs w:val="22"/>
        </w:rPr>
        <w:t>Phase 1 – Developing (1950s–early 1970s):</w:t>
      </w:r>
      <w:r w:rsidRPr="0018202F">
        <w:rPr>
          <w:rFonts w:ascii="Arial" w:hAnsi="Arial" w:cs="Arial"/>
          <w:sz w:val="22"/>
          <w:szCs w:val="22"/>
        </w:rPr>
        <w:t xml:space="preserve"> Over 95% of catch came from developing stocks, reflecting low fishing pressure and abundant resources.</w:t>
      </w:r>
    </w:p>
    <w:p w:rsidR="00E920B7" w:rsidRPr="0018202F" w:rsidRDefault="00E920B7" w:rsidP="00E920B7">
      <w:pPr>
        <w:pStyle w:val="ListParagraph"/>
        <w:keepNext/>
        <w:numPr>
          <w:ilvl w:val="0"/>
          <w:numId w:val="48"/>
        </w:numPr>
        <w:adjustRightInd w:val="0"/>
        <w:snapToGrid w:val="0"/>
        <w:spacing w:before="120" w:after="120"/>
        <w:ind w:left="714" w:hanging="357"/>
        <w:contextualSpacing w:val="0"/>
        <w:jc w:val="both"/>
        <w:rPr>
          <w:rFonts w:ascii="Arial" w:hAnsi="Arial" w:cs="Arial"/>
          <w:sz w:val="22"/>
          <w:szCs w:val="22"/>
        </w:rPr>
      </w:pPr>
      <w:r w:rsidRPr="0018202F">
        <w:rPr>
          <w:rFonts w:ascii="Arial" w:hAnsi="Arial" w:cs="Arial"/>
          <w:b/>
          <w:bCs/>
          <w:sz w:val="22"/>
          <w:szCs w:val="22"/>
        </w:rPr>
        <w:t>Phase 2 – Fully exploited (1970s–1980s):</w:t>
      </w:r>
      <w:r w:rsidRPr="0018202F">
        <w:rPr>
          <w:rFonts w:ascii="Arial" w:hAnsi="Arial" w:cs="Arial"/>
          <w:sz w:val="22"/>
          <w:szCs w:val="22"/>
        </w:rPr>
        <w:t xml:space="preserve"> The share of exploited stocks rose rapidly—from &lt;1% in the mid-1960s to ~19% by 1970, stabilizing around 10–12%—as effort expanded to sustainable limits.</w:t>
      </w:r>
    </w:p>
    <w:p w:rsidR="001005EF" w:rsidRPr="0018202F" w:rsidRDefault="00E920B7" w:rsidP="00E920B7">
      <w:pPr>
        <w:pStyle w:val="ListParagraph"/>
        <w:keepNext/>
        <w:numPr>
          <w:ilvl w:val="0"/>
          <w:numId w:val="48"/>
        </w:numPr>
        <w:adjustRightInd w:val="0"/>
        <w:snapToGrid w:val="0"/>
        <w:spacing w:before="120" w:after="120"/>
        <w:ind w:left="714" w:hanging="357"/>
        <w:contextualSpacing w:val="0"/>
        <w:jc w:val="both"/>
        <w:rPr>
          <w:rFonts w:ascii="Arial" w:hAnsi="Arial" w:cs="Arial"/>
          <w:sz w:val="22"/>
          <w:szCs w:val="22"/>
        </w:rPr>
      </w:pPr>
      <w:r w:rsidRPr="0018202F">
        <w:rPr>
          <w:rFonts w:ascii="Arial" w:hAnsi="Arial" w:cs="Arial"/>
          <w:b/>
          <w:bCs/>
          <w:sz w:val="22"/>
          <w:szCs w:val="22"/>
        </w:rPr>
        <w:t>Phase 3 – Over-exploitation &amp; collapse (1990s–present):</w:t>
      </w:r>
      <w:r w:rsidRPr="0018202F">
        <w:rPr>
          <w:rFonts w:ascii="Arial" w:hAnsi="Arial" w:cs="Arial"/>
          <w:sz w:val="22"/>
          <w:szCs w:val="22"/>
        </w:rPr>
        <w:t xml:space="preserve"> Over-exploited stocks increased to 10–15% of catch by 2010, collapsed stocks to 5–6% by the late 2010s, and more than half of assessed stocks were collapsed by 2018–2019, highlighting widespread depletion and low recovery potential.</w:t>
      </w:r>
    </w:p>
    <w:p w:rsidR="00E920B7" w:rsidRPr="0018202F" w:rsidRDefault="00E920B7" w:rsidP="008D65C8">
      <w:pPr>
        <w:adjustRightInd w:val="0"/>
        <w:snapToGrid w:val="0"/>
        <w:spacing w:before="120" w:after="120"/>
        <w:jc w:val="both"/>
        <w:rPr>
          <w:rFonts w:ascii="Arial" w:hAnsi="Arial" w:cs="Arial"/>
          <w:sz w:val="22"/>
          <w:szCs w:val="22"/>
        </w:rPr>
      </w:pPr>
      <w:r w:rsidRPr="0018202F">
        <w:rPr>
          <w:rFonts w:ascii="Arial" w:hAnsi="Arial" w:cs="Arial"/>
          <w:sz w:val="22"/>
          <w:szCs w:val="22"/>
        </w:rPr>
        <w:t>Overall, the stock trajectory signals a shift from underutilization to chronic overfishing and ecosystem stress. The near absence of developing or rebuilding stocks points to limited recruitment and recovery, underscoring the need for rebuilding plans, habitat restoration, and stricter trawl and bycatch management to sustain Cambodia’s marine fisheries.</w:t>
      </w:r>
    </w:p>
    <w:p w:rsidR="00F1518F" w:rsidRPr="0018202F" w:rsidRDefault="00F1518F" w:rsidP="00AF0555">
      <w:pPr>
        <w:adjustRightInd w:val="0"/>
        <w:snapToGrid w:val="0"/>
        <w:jc w:val="both"/>
        <w:rPr>
          <w:rFonts w:ascii="Arial" w:hAnsi="Arial" w:cs="Arial"/>
          <w:sz w:val="22"/>
          <w:szCs w:val="22"/>
        </w:rPr>
      </w:pPr>
      <w:r w:rsidRPr="0018202F">
        <w:rPr>
          <w:rFonts w:ascii="Arial" w:hAnsi="Arial" w:cs="Arial"/>
          <w:noProof/>
          <w:sz w:val="22"/>
          <w:szCs w:val="22"/>
          <w14:ligatures w14:val="standardContextual"/>
        </w:rPr>
        <w:drawing>
          <wp:inline distT="0" distB="0" distL="0" distR="0">
            <wp:extent cx="5727700" cy="4057650"/>
            <wp:effectExtent l="12700" t="12700" r="12700" b="19050"/>
            <wp:docPr id="3218132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813234" name="Picture 32181323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27700" cy="4057650"/>
                    </a:xfrm>
                    <a:prstGeom prst="rect">
                      <a:avLst/>
                    </a:prstGeom>
                    <a:ln>
                      <a:solidFill>
                        <a:schemeClr val="accent5">
                          <a:lumMod val="20000"/>
                          <a:lumOff val="80000"/>
                        </a:schemeClr>
                      </a:solidFill>
                    </a:ln>
                  </pic:spPr>
                </pic:pic>
              </a:graphicData>
            </a:graphic>
          </wp:inline>
        </w:drawing>
      </w:r>
    </w:p>
    <w:p w:rsidR="00F1518F" w:rsidRPr="0018202F" w:rsidRDefault="00E0545C" w:rsidP="00D202D3">
      <w:pPr>
        <w:pStyle w:val="Caption"/>
        <w:snapToGrid w:val="0"/>
        <w:spacing w:after="0"/>
        <w:rPr>
          <w:rFonts w:ascii="Arial" w:hAnsi="Arial" w:cs="Arial"/>
          <w:i w:val="0"/>
          <w:iCs w:val="0"/>
          <w:color w:val="002060"/>
          <w:sz w:val="21"/>
          <w:szCs w:val="21"/>
        </w:rPr>
      </w:pPr>
      <w:bookmarkStart w:id="32" w:name="_Ref215233906"/>
      <w:bookmarkStart w:id="33" w:name="_Toc215223772"/>
      <w:r w:rsidRPr="0018202F">
        <w:rPr>
          <w:rFonts w:ascii="Arial" w:hAnsi="Arial" w:cs="Arial"/>
          <w:i w:val="0"/>
          <w:iCs w:val="0"/>
          <w:color w:val="002060"/>
          <w:sz w:val="21"/>
          <w:szCs w:val="21"/>
        </w:rPr>
        <w:t>Figure 5-</w:t>
      </w:r>
      <w:r w:rsidRPr="0018202F">
        <w:rPr>
          <w:rFonts w:ascii="Arial" w:hAnsi="Arial" w:cs="Arial"/>
          <w:i w:val="0"/>
          <w:iCs w:val="0"/>
          <w:color w:val="002060"/>
          <w:sz w:val="21"/>
          <w:szCs w:val="21"/>
        </w:rPr>
        <w:fldChar w:fldCharType="begin"/>
      </w:r>
      <w:r w:rsidRPr="0018202F">
        <w:rPr>
          <w:rFonts w:ascii="Arial" w:hAnsi="Arial" w:cs="Arial"/>
          <w:i w:val="0"/>
          <w:iCs w:val="0"/>
          <w:color w:val="002060"/>
          <w:sz w:val="21"/>
          <w:szCs w:val="21"/>
        </w:rPr>
        <w:instrText xml:space="preserve"> SEQ Figure_5- \* ARABIC </w:instrText>
      </w:r>
      <w:r w:rsidRPr="0018202F">
        <w:rPr>
          <w:rFonts w:ascii="Arial" w:hAnsi="Arial" w:cs="Arial"/>
          <w:i w:val="0"/>
          <w:iCs w:val="0"/>
          <w:color w:val="002060"/>
          <w:sz w:val="21"/>
          <w:szCs w:val="21"/>
        </w:rPr>
        <w:fldChar w:fldCharType="separate"/>
      </w:r>
      <w:r w:rsidR="00F72397">
        <w:rPr>
          <w:rFonts w:ascii="Arial" w:hAnsi="Arial" w:cs="Arial"/>
          <w:i w:val="0"/>
          <w:iCs w:val="0"/>
          <w:noProof/>
          <w:color w:val="002060"/>
          <w:sz w:val="21"/>
          <w:szCs w:val="21"/>
        </w:rPr>
        <w:t>4</w:t>
      </w:r>
      <w:r w:rsidRPr="0018202F">
        <w:rPr>
          <w:rFonts w:ascii="Arial" w:hAnsi="Arial" w:cs="Arial"/>
          <w:i w:val="0"/>
          <w:iCs w:val="0"/>
          <w:color w:val="002060"/>
          <w:sz w:val="21"/>
          <w:szCs w:val="21"/>
        </w:rPr>
        <w:fldChar w:fldCharType="end"/>
      </w:r>
      <w:bookmarkEnd w:id="32"/>
      <w:r w:rsidRPr="0018202F">
        <w:rPr>
          <w:rFonts w:ascii="Arial" w:hAnsi="Arial" w:cs="Arial"/>
          <w:i w:val="0"/>
          <w:iCs w:val="0"/>
          <w:color w:val="002060"/>
          <w:sz w:val="21"/>
          <w:szCs w:val="21"/>
        </w:rPr>
        <w:t xml:space="preserve"> </w:t>
      </w:r>
      <w:r w:rsidR="00F1518F" w:rsidRPr="0018202F">
        <w:rPr>
          <w:rFonts w:ascii="Arial" w:hAnsi="Arial" w:cs="Arial"/>
          <w:i w:val="0"/>
          <w:iCs w:val="0"/>
          <w:color w:val="002060"/>
          <w:sz w:val="21"/>
          <w:szCs w:val="21"/>
        </w:rPr>
        <w:t>Stock status in the waters of Cambodia (1950–20</w:t>
      </w:r>
      <w:r w:rsidR="00367745" w:rsidRPr="0018202F">
        <w:rPr>
          <w:rFonts w:ascii="Arial" w:hAnsi="Arial" w:cs="Arial"/>
          <w:i w:val="0"/>
          <w:iCs w:val="0"/>
          <w:color w:val="002060"/>
          <w:sz w:val="21"/>
          <w:szCs w:val="21"/>
        </w:rPr>
        <w:t>19</w:t>
      </w:r>
      <w:r w:rsidR="00F1518F" w:rsidRPr="0018202F">
        <w:rPr>
          <w:rFonts w:ascii="Arial" w:hAnsi="Arial" w:cs="Arial"/>
          <w:i w:val="0"/>
          <w:iCs w:val="0"/>
          <w:color w:val="002060"/>
          <w:sz w:val="21"/>
          <w:szCs w:val="21"/>
        </w:rPr>
        <w:t>)</w:t>
      </w:r>
      <w:bookmarkEnd w:id="33"/>
    </w:p>
    <w:p w:rsidR="001005EF" w:rsidRPr="0018202F" w:rsidRDefault="00F1518F" w:rsidP="00E920B7">
      <w:pPr>
        <w:spacing w:before="120" w:after="120"/>
        <w:jc w:val="both"/>
        <w:rPr>
          <w:rFonts w:ascii="Arial" w:hAnsi="Arial" w:cs="Arial"/>
          <w:b/>
          <w:bCs/>
          <w:i/>
          <w:iCs/>
          <w:color w:val="0070C0"/>
          <w:sz w:val="22"/>
          <w:szCs w:val="22"/>
        </w:rPr>
      </w:pPr>
      <w:r w:rsidRPr="0018202F">
        <w:rPr>
          <w:rStyle w:val="Strong"/>
          <w:rFonts w:ascii="Arial" w:hAnsi="Arial" w:cs="Arial"/>
          <w:color w:val="000000" w:themeColor="text1"/>
          <w:sz w:val="18"/>
          <w:szCs w:val="18"/>
        </w:rPr>
        <w:t>Source:</w:t>
      </w:r>
      <w:r w:rsidRPr="0018202F">
        <w:rPr>
          <w:rStyle w:val="Emphasis"/>
          <w:rFonts w:ascii="Arial" w:hAnsi="Arial" w:cs="Arial"/>
          <w:color w:val="000000" w:themeColor="text1"/>
          <w:sz w:val="18"/>
          <w:szCs w:val="18"/>
        </w:rPr>
        <w:t xml:space="preserve"> Sea Around Us (SAU</w:t>
      </w:r>
      <w:r w:rsidR="00367745" w:rsidRPr="0018202F">
        <w:rPr>
          <w:rStyle w:val="Emphasis"/>
          <w:rFonts w:ascii="Arial" w:hAnsi="Arial" w:cs="Arial"/>
          <w:color w:val="000000" w:themeColor="text1"/>
          <w:sz w:val="18"/>
          <w:szCs w:val="18"/>
        </w:rPr>
        <w:t>P</w:t>
      </w:r>
      <w:r w:rsidRPr="0018202F">
        <w:rPr>
          <w:rStyle w:val="Emphasis"/>
          <w:rFonts w:ascii="Arial" w:hAnsi="Arial" w:cs="Arial"/>
          <w:color w:val="000000" w:themeColor="text1"/>
          <w:sz w:val="18"/>
          <w:szCs w:val="18"/>
        </w:rPr>
        <w:t xml:space="preserve">): </w:t>
      </w:r>
      <w:hyperlink r:id="rId13" w:anchor="/eez/116/stock-status" w:history="1">
        <w:r w:rsidRPr="0018202F">
          <w:rPr>
            <w:rStyle w:val="Hyperlink"/>
            <w:rFonts w:ascii="Arial" w:hAnsi="Arial" w:cs="Arial"/>
            <w:sz w:val="18"/>
            <w:szCs w:val="18"/>
          </w:rPr>
          <w:t>https://www.seaaroundus.org/data/#/eez/116/stock-status</w:t>
        </w:r>
      </w:hyperlink>
      <w:r w:rsidRPr="0018202F">
        <w:rPr>
          <w:rStyle w:val="Emphasis"/>
          <w:rFonts w:ascii="Arial" w:hAnsi="Arial" w:cs="Arial"/>
          <w:color w:val="000000" w:themeColor="text1"/>
          <w:sz w:val="18"/>
          <w:szCs w:val="18"/>
        </w:rPr>
        <w:t xml:space="preserve"> </w:t>
      </w:r>
    </w:p>
    <w:p w:rsidR="007B4C17" w:rsidRPr="006D4D25" w:rsidRDefault="007B4C17" w:rsidP="00E920B7">
      <w:pPr>
        <w:pStyle w:val="Heading4"/>
        <w:keepNext/>
        <w:rPr>
          <w:rStyle w:val="Strong"/>
          <w:rFonts w:ascii="Arial" w:hAnsi="Arial" w:cs="Arial"/>
          <w:b/>
          <w:bCs/>
          <w:color w:val="0070C0"/>
          <w:sz w:val="22"/>
          <w:szCs w:val="22"/>
        </w:rPr>
      </w:pPr>
      <w:r w:rsidRPr="006D4D25">
        <w:rPr>
          <w:rStyle w:val="Strong"/>
          <w:rFonts w:ascii="Arial" w:hAnsi="Arial" w:cs="Arial"/>
          <w:b/>
          <w:bCs/>
          <w:color w:val="0070C0"/>
          <w:sz w:val="22"/>
          <w:szCs w:val="22"/>
        </w:rPr>
        <w:t>5.2.2.2 Marine Trophic Index (MTI) and FiB index</w:t>
      </w:r>
    </w:p>
    <w:p w:rsidR="00B77666" w:rsidRPr="0018202F" w:rsidRDefault="00367745" w:rsidP="00B77666">
      <w:pPr>
        <w:spacing w:before="240" w:after="240"/>
        <w:jc w:val="both"/>
        <w:rPr>
          <w:rFonts w:ascii="Arial" w:hAnsi="Arial" w:cs="Arial"/>
          <w:color w:val="000000" w:themeColor="text1"/>
          <w:sz w:val="22"/>
          <w:szCs w:val="22"/>
        </w:rPr>
      </w:pPr>
      <w:r w:rsidRPr="0018202F">
        <w:rPr>
          <w:rFonts w:ascii="Arial" w:hAnsi="Arial" w:cs="Arial"/>
          <w:color w:val="000000" w:themeColor="text1"/>
          <w:sz w:val="22"/>
          <w:szCs w:val="22"/>
        </w:rPr>
        <w:t>MTI and the FiB trends</w:t>
      </w:r>
      <w:r w:rsidR="007449CA" w:rsidRPr="0018202F">
        <w:rPr>
          <w:rFonts w:ascii="Arial" w:hAnsi="Arial" w:cs="Arial"/>
          <w:color w:val="000000" w:themeColor="text1"/>
          <w:sz w:val="22"/>
          <w:szCs w:val="22"/>
        </w:rPr>
        <w:t xml:space="preserve">, </w:t>
      </w:r>
      <w:r w:rsidRPr="0018202F">
        <w:rPr>
          <w:rFonts w:ascii="Arial" w:hAnsi="Arial" w:cs="Arial"/>
          <w:color w:val="000000" w:themeColor="text1"/>
          <w:sz w:val="22"/>
          <w:szCs w:val="22"/>
        </w:rPr>
        <w:t>the data from S</w:t>
      </w:r>
      <w:r w:rsidR="007449CA" w:rsidRPr="0018202F">
        <w:rPr>
          <w:rFonts w:ascii="Arial" w:hAnsi="Arial" w:cs="Arial"/>
          <w:color w:val="000000" w:themeColor="text1"/>
          <w:sz w:val="22"/>
          <w:szCs w:val="22"/>
        </w:rPr>
        <w:t xml:space="preserve">AUP – as shown in </w:t>
      </w:r>
      <w:r w:rsidR="007449CA" w:rsidRPr="0018202F">
        <w:rPr>
          <w:rFonts w:ascii="Arial" w:hAnsi="Arial" w:cs="Arial"/>
          <w:color w:val="000000" w:themeColor="text1"/>
          <w:sz w:val="22"/>
          <w:szCs w:val="22"/>
        </w:rPr>
        <w:fldChar w:fldCharType="begin"/>
      </w:r>
      <w:r w:rsidR="007449CA" w:rsidRPr="0018202F">
        <w:rPr>
          <w:rFonts w:ascii="Arial" w:hAnsi="Arial" w:cs="Arial"/>
          <w:color w:val="000000" w:themeColor="text1"/>
          <w:sz w:val="22"/>
          <w:szCs w:val="22"/>
        </w:rPr>
        <w:instrText xml:space="preserve"> REF _Ref212199178 \h </w:instrText>
      </w:r>
      <w:r w:rsidR="0018202F">
        <w:rPr>
          <w:rFonts w:ascii="Arial" w:hAnsi="Arial" w:cs="Arial"/>
          <w:color w:val="000000" w:themeColor="text1"/>
          <w:sz w:val="22"/>
          <w:szCs w:val="22"/>
        </w:rPr>
        <w:instrText xml:space="preserve"> \* MERGEFORMAT </w:instrText>
      </w:r>
      <w:r w:rsidR="007449CA" w:rsidRPr="0018202F">
        <w:rPr>
          <w:rFonts w:ascii="Arial" w:hAnsi="Arial" w:cs="Arial"/>
          <w:color w:val="000000" w:themeColor="text1"/>
          <w:sz w:val="22"/>
          <w:szCs w:val="22"/>
        </w:rPr>
        <w:fldChar w:fldCharType="separate"/>
      </w:r>
      <w:r w:rsidR="00F72397">
        <w:rPr>
          <w:rFonts w:ascii="Arial" w:hAnsi="Arial" w:cs="Arial"/>
          <w:b/>
          <w:bCs/>
          <w:color w:val="000000" w:themeColor="text1"/>
          <w:sz w:val="22"/>
          <w:szCs w:val="22"/>
        </w:rPr>
        <w:t>Error! Reference source not found.</w:t>
      </w:r>
      <w:r w:rsidR="007449CA" w:rsidRPr="0018202F">
        <w:rPr>
          <w:rFonts w:ascii="Arial" w:hAnsi="Arial" w:cs="Arial"/>
          <w:color w:val="000000" w:themeColor="text1"/>
          <w:sz w:val="22"/>
          <w:szCs w:val="22"/>
        </w:rPr>
        <w:fldChar w:fldCharType="end"/>
      </w:r>
      <w:r w:rsidR="00B77666" w:rsidRPr="0018202F">
        <w:rPr>
          <w:rFonts w:ascii="Arial" w:hAnsi="Arial" w:cs="Arial"/>
          <w:color w:val="000000" w:themeColor="text1"/>
          <w:sz w:val="22"/>
          <w:szCs w:val="22"/>
        </w:rPr>
        <w:t>,</w:t>
      </w:r>
      <w:r w:rsidR="007449CA" w:rsidRPr="0018202F">
        <w:rPr>
          <w:rFonts w:ascii="Arial" w:hAnsi="Arial" w:cs="Arial"/>
          <w:color w:val="000000" w:themeColor="text1"/>
          <w:sz w:val="22"/>
          <w:szCs w:val="22"/>
        </w:rPr>
        <w:t xml:space="preserve"> </w:t>
      </w:r>
      <w:r w:rsidRPr="0018202F">
        <w:rPr>
          <w:rFonts w:ascii="Arial" w:hAnsi="Arial" w:cs="Arial"/>
          <w:color w:val="000000" w:themeColor="text1"/>
          <w:sz w:val="22"/>
          <w:szCs w:val="22"/>
        </w:rPr>
        <w:t xml:space="preserve"> </w:t>
      </w:r>
      <w:r w:rsidR="00B77666" w:rsidRPr="0018202F">
        <w:rPr>
          <w:rFonts w:ascii="Arial" w:hAnsi="Arial" w:cs="Arial"/>
          <w:color w:val="000000" w:themeColor="text1"/>
          <w:sz w:val="22"/>
          <w:szCs w:val="22"/>
        </w:rPr>
        <w:t xml:space="preserve">show that Cambodia’s marine ecosystem has shifted toward lower-trophic, less resilient species under sustained fishing pressure. The </w:t>
      </w:r>
      <w:r w:rsidR="00B77666" w:rsidRPr="0018202F">
        <w:rPr>
          <w:rFonts w:ascii="Arial" w:hAnsi="Arial" w:cs="Arial"/>
          <w:b/>
          <w:bCs/>
          <w:color w:val="000000" w:themeColor="text1"/>
          <w:sz w:val="22"/>
          <w:szCs w:val="22"/>
        </w:rPr>
        <w:t xml:space="preserve">MTI </w:t>
      </w:r>
      <w:r w:rsidR="00B77666" w:rsidRPr="0018202F">
        <w:rPr>
          <w:rFonts w:ascii="Arial" w:hAnsi="Arial" w:cs="Arial"/>
          <w:color w:val="000000" w:themeColor="text1"/>
          <w:sz w:val="22"/>
          <w:szCs w:val="22"/>
        </w:rPr>
        <w:t xml:space="preserve">declined from ~3.83 in the 1950s to ~3.47 by the early 1990s, reflecting the loss of large predators and clear “fishing down the food web.” Since the 1990s, MTI has fluctuated at a lower level (3.50–3.57), indicating continued dependence on small pelagics and invertebrates. The </w:t>
      </w:r>
      <w:r w:rsidR="00B77666" w:rsidRPr="0018202F">
        <w:rPr>
          <w:rFonts w:ascii="Arial" w:hAnsi="Arial" w:cs="Arial"/>
          <w:b/>
          <w:bCs/>
          <w:color w:val="000000" w:themeColor="text1"/>
          <w:sz w:val="22"/>
          <w:szCs w:val="22"/>
        </w:rPr>
        <w:t>FiB Index</w:t>
      </w:r>
      <w:r w:rsidR="00B77666" w:rsidRPr="0018202F">
        <w:rPr>
          <w:rFonts w:ascii="Arial" w:hAnsi="Arial" w:cs="Arial"/>
          <w:color w:val="000000" w:themeColor="text1"/>
          <w:sz w:val="22"/>
          <w:szCs w:val="22"/>
        </w:rPr>
        <w:t xml:space="preserve"> rose steadily to a peak of 2.97 in 2002, showing that catches were maintained by expanding effort and targeting lower-trophic species. After 2008, the FiB index dropped sharply to 2.08 and became volatile, signaling that ecological limits to expansion had been reached.</w:t>
      </w:r>
    </w:p>
    <w:p w:rsidR="00367745" w:rsidRPr="0018202F" w:rsidRDefault="00367745" w:rsidP="00B77666">
      <w:pPr>
        <w:spacing w:before="240" w:after="240"/>
        <w:jc w:val="both"/>
        <w:rPr>
          <w:rFonts w:ascii="Arial" w:hAnsi="Arial" w:cs="Arial"/>
          <w:color w:val="000000" w:themeColor="text1"/>
          <w:sz w:val="22"/>
          <w:szCs w:val="22"/>
        </w:rPr>
      </w:pPr>
      <w:r w:rsidRPr="0018202F">
        <w:rPr>
          <w:rFonts w:ascii="Arial" w:hAnsi="Arial" w:cs="Arial"/>
          <w:noProof/>
        </w:rPr>
        <w:drawing>
          <wp:inline distT="0" distB="0" distL="0" distR="0" wp14:anchorId="0926302C" wp14:editId="1912BFBC">
            <wp:extent cx="5727700" cy="999288"/>
            <wp:effectExtent l="12700" t="12700" r="12700" b="17145"/>
            <wp:docPr id="165711594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7115946" name="Picture 1657115946"/>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27700" cy="999288"/>
                    </a:xfrm>
                    <a:prstGeom prst="rect">
                      <a:avLst/>
                    </a:prstGeom>
                    <a:ln>
                      <a:solidFill>
                        <a:schemeClr val="accent5">
                          <a:lumMod val="20000"/>
                          <a:lumOff val="80000"/>
                        </a:schemeClr>
                      </a:solidFill>
                    </a:ln>
                  </pic:spPr>
                </pic:pic>
              </a:graphicData>
            </a:graphic>
          </wp:inline>
        </w:drawing>
      </w:r>
    </w:p>
    <w:p w:rsidR="00367745" w:rsidRPr="0018202F" w:rsidRDefault="00E0545C" w:rsidP="00D202D3">
      <w:pPr>
        <w:pStyle w:val="Caption"/>
        <w:snapToGrid w:val="0"/>
        <w:spacing w:after="0"/>
        <w:rPr>
          <w:rFonts w:ascii="Arial" w:hAnsi="Arial" w:cs="Arial"/>
          <w:i w:val="0"/>
          <w:iCs w:val="0"/>
          <w:color w:val="002060"/>
          <w:sz w:val="21"/>
          <w:szCs w:val="21"/>
        </w:rPr>
      </w:pPr>
      <w:bookmarkStart w:id="34" w:name="_Ref215235622"/>
      <w:bookmarkStart w:id="35" w:name="_Toc215223773"/>
      <w:r w:rsidRPr="0018202F">
        <w:rPr>
          <w:rFonts w:ascii="Arial" w:hAnsi="Arial" w:cs="Arial"/>
          <w:i w:val="0"/>
          <w:iCs w:val="0"/>
          <w:color w:val="002060"/>
          <w:sz w:val="21"/>
          <w:szCs w:val="21"/>
        </w:rPr>
        <w:t>Figure 5-</w:t>
      </w:r>
      <w:r w:rsidRPr="0018202F">
        <w:rPr>
          <w:rFonts w:ascii="Arial" w:hAnsi="Arial" w:cs="Arial"/>
          <w:i w:val="0"/>
          <w:iCs w:val="0"/>
          <w:color w:val="002060"/>
          <w:sz w:val="21"/>
          <w:szCs w:val="21"/>
        </w:rPr>
        <w:fldChar w:fldCharType="begin"/>
      </w:r>
      <w:r w:rsidRPr="0018202F">
        <w:rPr>
          <w:rFonts w:ascii="Arial" w:hAnsi="Arial" w:cs="Arial"/>
          <w:i w:val="0"/>
          <w:iCs w:val="0"/>
          <w:color w:val="002060"/>
          <w:sz w:val="21"/>
          <w:szCs w:val="21"/>
        </w:rPr>
        <w:instrText xml:space="preserve"> SEQ Figure_5- \* ARABIC </w:instrText>
      </w:r>
      <w:r w:rsidRPr="0018202F">
        <w:rPr>
          <w:rFonts w:ascii="Arial" w:hAnsi="Arial" w:cs="Arial"/>
          <w:i w:val="0"/>
          <w:iCs w:val="0"/>
          <w:color w:val="002060"/>
          <w:sz w:val="21"/>
          <w:szCs w:val="21"/>
        </w:rPr>
        <w:fldChar w:fldCharType="separate"/>
      </w:r>
      <w:r w:rsidR="00F72397">
        <w:rPr>
          <w:rFonts w:ascii="Arial" w:hAnsi="Arial" w:cs="Arial"/>
          <w:i w:val="0"/>
          <w:iCs w:val="0"/>
          <w:noProof/>
          <w:color w:val="002060"/>
          <w:sz w:val="21"/>
          <w:szCs w:val="21"/>
        </w:rPr>
        <w:t>5</w:t>
      </w:r>
      <w:r w:rsidRPr="0018202F">
        <w:rPr>
          <w:rFonts w:ascii="Arial" w:hAnsi="Arial" w:cs="Arial"/>
          <w:i w:val="0"/>
          <w:iCs w:val="0"/>
          <w:color w:val="002060"/>
          <w:sz w:val="21"/>
          <w:szCs w:val="21"/>
        </w:rPr>
        <w:fldChar w:fldCharType="end"/>
      </w:r>
      <w:bookmarkEnd w:id="34"/>
      <w:r w:rsidR="00367745" w:rsidRPr="0018202F">
        <w:rPr>
          <w:rFonts w:ascii="Arial" w:hAnsi="Arial" w:cs="Arial"/>
          <w:i w:val="0"/>
          <w:iCs w:val="0"/>
          <w:color w:val="002060"/>
          <w:sz w:val="21"/>
          <w:szCs w:val="21"/>
        </w:rPr>
        <w:t xml:space="preserve"> Mean trophic level (Marine Trophic Index or MTI) and FiB index in Cambodian waters</w:t>
      </w:r>
      <w:bookmarkEnd w:id="35"/>
    </w:p>
    <w:p w:rsidR="00AE6FF1" w:rsidRPr="0018202F" w:rsidRDefault="007449CA" w:rsidP="00B77666">
      <w:pPr>
        <w:adjustRightInd w:val="0"/>
        <w:snapToGrid w:val="0"/>
        <w:spacing w:before="120"/>
        <w:jc w:val="both"/>
        <w:rPr>
          <w:rStyle w:val="Emphasis"/>
          <w:rFonts w:ascii="Arial" w:hAnsi="Arial" w:cs="Arial"/>
          <w:color w:val="000000" w:themeColor="text1"/>
          <w:sz w:val="18"/>
          <w:szCs w:val="18"/>
        </w:rPr>
      </w:pPr>
      <w:r w:rsidRPr="0018202F">
        <w:rPr>
          <w:rStyle w:val="Strong"/>
          <w:rFonts w:ascii="Arial" w:hAnsi="Arial" w:cs="Arial"/>
          <w:color w:val="000000" w:themeColor="text1"/>
          <w:sz w:val="18"/>
          <w:szCs w:val="18"/>
        </w:rPr>
        <w:t>Source:</w:t>
      </w:r>
      <w:r w:rsidRPr="0018202F">
        <w:rPr>
          <w:rStyle w:val="Emphasis"/>
          <w:rFonts w:ascii="Arial" w:hAnsi="Arial" w:cs="Arial"/>
          <w:color w:val="000000" w:themeColor="text1"/>
          <w:sz w:val="18"/>
          <w:szCs w:val="18"/>
        </w:rPr>
        <w:t xml:space="preserve"> Sea Around Us (SAU)</w:t>
      </w:r>
    </w:p>
    <w:p w:rsidR="00B77666" w:rsidRPr="0018202F" w:rsidRDefault="00B77666" w:rsidP="00B77666">
      <w:pPr>
        <w:spacing w:before="240" w:after="240"/>
        <w:jc w:val="both"/>
        <w:rPr>
          <w:rFonts w:ascii="Arial" w:hAnsi="Arial" w:cs="Arial"/>
          <w:color w:val="000000" w:themeColor="text1"/>
          <w:sz w:val="22"/>
          <w:szCs w:val="22"/>
        </w:rPr>
      </w:pPr>
      <w:r w:rsidRPr="0018202F">
        <w:rPr>
          <w:rFonts w:ascii="Arial" w:hAnsi="Arial" w:cs="Arial"/>
          <w:color w:val="000000" w:themeColor="text1"/>
          <w:sz w:val="22"/>
          <w:szCs w:val="22"/>
        </w:rPr>
        <w:t>Together, MTI and FiB trends indicate a heavily pressured and simplified marine ecosystem, with declining recovery potential and growing risk unless stock rebuilding, habitat protection and effort-reduction measures are strengthened.</w:t>
      </w:r>
    </w:p>
    <w:p w:rsidR="007449CA" w:rsidRPr="006D4D25" w:rsidRDefault="007449CA" w:rsidP="00DA47BA">
      <w:pPr>
        <w:pStyle w:val="Heading4"/>
        <w:keepNext/>
        <w:rPr>
          <w:rStyle w:val="Strong"/>
          <w:rFonts w:ascii="Arial" w:hAnsi="Arial" w:cs="Arial"/>
          <w:b/>
          <w:bCs/>
          <w:color w:val="0070C0"/>
          <w:sz w:val="22"/>
          <w:szCs w:val="22"/>
        </w:rPr>
      </w:pPr>
      <w:r w:rsidRPr="006D4D25">
        <w:rPr>
          <w:rStyle w:val="Strong"/>
          <w:rFonts w:ascii="Arial" w:hAnsi="Arial" w:cs="Arial"/>
          <w:b/>
          <w:bCs/>
          <w:color w:val="0070C0"/>
          <w:sz w:val="22"/>
          <w:szCs w:val="22"/>
        </w:rPr>
        <w:t xml:space="preserve">5.2.2.3 </w:t>
      </w:r>
      <w:r w:rsidR="00DA47BA" w:rsidRPr="006D4D25">
        <w:rPr>
          <w:rStyle w:val="Strong"/>
          <w:rFonts w:ascii="Arial" w:hAnsi="Arial" w:cs="Arial"/>
          <w:b/>
          <w:bCs/>
          <w:color w:val="0070C0"/>
          <w:sz w:val="22"/>
          <w:szCs w:val="22"/>
        </w:rPr>
        <w:t>Primary Production Required (PPR)</w:t>
      </w:r>
    </w:p>
    <w:p w:rsidR="00B77666" w:rsidRPr="0018202F" w:rsidRDefault="00B77666" w:rsidP="00B77666">
      <w:pPr>
        <w:pStyle w:val="NormalWeb"/>
        <w:jc w:val="both"/>
        <w:rPr>
          <w:rFonts w:ascii="Arial" w:hAnsi="Arial" w:cs="Arial"/>
          <w:sz w:val="22"/>
          <w:szCs w:val="22"/>
        </w:rPr>
      </w:pPr>
      <w:r w:rsidRPr="0018202F">
        <w:rPr>
          <w:rFonts w:ascii="Arial" w:hAnsi="Arial" w:cs="Arial"/>
          <w:sz w:val="22"/>
          <w:szCs w:val="22"/>
        </w:rPr>
        <w:t>PPR measures how much of the ocean’s primary productivity is needed to support fisheries. Cambodia’s fisheries operated well within ecological limits until the early 1970s</w:t>
      </w:r>
      <w:r w:rsidR="00223AEE" w:rsidRPr="0018202F">
        <w:rPr>
          <w:rFonts w:ascii="Arial" w:hAnsi="Arial" w:cs="Arial"/>
          <w:sz w:val="22"/>
          <w:szCs w:val="22"/>
        </w:rPr>
        <w:t xml:space="preserve"> (</w:t>
      </w:r>
      <w:r w:rsidR="00223AEE" w:rsidRPr="0018202F">
        <w:rPr>
          <w:rFonts w:ascii="Arial" w:hAnsi="Arial" w:cs="Arial"/>
          <w:sz w:val="22"/>
          <w:szCs w:val="22"/>
        </w:rPr>
        <w:fldChar w:fldCharType="begin"/>
      </w:r>
      <w:r w:rsidR="00223AEE" w:rsidRPr="0018202F">
        <w:rPr>
          <w:rFonts w:ascii="Arial" w:hAnsi="Arial" w:cs="Arial"/>
          <w:sz w:val="22"/>
          <w:szCs w:val="22"/>
        </w:rPr>
        <w:instrText xml:space="preserve"> REF _Ref215237818 \h </w:instrText>
      </w:r>
      <w:r w:rsidR="0018202F">
        <w:rPr>
          <w:rFonts w:ascii="Arial" w:hAnsi="Arial" w:cs="Arial"/>
          <w:sz w:val="22"/>
          <w:szCs w:val="22"/>
        </w:rPr>
        <w:instrText xml:space="preserve"> \* MERGEFORMAT </w:instrText>
      </w:r>
      <w:r w:rsidR="00223AEE" w:rsidRPr="0018202F">
        <w:rPr>
          <w:rFonts w:ascii="Arial" w:hAnsi="Arial" w:cs="Arial"/>
          <w:sz w:val="22"/>
          <w:szCs w:val="22"/>
        </w:rPr>
      </w:r>
      <w:r w:rsidR="00223AEE" w:rsidRPr="0018202F">
        <w:rPr>
          <w:rFonts w:ascii="Arial" w:hAnsi="Arial" w:cs="Arial"/>
          <w:sz w:val="22"/>
          <w:szCs w:val="22"/>
        </w:rPr>
        <w:fldChar w:fldCharType="separate"/>
      </w:r>
      <w:r w:rsidR="00F72397" w:rsidRPr="00F72397">
        <w:rPr>
          <w:rFonts w:ascii="Arial" w:hAnsi="Arial" w:cs="Arial"/>
          <w:color w:val="0070C0"/>
          <w:sz w:val="21"/>
          <w:szCs w:val="21"/>
        </w:rPr>
        <w:t>Figure 5-6</w:t>
      </w:r>
      <w:r w:rsidR="00223AEE" w:rsidRPr="0018202F">
        <w:rPr>
          <w:rFonts w:ascii="Arial" w:hAnsi="Arial" w:cs="Arial"/>
          <w:sz w:val="22"/>
          <w:szCs w:val="22"/>
        </w:rPr>
        <w:fldChar w:fldCharType="end"/>
      </w:r>
      <w:r w:rsidR="00223AEE" w:rsidRPr="0018202F">
        <w:rPr>
          <w:rFonts w:ascii="Arial" w:hAnsi="Arial" w:cs="Arial"/>
          <w:sz w:val="22"/>
          <w:szCs w:val="22"/>
        </w:rPr>
        <w:t>)</w:t>
      </w:r>
      <w:r w:rsidRPr="0018202F">
        <w:rPr>
          <w:rFonts w:ascii="Arial" w:hAnsi="Arial" w:cs="Arial"/>
          <w:sz w:val="22"/>
          <w:szCs w:val="22"/>
        </w:rPr>
        <w:t xml:space="preserve">, with </w:t>
      </w:r>
      <w:r w:rsidRPr="0018202F">
        <w:rPr>
          <w:rStyle w:val="Strong"/>
          <w:rFonts w:ascii="Arial" w:hAnsi="Arial" w:cs="Arial"/>
          <w:b w:val="0"/>
          <w:bCs w:val="0"/>
          <w:sz w:val="22"/>
          <w:szCs w:val="22"/>
        </w:rPr>
        <w:t>PPR &lt; 1.0</w:t>
      </w:r>
      <w:r w:rsidRPr="0018202F">
        <w:rPr>
          <w:rFonts w:ascii="Arial" w:hAnsi="Arial" w:cs="Arial"/>
          <w:b/>
          <w:bCs/>
          <w:sz w:val="22"/>
          <w:szCs w:val="22"/>
        </w:rPr>
        <w:t>.</w:t>
      </w:r>
      <w:r w:rsidRPr="0018202F">
        <w:rPr>
          <w:rFonts w:ascii="Arial" w:hAnsi="Arial" w:cs="Arial"/>
          <w:sz w:val="22"/>
          <w:szCs w:val="22"/>
        </w:rPr>
        <w:t xml:space="preserve"> From the late 1970s onward, however, PPR rose sharply, </w:t>
      </w:r>
      <w:r w:rsidRPr="0018202F">
        <w:rPr>
          <w:rStyle w:val="Strong"/>
          <w:rFonts w:ascii="Arial" w:hAnsi="Arial" w:cs="Arial"/>
          <w:b w:val="0"/>
          <w:bCs w:val="0"/>
          <w:sz w:val="22"/>
          <w:szCs w:val="22"/>
        </w:rPr>
        <w:t>peaking at 2.30 in the early 2000s</w:t>
      </w:r>
      <w:r w:rsidRPr="0018202F">
        <w:rPr>
          <w:rFonts w:ascii="Arial" w:hAnsi="Arial" w:cs="Arial"/>
          <w:b/>
          <w:bCs/>
          <w:sz w:val="22"/>
          <w:szCs w:val="22"/>
        </w:rPr>
        <w:t>,</w:t>
      </w:r>
      <w:r w:rsidRPr="0018202F">
        <w:rPr>
          <w:rFonts w:ascii="Arial" w:hAnsi="Arial" w:cs="Arial"/>
          <w:sz w:val="22"/>
          <w:szCs w:val="22"/>
        </w:rPr>
        <w:t xml:space="preserve"> meaning fishing required more than twice the primary production available—clear evidence of overexploitation.</w:t>
      </w:r>
      <w:r w:rsidR="00D17953" w:rsidRPr="0018202F">
        <w:rPr>
          <w:rFonts w:ascii="Arial" w:hAnsi="Arial" w:cs="Arial"/>
          <w:sz w:val="22"/>
          <w:szCs w:val="22"/>
        </w:rPr>
        <w:t xml:space="preserve"> Despite Cambodia’s naturally productive EEZ </w:t>
      </w:r>
      <w:r w:rsidR="00D17953" w:rsidRPr="0018202F">
        <w:rPr>
          <w:rStyle w:val="Strong"/>
          <w:rFonts w:ascii="Arial" w:hAnsi="Arial" w:cs="Arial"/>
          <w:b w:val="0"/>
          <w:bCs w:val="0"/>
          <w:sz w:val="22"/>
          <w:szCs w:val="22"/>
        </w:rPr>
        <w:t>(47,676 km²) and inshore fishing area (22,666 km²), with an estimated primary production rate of 652.71 mgC/m²/day</w:t>
      </w:r>
      <w:r w:rsidR="00D17953" w:rsidRPr="0018202F">
        <w:rPr>
          <w:rFonts w:ascii="Arial" w:hAnsi="Arial" w:cs="Arial"/>
          <w:sz w:val="22"/>
          <w:szCs w:val="22"/>
        </w:rPr>
        <w:t xml:space="preserve">, persistently high PPR values (especially </w:t>
      </w:r>
      <w:r w:rsidR="00D17953" w:rsidRPr="0018202F">
        <w:rPr>
          <w:rStyle w:val="Strong"/>
          <w:rFonts w:ascii="Arial" w:hAnsi="Arial" w:cs="Arial"/>
          <w:b w:val="0"/>
          <w:bCs w:val="0"/>
          <w:sz w:val="22"/>
          <w:szCs w:val="22"/>
        </w:rPr>
        <w:t>1990–2010</w:t>
      </w:r>
      <w:r w:rsidR="00D17953" w:rsidRPr="0018202F">
        <w:rPr>
          <w:rFonts w:ascii="Arial" w:hAnsi="Arial" w:cs="Arial"/>
          <w:b/>
          <w:bCs/>
          <w:sz w:val="22"/>
          <w:szCs w:val="22"/>
        </w:rPr>
        <w:t>)</w:t>
      </w:r>
      <w:r w:rsidR="00D17953" w:rsidRPr="0018202F">
        <w:rPr>
          <w:rFonts w:ascii="Arial" w:hAnsi="Arial" w:cs="Arial"/>
          <w:sz w:val="22"/>
          <w:szCs w:val="22"/>
        </w:rPr>
        <w:t xml:space="preserve"> show that harvest levels exceeded the system’s regenerative capacity. The footprint also reflects substantial foreign-fleet pressure, underscoring the transboundary nature of ecosystem stress. Overall, PPR trends signal an ecosystem operating </w:t>
      </w:r>
      <w:r w:rsidR="00D17953" w:rsidRPr="0018202F">
        <w:rPr>
          <w:rStyle w:val="Strong"/>
          <w:rFonts w:ascii="Arial" w:hAnsi="Arial" w:cs="Arial"/>
          <w:b w:val="0"/>
          <w:bCs w:val="0"/>
          <w:sz w:val="22"/>
          <w:szCs w:val="22"/>
        </w:rPr>
        <w:t>at or beyond its limits</w:t>
      </w:r>
      <w:r w:rsidR="00D17953" w:rsidRPr="0018202F">
        <w:rPr>
          <w:rFonts w:ascii="Arial" w:hAnsi="Arial" w:cs="Arial"/>
          <w:sz w:val="22"/>
          <w:szCs w:val="22"/>
        </w:rPr>
        <w:t>, reinforcing the need for reduced effort, stronger stock management and regional cooperation.</w:t>
      </w:r>
    </w:p>
    <w:p w:rsidR="00897660" w:rsidRPr="0018202F" w:rsidRDefault="00897660" w:rsidP="00B77666">
      <w:pPr>
        <w:adjustRightInd w:val="0"/>
        <w:snapToGrid w:val="0"/>
        <w:jc w:val="center"/>
        <w:rPr>
          <w:rStyle w:val="Strong"/>
          <w:rFonts w:ascii="Arial" w:hAnsi="Arial" w:cs="Arial"/>
          <w:b w:val="0"/>
          <w:bCs w:val="0"/>
          <w:sz w:val="22"/>
          <w:szCs w:val="22"/>
        </w:rPr>
      </w:pPr>
      <w:r w:rsidRPr="0018202F">
        <w:rPr>
          <w:rFonts w:ascii="Arial" w:hAnsi="Arial" w:cs="Arial"/>
          <w:noProof/>
        </w:rPr>
        <w:drawing>
          <wp:inline distT="0" distB="0" distL="0" distR="0" wp14:anchorId="018CEDBF" wp14:editId="16896858">
            <wp:extent cx="5668052" cy="3472884"/>
            <wp:effectExtent l="12700" t="12700" r="8890" b="6985"/>
            <wp:docPr id="2144606917" name="Picture 3" descr="A graph of blue and white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606917" name="Picture 3" descr="A graph of blue and white lines&#10;&#10;AI-generated content may be incorrect."/>
                    <pic:cNvPicPr/>
                  </pic:nvPicPr>
                  <pic:blipFill rotWithShape="1">
                    <a:blip r:embed="rId15" cstate="print">
                      <a:extLst>
                        <a:ext uri="{28A0092B-C50C-407E-A947-70E740481C1C}">
                          <a14:useLocalDpi xmlns:a14="http://schemas.microsoft.com/office/drawing/2010/main" val="0"/>
                        </a:ext>
                      </a:extLst>
                    </a:blip>
                    <a:srcRect b="1207"/>
                    <a:stretch/>
                  </pic:blipFill>
                  <pic:spPr bwMode="auto">
                    <a:xfrm>
                      <a:off x="0" y="0"/>
                      <a:ext cx="5721368" cy="3505552"/>
                    </a:xfrm>
                    <a:prstGeom prst="rect">
                      <a:avLst/>
                    </a:prstGeom>
                    <a:ln>
                      <a:solidFill>
                        <a:schemeClr val="accent5">
                          <a:lumMod val="20000"/>
                          <a:lumOff val="80000"/>
                        </a:schemeClr>
                      </a:solidFill>
                    </a:ln>
                    <a:extLst>
                      <a:ext uri="{53640926-AAD7-44D8-BBD7-CCE9431645EC}">
                        <a14:shadowObscured xmlns:a14="http://schemas.microsoft.com/office/drawing/2010/main"/>
                      </a:ext>
                    </a:extLst>
                  </pic:spPr>
                </pic:pic>
              </a:graphicData>
            </a:graphic>
          </wp:inline>
        </w:drawing>
      </w:r>
    </w:p>
    <w:p w:rsidR="00695251" w:rsidRPr="0018202F" w:rsidRDefault="00E0545C" w:rsidP="00D202D3">
      <w:pPr>
        <w:pStyle w:val="Caption"/>
        <w:snapToGrid w:val="0"/>
        <w:spacing w:after="0"/>
        <w:rPr>
          <w:rFonts w:ascii="Arial" w:hAnsi="Arial" w:cs="Arial"/>
          <w:i w:val="0"/>
          <w:iCs w:val="0"/>
          <w:color w:val="002060"/>
          <w:sz w:val="21"/>
          <w:szCs w:val="21"/>
        </w:rPr>
      </w:pPr>
      <w:bookmarkStart w:id="36" w:name="_Ref215237818"/>
      <w:bookmarkStart w:id="37" w:name="_Toc215223774"/>
      <w:r w:rsidRPr="0018202F">
        <w:rPr>
          <w:rFonts w:ascii="Arial" w:hAnsi="Arial" w:cs="Arial"/>
          <w:i w:val="0"/>
          <w:iCs w:val="0"/>
          <w:color w:val="002060"/>
          <w:sz w:val="21"/>
          <w:szCs w:val="21"/>
        </w:rPr>
        <w:t>Figure 5-</w:t>
      </w:r>
      <w:r w:rsidRPr="0018202F">
        <w:rPr>
          <w:rFonts w:ascii="Arial" w:hAnsi="Arial" w:cs="Arial"/>
          <w:i w:val="0"/>
          <w:iCs w:val="0"/>
          <w:color w:val="002060"/>
          <w:sz w:val="21"/>
          <w:szCs w:val="21"/>
        </w:rPr>
        <w:fldChar w:fldCharType="begin"/>
      </w:r>
      <w:r w:rsidRPr="0018202F">
        <w:rPr>
          <w:rFonts w:ascii="Arial" w:hAnsi="Arial" w:cs="Arial"/>
          <w:i w:val="0"/>
          <w:iCs w:val="0"/>
          <w:color w:val="002060"/>
          <w:sz w:val="21"/>
          <w:szCs w:val="21"/>
        </w:rPr>
        <w:instrText xml:space="preserve"> SEQ Figure_5- \* ARABIC </w:instrText>
      </w:r>
      <w:r w:rsidRPr="0018202F">
        <w:rPr>
          <w:rFonts w:ascii="Arial" w:hAnsi="Arial" w:cs="Arial"/>
          <w:i w:val="0"/>
          <w:iCs w:val="0"/>
          <w:color w:val="002060"/>
          <w:sz w:val="21"/>
          <w:szCs w:val="21"/>
        </w:rPr>
        <w:fldChar w:fldCharType="separate"/>
      </w:r>
      <w:r w:rsidR="00F72397">
        <w:rPr>
          <w:rFonts w:ascii="Arial" w:hAnsi="Arial" w:cs="Arial"/>
          <w:i w:val="0"/>
          <w:iCs w:val="0"/>
          <w:noProof/>
          <w:color w:val="002060"/>
          <w:sz w:val="21"/>
          <w:szCs w:val="21"/>
        </w:rPr>
        <w:t>6</w:t>
      </w:r>
      <w:r w:rsidRPr="0018202F">
        <w:rPr>
          <w:rFonts w:ascii="Arial" w:hAnsi="Arial" w:cs="Arial"/>
          <w:i w:val="0"/>
          <w:iCs w:val="0"/>
          <w:color w:val="002060"/>
          <w:sz w:val="21"/>
          <w:szCs w:val="21"/>
        </w:rPr>
        <w:fldChar w:fldCharType="end"/>
      </w:r>
      <w:bookmarkEnd w:id="36"/>
      <w:r w:rsidR="00695251" w:rsidRPr="0018202F">
        <w:rPr>
          <w:rFonts w:ascii="Arial" w:hAnsi="Arial" w:cs="Arial"/>
          <w:i w:val="0"/>
          <w:iCs w:val="0"/>
          <w:color w:val="002060"/>
          <w:sz w:val="21"/>
          <w:szCs w:val="21"/>
        </w:rPr>
        <w:t xml:space="preserve"> Primary Production Required for catches in the waters of Cambodia</w:t>
      </w:r>
      <w:bookmarkEnd w:id="37"/>
    </w:p>
    <w:p w:rsidR="00C855D5" w:rsidRPr="0018202F" w:rsidRDefault="00695251" w:rsidP="00C855D5">
      <w:pPr>
        <w:adjustRightInd w:val="0"/>
        <w:snapToGrid w:val="0"/>
        <w:jc w:val="both"/>
        <w:rPr>
          <w:rStyle w:val="Strong"/>
          <w:rFonts w:ascii="Arial" w:hAnsi="Arial" w:cs="Arial"/>
          <w:b w:val="0"/>
          <w:bCs w:val="0"/>
          <w:i/>
          <w:iCs/>
          <w:color w:val="0070C0"/>
          <w:sz w:val="21"/>
          <w:szCs w:val="21"/>
        </w:rPr>
      </w:pPr>
      <w:r w:rsidRPr="0018202F">
        <w:rPr>
          <w:rStyle w:val="Strong"/>
          <w:rFonts w:ascii="Arial" w:hAnsi="Arial" w:cs="Arial"/>
          <w:color w:val="000000" w:themeColor="text1"/>
          <w:sz w:val="18"/>
          <w:szCs w:val="18"/>
        </w:rPr>
        <w:t>Source:</w:t>
      </w:r>
      <w:r w:rsidRPr="0018202F">
        <w:rPr>
          <w:rStyle w:val="Emphasis"/>
          <w:rFonts w:ascii="Arial" w:hAnsi="Arial" w:cs="Arial"/>
          <w:color w:val="000000" w:themeColor="text1"/>
          <w:sz w:val="18"/>
          <w:szCs w:val="18"/>
        </w:rPr>
        <w:t xml:space="preserve"> Sea Around Us (SAU)</w:t>
      </w:r>
      <w:r w:rsidR="00B77666" w:rsidRPr="0018202F">
        <w:rPr>
          <w:rStyle w:val="Strong"/>
          <w:rFonts w:ascii="Arial" w:hAnsi="Arial" w:cs="Arial"/>
          <w:b w:val="0"/>
          <w:bCs w:val="0"/>
          <w:i/>
          <w:iCs/>
          <w:color w:val="0070C0"/>
          <w:sz w:val="21"/>
          <w:szCs w:val="21"/>
        </w:rPr>
        <w:t xml:space="preserve"> </w:t>
      </w:r>
    </w:p>
    <w:p w:rsidR="009D4420" w:rsidRPr="006D4D25" w:rsidRDefault="009D4420" w:rsidP="009D4420">
      <w:pPr>
        <w:pStyle w:val="Heading4"/>
        <w:keepNext/>
        <w:rPr>
          <w:rStyle w:val="Strong"/>
          <w:rFonts w:ascii="Arial" w:hAnsi="Arial" w:cs="Arial"/>
          <w:b/>
          <w:bCs/>
          <w:color w:val="0070C0"/>
          <w:sz w:val="22"/>
          <w:szCs w:val="22"/>
        </w:rPr>
      </w:pPr>
      <w:r w:rsidRPr="006D4D25">
        <w:rPr>
          <w:rStyle w:val="Strong"/>
          <w:rFonts w:ascii="Arial" w:hAnsi="Arial" w:cs="Arial"/>
          <w:b/>
          <w:bCs/>
          <w:color w:val="0070C0"/>
          <w:sz w:val="22"/>
          <w:szCs w:val="22"/>
        </w:rPr>
        <w:t xml:space="preserve">5.2.2.4 Fish Biomass </w:t>
      </w:r>
    </w:p>
    <w:p w:rsidR="00D17953" w:rsidRPr="0018202F" w:rsidRDefault="00D17953" w:rsidP="00D17953">
      <w:pPr>
        <w:spacing w:before="240" w:after="240"/>
        <w:jc w:val="both"/>
        <w:rPr>
          <w:rStyle w:val="Strong"/>
          <w:rFonts w:ascii="Arial" w:hAnsi="Arial" w:cs="Arial"/>
          <w:b w:val="0"/>
          <w:bCs w:val="0"/>
          <w:sz w:val="22"/>
          <w:szCs w:val="22"/>
        </w:rPr>
      </w:pPr>
      <w:r w:rsidRPr="0018202F">
        <w:rPr>
          <w:rStyle w:val="Strong"/>
          <w:rFonts w:ascii="Arial" w:hAnsi="Arial" w:cs="Arial"/>
          <w:b w:val="0"/>
          <w:bCs w:val="0"/>
          <w:sz w:val="22"/>
          <w:szCs w:val="22"/>
        </w:rPr>
        <w:t>Cambodia lacks nationwide biomass estimates, but all available evidence points to severe long-term depletion. Historical SEAFDEC trawl surveys show demersal CPUE falling from 173 kg/hour (1966) to 21 kg/hour (1995)—an 80–90% biomass loss—with a joint Thai–Cambodian survey in 2019 confirming low levels (26.27 kg/hour). Sea Around Us indicators similarly show that by the 1990s over 70% of assessed stocks were over-exploited or collapsed, accompanied by declining MTI and unstable FiB values.</w:t>
      </w:r>
    </w:p>
    <w:p w:rsidR="0037763E" w:rsidRPr="0018202F" w:rsidRDefault="00D17953" w:rsidP="00D17953">
      <w:pPr>
        <w:spacing w:before="240" w:after="240"/>
        <w:jc w:val="both"/>
        <w:rPr>
          <w:rStyle w:val="Strong"/>
          <w:rFonts w:ascii="Arial" w:hAnsi="Arial" w:cs="Arial"/>
          <w:b w:val="0"/>
          <w:bCs w:val="0"/>
          <w:sz w:val="22"/>
          <w:szCs w:val="22"/>
        </w:rPr>
      </w:pPr>
      <w:r w:rsidRPr="0018202F">
        <w:rPr>
          <w:rStyle w:val="Strong"/>
          <w:rFonts w:ascii="Arial" w:hAnsi="Arial" w:cs="Arial"/>
          <w:b w:val="0"/>
          <w:bCs w:val="0"/>
          <w:sz w:val="22"/>
          <w:szCs w:val="22"/>
        </w:rPr>
        <w:t>Site-level studies at Koh Rong and Koh Sdach report reef-fish communities dominated by small planktivores and herbivores, with few large predators remaining. Inland systems mirror this pattern: better-governed Community Fish Refuges maintain higher biomass, while open-access areas show rapid decline. Overall, both marine and inland fisheries face critical biomass pressure, highlighting the need for systematic monitoring and adaptive co-management.</w:t>
      </w:r>
    </w:p>
    <w:p w:rsidR="00F653C4" w:rsidRPr="006D4D25" w:rsidRDefault="00F653C4" w:rsidP="009D4420">
      <w:pPr>
        <w:pStyle w:val="Heading4"/>
        <w:keepNext/>
        <w:rPr>
          <w:rStyle w:val="Strong"/>
          <w:rFonts w:ascii="Arial" w:hAnsi="Arial" w:cs="Arial"/>
          <w:b/>
          <w:bCs/>
          <w:color w:val="0070C0"/>
          <w:sz w:val="22"/>
          <w:szCs w:val="22"/>
        </w:rPr>
      </w:pPr>
      <w:r w:rsidRPr="006D4D25">
        <w:rPr>
          <w:rStyle w:val="Strong"/>
          <w:rFonts w:ascii="Arial" w:hAnsi="Arial" w:cs="Arial"/>
          <w:b/>
          <w:bCs/>
          <w:color w:val="0070C0"/>
          <w:sz w:val="22"/>
          <w:szCs w:val="22"/>
        </w:rPr>
        <w:t>5.2.2.5 Catch from Bottom Impacting Gear</w:t>
      </w:r>
    </w:p>
    <w:p w:rsidR="00D17953" w:rsidRPr="0018202F" w:rsidRDefault="00D17953" w:rsidP="00D17953">
      <w:pPr>
        <w:pStyle w:val="NormalWeb"/>
        <w:jc w:val="both"/>
        <w:rPr>
          <w:rStyle w:val="Strong"/>
          <w:rFonts w:ascii="Arial" w:hAnsi="Arial" w:cs="Arial"/>
          <w:b w:val="0"/>
          <w:bCs w:val="0"/>
          <w:sz w:val="22"/>
          <w:szCs w:val="22"/>
        </w:rPr>
      </w:pPr>
      <w:r w:rsidRPr="0018202F">
        <w:rPr>
          <w:rStyle w:val="Strong"/>
          <w:rFonts w:ascii="Arial" w:hAnsi="Arial" w:cs="Arial"/>
          <w:b w:val="0"/>
          <w:bCs w:val="0"/>
          <w:sz w:val="22"/>
          <w:szCs w:val="22"/>
        </w:rPr>
        <w:t>Bottom trawling remains the dominant gear, generating 55–60% of marine landings but causing extensive habitat damage. Continuous seabed contact degrades coral, seagrass and nursery grounds, resuspends sediments, and contributes to long-term productivity decline—reflected in the Marine Trophic Index drop from 3.83 (1960) → 3.47 (1992) and only partial stabilization since.</w:t>
      </w:r>
    </w:p>
    <w:p w:rsidR="0037763E" w:rsidRPr="0018202F" w:rsidRDefault="00D17953" w:rsidP="00D17953">
      <w:pPr>
        <w:pStyle w:val="NormalWeb"/>
        <w:jc w:val="both"/>
        <w:rPr>
          <w:rStyle w:val="Strong"/>
          <w:rFonts w:ascii="Arial" w:hAnsi="Arial" w:cs="Arial"/>
          <w:b w:val="0"/>
          <w:bCs w:val="0"/>
          <w:sz w:val="22"/>
          <w:szCs w:val="22"/>
        </w:rPr>
      </w:pPr>
      <w:r w:rsidRPr="0018202F">
        <w:rPr>
          <w:rStyle w:val="Strong"/>
          <w:rFonts w:ascii="Arial" w:hAnsi="Arial" w:cs="Arial"/>
          <w:b w:val="0"/>
          <w:bCs w:val="0"/>
          <w:sz w:val="22"/>
          <w:szCs w:val="22"/>
        </w:rPr>
        <w:t>Despite relatively high trawl CPUE (~252 kg/day in 2023) on shallow shelves of Kampot, Preah Sihanouk and Koh Kong, catches are increasingly dominated by juveniles and low-value species. “Trash fish” now account for 35–45% of trawl landings, much of it used for fishmeal, reflecting intense juvenile removal and fishing-down-the-food-web trends. Stock-status plots show rising overexploitation since the 1990s. Strengthened trawl management—spatial controls, selective gear, and improved bycatch monitoring—is essential to reduce ecological damage and support stock recovery.</w:t>
      </w:r>
    </w:p>
    <w:p w:rsidR="00DE7EFC" w:rsidRPr="006D4D25" w:rsidRDefault="00DE7EFC" w:rsidP="008C3616">
      <w:pPr>
        <w:pStyle w:val="Heading2"/>
        <w:keepNext/>
        <w:keepLines/>
        <w:spacing w:before="40" w:beforeAutospacing="0" w:after="200" w:afterAutospacing="0" w:line="276" w:lineRule="auto"/>
        <w:jc w:val="both"/>
        <w:rPr>
          <w:rFonts w:ascii="Arial" w:eastAsiaTheme="majorEastAsia" w:hAnsi="Arial" w:cs="Arial"/>
          <w:color w:val="000000" w:themeColor="text1"/>
          <w:sz w:val="28"/>
          <w:szCs w:val="28"/>
        </w:rPr>
      </w:pPr>
      <w:bookmarkStart w:id="38" w:name="_Toc217232057"/>
      <w:bookmarkEnd w:id="5"/>
      <w:bookmarkEnd w:id="6"/>
      <w:r w:rsidRPr="006D4D25">
        <w:rPr>
          <w:rFonts w:ascii="Arial" w:eastAsiaTheme="majorEastAsia" w:hAnsi="Arial" w:cs="Arial"/>
          <w:color w:val="000000" w:themeColor="text1"/>
          <w:sz w:val="28"/>
          <w:szCs w:val="28"/>
        </w:rPr>
        <w:t>5.3 Discussion and Conclusions</w:t>
      </w:r>
      <w:bookmarkEnd w:id="38"/>
    </w:p>
    <w:p w:rsidR="00DE7EFC" w:rsidRPr="0018202F" w:rsidRDefault="00DE7EFC" w:rsidP="00B62193">
      <w:pPr>
        <w:keepNext/>
        <w:spacing w:before="100" w:beforeAutospacing="1" w:after="100" w:afterAutospacing="1"/>
        <w:jc w:val="both"/>
        <w:outlineLvl w:val="2"/>
        <w:rPr>
          <w:rFonts w:ascii="Arial" w:hAnsi="Arial" w:cs="Arial"/>
          <w:b/>
          <w:bCs/>
        </w:rPr>
      </w:pPr>
      <w:bookmarkStart w:id="39" w:name="_Toc217232058"/>
      <w:r w:rsidRPr="0018202F">
        <w:rPr>
          <w:rFonts w:ascii="Arial" w:hAnsi="Arial" w:cs="Arial"/>
          <w:b/>
          <w:bCs/>
        </w:rPr>
        <w:t>5.3.1 Transboundary problems, issues and risk assessment</w:t>
      </w:r>
      <w:bookmarkEnd w:id="39"/>
    </w:p>
    <w:p w:rsidR="000A4371" w:rsidRPr="006D4D25" w:rsidRDefault="000A4371" w:rsidP="000A4371">
      <w:pPr>
        <w:pStyle w:val="Heading4"/>
        <w:rPr>
          <w:rFonts w:ascii="Arial" w:hAnsi="Arial" w:cs="Arial"/>
          <w:color w:val="0070C0"/>
          <w:sz w:val="22"/>
          <w:szCs w:val="22"/>
        </w:rPr>
      </w:pPr>
      <w:r w:rsidRPr="006D4D25">
        <w:rPr>
          <w:rStyle w:val="Strong"/>
          <w:rFonts w:ascii="Arial" w:hAnsi="Arial" w:cs="Arial"/>
          <w:b/>
          <w:bCs/>
          <w:color w:val="0070C0"/>
          <w:sz w:val="22"/>
          <w:szCs w:val="22"/>
        </w:rPr>
        <w:t>5.3.1.1 Overexploitation and Stock Depletion</w:t>
      </w:r>
    </w:p>
    <w:p w:rsidR="000A4371" w:rsidRPr="0018202F" w:rsidRDefault="000A4371" w:rsidP="000A4371">
      <w:pPr>
        <w:pStyle w:val="NormalWeb"/>
        <w:jc w:val="both"/>
        <w:rPr>
          <w:rFonts w:ascii="Arial" w:hAnsi="Arial" w:cs="Arial"/>
          <w:sz w:val="22"/>
          <w:szCs w:val="22"/>
        </w:rPr>
      </w:pPr>
      <w:r w:rsidRPr="0018202F">
        <w:rPr>
          <w:rFonts w:ascii="Arial" w:hAnsi="Arial" w:cs="Arial"/>
          <w:sz w:val="22"/>
          <w:szCs w:val="22"/>
        </w:rPr>
        <w:t>Stock-status reconstructions and CPUE trends confirm a long-term regional decline. By the late 2010s, over half of assessed stocks were classified as over-exploited or collapsed, demersal-trawl CPUE had fallen by roughly 80–90 % from 1960s levels, and the Marine Trophic Index dropped from 3.8 to 3.5 (SEAFDEC, 2019; Pauly &amp; Zeller, 2020). These patterns transcend national jurisdictions: migratory small pelagics and demersal fishes move freely across EEZ boundaries, while foreign industrial fleets have historically accounted for a substantial fraction of fishing effort in Cambodian waters. This is reflected in high Primary Production Required (PPR) values exceeding 2.0 between 1990–2010, indicating exploitation beyond the ecological carrying capacity (Sea Around Us, 2024).</w:t>
      </w:r>
    </w:p>
    <w:p w:rsidR="000A4371" w:rsidRPr="006D4D25" w:rsidRDefault="000A4371" w:rsidP="000A4371">
      <w:pPr>
        <w:pStyle w:val="Heading4"/>
        <w:rPr>
          <w:rFonts w:ascii="Arial" w:hAnsi="Arial" w:cs="Arial"/>
          <w:color w:val="0070C0"/>
          <w:sz w:val="22"/>
          <w:szCs w:val="22"/>
        </w:rPr>
      </w:pPr>
      <w:r w:rsidRPr="006D4D25">
        <w:rPr>
          <w:rStyle w:val="Strong"/>
          <w:rFonts w:ascii="Arial" w:hAnsi="Arial" w:cs="Arial"/>
          <w:b/>
          <w:bCs/>
          <w:color w:val="0070C0"/>
          <w:sz w:val="22"/>
          <w:szCs w:val="22"/>
        </w:rPr>
        <w:t>5.3.1.2 Shared Stocks and Cross-Border Declines</w:t>
      </w:r>
    </w:p>
    <w:p w:rsidR="000A4371" w:rsidRPr="0018202F" w:rsidRDefault="000A4371" w:rsidP="000A4371">
      <w:pPr>
        <w:pStyle w:val="NormalWeb"/>
        <w:jc w:val="both"/>
        <w:rPr>
          <w:rFonts w:ascii="Arial" w:hAnsi="Arial" w:cs="Arial"/>
          <w:sz w:val="22"/>
          <w:szCs w:val="22"/>
        </w:rPr>
      </w:pPr>
      <w:r w:rsidRPr="0018202F">
        <w:rPr>
          <w:rFonts w:ascii="Arial" w:hAnsi="Arial" w:cs="Arial"/>
          <w:sz w:val="22"/>
          <w:szCs w:val="22"/>
        </w:rPr>
        <w:t>Gulf-wide landings of anchovies, sardines, and mackerels have declined by 30–50 % since the 1990s (FAO FishStatJ, 2024). Cambodia’s coastal catch peaked near 120,000 tonne per year in 2005 but fell to roughly 85,000 tonne per year by 2020, mirroring regional overfishing of shared stocks. Fishers increasingly travel farther offshore for smaller catches and lower-value species. These biological linkages make national recovery efforts ineffective unless neighbouring states adopt complementary measures.</w:t>
      </w:r>
    </w:p>
    <w:p w:rsidR="000A4371" w:rsidRPr="006D4D25" w:rsidRDefault="000A4371" w:rsidP="00223AEE">
      <w:pPr>
        <w:pStyle w:val="Heading4"/>
        <w:keepNext/>
        <w:rPr>
          <w:rStyle w:val="Strong"/>
          <w:rFonts w:ascii="Arial" w:hAnsi="Arial" w:cs="Arial"/>
          <w:b/>
          <w:bCs/>
          <w:color w:val="0070C0"/>
          <w:sz w:val="22"/>
          <w:szCs w:val="22"/>
        </w:rPr>
      </w:pPr>
      <w:r w:rsidRPr="006D4D25">
        <w:rPr>
          <w:rStyle w:val="Strong"/>
          <w:rFonts w:ascii="Arial" w:hAnsi="Arial" w:cs="Arial"/>
          <w:b/>
          <w:bCs/>
          <w:color w:val="0070C0"/>
          <w:sz w:val="22"/>
          <w:szCs w:val="22"/>
        </w:rPr>
        <w:t>5.3.1.3 Illegal, Unreported and Unregulated (IUU) Fishing</w:t>
      </w:r>
    </w:p>
    <w:p w:rsidR="000A4371" w:rsidRPr="0018202F" w:rsidRDefault="000A4371" w:rsidP="000A4371">
      <w:pPr>
        <w:pStyle w:val="NormalWeb"/>
        <w:jc w:val="both"/>
        <w:rPr>
          <w:rFonts w:ascii="Arial" w:hAnsi="Arial" w:cs="Arial"/>
          <w:sz w:val="22"/>
          <w:szCs w:val="22"/>
        </w:rPr>
      </w:pPr>
      <w:r w:rsidRPr="0018202F">
        <w:rPr>
          <w:rFonts w:ascii="Arial" w:hAnsi="Arial" w:cs="Arial"/>
          <w:sz w:val="22"/>
          <w:szCs w:val="22"/>
        </w:rPr>
        <w:t>IUU activity remains pervasive and inherently transboundary. Cambodian artisanal vessels frequently cross into Thai and Vietnamese waters, while foreign trawlers operate illegally inside Cambodia’s EEZ. Weak Monitoring, Control and Surveillance (MCS) capacity, limited vessel registration, and fuel-subsidy distortions perpetuate excess effort. In 2022, authorities detained 11 foreign trawlers for illegal operations in Cambodian waters, while Thai enforcement seized 27 Cambodian vessels for boundary incursions. The impacts are ecological and economic: trawling damages &gt;20 % of Kampot seagrass beds, destroying nursery habitats; IUU undermines legal operators, distorts markets, and erodes government revenue.</w:t>
      </w:r>
    </w:p>
    <w:p w:rsidR="000A4371" w:rsidRPr="006D4D25" w:rsidRDefault="000A4371" w:rsidP="000A4371">
      <w:pPr>
        <w:pStyle w:val="Heading4"/>
        <w:rPr>
          <w:rStyle w:val="Strong"/>
          <w:rFonts w:ascii="Arial" w:hAnsi="Arial" w:cs="Arial"/>
          <w:b/>
          <w:bCs/>
          <w:color w:val="0070C0"/>
          <w:sz w:val="22"/>
          <w:szCs w:val="22"/>
        </w:rPr>
      </w:pPr>
      <w:r w:rsidRPr="006D4D25">
        <w:rPr>
          <w:rStyle w:val="Strong"/>
          <w:rFonts w:ascii="Arial" w:hAnsi="Arial" w:cs="Arial"/>
          <w:b/>
          <w:bCs/>
          <w:color w:val="0070C0"/>
          <w:sz w:val="22"/>
          <w:szCs w:val="22"/>
        </w:rPr>
        <w:t>5.3.1.4 Ecosystem and Habitat Degradation</w:t>
      </w:r>
    </w:p>
    <w:p w:rsidR="000A4371" w:rsidRPr="0018202F" w:rsidRDefault="000A4371" w:rsidP="000A4371">
      <w:pPr>
        <w:pStyle w:val="NormalWeb"/>
        <w:jc w:val="both"/>
        <w:rPr>
          <w:rFonts w:ascii="Arial" w:hAnsi="Arial" w:cs="Arial"/>
          <w:sz w:val="22"/>
          <w:szCs w:val="22"/>
        </w:rPr>
      </w:pPr>
      <w:r w:rsidRPr="0018202F">
        <w:rPr>
          <w:rFonts w:ascii="Arial" w:hAnsi="Arial" w:cs="Arial"/>
          <w:sz w:val="22"/>
          <w:szCs w:val="22"/>
        </w:rPr>
        <w:t>Chronic trawling pressure, mangrove clearance, and near-shore pollution from urban and industrial discharges have degraded coral, seagrass, and estuarine habitats vital for fish recruitment. Loss of these habitats amplifies the effects of overfishing by reducing spawning biomass and juvenile survival. Combined with rising sea temperature and eutrophication, these pressures threaten regional ecosystem stability and biodiversity.</w:t>
      </w:r>
    </w:p>
    <w:p w:rsidR="000A4371" w:rsidRPr="006D4D25" w:rsidRDefault="000A4371" w:rsidP="000A4371">
      <w:pPr>
        <w:pStyle w:val="Heading4"/>
        <w:rPr>
          <w:rFonts w:ascii="Arial" w:hAnsi="Arial" w:cs="Arial"/>
          <w:color w:val="0070C0"/>
          <w:sz w:val="22"/>
          <w:szCs w:val="22"/>
        </w:rPr>
      </w:pPr>
      <w:r w:rsidRPr="006D4D25">
        <w:rPr>
          <w:rStyle w:val="Strong"/>
          <w:rFonts w:ascii="Arial" w:hAnsi="Arial" w:cs="Arial"/>
          <w:b/>
          <w:bCs/>
          <w:color w:val="0070C0"/>
          <w:sz w:val="22"/>
          <w:szCs w:val="22"/>
        </w:rPr>
        <w:t>5.3.1.5 Socio-Economic and Governance Risks</w:t>
      </w:r>
    </w:p>
    <w:p w:rsidR="000A4371" w:rsidRPr="0018202F" w:rsidRDefault="000A4371" w:rsidP="000A4371">
      <w:pPr>
        <w:pStyle w:val="NormalWeb"/>
        <w:jc w:val="both"/>
        <w:rPr>
          <w:rFonts w:ascii="Arial" w:hAnsi="Arial" w:cs="Arial"/>
          <w:sz w:val="22"/>
          <w:szCs w:val="22"/>
        </w:rPr>
      </w:pPr>
      <w:r w:rsidRPr="0018202F">
        <w:rPr>
          <w:rFonts w:ascii="Arial" w:hAnsi="Arial" w:cs="Arial"/>
          <w:sz w:val="22"/>
          <w:szCs w:val="22"/>
        </w:rPr>
        <w:t xml:space="preserve">The ecological crisis translates directly into socio-economic vulnerability. Marine and inland fisheries together supply 60–70% of Cambodia’s animal protein intake, and the sector employs hundreds of thousands across the value chain (FiA, 2025). Continued stock decline </w:t>
      </w:r>
      <w:r w:rsidR="00DA1B14" w:rsidRPr="0018202F">
        <w:rPr>
          <w:rFonts w:ascii="Arial" w:hAnsi="Arial" w:cs="Arial"/>
          <w:sz w:val="22"/>
          <w:szCs w:val="22"/>
        </w:rPr>
        <w:t>jeopardizes</w:t>
      </w:r>
      <w:r w:rsidRPr="0018202F">
        <w:rPr>
          <w:rFonts w:ascii="Arial" w:hAnsi="Arial" w:cs="Arial"/>
          <w:sz w:val="22"/>
          <w:szCs w:val="22"/>
        </w:rPr>
        <w:t xml:space="preserve"> food security, income, and employment in coastal provinces such as Koh Kong and Preah Sihanouk, where dependence on fishing is highest. High levels of capacity-enhancing subsidies and an unregistered small-scale fleet sustain over-capacity and discourage compliance. Weak data sharing and incompatible legal frameworks among Gulf states further limit joint enforcement and stock recovery.</w:t>
      </w:r>
    </w:p>
    <w:p w:rsidR="00DE7EFC" w:rsidRPr="0018202F" w:rsidRDefault="00DE7EFC" w:rsidP="00B62193">
      <w:pPr>
        <w:keepNext/>
        <w:spacing w:before="100" w:beforeAutospacing="1" w:after="100" w:afterAutospacing="1"/>
        <w:jc w:val="both"/>
        <w:outlineLvl w:val="2"/>
        <w:rPr>
          <w:rFonts w:ascii="Arial" w:hAnsi="Arial" w:cs="Arial"/>
          <w:b/>
          <w:bCs/>
        </w:rPr>
      </w:pPr>
      <w:bookmarkStart w:id="40" w:name="_Toc217232059"/>
      <w:r w:rsidRPr="0018202F">
        <w:rPr>
          <w:rFonts w:ascii="Arial" w:hAnsi="Arial" w:cs="Arial"/>
          <w:b/>
          <w:bCs/>
        </w:rPr>
        <w:t>5.3.2 Climate-change impacts and interactions with other TDA components</w:t>
      </w:r>
      <w:bookmarkEnd w:id="40"/>
    </w:p>
    <w:p w:rsidR="00F07F36" w:rsidRPr="006D4D25" w:rsidRDefault="00F07F36" w:rsidP="00F07F36">
      <w:pPr>
        <w:pStyle w:val="Heading4"/>
        <w:rPr>
          <w:rStyle w:val="Strong"/>
          <w:rFonts w:ascii="Arial" w:hAnsi="Arial" w:cs="Arial"/>
          <w:b/>
          <w:bCs/>
          <w:color w:val="0070C0"/>
          <w:sz w:val="22"/>
          <w:szCs w:val="22"/>
        </w:rPr>
      </w:pPr>
      <w:r w:rsidRPr="006D4D25">
        <w:rPr>
          <w:rStyle w:val="Strong"/>
          <w:rFonts w:ascii="Arial" w:hAnsi="Arial" w:cs="Arial"/>
          <w:b/>
          <w:bCs/>
          <w:color w:val="0070C0"/>
          <w:sz w:val="22"/>
          <w:szCs w:val="22"/>
        </w:rPr>
        <w:t>5.3.2.1 Climate-Change Impacts</w:t>
      </w:r>
    </w:p>
    <w:p w:rsidR="001C18D7" w:rsidRPr="0018202F" w:rsidRDefault="001C18D7" w:rsidP="001C18D7">
      <w:pPr>
        <w:pStyle w:val="NormalWeb"/>
        <w:jc w:val="both"/>
        <w:rPr>
          <w:rFonts w:ascii="Arial" w:hAnsi="Arial" w:cs="Arial"/>
          <w:sz w:val="22"/>
          <w:szCs w:val="22"/>
        </w:rPr>
      </w:pPr>
      <w:r w:rsidRPr="0018202F">
        <w:rPr>
          <w:rFonts w:ascii="Arial" w:hAnsi="Arial" w:cs="Arial"/>
          <w:sz w:val="22"/>
          <w:szCs w:val="22"/>
        </w:rPr>
        <w:t>Climate change acts as a stress multiplier on already pressured fisheries. Warming seas and marine heatwaves reinforce “fishing down the food web”, favouring smaller, lower-trophic species (FAO, 2022; Pauly &amp; Cheung, 2018). Upstream dams and altered flood pulses disrupt migration and recruitment that sustain 70–75% of national catch from inland systems (Arias et al., 2019; Fiorella et al., 2019). Coastal land reclamation, mangrove loss and pollution further weaken nursery habitats (Lo et al., 2018; Girkin et al., 2022).</w:t>
      </w:r>
    </w:p>
    <w:p w:rsidR="001C18D7" w:rsidRPr="0018202F" w:rsidRDefault="001C18D7" w:rsidP="001C18D7">
      <w:pPr>
        <w:pStyle w:val="NormalWeb"/>
        <w:jc w:val="both"/>
        <w:rPr>
          <w:rFonts w:ascii="Arial" w:hAnsi="Arial" w:cs="Arial"/>
          <w:sz w:val="22"/>
          <w:szCs w:val="22"/>
        </w:rPr>
      </w:pPr>
      <w:r w:rsidRPr="0018202F">
        <w:rPr>
          <w:rFonts w:ascii="Arial" w:hAnsi="Arial" w:cs="Arial"/>
          <w:sz w:val="22"/>
          <w:szCs w:val="22"/>
        </w:rPr>
        <w:t>Sea-level rise along Cambodia’s coast is projected at about 0.21 m by 2050 and 0.69 m by 2100, with a 1 m scenario potentially inundating ~25,000 ha of low-lying land in Koh Kong and increasing saltwater intrusion into aquifers and farmland (ICON-Institut GmbH, 2021; Government of Cambodia, 2025).</w:t>
      </w:r>
    </w:p>
    <w:p w:rsidR="001C18D7" w:rsidRPr="0018202F" w:rsidRDefault="001C18D7" w:rsidP="001C18D7">
      <w:pPr>
        <w:pStyle w:val="NormalWeb"/>
        <w:jc w:val="both"/>
        <w:rPr>
          <w:rFonts w:ascii="Arial" w:hAnsi="Arial" w:cs="Arial"/>
          <w:sz w:val="22"/>
          <w:szCs w:val="22"/>
        </w:rPr>
      </w:pPr>
      <w:r w:rsidRPr="0018202F">
        <w:rPr>
          <w:rFonts w:ascii="Arial" w:hAnsi="Arial" w:cs="Arial"/>
          <w:sz w:val="22"/>
          <w:szCs w:val="22"/>
        </w:rPr>
        <w:t>For marine capture fisheries, regional models suggest a 5–15% decline in maximum catch potential by mid-century and 10–30% by 2100 (Cheung et al., 2010; Barange et al., 2018). For Cambodia this implies a 5–10% drop in coastal catch by 2050 and up to 20–25% by 2100 if current pressures continue (FiA, 2024). Mangrove- and seagrass-associated shrimps, crabs and demersal fish are especially vulnerable as their habitats face inundation, erosion and salinity shifts (MoE, 2023; Government of Cambodia, 2025).</w:t>
      </w:r>
    </w:p>
    <w:p w:rsidR="001C18D7" w:rsidRPr="0018202F" w:rsidRDefault="001C18D7" w:rsidP="001C18D7">
      <w:pPr>
        <w:pStyle w:val="NormalWeb"/>
        <w:jc w:val="both"/>
        <w:rPr>
          <w:rFonts w:ascii="Arial" w:hAnsi="Arial" w:cs="Arial"/>
          <w:sz w:val="22"/>
          <w:szCs w:val="22"/>
        </w:rPr>
      </w:pPr>
      <w:r w:rsidRPr="0018202F">
        <w:rPr>
          <w:rFonts w:ascii="Arial" w:hAnsi="Arial" w:cs="Arial"/>
          <w:sz w:val="22"/>
          <w:szCs w:val="22"/>
        </w:rPr>
        <w:t>Sea-level rise and lower dry-season flows will also intensify saltwater intrusion, affecting aquaculture. Freshwater farms (tilapia, carp) risk salinity stress, while brackish farms (shrimp, mud crab) may expand but become more disease-prone (ICON-Institut GmbH, 2021; FAO, 2024). Higher pumping and treatment costs are likely where non-saline groundwater declines. Without adaptation—salinity-tolerant species, better pond design, stronger biosecurity—yields in poorly managed systems could fall by several percent by mid-century (FAO, 2024).</w:t>
      </w:r>
    </w:p>
    <w:p w:rsidR="001C18D7" w:rsidRPr="0018202F" w:rsidRDefault="001C18D7" w:rsidP="00724FCD">
      <w:pPr>
        <w:pStyle w:val="NormalWeb"/>
        <w:jc w:val="both"/>
        <w:rPr>
          <w:rFonts w:ascii="Arial" w:hAnsi="Arial" w:cs="Arial"/>
          <w:sz w:val="22"/>
          <w:szCs w:val="22"/>
        </w:rPr>
      </w:pPr>
      <w:r w:rsidRPr="0018202F">
        <w:rPr>
          <w:rFonts w:ascii="Arial" w:hAnsi="Arial" w:cs="Arial"/>
          <w:sz w:val="22"/>
          <w:szCs w:val="22"/>
        </w:rPr>
        <w:t>Climate impacts in coastal zones will spill inland as fishers and workers shift effort toward Tonle Sap and the Mekong floodplains, adding pressure to already stressed inland stocks (FiA, 2024; FAO, 2024). Salinisation and job loss will erode livelihood diversity and raise poverty. Given that fish provide over 60% of animal protein intake, even modest production declines could worsen food and nutrition security, especially for low-income households (FAO, 2024; ICON-Institut GmbH, 2021).</w:t>
      </w:r>
    </w:p>
    <w:p w:rsidR="001C18D7" w:rsidRPr="006D4D25" w:rsidRDefault="001C18D7" w:rsidP="00724FCD">
      <w:pPr>
        <w:pStyle w:val="Heading4"/>
        <w:rPr>
          <w:rStyle w:val="Strong"/>
          <w:rFonts w:ascii="Arial" w:hAnsi="Arial" w:cs="Arial"/>
          <w:b/>
          <w:bCs/>
          <w:color w:val="0070C0"/>
          <w:sz w:val="22"/>
          <w:szCs w:val="22"/>
        </w:rPr>
      </w:pPr>
      <w:r w:rsidRPr="006D4D25">
        <w:rPr>
          <w:rStyle w:val="Strong"/>
          <w:rFonts w:ascii="Arial" w:hAnsi="Arial" w:cs="Arial"/>
          <w:b/>
          <w:bCs/>
          <w:color w:val="0070C0"/>
          <w:sz w:val="22"/>
          <w:szCs w:val="22"/>
        </w:rPr>
        <w:t>5.3.2.2 Marine-pollution impacts</w:t>
      </w:r>
    </w:p>
    <w:p w:rsidR="00712F61" w:rsidRPr="0018202F" w:rsidRDefault="001C18D7" w:rsidP="001C18D7">
      <w:pPr>
        <w:pStyle w:val="NormalWeb"/>
        <w:jc w:val="both"/>
        <w:rPr>
          <w:rFonts w:ascii="Arial" w:hAnsi="Arial" w:cs="Arial"/>
          <w:sz w:val="22"/>
          <w:szCs w:val="22"/>
        </w:rPr>
      </w:pPr>
      <w:r w:rsidRPr="0018202F">
        <w:rPr>
          <w:rFonts w:ascii="Arial" w:hAnsi="Arial" w:cs="Arial"/>
          <w:sz w:val="22"/>
          <w:szCs w:val="22"/>
        </w:rPr>
        <w:t>Marine pollution is a pervasive, transboundary stressor that interacts with climate change. Key sources are untreated domestic wastewater, industrial effluent, agricultural runoff, marine litter and ship-based discharges. Materials entering the Gulf of Thailand are transported to Thai and Vietnamese waters.</w:t>
      </w:r>
      <w:r w:rsidR="00712F61" w:rsidRPr="0018202F">
        <w:rPr>
          <w:rFonts w:ascii="Arial" w:hAnsi="Arial" w:cs="Arial"/>
          <w:sz w:val="22"/>
          <w:szCs w:val="22"/>
        </w:rPr>
        <w:t xml:space="preserve"> </w:t>
      </w:r>
    </w:p>
    <w:p w:rsidR="001C18D7" w:rsidRPr="0018202F" w:rsidRDefault="001C18D7" w:rsidP="001C18D7">
      <w:pPr>
        <w:pStyle w:val="NormalWeb"/>
        <w:jc w:val="both"/>
        <w:rPr>
          <w:rFonts w:ascii="Arial" w:hAnsi="Arial" w:cs="Arial"/>
          <w:sz w:val="22"/>
          <w:szCs w:val="22"/>
        </w:rPr>
      </w:pPr>
      <w:r w:rsidRPr="0018202F">
        <w:rPr>
          <w:rFonts w:ascii="Arial" w:hAnsi="Arial" w:cs="Arial"/>
          <w:sz w:val="22"/>
          <w:szCs w:val="22"/>
        </w:rPr>
        <w:t>In Sihanoukville, over 80% of municipal wastewater is discharged untreated. Monitoring in 2022 recorded total nitrogen ~0.6 mg/L (vs. ASEAN guideline 0.3 mg/L) and total phosphorus 0.07–0.09 mg/L in Kampot Estuary, driving eutrophication, harmful algal blooms, hypoxia and fish kills. Effluents from the Sihanoukville SEZ contain high BOD and trace metals (e.g. cadmium, mercury), which accumulate in sediments and biota, threatening food safety and export prospects.</w:t>
      </w:r>
    </w:p>
    <w:p w:rsidR="001C18D7" w:rsidRPr="0018202F" w:rsidRDefault="001C18D7" w:rsidP="001C18D7">
      <w:pPr>
        <w:pStyle w:val="NormalWeb"/>
        <w:jc w:val="both"/>
        <w:rPr>
          <w:rFonts w:ascii="Arial" w:hAnsi="Arial" w:cs="Arial"/>
          <w:sz w:val="22"/>
          <w:szCs w:val="22"/>
        </w:rPr>
      </w:pPr>
      <w:r w:rsidRPr="0018202F">
        <w:rPr>
          <w:rFonts w:ascii="Arial" w:hAnsi="Arial" w:cs="Arial"/>
          <w:sz w:val="22"/>
          <w:szCs w:val="22"/>
        </w:rPr>
        <w:t xml:space="preserve">Agricultural runoff from the Mekong Basin adds </w:t>
      </w:r>
      <w:r w:rsidR="00E20208" w:rsidRPr="0018202F">
        <w:rPr>
          <w:rFonts w:ascii="Arial" w:hAnsi="Arial" w:cs="Arial"/>
          <w:sz w:val="22"/>
          <w:szCs w:val="22"/>
        </w:rPr>
        <w:t>fertilizers</w:t>
      </w:r>
      <w:r w:rsidRPr="0018202F">
        <w:rPr>
          <w:rFonts w:ascii="Arial" w:hAnsi="Arial" w:cs="Arial"/>
          <w:sz w:val="22"/>
          <w:szCs w:val="22"/>
        </w:rPr>
        <w:t>, pesticides and sediments, increasing turbidity and smothering coral and seagrass, while reinforcing eutrophication already driven by urban waste.</w:t>
      </w:r>
    </w:p>
    <w:p w:rsidR="001C18D7" w:rsidRPr="0018202F" w:rsidRDefault="001C18D7" w:rsidP="001C18D7">
      <w:pPr>
        <w:pStyle w:val="NormalWeb"/>
        <w:jc w:val="both"/>
        <w:rPr>
          <w:rFonts w:ascii="Arial" w:hAnsi="Arial" w:cs="Arial"/>
          <w:sz w:val="22"/>
          <w:szCs w:val="22"/>
        </w:rPr>
      </w:pPr>
      <w:r w:rsidRPr="0018202F">
        <w:rPr>
          <w:rFonts w:ascii="Arial" w:hAnsi="Arial" w:cs="Arial"/>
          <w:sz w:val="22"/>
          <w:szCs w:val="22"/>
        </w:rPr>
        <w:t>Cambodia generates around 0.27 million tonnes of mismanaged plastic annually (World Bank, 2021). Beach surveys in Sihanoukville and Kampot record 4,000–6,000 plastic items per km of shoreline, 20–30% from fishing gear. Ghost nets and traps continue to catch fish and turtles and damage seagrass and coral, often drifting into neighbouring EEZs.</w:t>
      </w:r>
    </w:p>
    <w:p w:rsidR="001C18D7" w:rsidRPr="0018202F" w:rsidRDefault="001C18D7" w:rsidP="00724FCD">
      <w:pPr>
        <w:pStyle w:val="NormalWeb"/>
        <w:jc w:val="both"/>
        <w:rPr>
          <w:rFonts w:ascii="Arial" w:hAnsi="Arial" w:cs="Arial"/>
          <w:sz w:val="22"/>
          <w:szCs w:val="22"/>
        </w:rPr>
      </w:pPr>
      <w:r w:rsidRPr="0018202F">
        <w:rPr>
          <w:rFonts w:ascii="Arial" w:hAnsi="Arial" w:cs="Arial"/>
          <w:sz w:val="22"/>
          <w:szCs w:val="22"/>
        </w:rPr>
        <w:t>Shipping through Sihanoukville Autonomous Port (over 5 million tonnes of cargo in 2022) increases risks of oil and chemical spills. The 2019 Koh Rong spill (~50 tonnes of oil) reached Vietnamese waters within 72 hours, illustrating strong hydrodynamic connectivity and shared vulnerability.</w:t>
      </w:r>
    </w:p>
    <w:p w:rsidR="001C18D7" w:rsidRPr="006D4D25" w:rsidRDefault="001C18D7" w:rsidP="00724FCD">
      <w:pPr>
        <w:pStyle w:val="Heading4"/>
        <w:rPr>
          <w:rStyle w:val="Strong"/>
          <w:rFonts w:ascii="Arial" w:hAnsi="Arial" w:cs="Arial"/>
          <w:b/>
          <w:bCs/>
          <w:color w:val="0070C0"/>
          <w:sz w:val="22"/>
          <w:szCs w:val="22"/>
        </w:rPr>
      </w:pPr>
      <w:r w:rsidRPr="006D4D25">
        <w:rPr>
          <w:rStyle w:val="Strong"/>
          <w:rFonts w:ascii="Arial" w:hAnsi="Arial" w:cs="Arial"/>
          <w:b/>
          <w:bCs/>
          <w:color w:val="0070C0"/>
          <w:sz w:val="22"/>
          <w:szCs w:val="22"/>
        </w:rPr>
        <w:t>5.3.2.3 Socio-economic impacts and interactions</w:t>
      </w:r>
    </w:p>
    <w:p w:rsidR="001C18D7" w:rsidRPr="0018202F" w:rsidRDefault="001C18D7" w:rsidP="001C18D7">
      <w:pPr>
        <w:pStyle w:val="NormalWeb"/>
        <w:jc w:val="both"/>
        <w:rPr>
          <w:rFonts w:ascii="Arial" w:hAnsi="Arial" w:cs="Arial"/>
          <w:sz w:val="22"/>
          <w:szCs w:val="22"/>
        </w:rPr>
      </w:pPr>
      <w:r w:rsidRPr="0018202F">
        <w:rPr>
          <w:rFonts w:ascii="Arial" w:hAnsi="Arial" w:cs="Arial"/>
          <w:sz w:val="22"/>
          <w:szCs w:val="22"/>
        </w:rPr>
        <w:t xml:space="preserve">Rapid growth in ports, SEZs, tourism and coastal cities has created jobs but outpaced environmental safeguards. Industrial and urban expansion in Sihanoukville has increased wastewater and solid-waste loads beyond treatment capacity; unzoned tourism development and shrimp farms continue to convert mangroves and </w:t>
      </w:r>
      <w:r w:rsidR="00712F61" w:rsidRPr="0018202F">
        <w:rPr>
          <w:rFonts w:ascii="Arial" w:hAnsi="Arial" w:cs="Arial"/>
          <w:sz w:val="22"/>
          <w:szCs w:val="22"/>
        </w:rPr>
        <w:t>destabilize</w:t>
      </w:r>
      <w:r w:rsidRPr="0018202F">
        <w:rPr>
          <w:rFonts w:ascii="Arial" w:hAnsi="Arial" w:cs="Arial"/>
          <w:sz w:val="22"/>
          <w:szCs w:val="22"/>
        </w:rPr>
        <w:t xml:space="preserve"> shorelines. Upstream agricultural intensification adds fertili</w:t>
      </w:r>
      <w:r w:rsidR="00712F61" w:rsidRPr="0018202F">
        <w:rPr>
          <w:rFonts w:ascii="Arial" w:hAnsi="Arial" w:cs="Arial"/>
          <w:sz w:val="22"/>
          <w:szCs w:val="22"/>
        </w:rPr>
        <w:t>z</w:t>
      </w:r>
      <w:r w:rsidRPr="0018202F">
        <w:rPr>
          <w:rFonts w:ascii="Arial" w:hAnsi="Arial" w:cs="Arial"/>
          <w:sz w:val="22"/>
          <w:szCs w:val="22"/>
        </w:rPr>
        <w:t>ers and pesticides to coastal waters.</w:t>
      </w:r>
    </w:p>
    <w:p w:rsidR="001C18D7" w:rsidRPr="0018202F" w:rsidRDefault="001C18D7" w:rsidP="001C18D7">
      <w:pPr>
        <w:pStyle w:val="NormalWeb"/>
        <w:jc w:val="both"/>
        <w:rPr>
          <w:rFonts w:ascii="Arial" w:hAnsi="Arial" w:cs="Arial"/>
          <w:sz w:val="22"/>
          <w:szCs w:val="22"/>
        </w:rPr>
      </w:pPr>
      <w:r w:rsidRPr="0018202F">
        <w:rPr>
          <w:rFonts w:ascii="Arial" w:hAnsi="Arial" w:cs="Arial"/>
          <w:sz w:val="22"/>
          <w:szCs w:val="22"/>
        </w:rPr>
        <w:t>Population growth and in-migration have produced large informal settlements with limited sanitation. Over 40% of coastal households still discharge wastewater directly to the environment (MoE, 2022). Poor households rely heavily on small-scale fishing, low-input aquaculture and charcoal production from mangroves—activities vital for survival but cumulatively degrading ecosystems. Limited capital and technology constrain uptake of cleaner practices.</w:t>
      </w:r>
    </w:p>
    <w:p w:rsidR="001C18D7" w:rsidRPr="0018202F" w:rsidRDefault="001C18D7" w:rsidP="006B24EC">
      <w:pPr>
        <w:pStyle w:val="NormalWeb"/>
        <w:jc w:val="both"/>
        <w:rPr>
          <w:rFonts w:ascii="Arial" w:hAnsi="Arial" w:cs="Arial"/>
          <w:sz w:val="22"/>
          <w:szCs w:val="22"/>
        </w:rPr>
      </w:pPr>
      <w:r w:rsidRPr="0018202F">
        <w:rPr>
          <w:rFonts w:ascii="Arial" w:hAnsi="Arial" w:cs="Arial"/>
          <w:sz w:val="22"/>
          <w:szCs w:val="22"/>
        </w:rPr>
        <w:t>These dynamics reflect a broader “poverty–environment trap” across the Gulf of Thailand: short-term growth and coping strategies undermine the natural capital that supports livelihoods, while pollution and climate impacts cross borders and link Cambodia’s coastal management challenges with those of Thailand and Viet Nam.</w:t>
      </w:r>
    </w:p>
    <w:p w:rsidR="00DE7EFC" w:rsidRPr="0018202F" w:rsidRDefault="00DE7EFC" w:rsidP="00B62193">
      <w:pPr>
        <w:keepNext/>
        <w:spacing w:before="100" w:beforeAutospacing="1" w:after="100" w:afterAutospacing="1"/>
        <w:jc w:val="both"/>
        <w:outlineLvl w:val="2"/>
        <w:rPr>
          <w:rFonts w:ascii="Arial" w:hAnsi="Arial" w:cs="Arial"/>
          <w:b/>
          <w:bCs/>
        </w:rPr>
      </w:pPr>
      <w:bookmarkStart w:id="41" w:name="_Toc217232060"/>
      <w:r w:rsidRPr="0018202F">
        <w:rPr>
          <w:rFonts w:ascii="Arial" w:hAnsi="Arial" w:cs="Arial"/>
          <w:b/>
          <w:bCs/>
        </w:rPr>
        <w:t>5.3.3 Current governance to address fisheries problems</w:t>
      </w:r>
      <w:bookmarkEnd w:id="41"/>
    </w:p>
    <w:p w:rsidR="00DE7EFC" w:rsidRPr="006D4D25" w:rsidRDefault="00DE7EFC" w:rsidP="00047399">
      <w:pPr>
        <w:pStyle w:val="Heading4"/>
        <w:rPr>
          <w:rStyle w:val="Strong"/>
          <w:rFonts w:ascii="Arial" w:hAnsi="Arial" w:cs="Arial"/>
          <w:b/>
          <w:bCs/>
          <w:color w:val="0070C0"/>
          <w:sz w:val="22"/>
          <w:szCs w:val="22"/>
        </w:rPr>
      </w:pPr>
      <w:r w:rsidRPr="006D4D25">
        <w:rPr>
          <w:rStyle w:val="Strong"/>
          <w:rFonts w:ascii="Arial" w:hAnsi="Arial" w:cs="Arial"/>
          <w:b/>
          <w:bCs/>
          <w:color w:val="0070C0"/>
          <w:sz w:val="22"/>
          <w:szCs w:val="22"/>
        </w:rPr>
        <w:t>5.3.3.1 Management and conservation efforts</w:t>
      </w:r>
    </w:p>
    <w:p w:rsidR="00203004" w:rsidRPr="0018202F" w:rsidRDefault="00203004" w:rsidP="00203004">
      <w:pPr>
        <w:pStyle w:val="NormalWeb"/>
        <w:jc w:val="both"/>
        <w:rPr>
          <w:rFonts w:ascii="Arial" w:hAnsi="Arial" w:cs="Arial"/>
          <w:sz w:val="22"/>
          <w:szCs w:val="22"/>
        </w:rPr>
      </w:pPr>
      <w:r w:rsidRPr="0018202F">
        <w:rPr>
          <w:rFonts w:ascii="Arial" w:hAnsi="Arial" w:cs="Arial"/>
          <w:sz w:val="22"/>
          <w:szCs w:val="22"/>
        </w:rPr>
        <w:t>Over the past two decades, Cambodia has undertaken major fisheries reforms, gradually moving from centralized control toward community-based and ecosystem-based management with stronger focus on co-management, stock conservation and IUU control.</w:t>
      </w:r>
    </w:p>
    <w:p w:rsidR="00203004" w:rsidRPr="0077616A" w:rsidRDefault="00203004" w:rsidP="00203004">
      <w:pPr>
        <w:spacing w:before="240" w:after="120"/>
        <w:rPr>
          <w:rStyle w:val="Strong"/>
          <w:rFonts w:ascii="Arial" w:hAnsi="Arial" w:cs="Arial"/>
          <w:i/>
          <w:iCs/>
          <w:color w:val="000000" w:themeColor="text1"/>
          <w:sz w:val="22"/>
          <w:szCs w:val="22"/>
        </w:rPr>
      </w:pPr>
      <w:r w:rsidRPr="0077616A">
        <w:rPr>
          <w:rStyle w:val="Strong"/>
          <w:rFonts w:ascii="Arial" w:hAnsi="Arial" w:cs="Arial"/>
          <w:i/>
          <w:iCs/>
          <w:color w:val="000000" w:themeColor="text1"/>
          <w:sz w:val="22"/>
          <w:szCs w:val="22"/>
        </w:rPr>
        <w:t>a) Inland fisheries governance</w:t>
      </w:r>
    </w:p>
    <w:p w:rsidR="00203004" w:rsidRPr="0018202F" w:rsidRDefault="00203004" w:rsidP="00203004">
      <w:pPr>
        <w:pStyle w:val="NormalWeb"/>
        <w:jc w:val="both"/>
        <w:rPr>
          <w:rFonts w:ascii="Arial" w:hAnsi="Arial" w:cs="Arial"/>
          <w:sz w:val="22"/>
          <w:szCs w:val="22"/>
        </w:rPr>
      </w:pPr>
      <w:r w:rsidRPr="0018202F">
        <w:rPr>
          <w:rFonts w:ascii="Arial" w:hAnsi="Arial" w:cs="Arial"/>
          <w:sz w:val="22"/>
          <w:szCs w:val="22"/>
        </w:rPr>
        <w:t>Abolition of commercial fishing lots in 2000 and 2012 transferred access rights to Community Fisheries (CFis) across the Tonle Sap, Mekong and Bassac floodplains, improving equity and local stewardship. Studies of community fish refuges show that well-governed CFis maintain higher biomass and species diversity than nearby open-access areas (Fiorella et al., 2019). However, many CFis still face capacity, financing and technical gaps that limit effective enforcement and long-term sustainability.</w:t>
      </w:r>
    </w:p>
    <w:p w:rsidR="00203004" w:rsidRPr="0077616A" w:rsidRDefault="00203004" w:rsidP="00203004">
      <w:pPr>
        <w:spacing w:before="240" w:after="120"/>
        <w:rPr>
          <w:rStyle w:val="Strong"/>
          <w:rFonts w:ascii="Arial" w:hAnsi="Arial" w:cs="Arial"/>
          <w:i/>
          <w:iCs/>
          <w:color w:val="000000" w:themeColor="text1"/>
          <w:sz w:val="22"/>
          <w:szCs w:val="22"/>
        </w:rPr>
      </w:pPr>
      <w:r w:rsidRPr="0077616A">
        <w:rPr>
          <w:rStyle w:val="Strong"/>
          <w:rFonts w:ascii="Arial" w:hAnsi="Arial" w:cs="Arial"/>
          <w:i/>
          <w:iCs/>
          <w:color w:val="000000" w:themeColor="text1"/>
          <w:sz w:val="22"/>
          <w:szCs w:val="22"/>
        </w:rPr>
        <w:t xml:space="preserve">b) Marine and coastal management. </w:t>
      </w:r>
    </w:p>
    <w:p w:rsidR="00203004" w:rsidRPr="0018202F" w:rsidRDefault="00203004" w:rsidP="00203004">
      <w:pPr>
        <w:pStyle w:val="NormalWeb"/>
        <w:jc w:val="both"/>
        <w:rPr>
          <w:rFonts w:ascii="Arial" w:hAnsi="Arial" w:cs="Arial"/>
          <w:sz w:val="22"/>
          <w:szCs w:val="22"/>
        </w:rPr>
      </w:pPr>
      <w:r w:rsidRPr="0018202F">
        <w:rPr>
          <w:rFonts w:ascii="Arial" w:hAnsi="Arial" w:cs="Arial"/>
          <w:sz w:val="22"/>
          <w:szCs w:val="22"/>
        </w:rPr>
        <w:t>The Fisheries Law (2006), National Plan of Control and Inspection for Marine Fisheries 2020–2024, and the National Plan of Action to Prevent, Deter and Eliminate IUU Fishing provide the core framework for licensing, vessel control and enforcement (FiA/MAFF, 2020). Marine Fisheries Management Areas around Koh Rong, Kep and parts of Koh Kong protect key mangrove, coral and seagrass habitats and anchor Cambodia’s emerging network of marine spatial measures (FiA, 2021).</w:t>
      </w:r>
    </w:p>
    <w:p w:rsidR="00203004" w:rsidRPr="0077616A" w:rsidRDefault="00203004" w:rsidP="00203004">
      <w:pPr>
        <w:spacing w:before="240" w:after="120"/>
        <w:rPr>
          <w:rStyle w:val="Strong"/>
          <w:rFonts w:ascii="Arial" w:hAnsi="Arial" w:cs="Arial"/>
          <w:i/>
          <w:iCs/>
          <w:color w:val="000000" w:themeColor="text1"/>
        </w:rPr>
      </w:pPr>
      <w:r w:rsidRPr="0077616A">
        <w:rPr>
          <w:rStyle w:val="Strong"/>
          <w:rFonts w:ascii="Arial" w:hAnsi="Arial" w:cs="Arial"/>
          <w:i/>
          <w:iCs/>
          <w:color w:val="000000" w:themeColor="text1"/>
          <w:sz w:val="22"/>
          <w:szCs w:val="22"/>
        </w:rPr>
        <w:t>c) Fleet characteristics, effort control and enforcement</w:t>
      </w:r>
    </w:p>
    <w:p w:rsidR="00203004" w:rsidRPr="0018202F" w:rsidRDefault="00203004" w:rsidP="00203004">
      <w:pPr>
        <w:pStyle w:val="NormalWeb"/>
        <w:jc w:val="both"/>
        <w:rPr>
          <w:rFonts w:ascii="Arial" w:hAnsi="Arial" w:cs="Arial"/>
          <w:sz w:val="22"/>
          <w:szCs w:val="22"/>
        </w:rPr>
      </w:pPr>
      <w:r w:rsidRPr="0018202F">
        <w:rPr>
          <w:rFonts w:ascii="Arial" w:hAnsi="Arial" w:cs="Arial"/>
          <w:sz w:val="22"/>
          <w:szCs w:val="22"/>
        </w:rPr>
        <w:t>The 2018 census shows a predominantly small-scale, informal fleet: 97% of marine vessels are unregistered and nearly 90% have engines &lt;50 HP (FiA, 2024). Trawls account for 55–60% of marine landings, with 35–45% of trawl catch now “trash fish”—juveniles and low-value species for fishmeal—indicating biological overexploitation and economic inefficiency (FiA, 2023; SEAFDEC, 2018; Pauly &amp; Zeller, 2020). Although trawl limits, seasonal closures and gear rules exist, compliance is weakest in inshore waters where illegal push-nets and fine-mesh gears persist.</w:t>
      </w:r>
    </w:p>
    <w:p w:rsidR="00203004" w:rsidRPr="0077616A" w:rsidRDefault="00203004" w:rsidP="00203004">
      <w:pPr>
        <w:spacing w:before="240" w:after="120"/>
        <w:rPr>
          <w:rStyle w:val="Strong"/>
          <w:rFonts w:ascii="Arial" w:hAnsi="Arial" w:cs="Arial"/>
          <w:i/>
          <w:iCs/>
          <w:color w:val="000000" w:themeColor="text1"/>
          <w:sz w:val="22"/>
          <w:szCs w:val="22"/>
        </w:rPr>
      </w:pPr>
      <w:r w:rsidRPr="0077616A">
        <w:rPr>
          <w:rStyle w:val="Strong"/>
          <w:rFonts w:ascii="Arial" w:hAnsi="Arial" w:cs="Arial"/>
          <w:i/>
          <w:iCs/>
          <w:color w:val="000000" w:themeColor="text1"/>
          <w:sz w:val="22"/>
          <w:szCs w:val="22"/>
        </w:rPr>
        <w:t>d) Institutional capacity and incentives</w:t>
      </w:r>
    </w:p>
    <w:p w:rsidR="00203004" w:rsidRPr="0018202F" w:rsidRDefault="00203004" w:rsidP="00203004">
      <w:pPr>
        <w:pStyle w:val="NormalWeb"/>
        <w:jc w:val="both"/>
        <w:rPr>
          <w:rFonts w:ascii="Arial" w:hAnsi="Arial" w:cs="Arial"/>
          <w:sz w:val="22"/>
          <w:szCs w:val="22"/>
        </w:rPr>
      </w:pPr>
      <w:r w:rsidRPr="0018202F">
        <w:rPr>
          <w:rFonts w:ascii="Arial" w:hAnsi="Arial" w:cs="Arial"/>
          <w:sz w:val="22"/>
          <w:szCs w:val="22"/>
        </w:rPr>
        <w:t>The 2020–2024 control plan has improved the framework for Monitoring, Control and Surveillance, supported by CAPFISH and GEF/UNDP projects (MCS training, VMS pilots, data digitization). Yet enforcement is constrained by limited budgets, patrol assets and fragmented mandates, and community surveillance groups still lack strong sanctioning powers. Capacity-enhancing subsidies have declined since 2003, but market drivers—fishmeal demand, port upgrades, access to credit—continue to support high fishing capacity. Shifting incentives toward value-added products, reduced effort and diversified livelihoods remains essential for a fully effective, climate-resilient governance system.</w:t>
      </w:r>
    </w:p>
    <w:p w:rsidR="00DE7EFC" w:rsidRPr="006D4D25" w:rsidRDefault="00DE7EFC" w:rsidP="00047399">
      <w:pPr>
        <w:pStyle w:val="Heading4"/>
        <w:rPr>
          <w:rFonts w:ascii="Arial" w:hAnsi="Arial" w:cs="Arial"/>
          <w:b w:val="0"/>
          <w:bCs w:val="0"/>
          <w:color w:val="0070C0"/>
          <w:sz w:val="22"/>
          <w:szCs w:val="22"/>
        </w:rPr>
      </w:pPr>
      <w:r w:rsidRPr="006D4D25">
        <w:rPr>
          <w:rStyle w:val="Strong"/>
          <w:rFonts w:ascii="Arial" w:hAnsi="Arial" w:cs="Arial"/>
          <w:b/>
          <w:bCs/>
          <w:color w:val="0070C0"/>
          <w:sz w:val="22"/>
          <w:szCs w:val="22"/>
        </w:rPr>
        <w:t>5.3.3.2 Regional cooperation</w:t>
      </w:r>
    </w:p>
    <w:p w:rsidR="00203004" w:rsidRPr="0018202F" w:rsidRDefault="00203004" w:rsidP="00203004">
      <w:pPr>
        <w:pStyle w:val="NormalWeb"/>
        <w:jc w:val="both"/>
        <w:rPr>
          <w:rFonts w:ascii="Arial" w:hAnsi="Arial" w:cs="Arial"/>
          <w:sz w:val="22"/>
          <w:szCs w:val="22"/>
        </w:rPr>
      </w:pPr>
      <w:r w:rsidRPr="0018202F">
        <w:rPr>
          <w:rFonts w:ascii="Arial" w:hAnsi="Arial" w:cs="Arial"/>
          <w:sz w:val="22"/>
          <w:szCs w:val="22"/>
        </w:rPr>
        <w:t>Given the shared nature of fish stocks, pollution and fishing effort in the Gulf of Thailand and South China Sea, Cambodia’s fisheries governance is increasingly shaped by regional and sub-regional frameworks. Cambodia participates in many platforms that promote shared data and responsible fishing, although enforcement and practical harmonization are still limited.</w:t>
      </w:r>
    </w:p>
    <w:p w:rsidR="00203004" w:rsidRPr="006D4D25" w:rsidRDefault="00203004" w:rsidP="00203004">
      <w:pPr>
        <w:keepNext/>
        <w:spacing w:before="240" w:after="120"/>
        <w:jc w:val="both"/>
        <w:rPr>
          <w:rFonts w:ascii="Arial" w:hAnsi="Arial" w:cs="Arial"/>
          <w:b/>
          <w:bCs/>
          <w:i/>
          <w:iCs/>
          <w:color w:val="000000" w:themeColor="text1"/>
          <w:sz w:val="22"/>
          <w:szCs w:val="22"/>
        </w:rPr>
      </w:pPr>
      <w:r w:rsidRPr="006D4D25">
        <w:rPr>
          <w:rFonts w:ascii="Arial" w:hAnsi="Arial" w:cs="Arial"/>
          <w:b/>
          <w:bCs/>
          <w:i/>
          <w:iCs/>
          <w:color w:val="000000" w:themeColor="text1"/>
          <w:sz w:val="22"/>
          <w:szCs w:val="22"/>
        </w:rPr>
        <w:t>a) Participation in regional and sub-regional mechanisms</w:t>
      </w:r>
    </w:p>
    <w:p w:rsidR="00203004" w:rsidRPr="0018202F" w:rsidRDefault="00203004" w:rsidP="00203004">
      <w:pPr>
        <w:pStyle w:val="NormalWeb"/>
        <w:jc w:val="both"/>
        <w:rPr>
          <w:rFonts w:ascii="Arial" w:hAnsi="Arial" w:cs="Arial"/>
          <w:sz w:val="22"/>
          <w:szCs w:val="22"/>
        </w:rPr>
      </w:pPr>
      <w:r w:rsidRPr="0018202F">
        <w:rPr>
          <w:rFonts w:ascii="Arial" w:hAnsi="Arial" w:cs="Arial"/>
          <w:sz w:val="22"/>
          <w:szCs w:val="22"/>
        </w:rPr>
        <w:t>Cambodia is an active member of SEAFDEC initiatives, including Joint Gulf of Thailand Trawl Surveys, stock-assessment working groups and implementation of the Regional Guidelines for Responsible Fisheries (SEAFDEC, 2018; 2019). These provide comparable CPUE and biomass data, inform resource-status assessments and promote BRDs and trawl-zoning schemes. Cambodia is also party to key ASEAN and FAO instruments—the ASEAN IUU Guidelines, Port State Measures Agreement and FAO Code of Conduct—and engages bilaterally with Thailand and Viet Nam on maritime boundaries, joint patrols and data exchange.</w:t>
      </w:r>
    </w:p>
    <w:p w:rsidR="00203004" w:rsidRPr="006D4D25" w:rsidRDefault="00203004" w:rsidP="00203004">
      <w:pPr>
        <w:keepNext/>
        <w:spacing w:before="240" w:after="120"/>
        <w:jc w:val="both"/>
        <w:rPr>
          <w:rFonts w:ascii="Arial" w:hAnsi="Arial" w:cs="Arial"/>
          <w:b/>
          <w:bCs/>
          <w:i/>
          <w:iCs/>
          <w:color w:val="000000" w:themeColor="text1"/>
          <w:sz w:val="22"/>
          <w:szCs w:val="22"/>
        </w:rPr>
      </w:pPr>
      <w:r w:rsidRPr="006D4D25">
        <w:rPr>
          <w:rFonts w:ascii="Arial" w:hAnsi="Arial" w:cs="Arial"/>
          <w:b/>
          <w:bCs/>
          <w:i/>
          <w:iCs/>
          <w:color w:val="000000" w:themeColor="text1"/>
          <w:sz w:val="22"/>
          <w:szCs w:val="22"/>
        </w:rPr>
        <w:t>b) Regional and international projects</w:t>
      </w:r>
    </w:p>
    <w:p w:rsidR="00203004" w:rsidRPr="0018202F" w:rsidRDefault="00203004" w:rsidP="00203004">
      <w:pPr>
        <w:pStyle w:val="NormalWeb"/>
        <w:jc w:val="both"/>
        <w:rPr>
          <w:rFonts w:ascii="Arial" w:hAnsi="Arial" w:cs="Arial"/>
          <w:sz w:val="22"/>
          <w:szCs w:val="22"/>
        </w:rPr>
      </w:pPr>
      <w:r w:rsidRPr="0018202F">
        <w:rPr>
          <w:rFonts w:ascii="Arial" w:hAnsi="Arial" w:cs="Arial"/>
          <w:sz w:val="22"/>
          <w:szCs w:val="22"/>
        </w:rPr>
        <w:t xml:space="preserve">Through the FAO/GEF BOBLME project, the Gulf of Thailand Sub-Regional Framework and EU-funded CAPFISH programmes, Cambodia has strengthened MCS and community enforcement, modernised FIMS and stock-assessment capacity, and upgraded post-harvest and value-chain systems (FAO, 2015; FiA, 2021). However, cooperation on effort limitation, gear </w:t>
      </w:r>
      <w:r w:rsidR="00D202D3" w:rsidRPr="0018202F">
        <w:rPr>
          <w:rFonts w:ascii="Arial" w:hAnsi="Arial" w:cs="Arial"/>
          <w:sz w:val="22"/>
          <w:szCs w:val="22"/>
        </w:rPr>
        <w:t>standardization</w:t>
      </w:r>
      <w:r w:rsidRPr="0018202F">
        <w:rPr>
          <w:rFonts w:ascii="Arial" w:hAnsi="Arial" w:cs="Arial"/>
          <w:sz w:val="22"/>
          <w:szCs w:val="22"/>
        </w:rPr>
        <w:t xml:space="preserve"> and IUU blacklist sharing remains limited. Foreign industrial fleets continue to exert substantial pressure within Cambodia’s EEZ, reflected in high PPR values and multinational catch footprints (Sea Around Us, 2024), and no joint harvest-control rules or quota systems are yet operational.</w:t>
      </w:r>
    </w:p>
    <w:p w:rsidR="00203004" w:rsidRPr="006D4D25" w:rsidRDefault="00203004" w:rsidP="00203004">
      <w:pPr>
        <w:keepNext/>
        <w:spacing w:before="240" w:after="120"/>
        <w:jc w:val="both"/>
        <w:rPr>
          <w:rFonts w:ascii="Arial" w:hAnsi="Arial" w:cs="Arial"/>
          <w:b/>
          <w:bCs/>
          <w:i/>
          <w:iCs/>
          <w:color w:val="000000" w:themeColor="text1"/>
          <w:sz w:val="22"/>
          <w:szCs w:val="22"/>
        </w:rPr>
      </w:pPr>
      <w:r w:rsidRPr="006D4D25">
        <w:rPr>
          <w:rFonts w:ascii="Arial" w:hAnsi="Arial" w:cs="Arial"/>
          <w:b/>
          <w:bCs/>
          <w:i/>
          <w:iCs/>
          <w:color w:val="000000" w:themeColor="text1"/>
          <w:sz w:val="22"/>
          <w:szCs w:val="22"/>
        </w:rPr>
        <w:t>c) Regional environmental and coastal cooperation</w:t>
      </w:r>
    </w:p>
    <w:p w:rsidR="00203004" w:rsidRPr="0018202F" w:rsidRDefault="00203004" w:rsidP="00203004">
      <w:pPr>
        <w:pStyle w:val="NormalWeb"/>
        <w:jc w:val="both"/>
        <w:rPr>
          <w:rFonts w:ascii="Arial" w:hAnsi="Arial" w:cs="Arial"/>
          <w:sz w:val="22"/>
          <w:szCs w:val="22"/>
        </w:rPr>
      </w:pPr>
      <w:r w:rsidRPr="0018202F">
        <w:rPr>
          <w:rFonts w:ascii="Arial" w:hAnsi="Arial" w:cs="Arial"/>
          <w:sz w:val="22"/>
          <w:szCs w:val="22"/>
        </w:rPr>
        <w:t>Cambodia participates in COBSEA on marine litter, pollution control and habitat protection, and in ASEAN initiatives on biodiversity, disaster risk reduction and coastal management. Through PEMSEA, Cambodia has prepared State of the Coasts reports and piloted Integrated Coastal Management in Sihanoukville, providing models for ecosystem-based and blue-economy planning.</w:t>
      </w:r>
    </w:p>
    <w:p w:rsidR="00203004" w:rsidRPr="006D4D25" w:rsidRDefault="00203004" w:rsidP="00203004">
      <w:pPr>
        <w:keepNext/>
        <w:spacing w:before="240" w:after="120"/>
        <w:jc w:val="both"/>
        <w:rPr>
          <w:rFonts w:ascii="Arial" w:hAnsi="Arial" w:cs="Arial"/>
          <w:b/>
          <w:bCs/>
          <w:i/>
          <w:iCs/>
          <w:color w:val="000000" w:themeColor="text1"/>
          <w:sz w:val="22"/>
          <w:szCs w:val="22"/>
        </w:rPr>
      </w:pPr>
      <w:r w:rsidRPr="006D4D25">
        <w:rPr>
          <w:rFonts w:ascii="Arial" w:hAnsi="Arial" w:cs="Arial"/>
          <w:b/>
          <w:bCs/>
          <w:i/>
          <w:iCs/>
          <w:color w:val="000000" w:themeColor="text1"/>
          <w:sz w:val="22"/>
          <w:szCs w:val="22"/>
        </w:rPr>
        <w:t>d) Bilateral and global engagement</w:t>
      </w:r>
    </w:p>
    <w:p w:rsidR="00203004" w:rsidRPr="0018202F" w:rsidRDefault="00203004" w:rsidP="00203004">
      <w:pPr>
        <w:pStyle w:val="NormalWeb"/>
        <w:jc w:val="both"/>
        <w:rPr>
          <w:rFonts w:ascii="Arial" w:hAnsi="Arial" w:cs="Arial"/>
          <w:sz w:val="22"/>
          <w:szCs w:val="22"/>
        </w:rPr>
      </w:pPr>
      <w:r w:rsidRPr="0018202F">
        <w:rPr>
          <w:rFonts w:ascii="Arial" w:hAnsi="Arial" w:cs="Arial"/>
          <w:sz w:val="22"/>
          <w:szCs w:val="22"/>
        </w:rPr>
        <w:t>Cambodia cooperates with Viet Nam and Thailand on fisheries and pollution control, including periodic joint patrols against IUU fishing, and aligns national policy with SDG 14 and the Kunming–Montreal Global Biodiversity Framework. These commitments are reflected in the Blue Economy Roadmap (2024–2030) and NDC 3.0 coastal-adaptation components (Government of Cambodia, 2025).</w:t>
      </w:r>
    </w:p>
    <w:p w:rsidR="00203004" w:rsidRPr="006D4D25" w:rsidRDefault="00203004" w:rsidP="00203004">
      <w:pPr>
        <w:keepNext/>
        <w:spacing w:before="240" w:after="120"/>
        <w:jc w:val="both"/>
        <w:rPr>
          <w:rFonts w:ascii="Arial" w:hAnsi="Arial" w:cs="Arial"/>
          <w:b/>
          <w:bCs/>
          <w:i/>
          <w:iCs/>
          <w:color w:val="000000" w:themeColor="text1"/>
          <w:sz w:val="22"/>
          <w:szCs w:val="22"/>
        </w:rPr>
      </w:pPr>
      <w:r w:rsidRPr="006D4D25">
        <w:rPr>
          <w:rFonts w:ascii="Arial" w:hAnsi="Arial" w:cs="Arial"/>
          <w:b/>
          <w:bCs/>
          <w:i/>
          <w:iCs/>
          <w:color w:val="000000" w:themeColor="text1"/>
          <w:sz w:val="22"/>
          <w:szCs w:val="22"/>
        </w:rPr>
        <w:t>e) Challenges and opportunities</w:t>
      </w:r>
    </w:p>
    <w:p w:rsidR="00203004" w:rsidRPr="0018202F" w:rsidRDefault="00203004" w:rsidP="005C6871">
      <w:pPr>
        <w:pStyle w:val="NormalWeb"/>
        <w:jc w:val="both"/>
        <w:rPr>
          <w:rFonts w:ascii="Arial" w:hAnsi="Arial" w:cs="Arial"/>
          <w:sz w:val="22"/>
          <w:szCs w:val="22"/>
        </w:rPr>
      </w:pPr>
      <w:r w:rsidRPr="0018202F">
        <w:rPr>
          <w:rFonts w:ascii="Arial" w:hAnsi="Arial" w:cs="Arial"/>
          <w:sz w:val="22"/>
          <w:szCs w:val="22"/>
        </w:rPr>
        <w:t>Regional mechanisms offer strong platforms for joint monitoring and standard setting, but Cambodia’s engagement is constrained by limited analytical capacity, scarce and project-based financing, and fragmented coordination among fisheries, environment and maritime-security agencies. Strengthening inter-agency cooperation, investing in stock-assessment and modelling skills, and securing more predictable funding would allow Cambodia to better leverage regional frameworks to address transboundary fisheries, pollution and climate risks.</w:t>
      </w:r>
    </w:p>
    <w:p w:rsidR="00DE7EFC" w:rsidRPr="0018202F" w:rsidRDefault="00DE7EFC" w:rsidP="008D473D">
      <w:pPr>
        <w:keepNext/>
        <w:spacing w:before="100" w:beforeAutospacing="1" w:after="100" w:afterAutospacing="1"/>
        <w:jc w:val="both"/>
        <w:outlineLvl w:val="2"/>
        <w:rPr>
          <w:rFonts w:ascii="Arial" w:hAnsi="Arial" w:cs="Arial"/>
          <w:b/>
          <w:bCs/>
        </w:rPr>
      </w:pPr>
      <w:bookmarkStart w:id="42" w:name="_Toc217232061"/>
      <w:r w:rsidRPr="0018202F">
        <w:rPr>
          <w:rFonts w:ascii="Arial" w:hAnsi="Arial" w:cs="Arial"/>
          <w:b/>
          <w:bCs/>
        </w:rPr>
        <w:t>5.3.4 Recommended priority actions (including regional cooperation)</w:t>
      </w:r>
      <w:bookmarkEnd w:id="42"/>
    </w:p>
    <w:p w:rsidR="00D202D3" w:rsidRPr="001F341D" w:rsidRDefault="00D17953" w:rsidP="001F341D">
      <w:pPr>
        <w:jc w:val="both"/>
        <w:rPr>
          <w:rStyle w:val="Strong"/>
          <w:rFonts w:ascii="Arial" w:hAnsi="Arial" w:cs="Arial"/>
          <w:i/>
          <w:iCs/>
          <w:color w:val="000000" w:themeColor="text1"/>
          <w:sz w:val="22"/>
          <w:szCs w:val="22"/>
        </w:rPr>
      </w:pPr>
      <w:r w:rsidRPr="001F341D">
        <w:rPr>
          <w:rStyle w:val="Strong"/>
          <w:rFonts w:ascii="Arial" w:hAnsi="Arial" w:cs="Arial"/>
          <w:i/>
          <w:iCs/>
          <w:color w:val="000000" w:themeColor="text1"/>
          <w:sz w:val="22"/>
          <w:szCs w:val="22"/>
        </w:rPr>
        <w:t xml:space="preserve">a) </w:t>
      </w:r>
      <w:r w:rsidR="00D202D3" w:rsidRPr="001F341D">
        <w:rPr>
          <w:rStyle w:val="Strong"/>
          <w:rFonts w:ascii="Arial" w:hAnsi="Arial" w:cs="Arial"/>
          <w:i/>
          <w:iCs/>
          <w:color w:val="000000" w:themeColor="text1"/>
          <w:sz w:val="22"/>
          <w:szCs w:val="22"/>
        </w:rPr>
        <w:t>Rebuilding over-exploited stocks and reducing fishing pressure</w:t>
      </w:r>
    </w:p>
    <w:p w:rsidR="001F341D" w:rsidRPr="001F341D" w:rsidRDefault="001F341D" w:rsidP="001F341D">
      <w:pPr>
        <w:pStyle w:val="NormalWeb"/>
        <w:jc w:val="both"/>
        <w:rPr>
          <w:rFonts w:ascii="Arial" w:hAnsi="Arial" w:cs="Arial"/>
          <w:sz w:val="22"/>
          <w:szCs w:val="22"/>
        </w:rPr>
      </w:pPr>
      <w:r w:rsidRPr="001F341D">
        <w:rPr>
          <w:rFonts w:ascii="Arial" w:hAnsi="Arial" w:cs="Arial"/>
          <w:sz w:val="22"/>
          <w:szCs w:val="22"/>
        </w:rPr>
        <w:t>The most urgent priority is to rebuild demersal and small-pelagic stocks through firm effort controls paired with habitat protection. This starts with completing registration and licensing of all marine vessels to establish a verifiable fleet baseline. Effort should then be capped and progressively reduced for trawl and purse-seine fleets, with strict protection of inshore waters (&lt;20 m). Trawl-free zones and seasonal closures should be expanded and timed to spawning and recruitment periods, while gear rules require selectivity measures (e.g., BRDs and minimum mesh sizes) to reduce juvenile catch and bycatch. Incentives should also support a shift away from “trash-fish”–based fishmeal toward higher-value products for human consumption.</w:t>
      </w:r>
    </w:p>
    <w:p w:rsidR="001F341D" w:rsidRPr="006D4D25" w:rsidRDefault="001F341D" w:rsidP="001F341D">
      <w:pPr>
        <w:pStyle w:val="NormalWeb"/>
        <w:jc w:val="both"/>
        <w:rPr>
          <w:rFonts w:ascii="Arial" w:hAnsi="Arial" w:cs="Arial"/>
          <w:i/>
          <w:iCs/>
          <w:sz w:val="22"/>
          <w:szCs w:val="22"/>
        </w:rPr>
      </w:pPr>
      <w:r w:rsidRPr="006D4D25">
        <w:rPr>
          <w:rStyle w:val="Strong"/>
          <w:rFonts w:ascii="Arial" w:hAnsi="Arial" w:cs="Arial"/>
          <w:i/>
          <w:iCs/>
          <w:sz w:val="22"/>
          <w:szCs w:val="22"/>
        </w:rPr>
        <w:t>b) Ecosystem-based management and climate adaptation</w:t>
      </w:r>
    </w:p>
    <w:p w:rsidR="001F341D" w:rsidRPr="001F341D" w:rsidRDefault="001F341D" w:rsidP="001F341D">
      <w:pPr>
        <w:pStyle w:val="NormalWeb"/>
        <w:jc w:val="both"/>
        <w:rPr>
          <w:rFonts w:ascii="Arial" w:hAnsi="Arial" w:cs="Arial"/>
          <w:sz w:val="22"/>
          <w:szCs w:val="22"/>
        </w:rPr>
      </w:pPr>
      <w:r w:rsidRPr="001F341D">
        <w:rPr>
          <w:rFonts w:ascii="Arial" w:hAnsi="Arial" w:cs="Arial"/>
          <w:sz w:val="22"/>
          <w:szCs w:val="22"/>
        </w:rPr>
        <w:t>Fisheries sustainability depends on resilient coastal ecosystems and planning that reflects climate and hydrologic change. Management should restore and conserve mangroves, seagrass, and coral reefs as nurseries and blue-carbon buffers, and integrate climate projections and basin-hydrology models into fisheries rules and aquaculture zoning. Nearshore water quality should be improved through stronger control of wastewater, agricultural runoff, and plastic leakage. Monitoring should be strengthened through regular trawl/acoustic surveys, standardized sampling, and community logbooks to improve ecological evidence and local accountability.</w:t>
      </w:r>
    </w:p>
    <w:p w:rsidR="001F341D" w:rsidRPr="006D4D25" w:rsidRDefault="001F341D" w:rsidP="001F341D">
      <w:pPr>
        <w:pStyle w:val="NormalWeb"/>
        <w:jc w:val="both"/>
        <w:rPr>
          <w:rFonts w:ascii="Arial" w:hAnsi="Arial" w:cs="Arial"/>
          <w:i/>
          <w:iCs/>
          <w:sz w:val="22"/>
          <w:szCs w:val="22"/>
        </w:rPr>
      </w:pPr>
      <w:r w:rsidRPr="006D4D25">
        <w:rPr>
          <w:rStyle w:val="Strong"/>
          <w:rFonts w:ascii="Arial" w:hAnsi="Arial" w:cs="Arial"/>
          <w:i/>
          <w:iCs/>
          <w:sz w:val="22"/>
          <w:szCs w:val="22"/>
        </w:rPr>
        <w:t>c) Strengthening governance, compliance and socio-economic resilience</w:t>
      </w:r>
    </w:p>
    <w:p w:rsidR="001F341D" w:rsidRPr="001F341D" w:rsidRDefault="001F341D" w:rsidP="001F341D">
      <w:pPr>
        <w:pStyle w:val="NormalWeb"/>
        <w:jc w:val="both"/>
        <w:rPr>
          <w:rFonts w:ascii="Arial" w:hAnsi="Arial" w:cs="Arial"/>
          <w:sz w:val="22"/>
          <w:szCs w:val="22"/>
        </w:rPr>
      </w:pPr>
      <w:r w:rsidRPr="001F341D">
        <w:rPr>
          <w:rFonts w:ascii="Arial" w:hAnsi="Arial" w:cs="Arial"/>
          <w:sz w:val="22"/>
          <w:szCs w:val="22"/>
        </w:rPr>
        <w:t>Reform is needed to reduce effort while safeguarding fishing communities. Monitoring, Control and Surveillance (MCS) should be scaled through joint patrols, VMS/AIS coverage for industrial vessels, and formalized community surveillance. Catch-and-effort management requires modernizing FIMS and ensuring consistent reporting across provinces. Subsidies should be redirected away from capacity-enhancing support toward alternative livelihoods, safety-at-sea, post-harvest value addition, and compliance training. Co-management should be strengthened by clarifying CFi rights, improving benefit-sharing, and expanding local enforcement authority, with stronger gender and social inclusion in decision-making and in aquaculture and processing roles.</w:t>
      </w:r>
    </w:p>
    <w:p w:rsidR="001F341D" w:rsidRPr="006D4D25" w:rsidRDefault="001F341D" w:rsidP="001F341D">
      <w:pPr>
        <w:pStyle w:val="NormalWeb"/>
        <w:jc w:val="both"/>
        <w:rPr>
          <w:rFonts w:ascii="Arial" w:hAnsi="Arial" w:cs="Arial"/>
          <w:i/>
          <w:iCs/>
          <w:sz w:val="22"/>
          <w:szCs w:val="22"/>
        </w:rPr>
      </w:pPr>
      <w:r w:rsidRPr="006D4D25">
        <w:rPr>
          <w:rStyle w:val="Strong"/>
          <w:rFonts w:ascii="Arial" w:hAnsi="Arial" w:cs="Arial"/>
          <w:i/>
          <w:iCs/>
          <w:sz w:val="22"/>
          <w:szCs w:val="22"/>
        </w:rPr>
        <w:t>d) Regional and transboundary cooperation</w:t>
      </w:r>
    </w:p>
    <w:p w:rsidR="001F341D" w:rsidRPr="001F341D" w:rsidRDefault="001F341D" w:rsidP="001F341D">
      <w:pPr>
        <w:pStyle w:val="NormalWeb"/>
        <w:jc w:val="both"/>
        <w:rPr>
          <w:rFonts w:ascii="Arial" w:hAnsi="Arial" w:cs="Arial"/>
          <w:sz w:val="22"/>
          <w:szCs w:val="22"/>
        </w:rPr>
      </w:pPr>
      <w:r w:rsidRPr="001F341D">
        <w:rPr>
          <w:rFonts w:ascii="Arial" w:hAnsi="Arial" w:cs="Arial"/>
          <w:sz w:val="22"/>
          <w:szCs w:val="22"/>
        </w:rPr>
        <w:t>Shared stocks and pressures require deeper collaboration through SEAFDEC, ASEAN, and SCS-SAP frameworks. Priorities include joint stock assessments, reference points, and catch-potential modelling for shared species; harmonized gear and mesh standards with Thailand and Viet Nam; and a shared IUU information system with coordinated MCS operations. Cambodia should also explore joint effort-reduction or vessel buy-back schemes, especially for Gulf trawl fleets, and strengthen regional ecosystem and climate-science collaboration, including vulnerability mapping. Linked MPAs, mangrove corridors, and pollution-control zones should be promoted to improve Gulf-wide connectivity and resilience.</w:t>
      </w:r>
    </w:p>
    <w:p w:rsidR="007E3AA0" w:rsidRPr="006D4D25" w:rsidRDefault="007E3AA0" w:rsidP="00D17953">
      <w:pPr>
        <w:pStyle w:val="Heading2"/>
        <w:keepNext/>
        <w:keepLines/>
        <w:adjustRightInd w:val="0"/>
        <w:snapToGrid w:val="0"/>
        <w:spacing w:before="240" w:beforeAutospacing="0" w:after="120" w:afterAutospacing="0" w:line="276" w:lineRule="auto"/>
        <w:jc w:val="both"/>
        <w:rPr>
          <w:rFonts w:ascii="Arial" w:eastAsiaTheme="majorEastAsia" w:hAnsi="Arial" w:cs="Arial"/>
          <w:color w:val="000000" w:themeColor="text1"/>
          <w:sz w:val="28"/>
          <w:szCs w:val="28"/>
        </w:rPr>
      </w:pPr>
      <w:bookmarkStart w:id="43" w:name="_Toc217232062"/>
      <w:bookmarkEnd w:id="7"/>
      <w:bookmarkEnd w:id="8"/>
      <w:r w:rsidRPr="006D4D25">
        <w:rPr>
          <w:rFonts w:ascii="Arial" w:eastAsiaTheme="majorEastAsia" w:hAnsi="Arial" w:cs="Arial"/>
          <w:color w:val="000000" w:themeColor="text1"/>
          <w:sz w:val="28"/>
          <w:szCs w:val="28"/>
        </w:rPr>
        <w:t>5.4 Methodology and Analysis</w:t>
      </w:r>
      <w:bookmarkEnd w:id="43"/>
    </w:p>
    <w:p w:rsidR="00477E6D" w:rsidRPr="0018202F" w:rsidRDefault="001F341D" w:rsidP="00477E6D">
      <w:pPr>
        <w:pStyle w:val="NormalWeb"/>
        <w:jc w:val="both"/>
        <w:rPr>
          <w:rFonts w:ascii="Arial" w:hAnsi="Arial" w:cs="Arial"/>
          <w:sz w:val="22"/>
          <w:szCs w:val="22"/>
        </w:rPr>
      </w:pPr>
      <w:r w:rsidRPr="001F341D">
        <w:rPr>
          <w:rFonts w:ascii="Arial" w:hAnsi="Arial" w:cs="Arial"/>
          <w:sz w:val="22"/>
          <w:szCs w:val="22"/>
        </w:rPr>
        <w:t>This assessment follows the indicator-based TDA approach, combining harmonized long-term datasets, provincial statistics, ecological indicators, and targeted literature to evaluate pressures, ecosystem condition, and fleet dynamics in Cambodia’s marine fisheries. Biophysical, economic, and institutional evidence is integrated to inform transboundary diagnostic findings and SAP prioritization</w:t>
      </w:r>
      <w:r w:rsidR="00477E6D" w:rsidRPr="0018202F">
        <w:rPr>
          <w:rFonts w:ascii="Arial" w:hAnsi="Arial" w:cs="Arial"/>
          <w:sz w:val="22"/>
          <w:szCs w:val="22"/>
        </w:rPr>
        <w:t>.</w:t>
      </w:r>
    </w:p>
    <w:p w:rsidR="00477E6D" w:rsidRPr="0018202F" w:rsidRDefault="00477E6D" w:rsidP="006D4D25">
      <w:pPr>
        <w:pStyle w:val="Heading3"/>
        <w:keepNext/>
        <w:jc w:val="both"/>
        <w:rPr>
          <w:rFonts w:ascii="Arial" w:hAnsi="Arial" w:cs="Arial"/>
          <w:sz w:val="22"/>
          <w:szCs w:val="22"/>
        </w:rPr>
      </w:pPr>
      <w:bookmarkStart w:id="44" w:name="_Toc217232063"/>
      <w:r w:rsidRPr="0018202F">
        <w:rPr>
          <w:rStyle w:val="Strong"/>
          <w:rFonts w:ascii="Arial" w:hAnsi="Arial" w:cs="Arial"/>
          <w:b/>
          <w:bCs/>
          <w:sz w:val="22"/>
          <w:szCs w:val="22"/>
        </w:rPr>
        <w:t>5.4.1 Data Sources and Integration</w:t>
      </w:r>
      <w:bookmarkEnd w:id="44"/>
    </w:p>
    <w:p w:rsidR="00477E6D" w:rsidRPr="001F341D" w:rsidRDefault="001F341D" w:rsidP="00D202D3">
      <w:pPr>
        <w:pStyle w:val="NormalWeb"/>
        <w:jc w:val="both"/>
        <w:rPr>
          <w:rFonts w:ascii="Arial" w:hAnsi="Arial" w:cs="Arial"/>
          <w:sz w:val="21"/>
          <w:szCs w:val="21"/>
        </w:rPr>
      </w:pPr>
      <w:r w:rsidRPr="001F341D">
        <w:rPr>
          <w:rFonts w:ascii="Arial" w:hAnsi="Arial" w:cs="Arial"/>
          <w:sz w:val="22"/>
          <w:szCs w:val="22"/>
        </w:rPr>
        <w:t>The analysis draws on national and regional datasets, including FAO FishStatJ (1950–2022) for capture and aquaculture trends; FiA statistics (2012–2024), including the 2018 Marine Vessel Census, for provincial production, fleets, licensing and aquaculture; Sea Around Us (1950–2019) for reconstructed catches and ecosystem indicators (e.g., MTI, FiB, PPR) and subsidy estimates; and SEAFDEC trawl/resource surveys (1966–2019), complemented by recent MaFReDI information, for demersal CPUE/biomass proxies. Peer-reviewed studies on reef condition and biodiversity provide additional context. Quantitative series were cross-checked with FiA technical experts (2024–2025) and reviewed against key policy instruments (e.g., Fisheries Law, FiA strategic framework). Full metadata and indicator methods are provided in the Annex.</w:t>
      </w:r>
    </w:p>
    <w:p w:rsidR="00477E6D" w:rsidRPr="0018202F" w:rsidRDefault="00477E6D" w:rsidP="00477E6D">
      <w:pPr>
        <w:pStyle w:val="Heading3"/>
        <w:jc w:val="both"/>
        <w:rPr>
          <w:rFonts w:ascii="Arial" w:hAnsi="Arial" w:cs="Arial"/>
          <w:sz w:val="22"/>
          <w:szCs w:val="22"/>
        </w:rPr>
      </w:pPr>
      <w:bookmarkStart w:id="45" w:name="_Toc217232064"/>
      <w:r w:rsidRPr="0018202F">
        <w:rPr>
          <w:rStyle w:val="Strong"/>
          <w:rFonts w:ascii="Arial" w:hAnsi="Arial" w:cs="Arial"/>
          <w:b/>
          <w:bCs/>
          <w:sz w:val="22"/>
          <w:szCs w:val="22"/>
        </w:rPr>
        <w:t>5.4.2 Indicator Framework</w:t>
      </w:r>
      <w:bookmarkEnd w:id="45"/>
    </w:p>
    <w:p w:rsidR="00477E6D" w:rsidRPr="0018202F" w:rsidRDefault="001F341D" w:rsidP="00477E6D">
      <w:pPr>
        <w:pStyle w:val="NormalWeb"/>
        <w:jc w:val="both"/>
        <w:rPr>
          <w:rFonts w:ascii="Arial" w:hAnsi="Arial" w:cs="Arial"/>
          <w:sz w:val="22"/>
          <w:szCs w:val="22"/>
        </w:rPr>
      </w:pPr>
      <w:r w:rsidRPr="001F341D">
        <w:rPr>
          <w:rFonts w:ascii="Arial" w:hAnsi="Arial" w:cs="Arial"/>
          <w:sz w:val="22"/>
          <w:szCs w:val="22"/>
        </w:rPr>
        <w:t>Indicators were selected for relevance, time-series continuity, and alignment with the SCS–SAP TDA template, covering: (i) production and value (national/provincial catch and aquaculture trends), (ii) ecosystem condition (MTI, FiB, PPR, stock-status plots, CPUE as biomass proxy), (iii) fleet and gear pressure (vessel numbers/power, registration, trawl/purse-seine shares, small-scale contributions), and (iv) economic drivers (capacity-enhancing subsidies and subsidy-to-value ratios). Definitions and transformations are documented in the Annex.</w:t>
      </w:r>
    </w:p>
    <w:p w:rsidR="00477E6D" w:rsidRPr="0018202F" w:rsidRDefault="00477E6D" w:rsidP="001F341D">
      <w:pPr>
        <w:pStyle w:val="Heading3"/>
        <w:numPr>
          <w:ilvl w:val="2"/>
          <w:numId w:val="66"/>
        </w:numPr>
        <w:jc w:val="both"/>
        <w:rPr>
          <w:rFonts w:ascii="Arial" w:hAnsi="Arial" w:cs="Arial"/>
          <w:sz w:val="22"/>
          <w:szCs w:val="22"/>
        </w:rPr>
      </w:pPr>
      <w:bookmarkStart w:id="46" w:name="_Toc217232065"/>
      <w:r w:rsidRPr="0018202F">
        <w:rPr>
          <w:rStyle w:val="Strong"/>
          <w:rFonts w:ascii="Arial" w:hAnsi="Arial" w:cs="Arial"/>
          <w:b/>
          <w:bCs/>
          <w:sz w:val="22"/>
          <w:szCs w:val="22"/>
        </w:rPr>
        <w:t>Spatial and Temporal Assessment</w:t>
      </w:r>
      <w:bookmarkEnd w:id="46"/>
    </w:p>
    <w:p w:rsidR="00477E6D" w:rsidRPr="0018202F" w:rsidRDefault="001F341D" w:rsidP="00477E6D">
      <w:pPr>
        <w:pStyle w:val="NormalWeb"/>
        <w:jc w:val="both"/>
        <w:rPr>
          <w:rFonts w:ascii="Arial" w:hAnsi="Arial" w:cs="Arial"/>
          <w:sz w:val="22"/>
          <w:szCs w:val="22"/>
        </w:rPr>
      </w:pPr>
      <w:r w:rsidRPr="001F341D">
        <w:rPr>
          <w:rFonts w:ascii="Arial" w:hAnsi="Arial" w:cs="Arial"/>
          <w:sz w:val="22"/>
          <w:szCs w:val="22"/>
        </w:rPr>
        <w:t>Trends are analysed across the 1950s–2020s to identify phases of expansion, depletion, partial recovery, and recent intensification. Spatial profiling focuses on Koh Kong, Preah Sihanouk, Kampot, and Kep, examining production concentration, fleet distribution, aquaculture hotspots, and overlap of fishing pressure with mangroves, seagrass, and coral ecosystems. GIS layers from FiA/SAUP support hotspot mapping of effort and ecological pressure.</w:t>
      </w:r>
    </w:p>
    <w:p w:rsidR="00477E6D" w:rsidRPr="0018202F" w:rsidRDefault="00477E6D" w:rsidP="001F341D">
      <w:pPr>
        <w:pStyle w:val="Heading3"/>
        <w:numPr>
          <w:ilvl w:val="2"/>
          <w:numId w:val="66"/>
        </w:numPr>
        <w:jc w:val="both"/>
        <w:rPr>
          <w:rFonts w:ascii="Arial" w:hAnsi="Arial" w:cs="Arial"/>
          <w:sz w:val="22"/>
          <w:szCs w:val="22"/>
        </w:rPr>
      </w:pPr>
      <w:bookmarkStart w:id="47" w:name="_Toc217232066"/>
      <w:r w:rsidRPr="0018202F">
        <w:rPr>
          <w:rStyle w:val="Strong"/>
          <w:rFonts w:ascii="Arial" w:hAnsi="Arial" w:cs="Arial"/>
          <w:b/>
          <w:bCs/>
          <w:sz w:val="22"/>
          <w:szCs w:val="22"/>
        </w:rPr>
        <w:t>Ecosystem–Economic Linkages</w:t>
      </w:r>
      <w:bookmarkEnd w:id="47"/>
    </w:p>
    <w:p w:rsidR="00477E6D" w:rsidRPr="0018202F" w:rsidRDefault="001F341D" w:rsidP="00477E6D">
      <w:pPr>
        <w:pStyle w:val="NormalWeb"/>
        <w:jc w:val="both"/>
        <w:rPr>
          <w:rFonts w:ascii="Arial" w:hAnsi="Arial" w:cs="Arial"/>
          <w:sz w:val="22"/>
          <w:szCs w:val="22"/>
        </w:rPr>
      </w:pPr>
      <w:r w:rsidRPr="001F341D">
        <w:rPr>
          <w:rFonts w:ascii="Arial" w:hAnsi="Arial" w:cs="Arial"/>
          <w:sz w:val="22"/>
          <w:szCs w:val="22"/>
        </w:rPr>
        <w:t>Ecological and economic signals are linked by comparing MTI/FiB/PPR and stock-status patterns with production and value trends, using CPUE to infer biomass depletion and examining how subsidies and fleet structure reinforce overcapacity. Results indicate rising production/value despite declining underlying ecosystem productivity, consistent with “fishing through the food web.”</w:t>
      </w:r>
    </w:p>
    <w:p w:rsidR="00477E6D" w:rsidRPr="0018202F" w:rsidRDefault="00477E6D" w:rsidP="001F341D">
      <w:pPr>
        <w:pStyle w:val="Heading3"/>
        <w:numPr>
          <w:ilvl w:val="2"/>
          <w:numId w:val="66"/>
        </w:numPr>
        <w:jc w:val="both"/>
        <w:rPr>
          <w:rFonts w:ascii="Arial" w:hAnsi="Arial" w:cs="Arial"/>
          <w:sz w:val="22"/>
          <w:szCs w:val="22"/>
        </w:rPr>
      </w:pPr>
      <w:bookmarkStart w:id="48" w:name="_Toc217232067"/>
      <w:r w:rsidRPr="0018202F">
        <w:rPr>
          <w:rStyle w:val="Strong"/>
          <w:rFonts w:ascii="Arial" w:hAnsi="Arial" w:cs="Arial"/>
          <w:b/>
          <w:bCs/>
          <w:sz w:val="22"/>
          <w:szCs w:val="22"/>
        </w:rPr>
        <w:t>Data Gaps and Limitations</w:t>
      </w:r>
      <w:bookmarkEnd w:id="48"/>
    </w:p>
    <w:p w:rsidR="001F341D" w:rsidRPr="0018202F" w:rsidRDefault="001F341D" w:rsidP="00477E6D">
      <w:pPr>
        <w:pStyle w:val="NormalWeb"/>
        <w:jc w:val="both"/>
        <w:rPr>
          <w:rFonts w:ascii="Arial" w:hAnsi="Arial" w:cs="Arial"/>
          <w:sz w:val="22"/>
          <w:szCs w:val="22"/>
        </w:rPr>
      </w:pPr>
      <w:r w:rsidRPr="001F341D">
        <w:rPr>
          <w:rFonts w:ascii="Arial" w:hAnsi="Arial" w:cs="Arial"/>
          <w:sz w:val="22"/>
          <w:szCs w:val="22"/>
        </w:rPr>
        <w:t>Key gaps include incomplete long-term CPUE/biomass series, limited separation of small-scale versus industrial activity, under-reporting of unregistered vessels and IUU catches, sparse species-level aquaculture data, and limited information on foreign-fleet interactions. These constraints reinforce the need to strengthen FIMS, expand stock assessments, and improve regional data-sharing through SEAFDEC and the SCS–SAP framework.</w:t>
      </w:r>
    </w:p>
    <w:bookmarkEnd w:id="0"/>
    <w:bookmarkEnd w:id="1"/>
    <w:bookmarkEnd w:id="2"/>
    <w:p w:rsidR="001F341D" w:rsidRDefault="00130A33" w:rsidP="0016005B">
      <w:pPr>
        <w:spacing w:before="100" w:beforeAutospacing="1" w:after="100" w:afterAutospacing="1"/>
        <w:jc w:val="both"/>
        <w:outlineLvl w:val="1"/>
        <w:rPr>
          <w:rFonts w:ascii="Arial" w:hAnsi="Arial" w:cs="Arial"/>
          <w:b/>
          <w:bCs/>
          <w:sz w:val="32"/>
          <w:szCs w:val="32"/>
        </w:rPr>
      </w:pPr>
      <w:r w:rsidRPr="0018202F">
        <w:rPr>
          <w:rFonts w:ascii="Arial" w:hAnsi="Arial" w:cs="Arial"/>
          <w:b/>
          <w:bCs/>
          <w:sz w:val="32"/>
          <w:szCs w:val="32"/>
        </w:rPr>
        <w:br w:type="column"/>
      </w:r>
      <w:bookmarkStart w:id="49" w:name="_Toc217232068"/>
      <w:r w:rsidR="001F341D" w:rsidRPr="004501F2">
        <w:rPr>
          <w:rFonts w:ascii="Arial" w:hAnsi="Arial" w:cs="Arial"/>
          <w:b/>
          <w:bCs/>
          <w:sz w:val="28"/>
          <w:szCs w:val="28"/>
        </w:rPr>
        <w:t>G</w:t>
      </w:r>
      <w:r w:rsidR="001F341D">
        <w:rPr>
          <w:rFonts w:ascii="Arial" w:hAnsi="Arial" w:cs="Arial"/>
          <w:b/>
          <w:bCs/>
          <w:sz w:val="28"/>
          <w:szCs w:val="28"/>
        </w:rPr>
        <w:t>l</w:t>
      </w:r>
      <w:r w:rsidR="001F341D" w:rsidRPr="004501F2">
        <w:rPr>
          <w:rFonts w:ascii="Arial" w:hAnsi="Arial" w:cs="Arial"/>
          <w:b/>
          <w:bCs/>
          <w:sz w:val="28"/>
          <w:szCs w:val="28"/>
        </w:rPr>
        <w:t>ossary</w:t>
      </w:r>
      <w:bookmarkEnd w:id="49"/>
      <w:r w:rsidR="001F341D" w:rsidRPr="0018202F">
        <w:rPr>
          <w:rFonts w:ascii="Arial" w:hAnsi="Arial" w:cs="Arial"/>
          <w:b/>
          <w:bCs/>
          <w:sz w:val="32"/>
          <w:szCs w:val="32"/>
        </w:rPr>
        <w:t xml:space="preserve"> </w:t>
      </w:r>
    </w:p>
    <w:tbl>
      <w:tblPr>
        <w:tblStyle w:val="GridTable4-Accent5"/>
        <w:tblW w:w="0" w:type="auto"/>
        <w:tblLook w:val="04A0" w:firstRow="1" w:lastRow="0" w:firstColumn="1" w:lastColumn="0" w:noHBand="0" w:noVBand="1"/>
      </w:tblPr>
      <w:tblGrid>
        <w:gridCol w:w="2122"/>
        <w:gridCol w:w="6888"/>
      </w:tblGrid>
      <w:tr w:rsidR="00B6063C" w:rsidTr="00B6063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jc w:val="center"/>
              <w:rPr>
                <w:rFonts w:ascii="Arial" w:hAnsi="Arial" w:cs="Arial"/>
                <w:sz w:val="20"/>
                <w:szCs w:val="20"/>
              </w:rPr>
            </w:pPr>
            <w:r w:rsidRPr="00B6063C">
              <w:rPr>
                <w:rFonts w:ascii="Arial" w:hAnsi="Arial" w:cs="Arial"/>
                <w:sz w:val="20"/>
                <w:szCs w:val="20"/>
              </w:rPr>
              <w:t>Term</w:t>
            </w:r>
          </w:p>
        </w:tc>
        <w:tc>
          <w:tcPr>
            <w:tcW w:w="6888" w:type="dxa"/>
            <w:hideMark/>
          </w:tcPr>
          <w:p w:rsidR="00B6063C" w:rsidRPr="00B6063C" w:rsidRDefault="00B6063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B6063C">
              <w:rPr>
                <w:rFonts w:ascii="Arial" w:hAnsi="Arial" w:cs="Arial"/>
                <w:sz w:val="20"/>
                <w:szCs w:val="20"/>
              </w:rPr>
              <w:t>Definition</w:t>
            </w:r>
          </w:p>
        </w:tc>
      </w:tr>
      <w:tr w:rsidR="00B6063C" w:rsidTr="00B60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Aquaculture</w:t>
            </w:r>
          </w:p>
        </w:tc>
        <w:tc>
          <w:tcPr>
            <w:tcW w:w="6888" w:type="dxa"/>
            <w:hideMark/>
          </w:tcPr>
          <w:p w:rsidR="00B6063C" w:rsidRPr="00B6063C" w:rsidRDefault="00B6063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6063C">
              <w:rPr>
                <w:rFonts w:ascii="Arial" w:hAnsi="Arial" w:cs="Arial"/>
                <w:sz w:val="20"/>
                <w:szCs w:val="20"/>
              </w:rPr>
              <w:t>Farming of aquatic organisms (fish, crustaceans, molluscs, aquatic plants) in freshwater, brackishwater, or marine environments.</w:t>
            </w:r>
          </w:p>
        </w:tc>
      </w:tr>
      <w:tr w:rsidR="00B6063C" w:rsidTr="00B6063C">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Artisanal / small-scale fisheries</w:t>
            </w:r>
          </w:p>
        </w:tc>
        <w:tc>
          <w:tcPr>
            <w:tcW w:w="6888" w:type="dxa"/>
            <w:hideMark/>
          </w:tcPr>
          <w:p w:rsidR="00B6063C" w:rsidRPr="00B6063C" w:rsidRDefault="00B6063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6063C">
              <w:rPr>
                <w:rFonts w:ascii="Arial" w:hAnsi="Arial" w:cs="Arial"/>
                <w:sz w:val="20"/>
                <w:szCs w:val="20"/>
              </w:rPr>
              <w:t>Fishing using small vessels and simple gears, often nearshore, supporting household income and local food supply.</w:t>
            </w:r>
          </w:p>
        </w:tc>
      </w:tr>
      <w:tr w:rsidR="00B6063C" w:rsidTr="00B60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Bottom trawling</w:t>
            </w:r>
          </w:p>
        </w:tc>
        <w:tc>
          <w:tcPr>
            <w:tcW w:w="6888" w:type="dxa"/>
            <w:hideMark/>
          </w:tcPr>
          <w:p w:rsidR="00B6063C" w:rsidRPr="00B6063C" w:rsidRDefault="00B6063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6063C">
              <w:rPr>
                <w:rFonts w:ascii="Arial" w:hAnsi="Arial" w:cs="Arial"/>
                <w:sz w:val="20"/>
                <w:szCs w:val="20"/>
              </w:rPr>
              <w:t>Towing a net along the seabed; typically associated with high habitat disturbance and bycatch risk.</w:t>
            </w:r>
          </w:p>
        </w:tc>
      </w:tr>
      <w:tr w:rsidR="00B6063C" w:rsidTr="00B6063C">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BRD (Bycatch Reduction Device)</w:t>
            </w:r>
          </w:p>
        </w:tc>
        <w:tc>
          <w:tcPr>
            <w:tcW w:w="6888" w:type="dxa"/>
            <w:hideMark/>
          </w:tcPr>
          <w:p w:rsidR="00B6063C" w:rsidRPr="00B6063C" w:rsidRDefault="00B6063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6063C">
              <w:rPr>
                <w:rFonts w:ascii="Arial" w:hAnsi="Arial" w:cs="Arial"/>
                <w:sz w:val="20"/>
                <w:szCs w:val="20"/>
              </w:rPr>
              <w:t>Device fitted to trawl nets to reduce unwanted catch (bycatch), including juveniles and non-target species.</w:t>
            </w:r>
          </w:p>
        </w:tc>
      </w:tr>
      <w:tr w:rsidR="00B6063C" w:rsidTr="00B60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Catch</w:t>
            </w:r>
          </w:p>
        </w:tc>
        <w:tc>
          <w:tcPr>
            <w:tcW w:w="6888" w:type="dxa"/>
            <w:hideMark/>
          </w:tcPr>
          <w:p w:rsidR="00B6063C" w:rsidRPr="00B6063C" w:rsidRDefault="00B6063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6063C">
              <w:rPr>
                <w:rFonts w:ascii="Arial" w:hAnsi="Arial" w:cs="Arial"/>
                <w:sz w:val="20"/>
                <w:szCs w:val="20"/>
              </w:rPr>
              <w:t>Amount of fish and other aquatic organisms harvested (commonly measured in tonnes/year).</w:t>
            </w:r>
          </w:p>
        </w:tc>
      </w:tr>
      <w:tr w:rsidR="00B6063C" w:rsidTr="00B6063C">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Catch-and-effort data</w:t>
            </w:r>
          </w:p>
        </w:tc>
        <w:tc>
          <w:tcPr>
            <w:tcW w:w="6888" w:type="dxa"/>
            <w:hideMark/>
          </w:tcPr>
          <w:p w:rsidR="00B6063C" w:rsidRPr="00B6063C" w:rsidRDefault="00B6063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6063C">
              <w:rPr>
                <w:rFonts w:ascii="Arial" w:hAnsi="Arial" w:cs="Arial"/>
                <w:sz w:val="20"/>
                <w:szCs w:val="20"/>
              </w:rPr>
              <w:t>Data on quantities caught and fishing activity (e.g., trips, days, gear), used to track trends and guide management.</w:t>
            </w:r>
          </w:p>
        </w:tc>
      </w:tr>
      <w:tr w:rsidR="00B6063C" w:rsidTr="00B60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CPUE (Catch Per Unit Effort)</w:t>
            </w:r>
          </w:p>
        </w:tc>
        <w:tc>
          <w:tcPr>
            <w:tcW w:w="6888" w:type="dxa"/>
            <w:hideMark/>
          </w:tcPr>
          <w:p w:rsidR="00B6063C" w:rsidRPr="00B6063C" w:rsidRDefault="00B6063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6063C">
              <w:rPr>
                <w:rFonts w:ascii="Arial" w:hAnsi="Arial" w:cs="Arial"/>
                <w:sz w:val="20"/>
                <w:szCs w:val="20"/>
              </w:rPr>
              <w:t>Catch per unit of effort (e.g., kg/hour); often used as a proxy for abundance/biomass when standardized.</w:t>
            </w:r>
          </w:p>
        </w:tc>
      </w:tr>
      <w:tr w:rsidR="00B6063C" w:rsidTr="00B6063C">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Demersal species</w:t>
            </w:r>
          </w:p>
        </w:tc>
        <w:tc>
          <w:tcPr>
            <w:tcW w:w="6888" w:type="dxa"/>
            <w:hideMark/>
          </w:tcPr>
          <w:p w:rsidR="00B6063C" w:rsidRPr="00B6063C" w:rsidRDefault="00B6063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6063C">
              <w:rPr>
                <w:rFonts w:ascii="Arial" w:hAnsi="Arial" w:cs="Arial"/>
                <w:sz w:val="20"/>
                <w:szCs w:val="20"/>
              </w:rPr>
              <w:t>Fish that live and feed near the seabed (common in multispecies trawl fisheries).</w:t>
            </w:r>
          </w:p>
        </w:tc>
      </w:tr>
      <w:tr w:rsidR="00B6063C" w:rsidTr="00B60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EEZ (Exclusive Economic Zone)</w:t>
            </w:r>
          </w:p>
        </w:tc>
        <w:tc>
          <w:tcPr>
            <w:tcW w:w="6888" w:type="dxa"/>
            <w:hideMark/>
          </w:tcPr>
          <w:p w:rsidR="00B6063C" w:rsidRPr="00B6063C" w:rsidRDefault="00B6063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6063C">
              <w:rPr>
                <w:rFonts w:ascii="Arial" w:hAnsi="Arial" w:cs="Arial"/>
                <w:sz w:val="20"/>
                <w:szCs w:val="20"/>
              </w:rPr>
              <w:t>Sea area where a coastal state has sovereign rights over marine resources.</w:t>
            </w:r>
          </w:p>
        </w:tc>
      </w:tr>
      <w:tr w:rsidR="00B6063C" w:rsidTr="00B6063C">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Effort reduction</w:t>
            </w:r>
          </w:p>
        </w:tc>
        <w:tc>
          <w:tcPr>
            <w:tcW w:w="6888" w:type="dxa"/>
            <w:hideMark/>
          </w:tcPr>
          <w:p w:rsidR="00B6063C" w:rsidRPr="00B6063C" w:rsidRDefault="00B6063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6063C">
              <w:rPr>
                <w:rFonts w:ascii="Arial" w:hAnsi="Arial" w:cs="Arial"/>
                <w:sz w:val="20"/>
                <w:szCs w:val="20"/>
              </w:rPr>
              <w:t>Measures that decrease fishing pressure (limits on vessels/gear/days, buy-back schemes, closures).</w:t>
            </w:r>
          </w:p>
        </w:tc>
      </w:tr>
      <w:tr w:rsidR="00B6063C" w:rsidTr="00B60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Fish biomass</w:t>
            </w:r>
          </w:p>
        </w:tc>
        <w:tc>
          <w:tcPr>
            <w:tcW w:w="6888" w:type="dxa"/>
            <w:hideMark/>
          </w:tcPr>
          <w:p w:rsidR="00B6063C" w:rsidRPr="00B6063C" w:rsidRDefault="00B6063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6063C">
              <w:rPr>
                <w:rFonts w:ascii="Arial" w:hAnsi="Arial" w:cs="Arial"/>
                <w:sz w:val="20"/>
                <w:szCs w:val="20"/>
              </w:rPr>
              <w:t>Total weight of fish in a population/stock; estimated from surveys or standardized CPUE when biomass data are limited.</w:t>
            </w:r>
          </w:p>
        </w:tc>
      </w:tr>
      <w:tr w:rsidR="00B6063C" w:rsidTr="00B6063C">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Fishing down the food web</w:t>
            </w:r>
          </w:p>
        </w:tc>
        <w:tc>
          <w:tcPr>
            <w:tcW w:w="6888" w:type="dxa"/>
            <w:hideMark/>
          </w:tcPr>
          <w:p w:rsidR="00B6063C" w:rsidRPr="00B6063C" w:rsidRDefault="00B6063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6063C">
              <w:rPr>
                <w:rFonts w:ascii="Arial" w:hAnsi="Arial" w:cs="Arial"/>
                <w:sz w:val="20"/>
                <w:szCs w:val="20"/>
              </w:rPr>
              <w:t>Shift toward harvesting lower-trophic species as larger predators decline, reflected in declining trophic indicators.</w:t>
            </w:r>
          </w:p>
        </w:tc>
      </w:tr>
      <w:tr w:rsidR="00B6063C" w:rsidTr="00B60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FiB (Fishing-in-Balance Index)</w:t>
            </w:r>
          </w:p>
        </w:tc>
        <w:tc>
          <w:tcPr>
            <w:tcW w:w="6888" w:type="dxa"/>
            <w:hideMark/>
          </w:tcPr>
          <w:p w:rsidR="00B6063C" w:rsidRPr="00B6063C" w:rsidRDefault="00B6063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6063C">
              <w:rPr>
                <w:rFonts w:ascii="Arial" w:hAnsi="Arial" w:cs="Arial"/>
                <w:sz w:val="20"/>
                <w:szCs w:val="20"/>
              </w:rPr>
              <w:t>Indicator comparing catch changes with trophic structure and ecosystem productivity; instability can signal ecological limits.</w:t>
            </w:r>
          </w:p>
        </w:tc>
      </w:tr>
      <w:tr w:rsidR="00B6063C" w:rsidTr="00B6063C">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Fleet (fishing fleet)</w:t>
            </w:r>
          </w:p>
        </w:tc>
        <w:tc>
          <w:tcPr>
            <w:tcW w:w="6888" w:type="dxa"/>
            <w:hideMark/>
          </w:tcPr>
          <w:p w:rsidR="00B6063C" w:rsidRPr="00B6063C" w:rsidRDefault="00B6063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6063C">
              <w:rPr>
                <w:rFonts w:ascii="Arial" w:hAnsi="Arial" w:cs="Arial"/>
                <w:sz w:val="20"/>
                <w:szCs w:val="20"/>
              </w:rPr>
              <w:t>The set of fishing vessels operating in an area, often grouped by size and engine power.</w:t>
            </w:r>
          </w:p>
        </w:tc>
      </w:tr>
      <w:tr w:rsidR="00B6063C" w:rsidTr="00B60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Gear selectivity</w:t>
            </w:r>
          </w:p>
        </w:tc>
        <w:tc>
          <w:tcPr>
            <w:tcW w:w="6888" w:type="dxa"/>
            <w:hideMark/>
          </w:tcPr>
          <w:p w:rsidR="00B6063C" w:rsidRPr="00B6063C" w:rsidRDefault="00B6063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6063C">
              <w:rPr>
                <w:rFonts w:ascii="Arial" w:hAnsi="Arial" w:cs="Arial"/>
                <w:sz w:val="20"/>
                <w:szCs w:val="20"/>
              </w:rPr>
              <w:t>Degree to which gear targets intended species/sizes while avoiding juveniles and non-target species (mesh sizes, BRDs, etc.).</w:t>
            </w:r>
          </w:p>
        </w:tc>
      </w:tr>
      <w:tr w:rsidR="00B6063C" w:rsidTr="00B6063C">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Habitat / nursery grounds</w:t>
            </w:r>
          </w:p>
        </w:tc>
        <w:tc>
          <w:tcPr>
            <w:tcW w:w="6888" w:type="dxa"/>
            <w:hideMark/>
          </w:tcPr>
          <w:p w:rsidR="00B6063C" w:rsidRPr="00B6063C" w:rsidRDefault="00B6063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6063C">
              <w:rPr>
                <w:rFonts w:ascii="Arial" w:hAnsi="Arial" w:cs="Arial"/>
                <w:sz w:val="20"/>
                <w:szCs w:val="20"/>
              </w:rPr>
              <w:t>Habitats (mangroves, seagrass, reefs, estuaries) supporting spawning, juvenile growth, and recruitment into fisheries.</w:t>
            </w:r>
          </w:p>
        </w:tc>
      </w:tr>
      <w:tr w:rsidR="00B6063C" w:rsidTr="00B60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IUU fishing</w:t>
            </w:r>
          </w:p>
        </w:tc>
        <w:tc>
          <w:tcPr>
            <w:tcW w:w="6888" w:type="dxa"/>
            <w:hideMark/>
          </w:tcPr>
          <w:p w:rsidR="00B6063C" w:rsidRPr="00B6063C" w:rsidRDefault="00B6063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6063C">
              <w:rPr>
                <w:rFonts w:ascii="Arial" w:hAnsi="Arial" w:cs="Arial"/>
                <w:sz w:val="20"/>
                <w:szCs w:val="20"/>
              </w:rPr>
              <w:t>Illegal, Unreported and Unregulated fishing that undermines sustainability and compliance, often transboundary.</w:t>
            </w:r>
          </w:p>
        </w:tc>
      </w:tr>
      <w:tr w:rsidR="00B6063C" w:rsidTr="00B6063C">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Landing value</w:t>
            </w:r>
          </w:p>
        </w:tc>
        <w:tc>
          <w:tcPr>
            <w:tcW w:w="6888" w:type="dxa"/>
            <w:hideMark/>
          </w:tcPr>
          <w:p w:rsidR="00B6063C" w:rsidRPr="00B6063C" w:rsidRDefault="00B6063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6063C">
              <w:rPr>
                <w:rFonts w:ascii="Arial" w:hAnsi="Arial" w:cs="Arial"/>
                <w:sz w:val="20"/>
                <w:szCs w:val="20"/>
              </w:rPr>
              <w:t>Monetary value of harvested fish at landing.</w:t>
            </w:r>
          </w:p>
        </w:tc>
      </w:tr>
      <w:tr w:rsidR="00B6063C" w:rsidTr="00B60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MCS (Monitoring, Control and Surveillance)</w:t>
            </w:r>
          </w:p>
        </w:tc>
        <w:tc>
          <w:tcPr>
            <w:tcW w:w="6888" w:type="dxa"/>
            <w:hideMark/>
          </w:tcPr>
          <w:p w:rsidR="00B6063C" w:rsidRPr="00B6063C" w:rsidRDefault="00B6063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6063C">
              <w:rPr>
                <w:rFonts w:ascii="Arial" w:hAnsi="Arial" w:cs="Arial"/>
                <w:sz w:val="20"/>
                <w:szCs w:val="20"/>
              </w:rPr>
              <w:t>Compliance system using patrols, inspections, licensing, VMS/AIS and community surveillance.</w:t>
            </w:r>
          </w:p>
        </w:tc>
      </w:tr>
      <w:tr w:rsidR="00B6063C" w:rsidTr="00B6063C">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MFMA (Marine Fisheries Management Area)</w:t>
            </w:r>
          </w:p>
        </w:tc>
        <w:tc>
          <w:tcPr>
            <w:tcW w:w="6888" w:type="dxa"/>
            <w:hideMark/>
          </w:tcPr>
          <w:p w:rsidR="00B6063C" w:rsidRPr="00B6063C" w:rsidRDefault="00B6063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6063C">
              <w:rPr>
                <w:rFonts w:ascii="Arial" w:hAnsi="Arial" w:cs="Arial"/>
                <w:sz w:val="20"/>
                <w:szCs w:val="20"/>
              </w:rPr>
              <w:t>Spatial fisheries management area used to manage fishing pressure and protect habitats through zoning/rules.</w:t>
            </w:r>
          </w:p>
        </w:tc>
      </w:tr>
      <w:tr w:rsidR="00B6063C" w:rsidTr="00B60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MTI (Marine Trophic Index)</w:t>
            </w:r>
          </w:p>
        </w:tc>
        <w:tc>
          <w:tcPr>
            <w:tcW w:w="6888" w:type="dxa"/>
            <w:hideMark/>
          </w:tcPr>
          <w:p w:rsidR="00B6063C" w:rsidRPr="00B6063C" w:rsidRDefault="00B6063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6063C">
              <w:rPr>
                <w:rFonts w:ascii="Arial" w:hAnsi="Arial" w:cs="Arial"/>
                <w:sz w:val="20"/>
                <w:szCs w:val="20"/>
              </w:rPr>
              <w:t>Average trophic level of catches; declining MTI suggests loss of higher-trophic predators.</w:t>
            </w:r>
          </w:p>
        </w:tc>
      </w:tr>
      <w:tr w:rsidR="00B6063C" w:rsidTr="00B6063C">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Over-exploited stock</w:t>
            </w:r>
          </w:p>
        </w:tc>
        <w:tc>
          <w:tcPr>
            <w:tcW w:w="6888" w:type="dxa"/>
            <w:hideMark/>
          </w:tcPr>
          <w:p w:rsidR="00B6063C" w:rsidRPr="00B6063C" w:rsidRDefault="00B6063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6063C">
              <w:rPr>
                <w:rFonts w:ascii="Arial" w:hAnsi="Arial" w:cs="Arial"/>
                <w:sz w:val="20"/>
                <w:szCs w:val="20"/>
              </w:rPr>
              <w:t>Stock harvested above sustainable levels, reducing long-term yields and recovery potential.</w:t>
            </w:r>
          </w:p>
        </w:tc>
      </w:tr>
      <w:tr w:rsidR="00B6063C" w:rsidTr="00B60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PPR (Primary Production Required)</w:t>
            </w:r>
          </w:p>
        </w:tc>
        <w:tc>
          <w:tcPr>
            <w:tcW w:w="6888" w:type="dxa"/>
            <w:hideMark/>
          </w:tcPr>
          <w:p w:rsidR="00B6063C" w:rsidRPr="00B6063C" w:rsidRDefault="00B6063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6063C">
              <w:rPr>
                <w:rFonts w:ascii="Arial" w:hAnsi="Arial" w:cs="Arial"/>
                <w:sz w:val="20"/>
                <w:szCs w:val="20"/>
              </w:rPr>
              <w:t>Ocean primary productivity needed to support catches; sustained high values indicate pressure near/above ecosystem capacity.</w:t>
            </w:r>
          </w:p>
        </w:tc>
      </w:tr>
      <w:tr w:rsidR="00B6063C" w:rsidTr="00B6063C">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Purse seine</w:t>
            </w:r>
          </w:p>
        </w:tc>
        <w:tc>
          <w:tcPr>
            <w:tcW w:w="6888" w:type="dxa"/>
            <w:hideMark/>
          </w:tcPr>
          <w:p w:rsidR="00B6063C" w:rsidRPr="00B6063C" w:rsidRDefault="00B6063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6063C">
              <w:rPr>
                <w:rFonts w:ascii="Arial" w:hAnsi="Arial" w:cs="Arial"/>
                <w:sz w:val="20"/>
                <w:szCs w:val="20"/>
              </w:rPr>
              <w:t>Net encircling schooling fish and drawn closed; often targets small pelagics.</w:t>
            </w:r>
          </w:p>
        </w:tc>
      </w:tr>
      <w:tr w:rsidR="00B6063C" w:rsidTr="00B60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Registration and licensing</w:t>
            </w:r>
          </w:p>
        </w:tc>
        <w:tc>
          <w:tcPr>
            <w:tcW w:w="6888" w:type="dxa"/>
            <w:hideMark/>
          </w:tcPr>
          <w:p w:rsidR="00B6063C" w:rsidRPr="00B6063C" w:rsidRDefault="00B6063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6063C">
              <w:rPr>
                <w:rFonts w:ascii="Arial" w:hAnsi="Arial" w:cs="Arial"/>
                <w:sz w:val="20"/>
                <w:szCs w:val="20"/>
              </w:rPr>
              <w:t>Administrative processes that record vessels and authorize fishing; low compliance undermines effort control.</w:t>
            </w:r>
          </w:p>
        </w:tc>
      </w:tr>
      <w:tr w:rsidR="00B6063C" w:rsidTr="00B6063C">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Seasonal closure</w:t>
            </w:r>
          </w:p>
        </w:tc>
        <w:tc>
          <w:tcPr>
            <w:tcW w:w="6888" w:type="dxa"/>
            <w:hideMark/>
          </w:tcPr>
          <w:p w:rsidR="00B6063C" w:rsidRPr="00B6063C" w:rsidRDefault="00B6063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6063C">
              <w:rPr>
                <w:rFonts w:ascii="Arial" w:hAnsi="Arial" w:cs="Arial"/>
                <w:sz w:val="20"/>
                <w:szCs w:val="20"/>
              </w:rPr>
              <w:t>Temporary restriction to protect spawning/recruitment periods and reduce pressure on depleted stocks.</w:t>
            </w:r>
          </w:p>
        </w:tc>
      </w:tr>
      <w:tr w:rsidR="00B6063C" w:rsidTr="00B60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Shared stocks</w:t>
            </w:r>
          </w:p>
        </w:tc>
        <w:tc>
          <w:tcPr>
            <w:tcW w:w="6888" w:type="dxa"/>
            <w:hideMark/>
          </w:tcPr>
          <w:p w:rsidR="00B6063C" w:rsidRPr="00B6063C" w:rsidRDefault="00B6063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6063C">
              <w:rPr>
                <w:rFonts w:ascii="Arial" w:hAnsi="Arial" w:cs="Arial"/>
                <w:sz w:val="20"/>
                <w:szCs w:val="20"/>
              </w:rPr>
              <w:t>Fish populations that move across national boundaries, requiring cooperation among countries.</w:t>
            </w:r>
          </w:p>
        </w:tc>
      </w:tr>
      <w:tr w:rsidR="00B6063C" w:rsidTr="00B6063C">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Stock-status plots</w:t>
            </w:r>
          </w:p>
        </w:tc>
        <w:tc>
          <w:tcPr>
            <w:tcW w:w="6888" w:type="dxa"/>
            <w:hideMark/>
          </w:tcPr>
          <w:p w:rsidR="00B6063C" w:rsidRPr="00B6063C" w:rsidRDefault="00B6063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6063C">
              <w:rPr>
                <w:rFonts w:ascii="Arial" w:hAnsi="Arial" w:cs="Arial"/>
                <w:sz w:val="20"/>
                <w:szCs w:val="20"/>
              </w:rPr>
              <w:t>Indicators classifying stocks (e.g., developing, exploited, over-exploited, collapsed) to show long-term trajectories.</w:t>
            </w:r>
          </w:p>
        </w:tc>
      </w:tr>
      <w:tr w:rsidR="00B6063C" w:rsidTr="00B60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Subsidies (capacity-enhancing)</w:t>
            </w:r>
          </w:p>
        </w:tc>
        <w:tc>
          <w:tcPr>
            <w:tcW w:w="6888" w:type="dxa"/>
            <w:hideMark/>
          </w:tcPr>
          <w:p w:rsidR="00B6063C" w:rsidRPr="00B6063C" w:rsidRDefault="00B6063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6063C">
              <w:rPr>
                <w:rFonts w:ascii="Arial" w:hAnsi="Arial" w:cs="Arial"/>
                <w:sz w:val="20"/>
                <w:szCs w:val="20"/>
              </w:rPr>
              <w:t>Financial support that increases fishing capacity and can worsen overfishing without effective controls.</w:t>
            </w:r>
          </w:p>
        </w:tc>
      </w:tr>
      <w:tr w:rsidR="00B6063C" w:rsidTr="00B6063C">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Trawl-free zone / inshore protection</w:t>
            </w:r>
          </w:p>
        </w:tc>
        <w:tc>
          <w:tcPr>
            <w:tcW w:w="6888" w:type="dxa"/>
            <w:hideMark/>
          </w:tcPr>
          <w:p w:rsidR="00B6063C" w:rsidRPr="00B6063C" w:rsidRDefault="00B6063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6063C">
              <w:rPr>
                <w:rFonts w:ascii="Arial" w:hAnsi="Arial" w:cs="Arial"/>
                <w:sz w:val="20"/>
                <w:szCs w:val="20"/>
              </w:rPr>
              <w:t>Spatial restriction limiting/prohibiting trawling (often shallow waters) to protect habitats and reduce juvenile/bycatch.</w:t>
            </w:r>
          </w:p>
        </w:tc>
      </w:tr>
      <w:tr w:rsidR="00B6063C" w:rsidTr="00B60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Trash fish</w:t>
            </w:r>
          </w:p>
        </w:tc>
        <w:tc>
          <w:tcPr>
            <w:tcW w:w="6888" w:type="dxa"/>
            <w:hideMark/>
          </w:tcPr>
          <w:p w:rsidR="00B6063C" w:rsidRPr="00B6063C" w:rsidRDefault="00B6063C">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6063C">
              <w:rPr>
                <w:rFonts w:ascii="Arial" w:hAnsi="Arial" w:cs="Arial"/>
                <w:sz w:val="20"/>
                <w:szCs w:val="20"/>
              </w:rPr>
              <w:t>Low-value mixed catch (often juveniles/small species) commonly used for fishmeal; high shares can signal growth overfishing.</w:t>
            </w:r>
          </w:p>
        </w:tc>
      </w:tr>
      <w:tr w:rsidR="00B6063C" w:rsidTr="00B6063C">
        <w:tc>
          <w:tcPr>
            <w:cnfStyle w:val="001000000000" w:firstRow="0" w:lastRow="0" w:firstColumn="1" w:lastColumn="0" w:oddVBand="0" w:evenVBand="0" w:oddHBand="0" w:evenHBand="0" w:firstRowFirstColumn="0" w:firstRowLastColumn="0" w:lastRowFirstColumn="0" w:lastRowLastColumn="0"/>
            <w:tcW w:w="2122" w:type="dxa"/>
            <w:hideMark/>
          </w:tcPr>
          <w:p w:rsidR="00B6063C" w:rsidRPr="00B6063C" w:rsidRDefault="00B6063C">
            <w:pPr>
              <w:rPr>
                <w:rFonts w:ascii="Arial" w:hAnsi="Arial" w:cs="Arial"/>
                <w:sz w:val="20"/>
                <w:szCs w:val="20"/>
              </w:rPr>
            </w:pPr>
            <w:r w:rsidRPr="00B6063C">
              <w:rPr>
                <w:rFonts w:ascii="Arial" w:hAnsi="Arial" w:cs="Arial"/>
                <w:sz w:val="20"/>
                <w:szCs w:val="20"/>
              </w:rPr>
              <w:t>VMS/AIS</w:t>
            </w:r>
          </w:p>
        </w:tc>
        <w:tc>
          <w:tcPr>
            <w:tcW w:w="6888" w:type="dxa"/>
            <w:hideMark/>
          </w:tcPr>
          <w:p w:rsidR="00B6063C" w:rsidRPr="00B6063C" w:rsidRDefault="00B6063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6063C">
              <w:rPr>
                <w:rFonts w:ascii="Arial" w:hAnsi="Arial" w:cs="Arial"/>
                <w:sz w:val="20"/>
                <w:szCs w:val="20"/>
              </w:rPr>
              <w:t>Vessel tracking systems used for safety and compliance monitoring, often prioritized for industrial fleets.</w:t>
            </w:r>
          </w:p>
        </w:tc>
      </w:tr>
    </w:tbl>
    <w:p w:rsidR="00B6063C" w:rsidRDefault="00B6063C" w:rsidP="00B6063C"/>
    <w:p w:rsidR="004A0B60" w:rsidRPr="004A0B60" w:rsidRDefault="001F341D" w:rsidP="004A0B60">
      <w:pPr>
        <w:pStyle w:val="Heading2"/>
        <w:jc w:val="both"/>
        <w:rPr>
          <w:rFonts w:ascii="Arial" w:hAnsi="Arial" w:cs="Arial"/>
          <w:sz w:val="28"/>
          <w:szCs w:val="28"/>
        </w:rPr>
      </w:pPr>
      <w:r>
        <w:rPr>
          <w:rFonts w:ascii="Arial" w:hAnsi="Arial" w:cs="Arial"/>
          <w:sz w:val="32"/>
          <w:szCs w:val="32"/>
        </w:rPr>
        <w:br w:type="column"/>
      </w:r>
      <w:bookmarkStart w:id="50" w:name="_Toc217231531"/>
      <w:bookmarkStart w:id="51" w:name="_Toc217232069"/>
      <w:r w:rsidR="004A0B60" w:rsidRPr="004A0B60">
        <w:rPr>
          <w:rFonts w:ascii="Arial" w:hAnsi="Arial" w:cs="Arial"/>
          <w:sz w:val="28"/>
          <w:szCs w:val="28"/>
        </w:rPr>
        <w:t>Funding Sources</w:t>
      </w:r>
      <w:bookmarkEnd w:id="50"/>
      <w:bookmarkEnd w:id="51"/>
    </w:p>
    <w:p w:rsidR="004A0B60" w:rsidRDefault="004A0B60" w:rsidP="004A0B60">
      <w:pPr>
        <w:spacing w:before="240" w:after="240"/>
        <w:jc w:val="both"/>
        <w:rPr>
          <w:rFonts w:ascii="Arial" w:hAnsi="Arial" w:cs="Arial"/>
          <w:sz w:val="22"/>
          <w:szCs w:val="22"/>
        </w:rPr>
      </w:pPr>
      <w:r w:rsidRPr="00A31A71">
        <w:rPr>
          <w:rFonts w:ascii="Arial" w:hAnsi="Arial" w:cs="Arial"/>
          <w:sz w:val="22"/>
          <w:szCs w:val="22"/>
        </w:rPr>
        <w:t xml:space="preserve">This work was </w:t>
      </w:r>
      <w:r>
        <w:rPr>
          <w:rFonts w:ascii="Arial" w:hAnsi="Arial" w:cs="Arial"/>
          <w:sz w:val="22"/>
          <w:szCs w:val="22"/>
        </w:rPr>
        <w:t xml:space="preserve">financially </w:t>
      </w:r>
      <w:r w:rsidRPr="00A31A71">
        <w:rPr>
          <w:rFonts w:ascii="Arial" w:hAnsi="Arial" w:cs="Arial"/>
          <w:sz w:val="22"/>
          <w:szCs w:val="22"/>
        </w:rPr>
        <w:t xml:space="preserve">supported by the </w:t>
      </w:r>
      <w:r w:rsidRPr="00A31A71">
        <w:rPr>
          <w:rStyle w:val="Strong"/>
          <w:rFonts w:ascii="Arial" w:hAnsi="Arial" w:cs="Arial"/>
          <w:sz w:val="22"/>
          <w:szCs w:val="22"/>
        </w:rPr>
        <w:t>Global Environment Facility (GEF)</w:t>
      </w:r>
      <w:r w:rsidRPr="00A31A71">
        <w:rPr>
          <w:rFonts w:ascii="Arial" w:hAnsi="Arial" w:cs="Arial"/>
          <w:sz w:val="22"/>
          <w:szCs w:val="22"/>
        </w:rPr>
        <w:t xml:space="preserve"> through the </w:t>
      </w:r>
      <w:r w:rsidRPr="00A31A71">
        <w:rPr>
          <w:rStyle w:val="Strong"/>
          <w:rFonts w:ascii="Arial" w:hAnsi="Arial" w:cs="Arial"/>
          <w:sz w:val="22"/>
          <w:szCs w:val="22"/>
        </w:rPr>
        <w:t>UN Environment Programme (UNEP)</w:t>
      </w:r>
      <w:r w:rsidRPr="00A31A71">
        <w:rPr>
          <w:rFonts w:ascii="Arial" w:hAnsi="Arial" w:cs="Arial"/>
          <w:sz w:val="22"/>
          <w:szCs w:val="22"/>
        </w:rPr>
        <w:t xml:space="preserve"> under the </w:t>
      </w:r>
      <w:r w:rsidRPr="00A31A71">
        <w:rPr>
          <w:rFonts w:ascii="Arial" w:hAnsi="Arial" w:cs="Arial"/>
          <w:i/>
          <w:iCs/>
          <w:sz w:val="22"/>
          <w:szCs w:val="22"/>
        </w:rPr>
        <w:t>Strategic Action Programme for the South China Sea and Gulf of Thailand (SCS SAP Project)</w:t>
      </w:r>
      <w:r w:rsidRPr="00A31A71">
        <w:rPr>
          <w:rFonts w:ascii="Arial" w:hAnsi="Arial" w:cs="Arial"/>
          <w:sz w:val="22"/>
          <w:szCs w:val="22"/>
        </w:rPr>
        <w:t xml:space="preserve">, with implementation support from the </w:t>
      </w:r>
      <w:r w:rsidRPr="00A31A71">
        <w:rPr>
          <w:rStyle w:val="Strong"/>
          <w:rFonts w:ascii="Arial" w:hAnsi="Arial" w:cs="Arial"/>
          <w:sz w:val="22"/>
          <w:szCs w:val="22"/>
        </w:rPr>
        <w:t>United Nations Office for Project Services (UNOPS)</w:t>
      </w:r>
      <w:r>
        <w:rPr>
          <w:rFonts w:ascii="Arial" w:hAnsi="Arial" w:cs="Arial"/>
          <w:sz w:val="22"/>
          <w:szCs w:val="22"/>
        </w:rPr>
        <w:t xml:space="preserve"> and the </w:t>
      </w:r>
      <w:r w:rsidRPr="00A31A71">
        <w:rPr>
          <w:rStyle w:val="Strong"/>
          <w:rFonts w:ascii="Arial" w:hAnsi="Arial" w:cs="Arial"/>
          <w:sz w:val="22"/>
          <w:szCs w:val="22"/>
        </w:rPr>
        <w:t>Ministry of Environment (MoE), Cambodia</w:t>
      </w:r>
      <w:r w:rsidRPr="00A31A71">
        <w:rPr>
          <w:rFonts w:ascii="Arial" w:hAnsi="Arial" w:cs="Arial"/>
          <w:sz w:val="22"/>
          <w:szCs w:val="22"/>
        </w:rPr>
        <w:t>,</w:t>
      </w:r>
    </w:p>
    <w:p w:rsidR="004A0B60" w:rsidRPr="00A31A71" w:rsidRDefault="004A0B60" w:rsidP="004A0B60">
      <w:pPr>
        <w:spacing w:before="240" w:after="240"/>
        <w:jc w:val="both"/>
        <w:rPr>
          <w:rFonts w:ascii="Arial" w:hAnsi="Arial" w:cs="Arial"/>
          <w:i/>
          <w:iCs/>
          <w:sz w:val="22"/>
          <w:szCs w:val="22"/>
        </w:rPr>
      </w:pPr>
      <w:r w:rsidRPr="00A31A71">
        <w:rPr>
          <w:rFonts w:ascii="Arial" w:hAnsi="Arial" w:cs="Arial"/>
          <w:sz w:val="22"/>
          <w:szCs w:val="22"/>
        </w:rPr>
        <w:t>The sponsors had no role in the study design; collection, analysis, or interpretation of data; writing of the report; or the decision to submit the article for publication.</w:t>
      </w:r>
    </w:p>
    <w:p w:rsidR="007E3AA0" w:rsidRPr="0018202F" w:rsidRDefault="004A0B60" w:rsidP="0016005B">
      <w:pPr>
        <w:spacing w:before="100" w:beforeAutospacing="1" w:after="100" w:afterAutospacing="1"/>
        <w:jc w:val="both"/>
        <w:outlineLvl w:val="1"/>
        <w:rPr>
          <w:rFonts w:ascii="Arial" w:hAnsi="Arial" w:cs="Arial"/>
          <w:b/>
          <w:bCs/>
          <w:sz w:val="32"/>
          <w:szCs w:val="32"/>
        </w:rPr>
      </w:pPr>
      <w:r>
        <w:rPr>
          <w:rFonts w:ascii="Arial" w:hAnsi="Arial" w:cs="Arial"/>
          <w:b/>
          <w:bCs/>
          <w:sz w:val="32"/>
          <w:szCs w:val="32"/>
        </w:rPr>
        <w:br w:type="column"/>
      </w:r>
      <w:bookmarkStart w:id="52" w:name="_Toc217232070"/>
      <w:r w:rsidR="007E3AA0" w:rsidRPr="0018202F">
        <w:rPr>
          <w:rFonts w:ascii="Arial" w:hAnsi="Arial" w:cs="Arial"/>
          <w:b/>
          <w:bCs/>
          <w:sz w:val="32"/>
          <w:szCs w:val="32"/>
        </w:rPr>
        <w:t>References</w:t>
      </w:r>
      <w:bookmarkEnd w:id="52"/>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Arias, M. E. et al., 2019. Impacts of hydropower and climate change on fisheries in the Lower Mekong Basin. Ambio, 48(12), 1412–1423.</w:t>
      </w:r>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Arias, M. E., Holtgrieve, G. W., &amp; Dang, T. D. (2019). Hydrological alterations and hydropower development in the Lower Mekong Basin: Implications for fish productivity. </w:t>
      </w:r>
      <w:r w:rsidRPr="0018202F">
        <w:rPr>
          <w:rStyle w:val="Emphasis"/>
          <w:rFonts w:ascii="Arial" w:hAnsi="Arial" w:cs="Arial"/>
          <w:sz w:val="22"/>
          <w:szCs w:val="22"/>
        </w:rPr>
        <w:t>Science of the Total Environment, 660</w:t>
      </w:r>
      <w:r w:rsidRPr="0018202F">
        <w:rPr>
          <w:rFonts w:ascii="Arial" w:hAnsi="Arial" w:cs="Arial"/>
          <w:sz w:val="22"/>
          <w:szCs w:val="22"/>
        </w:rPr>
        <w:t xml:space="preserve">, 127–139. </w:t>
      </w:r>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Barange, M., Bahri, T., Beveridge, M. C. M., Cochrane, K. L., Funge-Smith, S., &amp; Poulain, F. (Eds.), 2018. </w:t>
      </w:r>
      <w:r w:rsidRPr="0018202F">
        <w:rPr>
          <w:rStyle w:val="Emphasis"/>
          <w:rFonts w:ascii="Arial" w:hAnsi="Arial" w:cs="Arial"/>
          <w:sz w:val="22"/>
          <w:szCs w:val="22"/>
        </w:rPr>
        <w:t>Impacts of climate change on fisheries and aquaculture: Synthesis of current knowledge, adaptation and mitigation options</w:t>
      </w:r>
      <w:r w:rsidRPr="0018202F">
        <w:rPr>
          <w:rFonts w:ascii="Arial" w:hAnsi="Arial" w:cs="Arial"/>
          <w:sz w:val="22"/>
          <w:szCs w:val="22"/>
        </w:rPr>
        <w:t xml:space="preserve"> (FAO Fisheries and Aquaculture Technical Paper No. 627). Rome: FAO. </w:t>
      </w:r>
      <w:hyperlink r:id="rId16" w:tgtFrame="_new" w:history="1">
        <w:r w:rsidRPr="0018202F">
          <w:rPr>
            <w:rStyle w:val="Hyperlink"/>
            <w:rFonts w:ascii="Arial" w:hAnsi="Arial" w:cs="Arial"/>
            <w:sz w:val="22"/>
            <w:szCs w:val="22"/>
          </w:rPr>
          <w:t>https://www.fao.org/3/I9705EN/i9705en.pdf</w:t>
        </w:r>
      </w:hyperlink>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Cheung, W. W. L., Reygondeau, G., &amp; Frölicher, T. L., 2016. Large benefits to marine fisheries of meeting the 1.5 °C global warming target. </w:t>
      </w:r>
      <w:r w:rsidRPr="0018202F">
        <w:rPr>
          <w:rStyle w:val="Emphasis"/>
          <w:rFonts w:ascii="Arial" w:hAnsi="Arial" w:cs="Arial"/>
          <w:sz w:val="22"/>
          <w:szCs w:val="22"/>
        </w:rPr>
        <w:t>Science, 354</w:t>
      </w:r>
      <w:r w:rsidRPr="0018202F">
        <w:rPr>
          <w:rFonts w:ascii="Arial" w:hAnsi="Arial" w:cs="Arial"/>
          <w:sz w:val="22"/>
          <w:szCs w:val="22"/>
        </w:rPr>
        <w:t xml:space="preserve">(6319), 1591–1594. </w:t>
      </w:r>
      <w:hyperlink r:id="rId17" w:history="1">
        <w:r w:rsidRPr="0018202F">
          <w:rPr>
            <w:rStyle w:val="Hyperlink"/>
            <w:rFonts w:ascii="Arial" w:hAnsi="Arial" w:cs="Arial"/>
            <w:sz w:val="22"/>
            <w:szCs w:val="22"/>
          </w:rPr>
          <w:t>https://doi.org/10.1126/science.aag2331</w:t>
        </w:r>
      </w:hyperlink>
      <w:r w:rsidRPr="0018202F">
        <w:rPr>
          <w:rFonts w:ascii="Arial" w:hAnsi="Arial" w:cs="Arial"/>
          <w:sz w:val="22"/>
          <w:szCs w:val="22"/>
        </w:rPr>
        <w:t xml:space="preserve"> </w:t>
      </w:r>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FAO, 2020. </w:t>
      </w:r>
      <w:r w:rsidRPr="0018202F">
        <w:rPr>
          <w:rStyle w:val="Emphasis"/>
          <w:rFonts w:ascii="Arial" w:hAnsi="Arial" w:cs="Arial"/>
          <w:sz w:val="22"/>
          <w:szCs w:val="22"/>
        </w:rPr>
        <w:t>How is COVID-19 affecting the fisheries and aquaculture food systems?</w:t>
      </w:r>
      <w:r w:rsidRPr="0018202F">
        <w:rPr>
          <w:rFonts w:ascii="Arial" w:hAnsi="Arial" w:cs="Arial"/>
          <w:sz w:val="22"/>
          <w:szCs w:val="22"/>
        </w:rPr>
        <w:t xml:space="preserve"> (Policy/Impact Brief). Rome: Food and Agriculture Organization of the United Nations. </w:t>
      </w:r>
      <w:hyperlink r:id="rId18" w:tgtFrame="_new" w:history="1">
        <w:r w:rsidRPr="0018202F">
          <w:rPr>
            <w:rStyle w:val="Hyperlink"/>
            <w:rFonts w:ascii="Arial" w:hAnsi="Arial" w:cs="Arial"/>
            <w:sz w:val="22"/>
            <w:szCs w:val="22"/>
          </w:rPr>
          <w:t>https://www.fao.org/3/ca8637en/ca8637en.pdf</w:t>
        </w:r>
      </w:hyperlink>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FAO, 2024. </w:t>
      </w:r>
      <w:r w:rsidRPr="0018202F">
        <w:rPr>
          <w:rStyle w:val="Emphasis"/>
          <w:rFonts w:ascii="Arial" w:hAnsi="Arial" w:cs="Arial"/>
          <w:sz w:val="22"/>
          <w:szCs w:val="22"/>
        </w:rPr>
        <w:t>FishStatJ: Global production by production source (1950–2022).</w:t>
      </w:r>
      <w:r w:rsidRPr="0018202F">
        <w:rPr>
          <w:rFonts w:ascii="Arial" w:hAnsi="Arial" w:cs="Arial"/>
          <w:sz w:val="22"/>
          <w:szCs w:val="22"/>
        </w:rPr>
        <w:t xml:space="preserve"> Accessed 29 March 2024. </w:t>
      </w:r>
      <w:hyperlink r:id="rId19" w:tgtFrame="_new" w:history="1">
        <w:r w:rsidRPr="0018202F">
          <w:rPr>
            <w:rStyle w:val="Hyperlink"/>
            <w:rFonts w:ascii="Arial" w:hAnsi="Arial" w:cs="Arial"/>
            <w:sz w:val="22"/>
            <w:szCs w:val="22"/>
          </w:rPr>
          <w:t>https://www.fao.org/fishery/en/statistics/software/fishstatj</w:t>
        </w:r>
      </w:hyperlink>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FAO, 2024. </w:t>
      </w:r>
      <w:r w:rsidRPr="0018202F">
        <w:rPr>
          <w:rStyle w:val="Emphasis"/>
          <w:rFonts w:ascii="Arial" w:hAnsi="Arial" w:cs="Arial"/>
          <w:sz w:val="22"/>
          <w:szCs w:val="22"/>
        </w:rPr>
        <w:t>The State of World Fisheries and Aquaculture (SOFIA) 2024 — Global overview and “Blue Transformation.”</w:t>
      </w:r>
      <w:r w:rsidRPr="0018202F">
        <w:rPr>
          <w:rFonts w:ascii="Arial" w:hAnsi="Arial" w:cs="Arial"/>
          <w:sz w:val="22"/>
          <w:szCs w:val="22"/>
        </w:rPr>
        <w:t xml:space="preserve"> Rome: FAO. </w:t>
      </w:r>
      <w:hyperlink r:id="rId20" w:tgtFrame="_new" w:history="1">
        <w:r w:rsidRPr="0018202F">
          <w:rPr>
            <w:rStyle w:val="Hyperlink"/>
            <w:rFonts w:ascii="Arial" w:hAnsi="Arial" w:cs="Arial"/>
            <w:sz w:val="22"/>
            <w:szCs w:val="22"/>
          </w:rPr>
          <w:t>https://www.fao.org/sofia</w:t>
        </w:r>
      </w:hyperlink>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Fiorella, K. J., Hickey, G. M., Salinas, R. A., &amp; Thilsted, S. H., 2019. Analyzing drivers of fish biomass and biodiversity within community fish refuges in Cambodia. </w:t>
      </w:r>
      <w:r w:rsidRPr="0018202F">
        <w:rPr>
          <w:rStyle w:val="Emphasis"/>
          <w:rFonts w:ascii="Arial" w:hAnsi="Arial" w:cs="Arial"/>
          <w:sz w:val="22"/>
          <w:szCs w:val="22"/>
        </w:rPr>
        <w:t>Ecology and Society, 24</w:t>
      </w:r>
      <w:r w:rsidRPr="0018202F">
        <w:rPr>
          <w:rFonts w:ascii="Arial" w:hAnsi="Arial" w:cs="Arial"/>
          <w:sz w:val="22"/>
          <w:szCs w:val="22"/>
        </w:rPr>
        <w:t xml:space="preserve">(3), 18. </w:t>
      </w:r>
      <w:hyperlink r:id="rId21" w:tgtFrame="_new" w:history="1">
        <w:r w:rsidRPr="0018202F">
          <w:rPr>
            <w:rStyle w:val="Hyperlink"/>
            <w:rFonts w:ascii="Arial" w:hAnsi="Arial" w:cs="Arial"/>
            <w:sz w:val="22"/>
            <w:szCs w:val="22"/>
          </w:rPr>
          <w:t>https://doi.org/10.5751/ES-11053-240318</w:t>
        </w:r>
      </w:hyperlink>
    </w:p>
    <w:p w:rsidR="00A802C9" w:rsidRPr="0018202F" w:rsidRDefault="00A802C9" w:rsidP="007C1E33">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Fisheries Administration (FiA), 2021. </w:t>
      </w:r>
      <w:r w:rsidRPr="0018202F">
        <w:rPr>
          <w:rStyle w:val="Emphasis"/>
          <w:rFonts w:ascii="Arial" w:hAnsi="Arial" w:cs="Arial"/>
          <w:sz w:val="22"/>
          <w:szCs w:val="22"/>
        </w:rPr>
        <w:t>Manual for Fish Catch Monitoring Assessment for Marine Fisheries in Cambodia.</w:t>
      </w:r>
      <w:r w:rsidRPr="0018202F">
        <w:rPr>
          <w:rFonts w:ascii="Arial" w:hAnsi="Arial" w:cs="Arial"/>
          <w:sz w:val="22"/>
          <w:szCs w:val="22"/>
        </w:rPr>
        <w:t xml:space="preserve"> Marine Fisheries Research and Development Institute (MaFReDI), Phnom Penh.</w:t>
      </w:r>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Fisheries Administration (FiA), 2023. </w:t>
      </w:r>
      <w:r w:rsidRPr="0018202F">
        <w:rPr>
          <w:rStyle w:val="Emphasis"/>
          <w:rFonts w:ascii="Arial" w:hAnsi="Arial" w:cs="Arial"/>
          <w:sz w:val="22"/>
          <w:szCs w:val="22"/>
        </w:rPr>
        <w:t>Catch Monitoring Survey at Marine Landing Sites, Cambodia (June 2023): Gear-specific catch/day.</w:t>
      </w:r>
      <w:r w:rsidRPr="0018202F">
        <w:rPr>
          <w:rFonts w:ascii="Arial" w:hAnsi="Arial" w:cs="Arial"/>
          <w:sz w:val="22"/>
          <w:szCs w:val="22"/>
        </w:rPr>
        <w:t xml:space="preserve"> Phnom Penh: MAFF.</w:t>
      </w:r>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Fisheries Administration (FiA), 2025. </w:t>
      </w:r>
      <w:r w:rsidRPr="0018202F">
        <w:rPr>
          <w:rStyle w:val="Emphasis"/>
          <w:rFonts w:ascii="Arial" w:hAnsi="Arial" w:cs="Arial"/>
          <w:sz w:val="22"/>
          <w:szCs w:val="22"/>
        </w:rPr>
        <w:t>Annual Fisheries Statistical Report (2012–2024).</w:t>
      </w:r>
      <w:r w:rsidRPr="0018202F">
        <w:rPr>
          <w:rFonts w:ascii="Arial" w:hAnsi="Arial" w:cs="Arial"/>
          <w:sz w:val="22"/>
          <w:szCs w:val="22"/>
        </w:rPr>
        <w:t xml:space="preserve"> Phnom Penh: MAFF. </w:t>
      </w:r>
      <w:hyperlink r:id="rId22" w:tgtFrame="_new" w:history="1">
        <w:r w:rsidRPr="0018202F">
          <w:rPr>
            <w:rStyle w:val="Hyperlink"/>
            <w:rFonts w:ascii="Arial" w:hAnsi="Arial" w:cs="Arial"/>
            <w:sz w:val="22"/>
            <w:szCs w:val="22"/>
          </w:rPr>
          <w:t>https://fia.maff.gov.kh/fimsfrontend/article/1</w:t>
        </w:r>
      </w:hyperlink>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Fisheries Administration (FiA), Ministry of Agriculture, Forestry and Fisheries (MAFF), 2024. </w:t>
      </w:r>
      <w:r w:rsidRPr="0018202F">
        <w:rPr>
          <w:rStyle w:val="Emphasis"/>
          <w:rFonts w:ascii="Arial" w:hAnsi="Arial" w:cs="Arial"/>
          <w:sz w:val="22"/>
          <w:szCs w:val="22"/>
        </w:rPr>
        <w:t>Marine Fishing Vessel and Licensing Database – Vessel Census 2018.</w:t>
      </w:r>
      <w:r w:rsidRPr="0018202F">
        <w:rPr>
          <w:rFonts w:ascii="Arial" w:hAnsi="Arial" w:cs="Arial"/>
          <w:sz w:val="22"/>
          <w:szCs w:val="22"/>
        </w:rPr>
        <w:t xml:space="preserve"> Phnom Penh: MAFF. </w:t>
      </w:r>
      <w:hyperlink r:id="rId23" w:tgtFrame="_new" w:history="1">
        <w:r w:rsidRPr="0018202F">
          <w:rPr>
            <w:rStyle w:val="Hyperlink"/>
            <w:rFonts w:ascii="Arial" w:hAnsi="Arial" w:cs="Arial"/>
            <w:sz w:val="22"/>
            <w:szCs w:val="22"/>
          </w:rPr>
          <w:t>https://www.maff.gov.kh/fia/systemdetail/8Rf4C8IQAq?lang=en</w:t>
        </w:r>
      </w:hyperlink>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Girkin, N. T., Lo, V., Quoi, L. P., &amp; Visal, S. (2022). Blue carbon ecosystems and fish biodiversity in the Gulf of Thailand. </w:t>
      </w:r>
      <w:r w:rsidRPr="0018202F">
        <w:rPr>
          <w:rStyle w:val="Emphasis"/>
          <w:rFonts w:ascii="Arial" w:hAnsi="Arial" w:cs="Arial"/>
          <w:sz w:val="22"/>
          <w:szCs w:val="22"/>
        </w:rPr>
        <w:t>Marine Ecology Progress Series, 687</w:t>
      </w:r>
      <w:r w:rsidRPr="0018202F">
        <w:rPr>
          <w:rFonts w:ascii="Arial" w:hAnsi="Arial" w:cs="Arial"/>
          <w:sz w:val="22"/>
          <w:szCs w:val="22"/>
        </w:rPr>
        <w:t>, 49–62. https://doi.org/10.3354/meps14083</w:t>
      </w:r>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Government of Cambodia (RGC), 2025. Cambodia’s Nationally Determined Contribution 3.0. UNFCCC. https://unfccc.int/sites/default/files/2025-08/Cambodia-NDC%203.0_0.pdf</w:t>
      </w:r>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ICON-INSTITUT GmbH, 2023. Desk study of the nexus on climate, nutrition and social security in Cambodia. Bonn: GIZ. Retrieved from </w:t>
      </w:r>
      <w:hyperlink r:id="rId24" w:history="1">
        <w:r w:rsidRPr="0018202F">
          <w:rPr>
            <w:rStyle w:val="Hyperlink"/>
            <w:rFonts w:ascii="Arial" w:hAnsi="Arial" w:cs="Arial"/>
            <w:sz w:val="22"/>
            <w:szCs w:val="22"/>
          </w:rPr>
          <w:t>https://www.giz.de/de/downloads/giz2023-en-study-cambodia-climate-nutrition-social-security.pdf</w:t>
        </w:r>
      </w:hyperlink>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Islam, M. M., et al., 2021. Pandemic, food systems, and resilience: COVID-19 impacts on aquatic foods. </w:t>
      </w:r>
      <w:r w:rsidRPr="0018202F">
        <w:rPr>
          <w:rStyle w:val="Emphasis"/>
          <w:rFonts w:ascii="Arial" w:hAnsi="Arial" w:cs="Arial"/>
          <w:sz w:val="22"/>
          <w:szCs w:val="22"/>
        </w:rPr>
        <w:t>Global Food Security, 28</w:t>
      </w:r>
      <w:r w:rsidRPr="0018202F">
        <w:rPr>
          <w:rFonts w:ascii="Arial" w:hAnsi="Arial" w:cs="Arial"/>
          <w:sz w:val="22"/>
          <w:szCs w:val="22"/>
        </w:rPr>
        <w:t xml:space="preserve">, 100468. </w:t>
      </w:r>
      <w:hyperlink r:id="rId25" w:tgtFrame="_new" w:history="1">
        <w:r w:rsidRPr="0018202F">
          <w:rPr>
            <w:rStyle w:val="Hyperlink"/>
            <w:rFonts w:ascii="Arial" w:hAnsi="Arial" w:cs="Arial"/>
            <w:sz w:val="22"/>
            <w:szCs w:val="22"/>
          </w:rPr>
          <w:t>https://doi.org/10.1016/j.gfs.2021.100468</w:t>
        </w:r>
      </w:hyperlink>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Lo, V., Quoi, L., &amp; Visal, S., 2018. Cambodia Coastal Ecosystem Assessment. Phnom Penh: Ministry of Environment.</w:t>
      </w:r>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MaFReDI, 2023. </w:t>
      </w:r>
      <w:r w:rsidRPr="0018202F">
        <w:rPr>
          <w:rStyle w:val="Emphasis"/>
          <w:rFonts w:ascii="Arial" w:hAnsi="Arial" w:cs="Arial"/>
          <w:sz w:val="22"/>
          <w:szCs w:val="22"/>
        </w:rPr>
        <w:t>Catch Monitoring Survey at Marine Landing Sites, Cambodia (June 2023).</w:t>
      </w:r>
      <w:r w:rsidRPr="0018202F">
        <w:rPr>
          <w:rFonts w:ascii="Arial" w:hAnsi="Arial" w:cs="Arial"/>
          <w:sz w:val="22"/>
          <w:szCs w:val="22"/>
        </w:rPr>
        <w:t xml:space="preserve"> Phnom Penh: MAFF.</w:t>
      </w:r>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Ministry of Environment (MoE), 2023. State of the Environment Report 2023. Phnom Penh: MoE.</w:t>
      </w:r>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Pauly, D., &amp; Cheung, W. W. L., 2018). Sound physiological knowledge and principles in modelling shrinking of fishes under climate change. Global Change Biology, 24(1), e15–e26. </w:t>
      </w:r>
      <w:hyperlink r:id="rId26" w:history="1">
        <w:r w:rsidR="00DA76F1" w:rsidRPr="0018202F">
          <w:rPr>
            <w:rStyle w:val="Hyperlink"/>
            <w:rFonts w:ascii="Arial" w:hAnsi="Arial" w:cs="Arial"/>
            <w:sz w:val="22"/>
            <w:szCs w:val="22"/>
          </w:rPr>
          <w:t>https://doi.org/10.1111/gcb.13831</w:t>
        </w:r>
      </w:hyperlink>
      <w:r w:rsidR="00DA76F1" w:rsidRPr="0018202F">
        <w:rPr>
          <w:rFonts w:ascii="Arial" w:hAnsi="Arial" w:cs="Arial"/>
          <w:sz w:val="22"/>
          <w:szCs w:val="22"/>
        </w:rPr>
        <w:t xml:space="preserve"> </w:t>
      </w:r>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Pauly, D., &amp; Zeller, D., 2020). </w:t>
      </w:r>
      <w:r w:rsidRPr="0018202F">
        <w:rPr>
          <w:rStyle w:val="Emphasis"/>
          <w:rFonts w:ascii="Arial" w:hAnsi="Arial" w:cs="Arial"/>
          <w:sz w:val="22"/>
          <w:szCs w:val="22"/>
        </w:rPr>
        <w:t>Sea Around Us Global Fisheries Database (1950–2019).</w:t>
      </w:r>
      <w:r w:rsidRPr="0018202F">
        <w:rPr>
          <w:rFonts w:ascii="Arial" w:hAnsi="Arial" w:cs="Arial"/>
          <w:sz w:val="22"/>
          <w:szCs w:val="22"/>
        </w:rPr>
        <w:t xml:space="preserve"> Institute for the Oceans and Fisheries, University of British Columbia. </w:t>
      </w:r>
      <w:hyperlink r:id="rId27" w:tgtFrame="_new" w:history="1">
        <w:r w:rsidRPr="0018202F">
          <w:rPr>
            <w:rStyle w:val="Hyperlink"/>
            <w:rFonts w:ascii="Arial" w:hAnsi="Arial" w:cs="Arial"/>
            <w:sz w:val="22"/>
            <w:szCs w:val="22"/>
          </w:rPr>
          <w:t>http://www.seaaroundus.org</w:t>
        </w:r>
      </w:hyperlink>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Sea Around Us (SAU), 2020. </w:t>
      </w:r>
      <w:r w:rsidRPr="0018202F">
        <w:rPr>
          <w:rStyle w:val="Emphasis"/>
          <w:rFonts w:ascii="Arial" w:hAnsi="Arial" w:cs="Arial"/>
          <w:sz w:val="22"/>
          <w:szCs w:val="22"/>
        </w:rPr>
        <w:t>Subsidies dataset (2003 and 2009): Totals and categories for Cambodia – ratio to landed value analysis.</w:t>
      </w:r>
      <w:r w:rsidRPr="0018202F">
        <w:rPr>
          <w:rFonts w:ascii="Arial" w:hAnsi="Arial" w:cs="Arial"/>
          <w:sz w:val="22"/>
          <w:szCs w:val="22"/>
        </w:rPr>
        <w:t xml:space="preserve"> </w:t>
      </w:r>
      <w:hyperlink r:id="rId28" w:anchor="/subsidy/29" w:tgtFrame="_new" w:history="1">
        <w:r w:rsidRPr="0018202F">
          <w:rPr>
            <w:rStyle w:val="Hyperlink"/>
            <w:rFonts w:ascii="Arial" w:hAnsi="Arial" w:cs="Arial"/>
            <w:sz w:val="22"/>
            <w:szCs w:val="22"/>
          </w:rPr>
          <w:t>https://www.seaaroundus.org/data/#/subsidy/29</w:t>
        </w:r>
      </w:hyperlink>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Sea Around Us Project (SAUP), (1950–2019). </w:t>
      </w:r>
      <w:r w:rsidRPr="0018202F">
        <w:rPr>
          <w:rStyle w:val="Emphasis"/>
          <w:rFonts w:ascii="Arial" w:hAnsi="Arial" w:cs="Arial"/>
          <w:sz w:val="22"/>
          <w:szCs w:val="22"/>
        </w:rPr>
        <w:t>Reconstructed catches, stock-status plots, Marine Trophic Index (MTI), Fishing-in-Balance (FiB), and Primary Production Required (PPR) for Cambodia EEZ.</w:t>
      </w:r>
      <w:r w:rsidRPr="0018202F">
        <w:rPr>
          <w:rFonts w:ascii="Arial" w:hAnsi="Arial" w:cs="Arial"/>
          <w:sz w:val="22"/>
          <w:szCs w:val="22"/>
        </w:rPr>
        <w:t xml:space="preserve"> Vancouver: University of British Columbia. </w:t>
      </w:r>
      <w:hyperlink r:id="rId29" w:tgtFrame="_new" w:history="1">
        <w:r w:rsidRPr="0018202F">
          <w:rPr>
            <w:rStyle w:val="Hyperlink"/>
            <w:rFonts w:ascii="Arial" w:hAnsi="Arial" w:cs="Arial"/>
            <w:sz w:val="22"/>
            <w:szCs w:val="22"/>
          </w:rPr>
          <w:t>https://www.seaaroundus.org</w:t>
        </w:r>
      </w:hyperlink>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SEAFDEC (Southeast Asian Fisheries Development Center), 2019. </w:t>
      </w:r>
      <w:r w:rsidRPr="0018202F">
        <w:rPr>
          <w:rStyle w:val="Emphasis"/>
          <w:rFonts w:ascii="Arial" w:hAnsi="Arial" w:cs="Arial"/>
          <w:sz w:val="22"/>
          <w:szCs w:val="22"/>
        </w:rPr>
        <w:t>Fisheries Resource Survey in the Gulf of Thailand off Thailand and Cambodia by Using Bottom Trawl (Abstract).</w:t>
      </w:r>
      <w:r w:rsidRPr="0018202F">
        <w:rPr>
          <w:rFonts w:ascii="Arial" w:hAnsi="Arial" w:cs="Arial"/>
          <w:sz w:val="22"/>
          <w:szCs w:val="22"/>
        </w:rPr>
        <w:t xml:space="preserve"> Training Department, SEAFDEC, Samut Prakan, Thailand. </w:t>
      </w:r>
      <w:hyperlink r:id="rId30" w:tgtFrame="_new" w:history="1">
        <w:r w:rsidRPr="0018202F">
          <w:rPr>
            <w:rStyle w:val="Hyperlink"/>
            <w:rFonts w:ascii="Arial" w:hAnsi="Arial" w:cs="Arial"/>
            <w:sz w:val="22"/>
            <w:szCs w:val="22"/>
          </w:rPr>
          <w:t>http://map.seafdec.org/gotseed2/abstract/ab-Fisheries%20Resource%20Survey%20in%20the%20Gulf%20of%20Thialand%20off%20Thailand%20and%20Cambodia%20by%20Using%20Bottom%20Trawl.pdf</w:t>
        </w:r>
      </w:hyperlink>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SEAFDEC (Southeast Asian Fisheries Development Center), 2024. </w:t>
      </w:r>
      <w:r w:rsidRPr="0018202F">
        <w:rPr>
          <w:rStyle w:val="Emphasis"/>
          <w:rFonts w:ascii="Arial" w:hAnsi="Arial" w:cs="Arial"/>
          <w:sz w:val="22"/>
          <w:szCs w:val="22"/>
        </w:rPr>
        <w:t>Regional and country information on fisheries and aquaculture in Southeast Asia – Cambodia profiles and updates.</w:t>
      </w:r>
      <w:r w:rsidRPr="0018202F">
        <w:rPr>
          <w:rFonts w:ascii="Arial" w:hAnsi="Arial" w:cs="Arial"/>
          <w:sz w:val="22"/>
          <w:szCs w:val="22"/>
        </w:rPr>
        <w:t xml:space="preserve"> </w:t>
      </w:r>
      <w:hyperlink r:id="rId31" w:tgtFrame="_new" w:history="1">
        <w:r w:rsidRPr="0018202F">
          <w:rPr>
            <w:rStyle w:val="Hyperlink"/>
            <w:rFonts w:ascii="Arial" w:hAnsi="Arial" w:cs="Arial"/>
            <w:sz w:val="22"/>
            <w:szCs w:val="22"/>
          </w:rPr>
          <w:t>https://www.seafdec.org</w:t>
        </w:r>
      </w:hyperlink>
    </w:p>
    <w:p w:rsidR="00A802C9" w:rsidRPr="0018202F" w:rsidRDefault="00A802C9" w:rsidP="008D473D">
      <w:pPr>
        <w:pStyle w:val="NormalWeb"/>
        <w:adjustRightInd w:val="0"/>
        <w:snapToGrid w:val="0"/>
        <w:spacing w:before="60" w:beforeAutospacing="0" w:after="60" w:afterAutospacing="0"/>
        <w:ind w:left="709" w:hanging="709"/>
        <w:rPr>
          <w:rFonts w:ascii="Arial" w:hAnsi="Arial" w:cs="Arial"/>
          <w:sz w:val="22"/>
          <w:szCs w:val="22"/>
        </w:rPr>
      </w:pPr>
      <w:r w:rsidRPr="0018202F">
        <w:rPr>
          <w:rFonts w:ascii="Arial" w:hAnsi="Arial" w:cs="Arial"/>
          <w:sz w:val="22"/>
          <w:szCs w:val="22"/>
        </w:rPr>
        <w:t xml:space="preserve">Thay, M. S., et al., 2022. </w:t>
      </w:r>
      <w:r w:rsidRPr="0018202F">
        <w:rPr>
          <w:rStyle w:val="Emphasis"/>
          <w:rFonts w:ascii="Arial" w:hAnsi="Arial" w:cs="Arial"/>
          <w:sz w:val="22"/>
          <w:szCs w:val="22"/>
        </w:rPr>
        <w:t>Accelerating the development of finfish mariculture in Cambodia (ACIAR–FiA Project Report).</w:t>
      </w:r>
      <w:r w:rsidRPr="0018202F">
        <w:rPr>
          <w:rFonts w:ascii="Arial" w:hAnsi="Arial" w:cs="Arial"/>
          <w:sz w:val="22"/>
          <w:szCs w:val="22"/>
        </w:rPr>
        <w:t xml:space="preserve"> Canberra: Australian Centre for International Agricultural Research (ACIAR). </w:t>
      </w:r>
      <w:hyperlink r:id="rId32" w:tgtFrame="_new" w:history="1">
        <w:r w:rsidRPr="0018202F">
          <w:rPr>
            <w:rStyle w:val="Hyperlink"/>
            <w:rFonts w:ascii="Arial" w:hAnsi="Arial" w:cs="Arial"/>
            <w:sz w:val="22"/>
            <w:szCs w:val="22"/>
          </w:rPr>
          <w:t>https://aciar.gov.au</w:t>
        </w:r>
      </w:hyperlink>
    </w:p>
    <w:p w:rsidR="00397F3D" w:rsidRPr="0018202F" w:rsidRDefault="00130A33" w:rsidP="008D473D">
      <w:pPr>
        <w:spacing w:before="100" w:beforeAutospacing="1" w:after="100" w:afterAutospacing="1"/>
        <w:jc w:val="both"/>
        <w:outlineLvl w:val="1"/>
        <w:rPr>
          <w:rFonts w:ascii="Arial" w:hAnsi="Arial" w:cs="Arial"/>
          <w:b/>
          <w:bCs/>
          <w:sz w:val="32"/>
          <w:szCs w:val="32"/>
        </w:rPr>
      </w:pPr>
      <w:r w:rsidRPr="0018202F">
        <w:rPr>
          <w:rFonts w:ascii="Arial" w:hAnsi="Arial" w:cs="Arial"/>
          <w:b/>
          <w:bCs/>
          <w:sz w:val="32"/>
          <w:szCs w:val="32"/>
        </w:rPr>
        <w:br w:type="column"/>
      </w:r>
      <w:bookmarkStart w:id="53" w:name="_Toc217232071"/>
      <w:r w:rsidR="007E3AA0" w:rsidRPr="006E78E7">
        <w:rPr>
          <w:rFonts w:ascii="Arial" w:hAnsi="Arial" w:cs="Arial"/>
          <w:b/>
          <w:bCs/>
          <w:sz w:val="32"/>
          <w:szCs w:val="32"/>
        </w:rPr>
        <w:t>Annex</w:t>
      </w:r>
      <w:r w:rsidR="006E78E7" w:rsidRPr="006E78E7">
        <w:rPr>
          <w:rFonts w:ascii="Arial" w:hAnsi="Arial" w:cs="Arial"/>
          <w:b/>
          <w:bCs/>
          <w:sz w:val="32"/>
          <w:szCs w:val="32"/>
        </w:rPr>
        <w:t xml:space="preserve"> 5</w:t>
      </w:r>
      <w:bookmarkEnd w:id="53"/>
    </w:p>
    <w:sdt>
      <w:sdtPr>
        <w:rPr>
          <w:rFonts w:ascii="Arial" w:hAnsi="Arial" w:cs="Arial"/>
          <w:b/>
          <w:bCs/>
          <w:i w:val="0"/>
          <w:iCs w:val="0"/>
          <w:color w:val="auto"/>
          <w:sz w:val="24"/>
          <w:szCs w:val="24"/>
        </w:rPr>
        <w:id w:val="-1518157054"/>
        <w:docPartObj>
          <w:docPartGallery w:val="Table of Contents"/>
          <w:docPartUnique/>
        </w:docPartObj>
      </w:sdtPr>
      <w:sdtEndPr>
        <w:rPr>
          <w:b w:val="0"/>
          <w:bCs w:val="0"/>
          <w:noProof/>
        </w:rPr>
      </w:sdtEndPr>
      <w:sdtContent>
        <w:p w:rsidR="00107981" w:rsidRPr="0018202F" w:rsidRDefault="00107981" w:rsidP="00B60714">
          <w:pPr>
            <w:pStyle w:val="Caption"/>
            <w:rPr>
              <w:rFonts w:ascii="Arial" w:hAnsi="Arial" w:cs="Arial"/>
              <w:b/>
              <w:bCs/>
              <w:color w:val="0070C0"/>
              <w:sz w:val="24"/>
              <w:szCs w:val="24"/>
            </w:rPr>
          </w:pPr>
          <w:r w:rsidRPr="0018202F">
            <w:rPr>
              <w:rFonts w:ascii="Arial" w:hAnsi="Arial" w:cs="Arial"/>
              <w:b/>
              <w:bCs/>
              <w:color w:val="0070C0"/>
              <w:sz w:val="24"/>
              <w:szCs w:val="24"/>
            </w:rPr>
            <w:t>Table of Contents</w:t>
          </w:r>
        </w:p>
        <w:p w:rsidR="00F840AA" w:rsidRDefault="00107981">
          <w:pPr>
            <w:pStyle w:val="TOC1"/>
            <w:tabs>
              <w:tab w:val="right" w:leader="dot" w:pos="9010"/>
            </w:tabs>
            <w:rPr>
              <w:rFonts w:eastAsiaTheme="minorEastAsia" w:cstheme="minorBidi"/>
              <w:b w:val="0"/>
              <w:bCs w:val="0"/>
              <w:i w:val="0"/>
              <w:iCs w:val="0"/>
              <w:noProof/>
              <w:kern w:val="2"/>
              <w14:ligatures w14:val="standardContextual"/>
            </w:rPr>
          </w:pPr>
          <w:r w:rsidRPr="0018202F">
            <w:rPr>
              <w:rFonts w:ascii="Arial" w:hAnsi="Arial" w:cs="Arial"/>
              <w:b w:val="0"/>
              <w:bCs w:val="0"/>
            </w:rPr>
            <w:fldChar w:fldCharType="begin"/>
          </w:r>
          <w:r w:rsidRPr="0018202F">
            <w:rPr>
              <w:rFonts w:ascii="Arial" w:hAnsi="Arial" w:cs="Arial"/>
            </w:rPr>
            <w:instrText xml:space="preserve"> TOC \o "1-3" \h \z \u </w:instrText>
          </w:r>
          <w:r w:rsidRPr="0018202F">
            <w:rPr>
              <w:rFonts w:ascii="Arial" w:hAnsi="Arial" w:cs="Arial"/>
              <w:b w:val="0"/>
              <w:bCs w:val="0"/>
            </w:rPr>
            <w:fldChar w:fldCharType="separate"/>
          </w:r>
          <w:hyperlink w:anchor="_Toc217232052" w:history="1">
            <w:r w:rsidR="00F840AA" w:rsidRPr="00576EA5">
              <w:rPr>
                <w:rStyle w:val="Hyperlink"/>
                <w:rFonts w:ascii="Arial" w:hAnsi="Arial" w:cs="Arial"/>
                <w:noProof/>
                <w:kern w:val="36"/>
              </w:rPr>
              <w:t>5. Fish, Fisheries and Aquaculture</w:t>
            </w:r>
            <w:r w:rsidR="00F840AA">
              <w:rPr>
                <w:noProof/>
                <w:webHidden/>
              </w:rPr>
              <w:tab/>
            </w:r>
            <w:r w:rsidR="00F840AA">
              <w:rPr>
                <w:noProof/>
                <w:webHidden/>
              </w:rPr>
              <w:fldChar w:fldCharType="begin"/>
            </w:r>
            <w:r w:rsidR="00F840AA">
              <w:rPr>
                <w:noProof/>
                <w:webHidden/>
              </w:rPr>
              <w:instrText xml:space="preserve"> PAGEREF _Toc217232052 \h </w:instrText>
            </w:r>
            <w:r w:rsidR="00F840AA">
              <w:rPr>
                <w:noProof/>
                <w:webHidden/>
              </w:rPr>
            </w:r>
            <w:r w:rsidR="00F840AA">
              <w:rPr>
                <w:noProof/>
                <w:webHidden/>
              </w:rPr>
              <w:fldChar w:fldCharType="separate"/>
            </w:r>
            <w:r w:rsidR="00F72397">
              <w:rPr>
                <w:noProof/>
                <w:webHidden/>
              </w:rPr>
              <w:t>1</w:t>
            </w:r>
            <w:r w:rsidR="00F840AA">
              <w:rPr>
                <w:noProof/>
                <w:webHidden/>
              </w:rPr>
              <w:fldChar w:fldCharType="end"/>
            </w:r>
          </w:hyperlink>
        </w:p>
        <w:p w:rsidR="00F840AA" w:rsidRDefault="00F840AA">
          <w:pPr>
            <w:pStyle w:val="TOC2"/>
            <w:tabs>
              <w:tab w:val="right" w:leader="dot" w:pos="9010"/>
            </w:tabs>
            <w:rPr>
              <w:rFonts w:eastAsiaTheme="minorEastAsia" w:cstheme="minorBidi"/>
              <w:b w:val="0"/>
              <w:bCs w:val="0"/>
              <w:noProof/>
              <w:kern w:val="2"/>
              <w:sz w:val="24"/>
              <w:szCs w:val="24"/>
              <w14:ligatures w14:val="standardContextual"/>
            </w:rPr>
          </w:pPr>
          <w:hyperlink w:anchor="_Toc217232053" w:history="1">
            <w:r w:rsidRPr="00576EA5">
              <w:rPr>
                <w:rStyle w:val="Hyperlink"/>
                <w:rFonts w:ascii="Arial" w:eastAsiaTheme="majorEastAsia" w:hAnsi="Arial" w:cs="Arial"/>
                <w:noProof/>
              </w:rPr>
              <w:t>5.1 Key Findings</w:t>
            </w:r>
            <w:r>
              <w:rPr>
                <w:noProof/>
                <w:webHidden/>
              </w:rPr>
              <w:tab/>
            </w:r>
            <w:r>
              <w:rPr>
                <w:noProof/>
                <w:webHidden/>
              </w:rPr>
              <w:fldChar w:fldCharType="begin"/>
            </w:r>
            <w:r>
              <w:rPr>
                <w:noProof/>
                <w:webHidden/>
              </w:rPr>
              <w:instrText xml:space="preserve"> PAGEREF _Toc217232053 \h </w:instrText>
            </w:r>
            <w:r>
              <w:rPr>
                <w:noProof/>
                <w:webHidden/>
              </w:rPr>
            </w:r>
            <w:r>
              <w:rPr>
                <w:noProof/>
                <w:webHidden/>
              </w:rPr>
              <w:fldChar w:fldCharType="separate"/>
            </w:r>
            <w:r w:rsidR="00F72397">
              <w:rPr>
                <w:noProof/>
                <w:webHidden/>
              </w:rPr>
              <w:t>1</w:t>
            </w:r>
            <w:r>
              <w:rPr>
                <w:noProof/>
                <w:webHidden/>
              </w:rPr>
              <w:fldChar w:fldCharType="end"/>
            </w:r>
          </w:hyperlink>
        </w:p>
        <w:p w:rsidR="00F840AA" w:rsidRDefault="00F840AA">
          <w:pPr>
            <w:pStyle w:val="TOC2"/>
            <w:tabs>
              <w:tab w:val="right" w:leader="dot" w:pos="9010"/>
            </w:tabs>
            <w:rPr>
              <w:rFonts w:eastAsiaTheme="minorEastAsia" w:cstheme="minorBidi"/>
              <w:b w:val="0"/>
              <w:bCs w:val="0"/>
              <w:noProof/>
              <w:kern w:val="2"/>
              <w:sz w:val="24"/>
              <w:szCs w:val="24"/>
              <w14:ligatures w14:val="standardContextual"/>
            </w:rPr>
          </w:pPr>
          <w:hyperlink w:anchor="_Toc217232054" w:history="1">
            <w:r w:rsidRPr="00576EA5">
              <w:rPr>
                <w:rStyle w:val="Hyperlink"/>
                <w:rFonts w:ascii="Arial" w:eastAsiaTheme="majorEastAsia" w:hAnsi="Arial" w:cs="Arial"/>
                <w:noProof/>
              </w:rPr>
              <w:t>5.2 Current Status of Fisheries and Ecosystem Health</w:t>
            </w:r>
            <w:r>
              <w:rPr>
                <w:noProof/>
                <w:webHidden/>
              </w:rPr>
              <w:tab/>
            </w:r>
            <w:r>
              <w:rPr>
                <w:noProof/>
                <w:webHidden/>
              </w:rPr>
              <w:fldChar w:fldCharType="begin"/>
            </w:r>
            <w:r>
              <w:rPr>
                <w:noProof/>
                <w:webHidden/>
              </w:rPr>
              <w:instrText xml:space="preserve"> PAGEREF _Toc217232054 \h </w:instrText>
            </w:r>
            <w:r>
              <w:rPr>
                <w:noProof/>
                <w:webHidden/>
              </w:rPr>
            </w:r>
            <w:r>
              <w:rPr>
                <w:noProof/>
                <w:webHidden/>
              </w:rPr>
              <w:fldChar w:fldCharType="separate"/>
            </w:r>
            <w:r w:rsidR="00F72397">
              <w:rPr>
                <w:noProof/>
                <w:webHidden/>
              </w:rPr>
              <w:t>1</w:t>
            </w:r>
            <w:r>
              <w:rPr>
                <w:noProof/>
                <w:webHidden/>
              </w:rPr>
              <w:fldChar w:fldCharType="end"/>
            </w:r>
          </w:hyperlink>
        </w:p>
        <w:p w:rsidR="00F840AA" w:rsidRDefault="00F840AA">
          <w:pPr>
            <w:pStyle w:val="TOC3"/>
            <w:tabs>
              <w:tab w:val="right" w:leader="dot" w:pos="9010"/>
            </w:tabs>
            <w:rPr>
              <w:rFonts w:eastAsiaTheme="minorEastAsia" w:cstheme="minorBidi"/>
              <w:noProof/>
              <w:kern w:val="2"/>
              <w:sz w:val="24"/>
              <w:szCs w:val="24"/>
              <w14:ligatures w14:val="standardContextual"/>
            </w:rPr>
          </w:pPr>
          <w:hyperlink w:anchor="_Toc217232055" w:history="1">
            <w:r w:rsidRPr="00576EA5">
              <w:rPr>
                <w:rStyle w:val="Hyperlink"/>
                <w:rFonts w:ascii="Arial" w:hAnsi="Arial" w:cs="Arial"/>
                <w:noProof/>
              </w:rPr>
              <w:t>5.2.1 Current Status of Fisheries</w:t>
            </w:r>
            <w:r>
              <w:rPr>
                <w:noProof/>
                <w:webHidden/>
              </w:rPr>
              <w:tab/>
            </w:r>
            <w:r>
              <w:rPr>
                <w:noProof/>
                <w:webHidden/>
              </w:rPr>
              <w:fldChar w:fldCharType="begin"/>
            </w:r>
            <w:r>
              <w:rPr>
                <w:noProof/>
                <w:webHidden/>
              </w:rPr>
              <w:instrText xml:space="preserve"> PAGEREF _Toc217232055 \h </w:instrText>
            </w:r>
            <w:r>
              <w:rPr>
                <w:noProof/>
                <w:webHidden/>
              </w:rPr>
            </w:r>
            <w:r>
              <w:rPr>
                <w:noProof/>
                <w:webHidden/>
              </w:rPr>
              <w:fldChar w:fldCharType="separate"/>
            </w:r>
            <w:r w:rsidR="00F72397">
              <w:rPr>
                <w:noProof/>
                <w:webHidden/>
              </w:rPr>
              <w:t>1</w:t>
            </w:r>
            <w:r>
              <w:rPr>
                <w:noProof/>
                <w:webHidden/>
              </w:rPr>
              <w:fldChar w:fldCharType="end"/>
            </w:r>
          </w:hyperlink>
        </w:p>
        <w:p w:rsidR="00F840AA" w:rsidRDefault="00F840AA">
          <w:pPr>
            <w:pStyle w:val="TOC3"/>
            <w:tabs>
              <w:tab w:val="right" w:leader="dot" w:pos="9010"/>
            </w:tabs>
            <w:rPr>
              <w:rFonts w:eastAsiaTheme="minorEastAsia" w:cstheme="minorBidi"/>
              <w:noProof/>
              <w:kern w:val="2"/>
              <w:sz w:val="24"/>
              <w:szCs w:val="24"/>
              <w14:ligatures w14:val="standardContextual"/>
            </w:rPr>
          </w:pPr>
          <w:hyperlink w:anchor="_Toc217232056" w:history="1">
            <w:r w:rsidRPr="00576EA5">
              <w:rPr>
                <w:rStyle w:val="Hyperlink"/>
                <w:rFonts w:ascii="Arial" w:hAnsi="Arial" w:cs="Arial"/>
                <w:b/>
                <w:bCs/>
                <w:noProof/>
              </w:rPr>
              <w:t>5.2.2 Current Status of Ecosystem-health</w:t>
            </w:r>
            <w:r>
              <w:rPr>
                <w:noProof/>
                <w:webHidden/>
              </w:rPr>
              <w:tab/>
            </w:r>
            <w:r>
              <w:rPr>
                <w:noProof/>
                <w:webHidden/>
              </w:rPr>
              <w:fldChar w:fldCharType="begin"/>
            </w:r>
            <w:r>
              <w:rPr>
                <w:noProof/>
                <w:webHidden/>
              </w:rPr>
              <w:instrText xml:space="preserve"> PAGEREF _Toc217232056 \h </w:instrText>
            </w:r>
            <w:r>
              <w:rPr>
                <w:noProof/>
                <w:webHidden/>
              </w:rPr>
            </w:r>
            <w:r>
              <w:rPr>
                <w:noProof/>
                <w:webHidden/>
              </w:rPr>
              <w:fldChar w:fldCharType="separate"/>
            </w:r>
            <w:r w:rsidR="00F72397">
              <w:rPr>
                <w:noProof/>
                <w:webHidden/>
              </w:rPr>
              <w:t>7</w:t>
            </w:r>
            <w:r>
              <w:rPr>
                <w:noProof/>
                <w:webHidden/>
              </w:rPr>
              <w:fldChar w:fldCharType="end"/>
            </w:r>
          </w:hyperlink>
        </w:p>
        <w:p w:rsidR="00F840AA" w:rsidRDefault="00F840AA">
          <w:pPr>
            <w:pStyle w:val="TOC2"/>
            <w:tabs>
              <w:tab w:val="right" w:leader="dot" w:pos="9010"/>
            </w:tabs>
            <w:rPr>
              <w:rFonts w:eastAsiaTheme="minorEastAsia" w:cstheme="minorBidi"/>
              <w:b w:val="0"/>
              <w:bCs w:val="0"/>
              <w:noProof/>
              <w:kern w:val="2"/>
              <w:sz w:val="24"/>
              <w:szCs w:val="24"/>
              <w14:ligatures w14:val="standardContextual"/>
            </w:rPr>
          </w:pPr>
          <w:hyperlink w:anchor="_Toc217232057" w:history="1">
            <w:r w:rsidRPr="00576EA5">
              <w:rPr>
                <w:rStyle w:val="Hyperlink"/>
                <w:rFonts w:ascii="Arial" w:eastAsiaTheme="majorEastAsia" w:hAnsi="Arial" w:cs="Arial"/>
                <w:noProof/>
              </w:rPr>
              <w:t>5.3 Discussion and Conclusions</w:t>
            </w:r>
            <w:r>
              <w:rPr>
                <w:noProof/>
                <w:webHidden/>
              </w:rPr>
              <w:tab/>
            </w:r>
            <w:r>
              <w:rPr>
                <w:noProof/>
                <w:webHidden/>
              </w:rPr>
              <w:fldChar w:fldCharType="begin"/>
            </w:r>
            <w:r>
              <w:rPr>
                <w:noProof/>
                <w:webHidden/>
              </w:rPr>
              <w:instrText xml:space="preserve"> PAGEREF _Toc217232057 \h </w:instrText>
            </w:r>
            <w:r>
              <w:rPr>
                <w:noProof/>
                <w:webHidden/>
              </w:rPr>
            </w:r>
            <w:r>
              <w:rPr>
                <w:noProof/>
                <w:webHidden/>
              </w:rPr>
              <w:fldChar w:fldCharType="separate"/>
            </w:r>
            <w:r w:rsidR="00F72397">
              <w:rPr>
                <w:noProof/>
                <w:webHidden/>
              </w:rPr>
              <w:t>10</w:t>
            </w:r>
            <w:r>
              <w:rPr>
                <w:noProof/>
                <w:webHidden/>
              </w:rPr>
              <w:fldChar w:fldCharType="end"/>
            </w:r>
          </w:hyperlink>
        </w:p>
        <w:p w:rsidR="00F840AA" w:rsidRDefault="00F840AA">
          <w:pPr>
            <w:pStyle w:val="TOC3"/>
            <w:tabs>
              <w:tab w:val="right" w:leader="dot" w:pos="9010"/>
            </w:tabs>
            <w:rPr>
              <w:rFonts w:eastAsiaTheme="minorEastAsia" w:cstheme="minorBidi"/>
              <w:noProof/>
              <w:kern w:val="2"/>
              <w:sz w:val="24"/>
              <w:szCs w:val="24"/>
              <w14:ligatures w14:val="standardContextual"/>
            </w:rPr>
          </w:pPr>
          <w:hyperlink w:anchor="_Toc217232058" w:history="1">
            <w:r w:rsidRPr="00576EA5">
              <w:rPr>
                <w:rStyle w:val="Hyperlink"/>
                <w:rFonts w:ascii="Arial" w:hAnsi="Arial" w:cs="Arial"/>
                <w:b/>
                <w:bCs/>
                <w:noProof/>
              </w:rPr>
              <w:t>5.3.1 Transboundary problems, issues and risk assessment</w:t>
            </w:r>
            <w:r>
              <w:rPr>
                <w:noProof/>
                <w:webHidden/>
              </w:rPr>
              <w:tab/>
            </w:r>
            <w:r>
              <w:rPr>
                <w:noProof/>
                <w:webHidden/>
              </w:rPr>
              <w:fldChar w:fldCharType="begin"/>
            </w:r>
            <w:r>
              <w:rPr>
                <w:noProof/>
                <w:webHidden/>
              </w:rPr>
              <w:instrText xml:space="preserve"> PAGEREF _Toc217232058 \h </w:instrText>
            </w:r>
            <w:r>
              <w:rPr>
                <w:noProof/>
                <w:webHidden/>
              </w:rPr>
            </w:r>
            <w:r>
              <w:rPr>
                <w:noProof/>
                <w:webHidden/>
              </w:rPr>
              <w:fldChar w:fldCharType="separate"/>
            </w:r>
            <w:r w:rsidR="00F72397">
              <w:rPr>
                <w:noProof/>
                <w:webHidden/>
              </w:rPr>
              <w:t>10</w:t>
            </w:r>
            <w:r>
              <w:rPr>
                <w:noProof/>
                <w:webHidden/>
              </w:rPr>
              <w:fldChar w:fldCharType="end"/>
            </w:r>
          </w:hyperlink>
        </w:p>
        <w:p w:rsidR="00F840AA" w:rsidRDefault="00F840AA">
          <w:pPr>
            <w:pStyle w:val="TOC3"/>
            <w:tabs>
              <w:tab w:val="right" w:leader="dot" w:pos="9010"/>
            </w:tabs>
            <w:rPr>
              <w:rFonts w:eastAsiaTheme="minorEastAsia" w:cstheme="minorBidi"/>
              <w:noProof/>
              <w:kern w:val="2"/>
              <w:sz w:val="24"/>
              <w:szCs w:val="24"/>
              <w14:ligatures w14:val="standardContextual"/>
            </w:rPr>
          </w:pPr>
          <w:hyperlink w:anchor="_Toc217232059" w:history="1">
            <w:r w:rsidRPr="00576EA5">
              <w:rPr>
                <w:rStyle w:val="Hyperlink"/>
                <w:rFonts w:ascii="Arial" w:hAnsi="Arial" w:cs="Arial"/>
                <w:b/>
                <w:bCs/>
                <w:noProof/>
              </w:rPr>
              <w:t>5.3.2 Climate-change impacts and interactions with other TDA components</w:t>
            </w:r>
            <w:r>
              <w:rPr>
                <w:noProof/>
                <w:webHidden/>
              </w:rPr>
              <w:tab/>
            </w:r>
            <w:r>
              <w:rPr>
                <w:noProof/>
                <w:webHidden/>
              </w:rPr>
              <w:fldChar w:fldCharType="begin"/>
            </w:r>
            <w:r>
              <w:rPr>
                <w:noProof/>
                <w:webHidden/>
              </w:rPr>
              <w:instrText xml:space="preserve"> PAGEREF _Toc217232059 \h </w:instrText>
            </w:r>
            <w:r>
              <w:rPr>
                <w:noProof/>
                <w:webHidden/>
              </w:rPr>
            </w:r>
            <w:r>
              <w:rPr>
                <w:noProof/>
                <w:webHidden/>
              </w:rPr>
              <w:fldChar w:fldCharType="separate"/>
            </w:r>
            <w:r w:rsidR="00F72397">
              <w:rPr>
                <w:noProof/>
                <w:webHidden/>
              </w:rPr>
              <w:t>11</w:t>
            </w:r>
            <w:r>
              <w:rPr>
                <w:noProof/>
                <w:webHidden/>
              </w:rPr>
              <w:fldChar w:fldCharType="end"/>
            </w:r>
          </w:hyperlink>
        </w:p>
        <w:p w:rsidR="00F840AA" w:rsidRDefault="00F840AA">
          <w:pPr>
            <w:pStyle w:val="TOC3"/>
            <w:tabs>
              <w:tab w:val="right" w:leader="dot" w:pos="9010"/>
            </w:tabs>
            <w:rPr>
              <w:rFonts w:eastAsiaTheme="minorEastAsia" w:cstheme="minorBidi"/>
              <w:noProof/>
              <w:kern w:val="2"/>
              <w:sz w:val="24"/>
              <w:szCs w:val="24"/>
              <w14:ligatures w14:val="standardContextual"/>
            </w:rPr>
          </w:pPr>
          <w:hyperlink w:anchor="_Toc217232060" w:history="1">
            <w:r w:rsidRPr="00576EA5">
              <w:rPr>
                <w:rStyle w:val="Hyperlink"/>
                <w:rFonts w:ascii="Arial" w:hAnsi="Arial" w:cs="Arial"/>
                <w:b/>
                <w:bCs/>
                <w:noProof/>
              </w:rPr>
              <w:t>5.3.3 Current governance to address fisheries problems</w:t>
            </w:r>
            <w:r>
              <w:rPr>
                <w:noProof/>
                <w:webHidden/>
              </w:rPr>
              <w:tab/>
            </w:r>
            <w:r>
              <w:rPr>
                <w:noProof/>
                <w:webHidden/>
              </w:rPr>
              <w:fldChar w:fldCharType="begin"/>
            </w:r>
            <w:r>
              <w:rPr>
                <w:noProof/>
                <w:webHidden/>
              </w:rPr>
              <w:instrText xml:space="preserve"> PAGEREF _Toc217232060 \h </w:instrText>
            </w:r>
            <w:r>
              <w:rPr>
                <w:noProof/>
                <w:webHidden/>
              </w:rPr>
            </w:r>
            <w:r>
              <w:rPr>
                <w:noProof/>
                <w:webHidden/>
              </w:rPr>
              <w:fldChar w:fldCharType="separate"/>
            </w:r>
            <w:r w:rsidR="00F72397">
              <w:rPr>
                <w:noProof/>
                <w:webHidden/>
              </w:rPr>
              <w:t>13</w:t>
            </w:r>
            <w:r>
              <w:rPr>
                <w:noProof/>
                <w:webHidden/>
              </w:rPr>
              <w:fldChar w:fldCharType="end"/>
            </w:r>
          </w:hyperlink>
        </w:p>
        <w:p w:rsidR="00F840AA" w:rsidRDefault="00F840AA">
          <w:pPr>
            <w:pStyle w:val="TOC3"/>
            <w:tabs>
              <w:tab w:val="right" w:leader="dot" w:pos="9010"/>
            </w:tabs>
            <w:rPr>
              <w:rFonts w:eastAsiaTheme="minorEastAsia" w:cstheme="minorBidi"/>
              <w:noProof/>
              <w:kern w:val="2"/>
              <w:sz w:val="24"/>
              <w:szCs w:val="24"/>
              <w14:ligatures w14:val="standardContextual"/>
            </w:rPr>
          </w:pPr>
          <w:hyperlink w:anchor="_Toc217232061" w:history="1">
            <w:r w:rsidRPr="00576EA5">
              <w:rPr>
                <w:rStyle w:val="Hyperlink"/>
                <w:rFonts w:ascii="Arial" w:hAnsi="Arial" w:cs="Arial"/>
                <w:b/>
                <w:bCs/>
                <w:noProof/>
              </w:rPr>
              <w:t>5.3.4 Recommended priority actions (including regional cooperation)</w:t>
            </w:r>
            <w:r>
              <w:rPr>
                <w:noProof/>
                <w:webHidden/>
              </w:rPr>
              <w:tab/>
            </w:r>
            <w:r>
              <w:rPr>
                <w:noProof/>
                <w:webHidden/>
              </w:rPr>
              <w:fldChar w:fldCharType="begin"/>
            </w:r>
            <w:r>
              <w:rPr>
                <w:noProof/>
                <w:webHidden/>
              </w:rPr>
              <w:instrText xml:space="preserve"> PAGEREF _Toc217232061 \h </w:instrText>
            </w:r>
            <w:r>
              <w:rPr>
                <w:noProof/>
                <w:webHidden/>
              </w:rPr>
            </w:r>
            <w:r>
              <w:rPr>
                <w:noProof/>
                <w:webHidden/>
              </w:rPr>
              <w:fldChar w:fldCharType="separate"/>
            </w:r>
            <w:r w:rsidR="00F72397">
              <w:rPr>
                <w:noProof/>
                <w:webHidden/>
              </w:rPr>
              <w:t>14</w:t>
            </w:r>
            <w:r>
              <w:rPr>
                <w:noProof/>
                <w:webHidden/>
              </w:rPr>
              <w:fldChar w:fldCharType="end"/>
            </w:r>
          </w:hyperlink>
        </w:p>
        <w:p w:rsidR="00F840AA" w:rsidRDefault="00F840AA">
          <w:pPr>
            <w:pStyle w:val="TOC2"/>
            <w:tabs>
              <w:tab w:val="right" w:leader="dot" w:pos="9010"/>
            </w:tabs>
            <w:rPr>
              <w:rFonts w:eastAsiaTheme="minorEastAsia" w:cstheme="minorBidi"/>
              <w:b w:val="0"/>
              <w:bCs w:val="0"/>
              <w:noProof/>
              <w:kern w:val="2"/>
              <w:sz w:val="24"/>
              <w:szCs w:val="24"/>
              <w14:ligatures w14:val="standardContextual"/>
            </w:rPr>
          </w:pPr>
          <w:hyperlink w:anchor="_Toc217232062" w:history="1">
            <w:r w:rsidRPr="00576EA5">
              <w:rPr>
                <w:rStyle w:val="Hyperlink"/>
                <w:rFonts w:ascii="Arial" w:eastAsiaTheme="majorEastAsia" w:hAnsi="Arial" w:cs="Arial"/>
                <w:noProof/>
              </w:rPr>
              <w:t>5.4 Methodology and Analysis</w:t>
            </w:r>
            <w:r>
              <w:rPr>
                <w:noProof/>
                <w:webHidden/>
              </w:rPr>
              <w:tab/>
            </w:r>
            <w:r>
              <w:rPr>
                <w:noProof/>
                <w:webHidden/>
              </w:rPr>
              <w:fldChar w:fldCharType="begin"/>
            </w:r>
            <w:r>
              <w:rPr>
                <w:noProof/>
                <w:webHidden/>
              </w:rPr>
              <w:instrText xml:space="preserve"> PAGEREF _Toc217232062 \h </w:instrText>
            </w:r>
            <w:r>
              <w:rPr>
                <w:noProof/>
                <w:webHidden/>
              </w:rPr>
            </w:r>
            <w:r>
              <w:rPr>
                <w:noProof/>
                <w:webHidden/>
              </w:rPr>
              <w:fldChar w:fldCharType="separate"/>
            </w:r>
            <w:r w:rsidR="00F72397">
              <w:rPr>
                <w:noProof/>
                <w:webHidden/>
              </w:rPr>
              <w:t>15</w:t>
            </w:r>
            <w:r>
              <w:rPr>
                <w:noProof/>
                <w:webHidden/>
              </w:rPr>
              <w:fldChar w:fldCharType="end"/>
            </w:r>
          </w:hyperlink>
        </w:p>
        <w:p w:rsidR="00F840AA" w:rsidRDefault="00F840AA">
          <w:pPr>
            <w:pStyle w:val="TOC3"/>
            <w:tabs>
              <w:tab w:val="right" w:leader="dot" w:pos="9010"/>
            </w:tabs>
            <w:rPr>
              <w:rFonts w:eastAsiaTheme="minorEastAsia" w:cstheme="minorBidi"/>
              <w:noProof/>
              <w:kern w:val="2"/>
              <w:sz w:val="24"/>
              <w:szCs w:val="24"/>
              <w14:ligatures w14:val="standardContextual"/>
            </w:rPr>
          </w:pPr>
          <w:hyperlink w:anchor="_Toc217232063" w:history="1">
            <w:r w:rsidRPr="00576EA5">
              <w:rPr>
                <w:rStyle w:val="Hyperlink"/>
                <w:rFonts w:ascii="Arial" w:hAnsi="Arial" w:cs="Arial"/>
                <w:noProof/>
              </w:rPr>
              <w:t>5.4.1 Data Sources and Integration</w:t>
            </w:r>
            <w:r>
              <w:rPr>
                <w:noProof/>
                <w:webHidden/>
              </w:rPr>
              <w:tab/>
            </w:r>
            <w:r>
              <w:rPr>
                <w:noProof/>
                <w:webHidden/>
              </w:rPr>
              <w:fldChar w:fldCharType="begin"/>
            </w:r>
            <w:r>
              <w:rPr>
                <w:noProof/>
                <w:webHidden/>
              </w:rPr>
              <w:instrText xml:space="preserve"> PAGEREF _Toc217232063 \h </w:instrText>
            </w:r>
            <w:r>
              <w:rPr>
                <w:noProof/>
                <w:webHidden/>
              </w:rPr>
            </w:r>
            <w:r>
              <w:rPr>
                <w:noProof/>
                <w:webHidden/>
              </w:rPr>
              <w:fldChar w:fldCharType="separate"/>
            </w:r>
            <w:r w:rsidR="00F72397">
              <w:rPr>
                <w:noProof/>
                <w:webHidden/>
              </w:rPr>
              <w:t>16</w:t>
            </w:r>
            <w:r>
              <w:rPr>
                <w:noProof/>
                <w:webHidden/>
              </w:rPr>
              <w:fldChar w:fldCharType="end"/>
            </w:r>
          </w:hyperlink>
        </w:p>
        <w:p w:rsidR="00F840AA" w:rsidRDefault="00F840AA">
          <w:pPr>
            <w:pStyle w:val="TOC3"/>
            <w:tabs>
              <w:tab w:val="right" w:leader="dot" w:pos="9010"/>
            </w:tabs>
            <w:rPr>
              <w:rFonts w:eastAsiaTheme="minorEastAsia" w:cstheme="minorBidi"/>
              <w:noProof/>
              <w:kern w:val="2"/>
              <w:sz w:val="24"/>
              <w:szCs w:val="24"/>
              <w14:ligatures w14:val="standardContextual"/>
            </w:rPr>
          </w:pPr>
          <w:hyperlink w:anchor="_Toc217232064" w:history="1">
            <w:r w:rsidRPr="00576EA5">
              <w:rPr>
                <w:rStyle w:val="Hyperlink"/>
                <w:rFonts w:ascii="Arial" w:hAnsi="Arial" w:cs="Arial"/>
                <w:noProof/>
              </w:rPr>
              <w:t>5.4.2 Indicator Framework</w:t>
            </w:r>
            <w:r>
              <w:rPr>
                <w:noProof/>
                <w:webHidden/>
              </w:rPr>
              <w:tab/>
            </w:r>
            <w:r>
              <w:rPr>
                <w:noProof/>
                <w:webHidden/>
              </w:rPr>
              <w:fldChar w:fldCharType="begin"/>
            </w:r>
            <w:r>
              <w:rPr>
                <w:noProof/>
                <w:webHidden/>
              </w:rPr>
              <w:instrText xml:space="preserve"> PAGEREF _Toc217232064 \h </w:instrText>
            </w:r>
            <w:r>
              <w:rPr>
                <w:noProof/>
                <w:webHidden/>
              </w:rPr>
            </w:r>
            <w:r>
              <w:rPr>
                <w:noProof/>
                <w:webHidden/>
              </w:rPr>
              <w:fldChar w:fldCharType="separate"/>
            </w:r>
            <w:r w:rsidR="00F72397">
              <w:rPr>
                <w:noProof/>
                <w:webHidden/>
              </w:rPr>
              <w:t>16</w:t>
            </w:r>
            <w:r>
              <w:rPr>
                <w:noProof/>
                <w:webHidden/>
              </w:rPr>
              <w:fldChar w:fldCharType="end"/>
            </w:r>
          </w:hyperlink>
        </w:p>
        <w:p w:rsidR="00F840AA" w:rsidRDefault="00F840AA">
          <w:pPr>
            <w:pStyle w:val="TOC3"/>
            <w:tabs>
              <w:tab w:val="left" w:pos="1200"/>
              <w:tab w:val="right" w:leader="dot" w:pos="9010"/>
            </w:tabs>
            <w:rPr>
              <w:rFonts w:eastAsiaTheme="minorEastAsia" w:cstheme="minorBidi"/>
              <w:noProof/>
              <w:kern w:val="2"/>
              <w:sz w:val="24"/>
              <w:szCs w:val="24"/>
              <w14:ligatures w14:val="standardContextual"/>
            </w:rPr>
          </w:pPr>
          <w:hyperlink w:anchor="_Toc217232065" w:history="1">
            <w:r w:rsidRPr="00576EA5">
              <w:rPr>
                <w:rStyle w:val="Hyperlink"/>
                <w:rFonts w:ascii="Arial" w:hAnsi="Arial" w:cs="Arial"/>
                <w:noProof/>
              </w:rPr>
              <w:t>5.4.3</w:t>
            </w:r>
            <w:r>
              <w:rPr>
                <w:rFonts w:eastAsiaTheme="minorEastAsia" w:cstheme="minorBidi"/>
                <w:noProof/>
                <w:kern w:val="2"/>
                <w:sz w:val="24"/>
                <w:szCs w:val="24"/>
                <w14:ligatures w14:val="standardContextual"/>
              </w:rPr>
              <w:tab/>
            </w:r>
            <w:r w:rsidRPr="00576EA5">
              <w:rPr>
                <w:rStyle w:val="Hyperlink"/>
                <w:rFonts w:ascii="Arial" w:hAnsi="Arial" w:cs="Arial"/>
                <w:noProof/>
              </w:rPr>
              <w:t>Spatial and Temporal Assessment</w:t>
            </w:r>
            <w:r>
              <w:rPr>
                <w:noProof/>
                <w:webHidden/>
              </w:rPr>
              <w:tab/>
            </w:r>
            <w:r>
              <w:rPr>
                <w:noProof/>
                <w:webHidden/>
              </w:rPr>
              <w:fldChar w:fldCharType="begin"/>
            </w:r>
            <w:r>
              <w:rPr>
                <w:noProof/>
                <w:webHidden/>
              </w:rPr>
              <w:instrText xml:space="preserve"> PAGEREF _Toc217232065 \h </w:instrText>
            </w:r>
            <w:r>
              <w:rPr>
                <w:noProof/>
                <w:webHidden/>
              </w:rPr>
            </w:r>
            <w:r>
              <w:rPr>
                <w:noProof/>
                <w:webHidden/>
              </w:rPr>
              <w:fldChar w:fldCharType="separate"/>
            </w:r>
            <w:r w:rsidR="00F72397">
              <w:rPr>
                <w:noProof/>
                <w:webHidden/>
              </w:rPr>
              <w:t>16</w:t>
            </w:r>
            <w:r>
              <w:rPr>
                <w:noProof/>
                <w:webHidden/>
              </w:rPr>
              <w:fldChar w:fldCharType="end"/>
            </w:r>
          </w:hyperlink>
        </w:p>
        <w:p w:rsidR="00F840AA" w:rsidRDefault="00F840AA">
          <w:pPr>
            <w:pStyle w:val="TOC3"/>
            <w:tabs>
              <w:tab w:val="left" w:pos="1200"/>
              <w:tab w:val="right" w:leader="dot" w:pos="9010"/>
            </w:tabs>
            <w:rPr>
              <w:rFonts w:eastAsiaTheme="minorEastAsia" w:cstheme="minorBidi"/>
              <w:noProof/>
              <w:kern w:val="2"/>
              <w:sz w:val="24"/>
              <w:szCs w:val="24"/>
              <w14:ligatures w14:val="standardContextual"/>
            </w:rPr>
          </w:pPr>
          <w:hyperlink w:anchor="_Toc217232066" w:history="1">
            <w:r w:rsidRPr="00576EA5">
              <w:rPr>
                <w:rStyle w:val="Hyperlink"/>
                <w:rFonts w:ascii="Arial" w:hAnsi="Arial" w:cs="Arial"/>
                <w:noProof/>
              </w:rPr>
              <w:t>5.4.4</w:t>
            </w:r>
            <w:r>
              <w:rPr>
                <w:rFonts w:eastAsiaTheme="minorEastAsia" w:cstheme="minorBidi"/>
                <w:noProof/>
                <w:kern w:val="2"/>
                <w:sz w:val="24"/>
                <w:szCs w:val="24"/>
                <w14:ligatures w14:val="standardContextual"/>
              </w:rPr>
              <w:tab/>
            </w:r>
            <w:r w:rsidRPr="00576EA5">
              <w:rPr>
                <w:rStyle w:val="Hyperlink"/>
                <w:rFonts w:ascii="Arial" w:hAnsi="Arial" w:cs="Arial"/>
                <w:noProof/>
              </w:rPr>
              <w:t>Ecosystem–Economic Linkages</w:t>
            </w:r>
            <w:r>
              <w:rPr>
                <w:noProof/>
                <w:webHidden/>
              </w:rPr>
              <w:tab/>
            </w:r>
            <w:r>
              <w:rPr>
                <w:noProof/>
                <w:webHidden/>
              </w:rPr>
              <w:fldChar w:fldCharType="begin"/>
            </w:r>
            <w:r>
              <w:rPr>
                <w:noProof/>
                <w:webHidden/>
              </w:rPr>
              <w:instrText xml:space="preserve"> PAGEREF _Toc217232066 \h </w:instrText>
            </w:r>
            <w:r>
              <w:rPr>
                <w:noProof/>
                <w:webHidden/>
              </w:rPr>
            </w:r>
            <w:r>
              <w:rPr>
                <w:noProof/>
                <w:webHidden/>
              </w:rPr>
              <w:fldChar w:fldCharType="separate"/>
            </w:r>
            <w:r w:rsidR="00F72397">
              <w:rPr>
                <w:noProof/>
                <w:webHidden/>
              </w:rPr>
              <w:t>16</w:t>
            </w:r>
            <w:r>
              <w:rPr>
                <w:noProof/>
                <w:webHidden/>
              </w:rPr>
              <w:fldChar w:fldCharType="end"/>
            </w:r>
          </w:hyperlink>
        </w:p>
        <w:p w:rsidR="00F840AA" w:rsidRDefault="00F840AA">
          <w:pPr>
            <w:pStyle w:val="TOC3"/>
            <w:tabs>
              <w:tab w:val="left" w:pos="1200"/>
              <w:tab w:val="right" w:leader="dot" w:pos="9010"/>
            </w:tabs>
            <w:rPr>
              <w:rFonts w:eastAsiaTheme="minorEastAsia" w:cstheme="minorBidi"/>
              <w:noProof/>
              <w:kern w:val="2"/>
              <w:sz w:val="24"/>
              <w:szCs w:val="24"/>
              <w14:ligatures w14:val="standardContextual"/>
            </w:rPr>
          </w:pPr>
          <w:hyperlink w:anchor="_Toc217232067" w:history="1">
            <w:r w:rsidRPr="00576EA5">
              <w:rPr>
                <w:rStyle w:val="Hyperlink"/>
                <w:rFonts w:ascii="Arial" w:hAnsi="Arial" w:cs="Arial"/>
                <w:noProof/>
              </w:rPr>
              <w:t>5.4.5</w:t>
            </w:r>
            <w:r>
              <w:rPr>
                <w:rFonts w:eastAsiaTheme="minorEastAsia" w:cstheme="minorBidi"/>
                <w:noProof/>
                <w:kern w:val="2"/>
                <w:sz w:val="24"/>
                <w:szCs w:val="24"/>
                <w14:ligatures w14:val="standardContextual"/>
              </w:rPr>
              <w:tab/>
            </w:r>
            <w:r w:rsidRPr="00576EA5">
              <w:rPr>
                <w:rStyle w:val="Hyperlink"/>
                <w:rFonts w:ascii="Arial" w:hAnsi="Arial" w:cs="Arial"/>
                <w:noProof/>
              </w:rPr>
              <w:t>Data Gaps and Limitations</w:t>
            </w:r>
            <w:r>
              <w:rPr>
                <w:noProof/>
                <w:webHidden/>
              </w:rPr>
              <w:tab/>
            </w:r>
            <w:r>
              <w:rPr>
                <w:noProof/>
                <w:webHidden/>
              </w:rPr>
              <w:fldChar w:fldCharType="begin"/>
            </w:r>
            <w:r>
              <w:rPr>
                <w:noProof/>
                <w:webHidden/>
              </w:rPr>
              <w:instrText xml:space="preserve"> PAGEREF _Toc217232067 \h </w:instrText>
            </w:r>
            <w:r>
              <w:rPr>
                <w:noProof/>
                <w:webHidden/>
              </w:rPr>
            </w:r>
            <w:r>
              <w:rPr>
                <w:noProof/>
                <w:webHidden/>
              </w:rPr>
              <w:fldChar w:fldCharType="separate"/>
            </w:r>
            <w:r w:rsidR="00F72397">
              <w:rPr>
                <w:noProof/>
                <w:webHidden/>
              </w:rPr>
              <w:t>16</w:t>
            </w:r>
            <w:r>
              <w:rPr>
                <w:noProof/>
                <w:webHidden/>
              </w:rPr>
              <w:fldChar w:fldCharType="end"/>
            </w:r>
          </w:hyperlink>
        </w:p>
        <w:p w:rsidR="00F840AA" w:rsidRDefault="00F840AA">
          <w:pPr>
            <w:pStyle w:val="TOC2"/>
            <w:tabs>
              <w:tab w:val="right" w:leader="dot" w:pos="9010"/>
            </w:tabs>
            <w:rPr>
              <w:rFonts w:eastAsiaTheme="minorEastAsia" w:cstheme="minorBidi"/>
              <w:b w:val="0"/>
              <w:bCs w:val="0"/>
              <w:noProof/>
              <w:kern w:val="2"/>
              <w:sz w:val="24"/>
              <w:szCs w:val="24"/>
              <w14:ligatures w14:val="standardContextual"/>
            </w:rPr>
          </w:pPr>
          <w:hyperlink w:anchor="_Toc217232068" w:history="1">
            <w:r w:rsidRPr="00576EA5">
              <w:rPr>
                <w:rStyle w:val="Hyperlink"/>
                <w:rFonts w:ascii="Arial" w:hAnsi="Arial" w:cs="Arial"/>
                <w:noProof/>
              </w:rPr>
              <w:t>Glossary</w:t>
            </w:r>
            <w:r>
              <w:rPr>
                <w:noProof/>
                <w:webHidden/>
              </w:rPr>
              <w:tab/>
            </w:r>
            <w:r>
              <w:rPr>
                <w:noProof/>
                <w:webHidden/>
              </w:rPr>
              <w:fldChar w:fldCharType="begin"/>
            </w:r>
            <w:r>
              <w:rPr>
                <w:noProof/>
                <w:webHidden/>
              </w:rPr>
              <w:instrText xml:space="preserve"> PAGEREF _Toc217232068 \h </w:instrText>
            </w:r>
            <w:r>
              <w:rPr>
                <w:noProof/>
                <w:webHidden/>
              </w:rPr>
            </w:r>
            <w:r>
              <w:rPr>
                <w:noProof/>
                <w:webHidden/>
              </w:rPr>
              <w:fldChar w:fldCharType="separate"/>
            </w:r>
            <w:r w:rsidR="00F72397">
              <w:rPr>
                <w:noProof/>
                <w:webHidden/>
              </w:rPr>
              <w:t>17</w:t>
            </w:r>
            <w:r>
              <w:rPr>
                <w:noProof/>
                <w:webHidden/>
              </w:rPr>
              <w:fldChar w:fldCharType="end"/>
            </w:r>
          </w:hyperlink>
        </w:p>
        <w:p w:rsidR="00F840AA" w:rsidRDefault="00F840AA">
          <w:pPr>
            <w:pStyle w:val="TOC2"/>
            <w:tabs>
              <w:tab w:val="right" w:leader="dot" w:pos="9010"/>
            </w:tabs>
            <w:rPr>
              <w:rFonts w:eastAsiaTheme="minorEastAsia" w:cstheme="minorBidi"/>
              <w:b w:val="0"/>
              <w:bCs w:val="0"/>
              <w:noProof/>
              <w:kern w:val="2"/>
              <w:sz w:val="24"/>
              <w:szCs w:val="24"/>
              <w14:ligatures w14:val="standardContextual"/>
            </w:rPr>
          </w:pPr>
          <w:hyperlink w:anchor="_Toc217232069" w:history="1">
            <w:r w:rsidRPr="00576EA5">
              <w:rPr>
                <w:rStyle w:val="Hyperlink"/>
                <w:rFonts w:ascii="Arial" w:hAnsi="Arial" w:cs="Arial"/>
                <w:noProof/>
              </w:rPr>
              <w:t>Funding Sources</w:t>
            </w:r>
            <w:r>
              <w:rPr>
                <w:noProof/>
                <w:webHidden/>
              </w:rPr>
              <w:tab/>
            </w:r>
            <w:r>
              <w:rPr>
                <w:noProof/>
                <w:webHidden/>
              </w:rPr>
              <w:fldChar w:fldCharType="begin"/>
            </w:r>
            <w:r>
              <w:rPr>
                <w:noProof/>
                <w:webHidden/>
              </w:rPr>
              <w:instrText xml:space="preserve"> PAGEREF _Toc217232069 \h </w:instrText>
            </w:r>
            <w:r>
              <w:rPr>
                <w:noProof/>
                <w:webHidden/>
              </w:rPr>
            </w:r>
            <w:r>
              <w:rPr>
                <w:noProof/>
                <w:webHidden/>
              </w:rPr>
              <w:fldChar w:fldCharType="separate"/>
            </w:r>
            <w:r w:rsidR="00F72397">
              <w:rPr>
                <w:noProof/>
                <w:webHidden/>
              </w:rPr>
              <w:t>19</w:t>
            </w:r>
            <w:r>
              <w:rPr>
                <w:noProof/>
                <w:webHidden/>
              </w:rPr>
              <w:fldChar w:fldCharType="end"/>
            </w:r>
          </w:hyperlink>
        </w:p>
        <w:p w:rsidR="00F840AA" w:rsidRDefault="00F840AA">
          <w:pPr>
            <w:pStyle w:val="TOC2"/>
            <w:tabs>
              <w:tab w:val="right" w:leader="dot" w:pos="9010"/>
            </w:tabs>
            <w:rPr>
              <w:rFonts w:eastAsiaTheme="minorEastAsia" w:cstheme="minorBidi"/>
              <w:b w:val="0"/>
              <w:bCs w:val="0"/>
              <w:noProof/>
              <w:kern w:val="2"/>
              <w:sz w:val="24"/>
              <w:szCs w:val="24"/>
              <w14:ligatures w14:val="standardContextual"/>
            </w:rPr>
          </w:pPr>
          <w:hyperlink w:anchor="_Toc217232070" w:history="1">
            <w:r w:rsidRPr="00576EA5">
              <w:rPr>
                <w:rStyle w:val="Hyperlink"/>
                <w:rFonts w:ascii="Arial" w:hAnsi="Arial" w:cs="Arial"/>
                <w:noProof/>
              </w:rPr>
              <w:t>References</w:t>
            </w:r>
            <w:r>
              <w:rPr>
                <w:noProof/>
                <w:webHidden/>
              </w:rPr>
              <w:tab/>
            </w:r>
            <w:r>
              <w:rPr>
                <w:noProof/>
                <w:webHidden/>
              </w:rPr>
              <w:fldChar w:fldCharType="begin"/>
            </w:r>
            <w:r>
              <w:rPr>
                <w:noProof/>
                <w:webHidden/>
              </w:rPr>
              <w:instrText xml:space="preserve"> PAGEREF _Toc217232070 \h </w:instrText>
            </w:r>
            <w:r>
              <w:rPr>
                <w:noProof/>
                <w:webHidden/>
              </w:rPr>
            </w:r>
            <w:r>
              <w:rPr>
                <w:noProof/>
                <w:webHidden/>
              </w:rPr>
              <w:fldChar w:fldCharType="separate"/>
            </w:r>
            <w:r w:rsidR="00F72397">
              <w:rPr>
                <w:noProof/>
                <w:webHidden/>
              </w:rPr>
              <w:t>20</w:t>
            </w:r>
            <w:r>
              <w:rPr>
                <w:noProof/>
                <w:webHidden/>
              </w:rPr>
              <w:fldChar w:fldCharType="end"/>
            </w:r>
          </w:hyperlink>
        </w:p>
        <w:p w:rsidR="00F840AA" w:rsidRDefault="00F840AA">
          <w:pPr>
            <w:pStyle w:val="TOC2"/>
            <w:tabs>
              <w:tab w:val="right" w:leader="dot" w:pos="9010"/>
            </w:tabs>
            <w:rPr>
              <w:rFonts w:eastAsiaTheme="minorEastAsia" w:cstheme="minorBidi"/>
              <w:b w:val="0"/>
              <w:bCs w:val="0"/>
              <w:noProof/>
              <w:kern w:val="2"/>
              <w:sz w:val="24"/>
              <w:szCs w:val="24"/>
              <w14:ligatures w14:val="standardContextual"/>
            </w:rPr>
          </w:pPr>
          <w:hyperlink w:anchor="_Toc217232071" w:history="1">
            <w:r w:rsidRPr="00576EA5">
              <w:rPr>
                <w:rStyle w:val="Hyperlink"/>
                <w:rFonts w:ascii="Arial" w:hAnsi="Arial" w:cs="Arial"/>
                <w:noProof/>
              </w:rPr>
              <w:t>Annex 5</w:t>
            </w:r>
            <w:r>
              <w:rPr>
                <w:noProof/>
                <w:webHidden/>
              </w:rPr>
              <w:tab/>
            </w:r>
            <w:r>
              <w:rPr>
                <w:noProof/>
                <w:webHidden/>
              </w:rPr>
              <w:fldChar w:fldCharType="begin"/>
            </w:r>
            <w:r>
              <w:rPr>
                <w:noProof/>
                <w:webHidden/>
              </w:rPr>
              <w:instrText xml:space="preserve"> PAGEREF _Toc217232071 \h </w:instrText>
            </w:r>
            <w:r>
              <w:rPr>
                <w:noProof/>
                <w:webHidden/>
              </w:rPr>
            </w:r>
            <w:r>
              <w:rPr>
                <w:noProof/>
                <w:webHidden/>
              </w:rPr>
              <w:fldChar w:fldCharType="separate"/>
            </w:r>
            <w:r w:rsidR="00F72397">
              <w:rPr>
                <w:noProof/>
                <w:webHidden/>
              </w:rPr>
              <w:t>22</w:t>
            </w:r>
            <w:r>
              <w:rPr>
                <w:noProof/>
                <w:webHidden/>
              </w:rPr>
              <w:fldChar w:fldCharType="end"/>
            </w:r>
          </w:hyperlink>
        </w:p>
        <w:p w:rsidR="00107981" w:rsidRPr="0018202F" w:rsidRDefault="00107981" w:rsidP="00107981">
          <w:pPr>
            <w:rPr>
              <w:rFonts w:ascii="Arial" w:hAnsi="Arial" w:cs="Arial"/>
            </w:rPr>
          </w:pPr>
          <w:r w:rsidRPr="0018202F">
            <w:rPr>
              <w:rFonts w:ascii="Arial" w:hAnsi="Arial" w:cs="Arial"/>
              <w:b/>
              <w:bCs/>
              <w:noProof/>
            </w:rPr>
            <w:fldChar w:fldCharType="end"/>
          </w:r>
        </w:p>
      </w:sdtContent>
    </w:sdt>
    <w:p w:rsidR="00107981" w:rsidRPr="0018202F" w:rsidRDefault="00107981" w:rsidP="00107981">
      <w:pPr>
        <w:rPr>
          <w:rFonts w:ascii="Arial" w:hAnsi="Arial" w:cs="Arial"/>
          <w:b/>
          <w:bCs/>
          <w:color w:val="0070C0"/>
          <w:sz w:val="28"/>
          <w:szCs w:val="28"/>
        </w:rPr>
      </w:pPr>
      <w:r w:rsidRPr="0018202F">
        <w:rPr>
          <w:rFonts w:ascii="Arial" w:hAnsi="Arial" w:cs="Arial"/>
        </w:rPr>
        <w:br w:type="column"/>
      </w:r>
      <w:r w:rsidRPr="0018202F">
        <w:rPr>
          <w:rFonts w:ascii="Arial" w:hAnsi="Arial" w:cs="Arial"/>
          <w:b/>
          <w:bCs/>
          <w:color w:val="0070C0"/>
          <w:sz w:val="28"/>
          <w:szCs w:val="28"/>
        </w:rPr>
        <w:t>List of Figure</w:t>
      </w:r>
    </w:p>
    <w:p w:rsidR="00107981" w:rsidRPr="0018202F" w:rsidRDefault="00107981">
      <w:pPr>
        <w:pStyle w:val="TableofFigures"/>
        <w:tabs>
          <w:tab w:val="right" w:leader="dot" w:pos="9010"/>
        </w:tabs>
        <w:rPr>
          <w:rFonts w:ascii="Arial" w:eastAsiaTheme="minorEastAsia" w:hAnsi="Arial" w:cs="Arial"/>
          <w:noProof/>
          <w:kern w:val="2"/>
          <w14:ligatures w14:val="standardContextual"/>
        </w:rPr>
      </w:pPr>
      <w:r w:rsidRPr="0018202F">
        <w:rPr>
          <w:rFonts w:ascii="Arial" w:hAnsi="Arial" w:cs="Arial"/>
        </w:rPr>
        <w:fldChar w:fldCharType="begin"/>
      </w:r>
      <w:r w:rsidRPr="0018202F">
        <w:rPr>
          <w:rFonts w:ascii="Arial" w:hAnsi="Arial" w:cs="Arial"/>
        </w:rPr>
        <w:instrText xml:space="preserve"> TOC \h \z \c "Figure 5-" </w:instrText>
      </w:r>
      <w:r w:rsidRPr="0018202F">
        <w:rPr>
          <w:rFonts w:ascii="Arial" w:hAnsi="Arial" w:cs="Arial"/>
        </w:rPr>
        <w:fldChar w:fldCharType="separate"/>
      </w:r>
      <w:hyperlink w:anchor="_Toc215223769" w:history="1">
        <w:r w:rsidRPr="0018202F">
          <w:rPr>
            <w:rStyle w:val="Hyperlink"/>
            <w:rFonts w:ascii="Arial" w:hAnsi="Arial" w:cs="Arial"/>
            <w:noProof/>
          </w:rPr>
          <w:t>Figure 5- 1 Capture fisheries production in Cambodia, 1960–2022 (total vs. marine vs. inland)</w:t>
        </w:r>
        <w:r w:rsidRPr="0018202F">
          <w:rPr>
            <w:rFonts w:ascii="Arial" w:hAnsi="Arial" w:cs="Arial"/>
            <w:noProof/>
            <w:webHidden/>
          </w:rPr>
          <w:tab/>
        </w:r>
        <w:r w:rsidRPr="0018202F">
          <w:rPr>
            <w:rFonts w:ascii="Arial" w:hAnsi="Arial" w:cs="Arial"/>
            <w:noProof/>
            <w:webHidden/>
          </w:rPr>
          <w:fldChar w:fldCharType="begin"/>
        </w:r>
        <w:r w:rsidRPr="0018202F">
          <w:rPr>
            <w:rFonts w:ascii="Arial" w:hAnsi="Arial" w:cs="Arial"/>
            <w:noProof/>
            <w:webHidden/>
          </w:rPr>
          <w:instrText xml:space="preserve"> PAGEREF _Toc215223769 \h </w:instrText>
        </w:r>
        <w:r w:rsidRPr="0018202F">
          <w:rPr>
            <w:rFonts w:ascii="Arial" w:hAnsi="Arial" w:cs="Arial"/>
            <w:noProof/>
            <w:webHidden/>
          </w:rPr>
        </w:r>
        <w:r w:rsidRPr="0018202F">
          <w:rPr>
            <w:rFonts w:ascii="Arial" w:hAnsi="Arial" w:cs="Arial"/>
            <w:noProof/>
            <w:webHidden/>
          </w:rPr>
          <w:fldChar w:fldCharType="separate"/>
        </w:r>
        <w:r w:rsidR="00F72397">
          <w:rPr>
            <w:rFonts w:ascii="Arial" w:hAnsi="Arial" w:cs="Arial"/>
            <w:noProof/>
            <w:webHidden/>
          </w:rPr>
          <w:t>2</w:t>
        </w:r>
        <w:r w:rsidRPr="0018202F">
          <w:rPr>
            <w:rFonts w:ascii="Arial" w:hAnsi="Arial" w:cs="Arial"/>
            <w:noProof/>
            <w:webHidden/>
          </w:rPr>
          <w:fldChar w:fldCharType="end"/>
        </w:r>
      </w:hyperlink>
    </w:p>
    <w:p w:rsidR="00107981" w:rsidRPr="0018202F" w:rsidRDefault="00000000">
      <w:pPr>
        <w:pStyle w:val="TableofFigures"/>
        <w:tabs>
          <w:tab w:val="right" w:leader="dot" w:pos="9010"/>
        </w:tabs>
        <w:rPr>
          <w:rFonts w:ascii="Arial" w:eastAsiaTheme="minorEastAsia" w:hAnsi="Arial" w:cs="Arial"/>
          <w:noProof/>
          <w:kern w:val="2"/>
          <w14:ligatures w14:val="standardContextual"/>
        </w:rPr>
      </w:pPr>
      <w:hyperlink w:anchor="_Toc215223770" w:history="1">
        <w:r w:rsidR="00107981" w:rsidRPr="0018202F">
          <w:rPr>
            <w:rStyle w:val="Hyperlink"/>
            <w:rFonts w:ascii="Arial" w:hAnsi="Arial" w:cs="Arial"/>
            <w:noProof/>
          </w:rPr>
          <w:t>Figure 5-2 Catches by commercial groups in the waters of Cambodia (1950-2019)</w:t>
        </w:r>
        <w:r w:rsidR="00107981" w:rsidRPr="0018202F">
          <w:rPr>
            <w:rFonts w:ascii="Arial" w:hAnsi="Arial" w:cs="Arial"/>
            <w:noProof/>
            <w:webHidden/>
          </w:rPr>
          <w:tab/>
        </w:r>
        <w:r w:rsidR="00107981" w:rsidRPr="0018202F">
          <w:rPr>
            <w:rFonts w:ascii="Arial" w:hAnsi="Arial" w:cs="Arial"/>
            <w:noProof/>
            <w:webHidden/>
          </w:rPr>
          <w:fldChar w:fldCharType="begin"/>
        </w:r>
        <w:r w:rsidR="00107981" w:rsidRPr="0018202F">
          <w:rPr>
            <w:rFonts w:ascii="Arial" w:hAnsi="Arial" w:cs="Arial"/>
            <w:noProof/>
            <w:webHidden/>
          </w:rPr>
          <w:instrText xml:space="preserve"> PAGEREF _Toc215223770 \h </w:instrText>
        </w:r>
        <w:r w:rsidR="00107981" w:rsidRPr="0018202F">
          <w:rPr>
            <w:rFonts w:ascii="Arial" w:hAnsi="Arial" w:cs="Arial"/>
            <w:noProof/>
            <w:webHidden/>
          </w:rPr>
        </w:r>
        <w:r w:rsidR="00107981" w:rsidRPr="0018202F">
          <w:rPr>
            <w:rFonts w:ascii="Arial" w:hAnsi="Arial" w:cs="Arial"/>
            <w:noProof/>
            <w:webHidden/>
          </w:rPr>
          <w:fldChar w:fldCharType="separate"/>
        </w:r>
        <w:r w:rsidR="00F72397">
          <w:rPr>
            <w:rFonts w:ascii="Arial" w:hAnsi="Arial" w:cs="Arial"/>
            <w:noProof/>
            <w:webHidden/>
          </w:rPr>
          <w:t>3</w:t>
        </w:r>
        <w:r w:rsidR="00107981" w:rsidRPr="0018202F">
          <w:rPr>
            <w:rFonts w:ascii="Arial" w:hAnsi="Arial" w:cs="Arial"/>
            <w:noProof/>
            <w:webHidden/>
          </w:rPr>
          <w:fldChar w:fldCharType="end"/>
        </w:r>
      </w:hyperlink>
    </w:p>
    <w:p w:rsidR="00107981" w:rsidRPr="0018202F" w:rsidRDefault="00000000">
      <w:pPr>
        <w:pStyle w:val="TableofFigures"/>
        <w:tabs>
          <w:tab w:val="right" w:leader="dot" w:pos="9010"/>
        </w:tabs>
        <w:rPr>
          <w:rFonts w:ascii="Arial" w:eastAsiaTheme="minorEastAsia" w:hAnsi="Arial" w:cs="Arial"/>
          <w:noProof/>
          <w:kern w:val="2"/>
          <w14:ligatures w14:val="standardContextual"/>
        </w:rPr>
      </w:pPr>
      <w:hyperlink w:anchor="_Toc215223771" w:history="1">
        <w:r w:rsidR="00107981" w:rsidRPr="0018202F">
          <w:rPr>
            <w:rStyle w:val="Hyperlink"/>
            <w:rFonts w:ascii="Arial" w:hAnsi="Arial" w:cs="Arial"/>
            <w:noProof/>
          </w:rPr>
          <w:t>Figure 5-3 Coastal provinces aquaculture trend (2020–2024)</w:t>
        </w:r>
        <w:r w:rsidR="00107981" w:rsidRPr="0018202F">
          <w:rPr>
            <w:rFonts w:ascii="Arial" w:hAnsi="Arial" w:cs="Arial"/>
            <w:noProof/>
            <w:webHidden/>
          </w:rPr>
          <w:tab/>
        </w:r>
        <w:r w:rsidR="00107981" w:rsidRPr="0018202F">
          <w:rPr>
            <w:rFonts w:ascii="Arial" w:hAnsi="Arial" w:cs="Arial"/>
            <w:noProof/>
            <w:webHidden/>
          </w:rPr>
          <w:fldChar w:fldCharType="begin"/>
        </w:r>
        <w:r w:rsidR="00107981" w:rsidRPr="0018202F">
          <w:rPr>
            <w:rFonts w:ascii="Arial" w:hAnsi="Arial" w:cs="Arial"/>
            <w:noProof/>
            <w:webHidden/>
          </w:rPr>
          <w:instrText xml:space="preserve"> PAGEREF _Toc215223771 \h </w:instrText>
        </w:r>
        <w:r w:rsidR="00107981" w:rsidRPr="0018202F">
          <w:rPr>
            <w:rFonts w:ascii="Arial" w:hAnsi="Arial" w:cs="Arial"/>
            <w:noProof/>
            <w:webHidden/>
          </w:rPr>
        </w:r>
        <w:r w:rsidR="00107981" w:rsidRPr="0018202F">
          <w:rPr>
            <w:rFonts w:ascii="Arial" w:hAnsi="Arial" w:cs="Arial"/>
            <w:noProof/>
            <w:webHidden/>
          </w:rPr>
          <w:fldChar w:fldCharType="separate"/>
        </w:r>
        <w:r w:rsidR="00F72397">
          <w:rPr>
            <w:rFonts w:ascii="Arial" w:hAnsi="Arial" w:cs="Arial"/>
            <w:noProof/>
            <w:webHidden/>
          </w:rPr>
          <w:t>4</w:t>
        </w:r>
        <w:r w:rsidR="00107981" w:rsidRPr="0018202F">
          <w:rPr>
            <w:rFonts w:ascii="Arial" w:hAnsi="Arial" w:cs="Arial"/>
            <w:noProof/>
            <w:webHidden/>
          </w:rPr>
          <w:fldChar w:fldCharType="end"/>
        </w:r>
      </w:hyperlink>
    </w:p>
    <w:p w:rsidR="00107981" w:rsidRPr="0018202F" w:rsidRDefault="00000000">
      <w:pPr>
        <w:pStyle w:val="TableofFigures"/>
        <w:tabs>
          <w:tab w:val="right" w:leader="dot" w:pos="9010"/>
        </w:tabs>
        <w:rPr>
          <w:rFonts w:ascii="Arial" w:eastAsiaTheme="minorEastAsia" w:hAnsi="Arial" w:cs="Arial"/>
          <w:noProof/>
          <w:kern w:val="2"/>
          <w14:ligatures w14:val="standardContextual"/>
        </w:rPr>
      </w:pPr>
      <w:hyperlink w:anchor="_Toc215223772" w:history="1">
        <w:r w:rsidR="00107981" w:rsidRPr="0018202F">
          <w:rPr>
            <w:rStyle w:val="Hyperlink"/>
            <w:rFonts w:ascii="Arial" w:hAnsi="Arial" w:cs="Arial"/>
            <w:noProof/>
          </w:rPr>
          <w:t xml:space="preserve">Figure 5-4 </w:t>
        </w:r>
        <w:r w:rsidR="00107981" w:rsidRPr="0018202F">
          <w:rPr>
            <w:rStyle w:val="Hyperlink"/>
            <w:rFonts w:ascii="Arial" w:hAnsi="Arial" w:cs="Arial"/>
            <w:i/>
            <w:iCs/>
            <w:noProof/>
          </w:rPr>
          <w:t>Stock status in the waters of Cambodia (1950–2019)</w:t>
        </w:r>
        <w:r w:rsidR="00107981" w:rsidRPr="0018202F">
          <w:rPr>
            <w:rFonts w:ascii="Arial" w:hAnsi="Arial" w:cs="Arial"/>
            <w:noProof/>
            <w:webHidden/>
          </w:rPr>
          <w:tab/>
        </w:r>
        <w:r w:rsidR="00107981" w:rsidRPr="0018202F">
          <w:rPr>
            <w:rFonts w:ascii="Arial" w:hAnsi="Arial" w:cs="Arial"/>
            <w:noProof/>
            <w:webHidden/>
          </w:rPr>
          <w:fldChar w:fldCharType="begin"/>
        </w:r>
        <w:r w:rsidR="00107981" w:rsidRPr="0018202F">
          <w:rPr>
            <w:rFonts w:ascii="Arial" w:hAnsi="Arial" w:cs="Arial"/>
            <w:noProof/>
            <w:webHidden/>
          </w:rPr>
          <w:instrText xml:space="preserve"> PAGEREF _Toc215223772 \h </w:instrText>
        </w:r>
        <w:r w:rsidR="00107981" w:rsidRPr="0018202F">
          <w:rPr>
            <w:rFonts w:ascii="Arial" w:hAnsi="Arial" w:cs="Arial"/>
            <w:noProof/>
            <w:webHidden/>
          </w:rPr>
        </w:r>
        <w:r w:rsidR="00107981" w:rsidRPr="0018202F">
          <w:rPr>
            <w:rFonts w:ascii="Arial" w:hAnsi="Arial" w:cs="Arial"/>
            <w:noProof/>
            <w:webHidden/>
          </w:rPr>
          <w:fldChar w:fldCharType="separate"/>
        </w:r>
        <w:r w:rsidR="00F72397">
          <w:rPr>
            <w:rFonts w:ascii="Arial" w:hAnsi="Arial" w:cs="Arial"/>
            <w:noProof/>
            <w:webHidden/>
          </w:rPr>
          <w:t>8</w:t>
        </w:r>
        <w:r w:rsidR="00107981" w:rsidRPr="0018202F">
          <w:rPr>
            <w:rFonts w:ascii="Arial" w:hAnsi="Arial" w:cs="Arial"/>
            <w:noProof/>
            <w:webHidden/>
          </w:rPr>
          <w:fldChar w:fldCharType="end"/>
        </w:r>
      </w:hyperlink>
    </w:p>
    <w:p w:rsidR="00107981" w:rsidRPr="0018202F" w:rsidRDefault="00000000">
      <w:pPr>
        <w:pStyle w:val="TableofFigures"/>
        <w:tabs>
          <w:tab w:val="right" w:leader="dot" w:pos="9010"/>
        </w:tabs>
        <w:rPr>
          <w:rFonts w:ascii="Arial" w:eastAsiaTheme="minorEastAsia" w:hAnsi="Arial" w:cs="Arial"/>
          <w:noProof/>
          <w:kern w:val="2"/>
          <w14:ligatures w14:val="standardContextual"/>
        </w:rPr>
      </w:pPr>
      <w:hyperlink w:anchor="_Toc215223773" w:history="1">
        <w:r w:rsidR="00107981" w:rsidRPr="0018202F">
          <w:rPr>
            <w:rStyle w:val="Hyperlink"/>
            <w:rFonts w:ascii="Arial" w:hAnsi="Arial" w:cs="Arial"/>
            <w:noProof/>
          </w:rPr>
          <w:t>Figure 5- 5</w:t>
        </w:r>
        <w:r w:rsidR="00107981" w:rsidRPr="0018202F">
          <w:rPr>
            <w:rStyle w:val="Hyperlink"/>
            <w:rFonts w:ascii="Arial" w:hAnsi="Arial" w:cs="Arial"/>
            <w:i/>
            <w:iCs/>
            <w:noProof/>
          </w:rPr>
          <w:t xml:space="preserve"> Mean trophic level (Marine Trophic Index or MTI) and FiB index in Cambodian waters</w:t>
        </w:r>
        <w:r w:rsidR="00107981" w:rsidRPr="0018202F">
          <w:rPr>
            <w:rFonts w:ascii="Arial" w:hAnsi="Arial" w:cs="Arial"/>
            <w:noProof/>
            <w:webHidden/>
          </w:rPr>
          <w:tab/>
        </w:r>
        <w:r w:rsidR="00107981" w:rsidRPr="0018202F">
          <w:rPr>
            <w:rFonts w:ascii="Arial" w:hAnsi="Arial" w:cs="Arial"/>
            <w:noProof/>
            <w:webHidden/>
          </w:rPr>
          <w:fldChar w:fldCharType="begin"/>
        </w:r>
        <w:r w:rsidR="00107981" w:rsidRPr="0018202F">
          <w:rPr>
            <w:rFonts w:ascii="Arial" w:hAnsi="Arial" w:cs="Arial"/>
            <w:noProof/>
            <w:webHidden/>
          </w:rPr>
          <w:instrText xml:space="preserve"> PAGEREF _Toc215223773 \h </w:instrText>
        </w:r>
        <w:r w:rsidR="00107981" w:rsidRPr="0018202F">
          <w:rPr>
            <w:rFonts w:ascii="Arial" w:hAnsi="Arial" w:cs="Arial"/>
            <w:noProof/>
            <w:webHidden/>
          </w:rPr>
        </w:r>
        <w:r w:rsidR="00107981" w:rsidRPr="0018202F">
          <w:rPr>
            <w:rFonts w:ascii="Arial" w:hAnsi="Arial" w:cs="Arial"/>
            <w:noProof/>
            <w:webHidden/>
          </w:rPr>
          <w:fldChar w:fldCharType="separate"/>
        </w:r>
        <w:r w:rsidR="00F72397">
          <w:rPr>
            <w:rFonts w:ascii="Arial" w:hAnsi="Arial" w:cs="Arial"/>
            <w:noProof/>
            <w:webHidden/>
          </w:rPr>
          <w:t>8</w:t>
        </w:r>
        <w:r w:rsidR="00107981" w:rsidRPr="0018202F">
          <w:rPr>
            <w:rFonts w:ascii="Arial" w:hAnsi="Arial" w:cs="Arial"/>
            <w:noProof/>
            <w:webHidden/>
          </w:rPr>
          <w:fldChar w:fldCharType="end"/>
        </w:r>
      </w:hyperlink>
    </w:p>
    <w:p w:rsidR="00107981" w:rsidRPr="0018202F" w:rsidRDefault="00000000">
      <w:pPr>
        <w:pStyle w:val="TableofFigures"/>
        <w:tabs>
          <w:tab w:val="right" w:leader="dot" w:pos="9010"/>
        </w:tabs>
        <w:rPr>
          <w:rFonts w:ascii="Arial" w:eastAsiaTheme="minorEastAsia" w:hAnsi="Arial" w:cs="Arial"/>
          <w:noProof/>
          <w:kern w:val="2"/>
          <w14:ligatures w14:val="standardContextual"/>
        </w:rPr>
      </w:pPr>
      <w:hyperlink w:anchor="_Toc215223774" w:history="1">
        <w:r w:rsidR="00107981" w:rsidRPr="0018202F">
          <w:rPr>
            <w:rStyle w:val="Hyperlink"/>
            <w:rFonts w:ascii="Arial" w:hAnsi="Arial" w:cs="Arial"/>
            <w:noProof/>
          </w:rPr>
          <w:t>Figure 5- 6</w:t>
        </w:r>
        <w:r w:rsidR="00107981" w:rsidRPr="0018202F">
          <w:rPr>
            <w:rStyle w:val="Hyperlink"/>
            <w:rFonts w:ascii="Arial" w:hAnsi="Arial" w:cs="Arial"/>
            <w:i/>
            <w:iCs/>
            <w:noProof/>
          </w:rPr>
          <w:t xml:space="preserve"> Primary Production Required for catches in the waters of Cambodia</w:t>
        </w:r>
        <w:r w:rsidR="00107981" w:rsidRPr="0018202F">
          <w:rPr>
            <w:rFonts w:ascii="Arial" w:hAnsi="Arial" w:cs="Arial"/>
            <w:noProof/>
            <w:webHidden/>
          </w:rPr>
          <w:tab/>
        </w:r>
        <w:r w:rsidR="00107981" w:rsidRPr="0018202F">
          <w:rPr>
            <w:rFonts w:ascii="Arial" w:hAnsi="Arial" w:cs="Arial"/>
            <w:noProof/>
            <w:webHidden/>
          </w:rPr>
          <w:fldChar w:fldCharType="begin"/>
        </w:r>
        <w:r w:rsidR="00107981" w:rsidRPr="0018202F">
          <w:rPr>
            <w:rFonts w:ascii="Arial" w:hAnsi="Arial" w:cs="Arial"/>
            <w:noProof/>
            <w:webHidden/>
          </w:rPr>
          <w:instrText xml:space="preserve"> PAGEREF _Toc215223774 \h </w:instrText>
        </w:r>
        <w:r w:rsidR="00107981" w:rsidRPr="0018202F">
          <w:rPr>
            <w:rFonts w:ascii="Arial" w:hAnsi="Arial" w:cs="Arial"/>
            <w:noProof/>
            <w:webHidden/>
          </w:rPr>
        </w:r>
        <w:r w:rsidR="00107981" w:rsidRPr="0018202F">
          <w:rPr>
            <w:rFonts w:ascii="Arial" w:hAnsi="Arial" w:cs="Arial"/>
            <w:noProof/>
            <w:webHidden/>
          </w:rPr>
          <w:fldChar w:fldCharType="separate"/>
        </w:r>
        <w:r w:rsidR="00F72397">
          <w:rPr>
            <w:rFonts w:ascii="Arial" w:hAnsi="Arial" w:cs="Arial"/>
            <w:noProof/>
            <w:webHidden/>
          </w:rPr>
          <w:t>9</w:t>
        </w:r>
        <w:r w:rsidR="00107981" w:rsidRPr="0018202F">
          <w:rPr>
            <w:rFonts w:ascii="Arial" w:hAnsi="Arial" w:cs="Arial"/>
            <w:noProof/>
            <w:webHidden/>
          </w:rPr>
          <w:fldChar w:fldCharType="end"/>
        </w:r>
      </w:hyperlink>
    </w:p>
    <w:p w:rsidR="00107981" w:rsidRPr="0018202F" w:rsidRDefault="00107981" w:rsidP="00107981">
      <w:pPr>
        <w:rPr>
          <w:rFonts w:ascii="Arial" w:hAnsi="Arial" w:cs="Arial"/>
        </w:rPr>
      </w:pPr>
      <w:r w:rsidRPr="0018202F">
        <w:rPr>
          <w:rFonts w:ascii="Arial" w:hAnsi="Arial" w:cs="Arial"/>
        </w:rPr>
        <w:fldChar w:fldCharType="end"/>
      </w:r>
    </w:p>
    <w:p w:rsidR="00107981" w:rsidRPr="0018202F" w:rsidRDefault="00107981" w:rsidP="00107981">
      <w:pPr>
        <w:rPr>
          <w:rFonts w:ascii="Arial" w:hAnsi="Arial" w:cs="Arial"/>
          <w:b/>
          <w:bCs/>
          <w:color w:val="0070C0"/>
          <w:sz w:val="28"/>
          <w:szCs w:val="28"/>
        </w:rPr>
      </w:pPr>
      <w:r w:rsidRPr="0018202F">
        <w:rPr>
          <w:rFonts w:ascii="Arial" w:hAnsi="Arial" w:cs="Arial"/>
          <w:b/>
          <w:bCs/>
          <w:color w:val="0070C0"/>
          <w:sz w:val="28"/>
          <w:szCs w:val="28"/>
        </w:rPr>
        <w:t xml:space="preserve">List of Table </w:t>
      </w:r>
    </w:p>
    <w:p w:rsidR="00107981" w:rsidRPr="0018202F" w:rsidRDefault="00107981" w:rsidP="00107981">
      <w:pPr>
        <w:rPr>
          <w:rFonts w:ascii="Arial" w:hAnsi="Arial" w:cs="Arial"/>
        </w:rPr>
      </w:pPr>
    </w:p>
    <w:p w:rsidR="00107981" w:rsidRPr="0018202F" w:rsidRDefault="00107981" w:rsidP="00107981">
      <w:pPr>
        <w:pStyle w:val="TableofFigures"/>
        <w:tabs>
          <w:tab w:val="right" w:leader="dot" w:pos="9010"/>
        </w:tabs>
        <w:rPr>
          <w:rFonts w:ascii="Arial" w:eastAsiaTheme="minorEastAsia" w:hAnsi="Arial" w:cs="Arial"/>
          <w:noProof/>
          <w:kern w:val="2"/>
          <w14:ligatures w14:val="standardContextual"/>
        </w:rPr>
      </w:pPr>
      <w:r w:rsidRPr="0018202F">
        <w:rPr>
          <w:rFonts w:ascii="Arial" w:hAnsi="Arial" w:cs="Arial"/>
        </w:rPr>
        <w:fldChar w:fldCharType="begin"/>
      </w:r>
      <w:r w:rsidRPr="0018202F">
        <w:rPr>
          <w:rFonts w:ascii="Arial" w:hAnsi="Arial" w:cs="Arial"/>
        </w:rPr>
        <w:instrText xml:space="preserve"> TOC \h \z \c "Table 5-" </w:instrText>
      </w:r>
      <w:r w:rsidRPr="0018202F">
        <w:rPr>
          <w:rFonts w:ascii="Arial" w:hAnsi="Arial" w:cs="Arial"/>
        </w:rPr>
        <w:fldChar w:fldCharType="separate"/>
      </w:r>
      <w:hyperlink w:anchor="_Toc213661060" w:history="1">
        <w:r w:rsidRPr="0018202F">
          <w:rPr>
            <w:rStyle w:val="Hyperlink"/>
            <w:rFonts w:ascii="Arial" w:hAnsi="Arial" w:cs="Arial"/>
            <w:noProof/>
          </w:rPr>
          <w:t>Table 5-1 Marine capture by provinces (national series) – tonnes</w:t>
        </w:r>
        <w:r w:rsidRPr="0018202F">
          <w:rPr>
            <w:rFonts w:ascii="Arial" w:hAnsi="Arial" w:cs="Arial"/>
            <w:noProof/>
            <w:webHidden/>
          </w:rPr>
          <w:tab/>
        </w:r>
        <w:r w:rsidRPr="0018202F">
          <w:rPr>
            <w:rFonts w:ascii="Arial" w:hAnsi="Arial" w:cs="Arial"/>
            <w:noProof/>
            <w:webHidden/>
          </w:rPr>
          <w:fldChar w:fldCharType="begin"/>
        </w:r>
        <w:r w:rsidRPr="0018202F">
          <w:rPr>
            <w:rFonts w:ascii="Arial" w:hAnsi="Arial" w:cs="Arial"/>
            <w:noProof/>
            <w:webHidden/>
          </w:rPr>
          <w:instrText xml:space="preserve"> PAGEREF _Toc213661060 \h </w:instrText>
        </w:r>
        <w:r w:rsidRPr="0018202F">
          <w:rPr>
            <w:rFonts w:ascii="Arial" w:hAnsi="Arial" w:cs="Arial"/>
            <w:noProof/>
            <w:webHidden/>
          </w:rPr>
        </w:r>
        <w:r w:rsidRPr="0018202F">
          <w:rPr>
            <w:rFonts w:ascii="Arial" w:hAnsi="Arial" w:cs="Arial"/>
            <w:noProof/>
            <w:webHidden/>
          </w:rPr>
          <w:fldChar w:fldCharType="separate"/>
        </w:r>
        <w:r w:rsidR="00F72397">
          <w:rPr>
            <w:rFonts w:ascii="Arial" w:hAnsi="Arial" w:cs="Arial"/>
            <w:noProof/>
            <w:webHidden/>
          </w:rPr>
          <w:t>2</w:t>
        </w:r>
        <w:r w:rsidRPr="0018202F">
          <w:rPr>
            <w:rFonts w:ascii="Arial" w:hAnsi="Arial" w:cs="Arial"/>
            <w:noProof/>
            <w:webHidden/>
          </w:rPr>
          <w:fldChar w:fldCharType="end"/>
        </w:r>
      </w:hyperlink>
    </w:p>
    <w:p w:rsidR="00107981" w:rsidRPr="0018202F" w:rsidRDefault="00000000" w:rsidP="00107981">
      <w:pPr>
        <w:pStyle w:val="TableofFigures"/>
        <w:tabs>
          <w:tab w:val="right" w:leader="dot" w:pos="9010"/>
        </w:tabs>
        <w:rPr>
          <w:rFonts w:ascii="Arial" w:eastAsiaTheme="minorEastAsia" w:hAnsi="Arial" w:cs="Arial"/>
          <w:noProof/>
          <w:kern w:val="2"/>
          <w14:ligatures w14:val="standardContextual"/>
        </w:rPr>
      </w:pPr>
      <w:hyperlink w:anchor="_Toc213661061" w:history="1">
        <w:r w:rsidR="00107981" w:rsidRPr="0018202F">
          <w:rPr>
            <w:rStyle w:val="Hyperlink"/>
            <w:rFonts w:ascii="Arial" w:hAnsi="Arial" w:cs="Arial"/>
            <w:noProof/>
          </w:rPr>
          <w:t>Table 5-2 Marine Catches by Gear Type in Cambodian Waters (tonnes &amp; %)</w:t>
        </w:r>
        <w:r w:rsidR="00107981" w:rsidRPr="0018202F">
          <w:rPr>
            <w:rFonts w:ascii="Arial" w:hAnsi="Arial" w:cs="Arial"/>
            <w:noProof/>
            <w:webHidden/>
          </w:rPr>
          <w:tab/>
        </w:r>
        <w:r w:rsidR="00107981" w:rsidRPr="0018202F">
          <w:rPr>
            <w:rFonts w:ascii="Arial" w:hAnsi="Arial" w:cs="Arial"/>
            <w:noProof/>
            <w:webHidden/>
          </w:rPr>
          <w:fldChar w:fldCharType="begin"/>
        </w:r>
        <w:r w:rsidR="00107981" w:rsidRPr="0018202F">
          <w:rPr>
            <w:rFonts w:ascii="Arial" w:hAnsi="Arial" w:cs="Arial"/>
            <w:noProof/>
            <w:webHidden/>
          </w:rPr>
          <w:instrText xml:space="preserve"> PAGEREF _Toc213661061 \h </w:instrText>
        </w:r>
        <w:r w:rsidR="00107981" w:rsidRPr="0018202F">
          <w:rPr>
            <w:rFonts w:ascii="Arial" w:hAnsi="Arial" w:cs="Arial"/>
            <w:noProof/>
            <w:webHidden/>
          </w:rPr>
        </w:r>
        <w:r w:rsidR="00107981" w:rsidRPr="0018202F">
          <w:rPr>
            <w:rFonts w:ascii="Arial" w:hAnsi="Arial" w:cs="Arial"/>
            <w:noProof/>
            <w:webHidden/>
          </w:rPr>
          <w:fldChar w:fldCharType="separate"/>
        </w:r>
        <w:r w:rsidR="00F72397">
          <w:rPr>
            <w:rFonts w:ascii="Arial" w:hAnsi="Arial" w:cs="Arial"/>
            <w:noProof/>
            <w:webHidden/>
          </w:rPr>
          <w:t>5</w:t>
        </w:r>
        <w:r w:rsidR="00107981" w:rsidRPr="0018202F">
          <w:rPr>
            <w:rFonts w:ascii="Arial" w:hAnsi="Arial" w:cs="Arial"/>
            <w:noProof/>
            <w:webHidden/>
          </w:rPr>
          <w:fldChar w:fldCharType="end"/>
        </w:r>
      </w:hyperlink>
    </w:p>
    <w:p w:rsidR="00107981" w:rsidRPr="0018202F" w:rsidRDefault="00000000" w:rsidP="00107981">
      <w:pPr>
        <w:pStyle w:val="TableofFigures"/>
        <w:tabs>
          <w:tab w:val="right" w:leader="dot" w:pos="9010"/>
        </w:tabs>
        <w:rPr>
          <w:rFonts w:ascii="Arial" w:eastAsiaTheme="minorEastAsia" w:hAnsi="Arial" w:cs="Arial"/>
          <w:noProof/>
          <w:kern w:val="2"/>
          <w14:ligatures w14:val="standardContextual"/>
        </w:rPr>
      </w:pPr>
      <w:hyperlink w:anchor="_Toc213661062" w:history="1">
        <w:r w:rsidR="00107981" w:rsidRPr="0018202F">
          <w:rPr>
            <w:rStyle w:val="Hyperlink"/>
            <w:rFonts w:ascii="Arial" w:hAnsi="Arial" w:cs="Arial"/>
            <w:noProof/>
          </w:rPr>
          <w:t>Table 5-3 Number of Marine Fishing Vessels: Large, Medium and Small Scale</w:t>
        </w:r>
        <w:r w:rsidR="00107981" w:rsidRPr="0018202F">
          <w:rPr>
            <w:rFonts w:ascii="Arial" w:hAnsi="Arial" w:cs="Arial"/>
            <w:noProof/>
            <w:webHidden/>
          </w:rPr>
          <w:tab/>
        </w:r>
        <w:r w:rsidR="00107981" w:rsidRPr="0018202F">
          <w:rPr>
            <w:rFonts w:ascii="Arial" w:hAnsi="Arial" w:cs="Arial"/>
            <w:noProof/>
            <w:webHidden/>
          </w:rPr>
          <w:fldChar w:fldCharType="begin"/>
        </w:r>
        <w:r w:rsidR="00107981" w:rsidRPr="0018202F">
          <w:rPr>
            <w:rFonts w:ascii="Arial" w:hAnsi="Arial" w:cs="Arial"/>
            <w:noProof/>
            <w:webHidden/>
          </w:rPr>
          <w:instrText xml:space="preserve"> PAGEREF _Toc213661062 \h </w:instrText>
        </w:r>
        <w:r w:rsidR="00107981" w:rsidRPr="0018202F">
          <w:rPr>
            <w:rFonts w:ascii="Arial" w:hAnsi="Arial" w:cs="Arial"/>
            <w:noProof/>
            <w:webHidden/>
          </w:rPr>
        </w:r>
        <w:r w:rsidR="00107981" w:rsidRPr="0018202F">
          <w:rPr>
            <w:rFonts w:ascii="Arial" w:hAnsi="Arial" w:cs="Arial"/>
            <w:noProof/>
            <w:webHidden/>
          </w:rPr>
          <w:fldChar w:fldCharType="separate"/>
        </w:r>
        <w:r w:rsidR="00F72397">
          <w:rPr>
            <w:rFonts w:ascii="Arial" w:hAnsi="Arial" w:cs="Arial"/>
            <w:noProof/>
            <w:webHidden/>
          </w:rPr>
          <w:t>5</w:t>
        </w:r>
        <w:r w:rsidR="00107981" w:rsidRPr="0018202F">
          <w:rPr>
            <w:rFonts w:ascii="Arial" w:hAnsi="Arial" w:cs="Arial"/>
            <w:noProof/>
            <w:webHidden/>
          </w:rPr>
          <w:fldChar w:fldCharType="end"/>
        </w:r>
      </w:hyperlink>
    </w:p>
    <w:p w:rsidR="00107981" w:rsidRPr="0018202F" w:rsidRDefault="00000000" w:rsidP="00107981">
      <w:pPr>
        <w:pStyle w:val="TableofFigures"/>
        <w:tabs>
          <w:tab w:val="right" w:leader="dot" w:pos="9010"/>
        </w:tabs>
        <w:rPr>
          <w:rFonts w:ascii="Arial" w:eastAsiaTheme="minorEastAsia" w:hAnsi="Arial" w:cs="Arial"/>
          <w:noProof/>
          <w:kern w:val="2"/>
          <w14:ligatures w14:val="standardContextual"/>
        </w:rPr>
      </w:pPr>
      <w:hyperlink w:anchor="_Toc213661063" w:history="1">
        <w:r w:rsidR="00107981" w:rsidRPr="0018202F">
          <w:rPr>
            <w:rStyle w:val="Hyperlink"/>
            <w:rFonts w:ascii="Arial" w:hAnsi="Arial" w:cs="Arial"/>
            <w:noProof/>
          </w:rPr>
          <w:t>Table 5-4 Number of Marine Fishing Vessels by Engine Power</w:t>
        </w:r>
        <w:r w:rsidR="00107981" w:rsidRPr="0018202F">
          <w:rPr>
            <w:rFonts w:ascii="Arial" w:hAnsi="Arial" w:cs="Arial"/>
            <w:noProof/>
            <w:webHidden/>
          </w:rPr>
          <w:tab/>
        </w:r>
        <w:r w:rsidR="00107981" w:rsidRPr="0018202F">
          <w:rPr>
            <w:rFonts w:ascii="Arial" w:hAnsi="Arial" w:cs="Arial"/>
            <w:noProof/>
            <w:webHidden/>
          </w:rPr>
          <w:fldChar w:fldCharType="begin"/>
        </w:r>
        <w:r w:rsidR="00107981" w:rsidRPr="0018202F">
          <w:rPr>
            <w:rFonts w:ascii="Arial" w:hAnsi="Arial" w:cs="Arial"/>
            <w:noProof/>
            <w:webHidden/>
          </w:rPr>
          <w:instrText xml:space="preserve"> PAGEREF _Toc213661063 \h </w:instrText>
        </w:r>
        <w:r w:rsidR="00107981" w:rsidRPr="0018202F">
          <w:rPr>
            <w:rFonts w:ascii="Arial" w:hAnsi="Arial" w:cs="Arial"/>
            <w:noProof/>
            <w:webHidden/>
          </w:rPr>
        </w:r>
        <w:r w:rsidR="00107981" w:rsidRPr="0018202F">
          <w:rPr>
            <w:rFonts w:ascii="Arial" w:hAnsi="Arial" w:cs="Arial"/>
            <w:noProof/>
            <w:webHidden/>
          </w:rPr>
          <w:fldChar w:fldCharType="separate"/>
        </w:r>
        <w:r w:rsidR="00F72397">
          <w:rPr>
            <w:rFonts w:ascii="Arial" w:hAnsi="Arial" w:cs="Arial"/>
            <w:noProof/>
            <w:webHidden/>
          </w:rPr>
          <w:t>6</w:t>
        </w:r>
        <w:r w:rsidR="00107981" w:rsidRPr="0018202F">
          <w:rPr>
            <w:rFonts w:ascii="Arial" w:hAnsi="Arial" w:cs="Arial"/>
            <w:noProof/>
            <w:webHidden/>
          </w:rPr>
          <w:fldChar w:fldCharType="end"/>
        </w:r>
      </w:hyperlink>
    </w:p>
    <w:p w:rsidR="00107981" w:rsidRPr="0018202F" w:rsidRDefault="00000000" w:rsidP="00107981">
      <w:pPr>
        <w:pStyle w:val="TableofFigures"/>
        <w:tabs>
          <w:tab w:val="right" w:leader="dot" w:pos="9010"/>
        </w:tabs>
        <w:rPr>
          <w:rFonts w:ascii="Arial" w:eastAsiaTheme="minorEastAsia" w:hAnsi="Arial" w:cs="Arial"/>
          <w:noProof/>
          <w:kern w:val="2"/>
          <w14:ligatures w14:val="standardContextual"/>
        </w:rPr>
      </w:pPr>
      <w:hyperlink w:anchor="_Toc213661064" w:history="1">
        <w:r w:rsidR="00107981" w:rsidRPr="0018202F">
          <w:rPr>
            <w:rStyle w:val="Hyperlink"/>
            <w:rFonts w:ascii="Arial" w:hAnsi="Arial" w:cs="Arial"/>
            <w:noProof/>
          </w:rPr>
          <w:t>Table 5-5 Number of Registered and Non-Registered Marine Fishing Vessels</w:t>
        </w:r>
        <w:r w:rsidR="00107981" w:rsidRPr="0018202F">
          <w:rPr>
            <w:rFonts w:ascii="Arial" w:hAnsi="Arial" w:cs="Arial"/>
            <w:noProof/>
            <w:webHidden/>
          </w:rPr>
          <w:tab/>
        </w:r>
        <w:r w:rsidR="00107981" w:rsidRPr="0018202F">
          <w:rPr>
            <w:rFonts w:ascii="Arial" w:hAnsi="Arial" w:cs="Arial"/>
            <w:noProof/>
            <w:webHidden/>
          </w:rPr>
          <w:fldChar w:fldCharType="begin"/>
        </w:r>
        <w:r w:rsidR="00107981" w:rsidRPr="0018202F">
          <w:rPr>
            <w:rFonts w:ascii="Arial" w:hAnsi="Arial" w:cs="Arial"/>
            <w:noProof/>
            <w:webHidden/>
          </w:rPr>
          <w:instrText xml:space="preserve"> PAGEREF _Toc213661064 \h </w:instrText>
        </w:r>
        <w:r w:rsidR="00107981" w:rsidRPr="0018202F">
          <w:rPr>
            <w:rFonts w:ascii="Arial" w:hAnsi="Arial" w:cs="Arial"/>
            <w:noProof/>
            <w:webHidden/>
          </w:rPr>
        </w:r>
        <w:r w:rsidR="00107981" w:rsidRPr="0018202F">
          <w:rPr>
            <w:rFonts w:ascii="Arial" w:hAnsi="Arial" w:cs="Arial"/>
            <w:noProof/>
            <w:webHidden/>
          </w:rPr>
          <w:fldChar w:fldCharType="separate"/>
        </w:r>
        <w:r w:rsidR="00F72397">
          <w:rPr>
            <w:rFonts w:ascii="Arial" w:hAnsi="Arial" w:cs="Arial"/>
            <w:noProof/>
            <w:webHidden/>
          </w:rPr>
          <w:t>6</w:t>
        </w:r>
        <w:r w:rsidR="00107981" w:rsidRPr="0018202F">
          <w:rPr>
            <w:rFonts w:ascii="Arial" w:hAnsi="Arial" w:cs="Arial"/>
            <w:noProof/>
            <w:webHidden/>
          </w:rPr>
          <w:fldChar w:fldCharType="end"/>
        </w:r>
      </w:hyperlink>
    </w:p>
    <w:p w:rsidR="00107981" w:rsidRPr="0018202F" w:rsidRDefault="00000000" w:rsidP="00107981">
      <w:pPr>
        <w:pStyle w:val="TableofFigures"/>
        <w:tabs>
          <w:tab w:val="right" w:leader="dot" w:pos="9010"/>
        </w:tabs>
        <w:rPr>
          <w:rFonts w:ascii="Arial" w:eastAsiaTheme="minorEastAsia" w:hAnsi="Arial" w:cs="Arial"/>
          <w:noProof/>
          <w:kern w:val="2"/>
          <w14:ligatures w14:val="standardContextual"/>
        </w:rPr>
      </w:pPr>
      <w:hyperlink w:anchor="_Toc213661065" w:history="1">
        <w:r w:rsidR="00107981" w:rsidRPr="0018202F">
          <w:rPr>
            <w:rStyle w:val="Hyperlink"/>
            <w:rFonts w:ascii="Arial" w:hAnsi="Arial" w:cs="Arial"/>
            <w:noProof/>
          </w:rPr>
          <w:t>Table 5-6 Capacity-Enhancing Subsidies and Landed-Value Ratios in Cambodian Marine Fisheries</w:t>
        </w:r>
        <w:r w:rsidR="00107981" w:rsidRPr="0018202F">
          <w:rPr>
            <w:rFonts w:ascii="Arial" w:hAnsi="Arial" w:cs="Arial"/>
            <w:noProof/>
            <w:webHidden/>
          </w:rPr>
          <w:tab/>
        </w:r>
        <w:r w:rsidR="00107981" w:rsidRPr="0018202F">
          <w:rPr>
            <w:rFonts w:ascii="Arial" w:hAnsi="Arial" w:cs="Arial"/>
            <w:noProof/>
            <w:webHidden/>
          </w:rPr>
          <w:fldChar w:fldCharType="begin"/>
        </w:r>
        <w:r w:rsidR="00107981" w:rsidRPr="0018202F">
          <w:rPr>
            <w:rFonts w:ascii="Arial" w:hAnsi="Arial" w:cs="Arial"/>
            <w:noProof/>
            <w:webHidden/>
          </w:rPr>
          <w:instrText xml:space="preserve"> PAGEREF _Toc213661065 \h </w:instrText>
        </w:r>
        <w:r w:rsidR="00107981" w:rsidRPr="0018202F">
          <w:rPr>
            <w:rFonts w:ascii="Arial" w:hAnsi="Arial" w:cs="Arial"/>
            <w:noProof/>
            <w:webHidden/>
          </w:rPr>
        </w:r>
        <w:r w:rsidR="00107981" w:rsidRPr="0018202F">
          <w:rPr>
            <w:rFonts w:ascii="Arial" w:hAnsi="Arial" w:cs="Arial"/>
            <w:noProof/>
            <w:webHidden/>
          </w:rPr>
          <w:fldChar w:fldCharType="separate"/>
        </w:r>
        <w:r w:rsidR="00F72397">
          <w:rPr>
            <w:rFonts w:ascii="Arial" w:hAnsi="Arial" w:cs="Arial"/>
            <w:noProof/>
            <w:webHidden/>
          </w:rPr>
          <w:t>7</w:t>
        </w:r>
        <w:r w:rsidR="00107981" w:rsidRPr="0018202F">
          <w:rPr>
            <w:rFonts w:ascii="Arial" w:hAnsi="Arial" w:cs="Arial"/>
            <w:noProof/>
            <w:webHidden/>
          </w:rPr>
          <w:fldChar w:fldCharType="end"/>
        </w:r>
      </w:hyperlink>
    </w:p>
    <w:p w:rsidR="00107981" w:rsidRPr="0018202F" w:rsidRDefault="00107981" w:rsidP="00107981">
      <w:pPr>
        <w:spacing w:after="240"/>
        <w:rPr>
          <w:rFonts w:ascii="Arial" w:hAnsi="Arial" w:cs="Arial"/>
          <w:b/>
          <w:bCs/>
          <w:color w:val="0070C0"/>
          <w:sz w:val="28"/>
          <w:szCs w:val="28"/>
        </w:rPr>
      </w:pPr>
      <w:r w:rsidRPr="0018202F">
        <w:rPr>
          <w:rFonts w:ascii="Arial" w:hAnsi="Arial" w:cs="Arial"/>
        </w:rPr>
        <w:fldChar w:fldCharType="end"/>
      </w:r>
      <w:r w:rsidRPr="0018202F">
        <w:rPr>
          <w:rFonts w:ascii="Arial" w:hAnsi="Arial" w:cs="Arial"/>
          <w:b/>
          <w:bCs/>
          <w:color w:val="0070C0"/>
          <w:sz w:val="28"/>
          <w:szCs w:val="28"/>
        </w:rPr>
        <w:t xml:space="preserve"> </w:t>
      </w:r>
    </w:p>
    <w:p w:rsidR="00107981" w:rsidRPr="0018202F" w:rsidRDefault="00107981" w:rsidP="00107981">
      <w:pPr>
        <w:spacing w:after="240"/>
        <w:rPr>
          <w:rFonts w:ascii="Arial" w:hAnsi="Arial" w:cs="Arial"/>
          <w:b/>
          <w:bCs/>
          <w:color w:val="0070C0"/>
          <w:sz w:val="28"/>
          <w:szCs w:val="28"/>
        </w:rPr>
      </w:pPr>
      <w:r w:rsidRPr="0018202F">
        <w:rPr>
          <w:rFonts w:ascii="Arial" w:hAnsi="Arial" w:cs="Arial"/>
          <w:b/>
          <w:bCs/>
          <w:color w:val="0070C0"/>
          <w:sz w:val="28"/>
          <w:szCs w:val="28"/>
        </w:rPr>
        <w:t xml:space="preserve">List of Acronyms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60"/>
        <w:gridCol w:w="7460"/>
      </w:tblGrid>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ACIAR</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Australian Centre for International Agricultural Research</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AIS</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Automatic Identification System</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BRD</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Bycatch Reduction Device</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BOBLME</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Bay of Bengal Large Marine Ecosystem (project)</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CAPFISH</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EU–Cambodia Programme for Sustainable and Inclusive Growth in the Fisheries Sector</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CFi</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Community Fisheries</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CFR</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Community Fish Refuge</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COBSEA</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Coordinating Body on the Seas of East Asia</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CPUE</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Catch Per Unit Effort</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EEZ</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Exclusive Economic Zone</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FAO</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Food and Agriculture Organization of the United Nations</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FiA</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Fisheries Administration (Cambodia)</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FiB</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Fishing-in-Balance Index</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FIMS</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Fisheries Information Management System (Cambodia)</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GEF</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Global Environment Facility</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GDP</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Gross Domestic Product</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HP</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Horsepower</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ICM</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Integrated Coastal Management</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ICON</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ICON-Institut (consulting firm for climate/ICM studies)</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IFA</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Inshore Fishing Area</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IUU</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Illegal, Unreported and Unregulated (fishing)</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km²</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Square kilometre</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LME</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Large Marine Ecosystem</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MAFF</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Ministry of Agriculture, Forestry and Fisheries (Cambodia)</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MaFReDI</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Marine Fisheries Research and Development Institute (FiA)</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MCS</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Monitoring, Control and Surveillance</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MoE</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Ministry of Environment (Cambodia)</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MPA</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Marine Protected Area</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MTI</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Marine Trophic Index</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NDC</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Nationally Determined Contribution (under the Paris Agreement)</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PEMSEA</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Partnerships in Environmental Management for the Seas of East Asia</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PPR</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Primary Production Required</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PSMA</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Port State Measures Agreement (FAO)</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R&amp;D</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Research and Development</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SAU / SAUP</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Sea Around Us (Project)</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SAP</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Strategic Action Programme</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SDG</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Sustainable Development Goal</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SEAFDEC</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Southeast Asian Fisheries Development Center</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SOFIA</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The State of World Fisheries and Aquaculture (FAO flagship report)</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TDA</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Transboundary Diagnostic Analysis</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TED</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Turtle Excluder Device</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UNDP</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United Nations Development Programme</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USD</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United States Dollar</w:t>
            </w:r>
          </w:p>
        </w:tc>
      </w:tr>
      <w:tr w:rsidR="00107981" w:rsidRPr="0018202F" w:rsidTr="00B60714">
        <w:trPr>
          <w:tblCellSpacing w:w="15" w:type="dxa"/>
        </w:trPr>
        <w:tc>
          <w:tcPr>
            <w:tcW w:w="1515" w:type="dxa"/>
            <w:vAlign w:val="center"/>
            <w:hideMark/>
          </w:tcPr>
          <w:p w:rsidR="00107981" w:rsidRPr="0018202F" w:rsidRDefault="00107981" w:rsidP="006F3FE3">
            <w:pPr>
              <w:rPr>
                <w:rFonts w:ascii="Arial" w:hAnsi="Arial" w:cs="Arial"/>
                <w:b/>
                <w:bCs/>
                <w:sz w:val="20"/>
                <w:szCs w:val="20"/>
              </w:rPr>
            </w:pPr>
            <w:r w:rsidRPr="0018202F">
              <w:rPr>
                <w:rFonts w:ascii="Arial" w:hAnsi="Arial" w:cs="Arial"/>
                <w:b/>
                <w:bCs/>
                <w:sz w:val="20"/>
                <w:szCs w:val="20"/>
              </w:rPr>
              <w:t>VMS</w:t>
            </w:r>
          </w:p>
        </w:tc>
        <w:tc>
          <w:tcPr>
            <w:tcW w:w="7415" w:type="dxa"/>
            <w:vAlign w:val="center"/>
            <w:hideMark/>
          </w:tcPr>
          <w:p w:rsidR="00107981" w:rsidRPr="0018202F" w:rsidRDefault="00107981" w:rsidP="006F3FE3">
            <w:pPr>
              <w:rPr>
                <w:rFonts w:ascii="Arial" w:hAnsi="Arial" w:cs="Arial"/>
                <w:sz w:val="20"/>
                <w:szCs w:val="20"/>
              </w:rPr>
            </w:pPr>
            <w:r w:rsidRPr="0018202F">
              <w:rPr>
                <w:rFonts w:ascii="Arial" w:hAnsi="Arial" w:cs="Arial"/>
                <w:sz w:val="20"/>
                <w:szCs w:val="20"/>
              </w:rPr>
              <w:t>Vessel Monitoring System</w:t>
            </w:r>
          </w:p>
        </w:tc>
      </w:tr>
    </w:tbl>
    <w:p w:rsidR="00B60714" w:rsidRPr="0018202F" w:rsidRDefault="00B60714" w:rsidP="00B60714">
      <w:pPr>
        <w:pStyle w:val="Caption"/>
        <w:rPr>
          <w:rFonts w:ascii="Arial" w:hAnsi="Arial" w:cs="Arial"/>
        </w:rPr>
      </w:pPr>
    </w:p>
    <w:p w:rsidR="009A66E1" w:rsidRPr="006E78E7" w:rsidRDefault="006E78E7" w:rsidP="006E78E7">
      <w:pPr>
        <w:spacing w:before="100" w:beforeAutospacing="1" w:after="100" w:afterAutospacing="1"/>
        <w:jc w:val="both"/>
        <w:rPr>
          <w:rFonts w:ascii="Arial" w:hAnsi="Arial" w:cs="Arial"/>
          <w:b/>
          <w:bCs/>
          <w:color w:val="0070C0"/>
          <w:sz w:val="22"/>
          <w:szCs w:val="22"/>
        </w:rPr>
      </w:pPr>
      <w:r w:rsidRPr="006E78E7">
        <w:rPr>
          <w:rFonts w:ascii="Arial" w:hAnsi="Arial" w:cs="Arial"/>
          <w:b/>
          <w:bCs/>
          <w:color w:val="0070C0"/>
          <w:sz w:val="22"/>
          <w:szCs w:val="22"/>
        </w:rPr>
        <w:t>Annex 5-</w:t>
      </w:r>
      <w:r w:rsidRPr="006E78E7">
        <w:rPr>
          <w:rFonts w:ascii="Arial" w:hAnsi="Arial" w:cs="Arial"/>
          <w:b/>
          <w:bCs/>
          <w:color w:val="0070C0"/>
          <w:sz w:val="22"/>
          <w:szCs w:val="22"/>
        </w:rPr>
        <w:fldChar w:fldCharType="begin"/>
      </w:r>
      <w:r w:rsidRPr="006E78E7">
        <w:rPr>
          <w:rFonts w:ascii="Arial" w:hAnsi="Arial" w:cs="Arial"/>
          <w:b/>
          <w:bCs/>
          <w:color w:val="0070C0"/>
          <w:sz w:val="22"/>
          <w:szCs w:val="22"/>
        </w:rPr>
        <w:instrText xml:space="preserve"> SEQ Annex_5- \* ARABIC </w:instrText>
      </w:r>
      <w:r w:rsidRPr="006E78E7">
        <w:rPr>
          <w:rFonts w:ascii="Arial" w:hAnsi="Arial" w:cs="Arial"/>
          <w:b/>
          <w:bCs/>
          <w:color w:val="0070C0"/>
          <w:sz w:val="22"/>
          <w:szCs w:val="22"/>
        </w:rPr>
        <w:fldChar w:fldCharType="separate"/>
      </w:r>
      <w:r w:rsidR="00F72397">
        <w:rPr>
          <w:rFonts w:ascii="Arial" w:hAnsi="Arial" w:cs="Arial"/>
          <w:b/>
          <w:bCs/>
          <w:noProof/>
          <w:color w:val="0070C0"/>
          <w:sz w:val="22"/>
          <w:szCs w:val="22"/>
        </w:rPr>
        <w:t>1</w:t>
      </w:r>
      <w:r w:rsidRPr="006E78E7">
        <w:rPr>
          <w:rFonts w:ascii="Arial" w:hAnsi="Arial" w:cs="Arial"/>
          <w:b/>
          <w:bCs/>
          <w:color w:val="0070C0"/>
          <w:sz w:val="22"/>
          <w:szCs w:val="22"/>
        </w:rPr>
        <w:fldChar w:fldCharType="end"/>
      </w:r>
      <w:r w:rsidRPr="006E78E7">
        <w:rPr>
          <w:rFonts w:ascii="Arial" w:hAnsi="Arial" w:cs="Arial"/>
          <w:b/>
          <w:bCs/>
          <w:color w:val="0070C0"/>
          <w:sz w:val="22"/>
          <w:szCs w:val="22"/>
        </w:rPr>
        <w:t xml:space="preserve"> </w:t>
      </w:r>
      <w:r w:rsidR="009A66E1" w:rsidRPr="006E78E7">
        <w:rPr>
          <w:rFonts w:ascii="Arial" w:hAnsi="Arial" w:cs="Arial"/>
          <w:b/>
          <w:bCs/>
          <w:color w:val="0070C0"/>
          <w:sz w:val="22"/>
          <w:szCs w:val="22"/>
        </w:rPr>
        <w:t>Data Sources</w:t>
      </w:r>
    </w:p>
    <w:p w:rsidR="009A66E1" w:rsidRPr="0018202F" w:rsidRDefault="0018202F" w:rsidP="0018202F">
      <w:pPr>
        <w:keepNext/>
        <w:spacing w:before="240" w:after="120"/>
        <w:rPr>
          <w:rFonts w:ascii="Arial" w:hAnsi="Arial" w:cs="Arial"/>
          <w:color w:val="002060"/>
          <w:sz w:val="22"/>
          <w:szCs w:val="22"/>
        </w:rPr>
      </w:pPr>
      <w:r w:rsidRPr="0018202F">
        <w:rPr>
          <w:rFonts w:ascii="Arial" w:hAnsi="Arial" w:cs="Arial"/>
          <w:color w:val="002060"/>
          <w:sz w:val="22"/>
          <w:szCs w:val="22"/>
        </w:rPr>
        <w:t>Annex Table 5-</w:t>
      </w:r>
      <w:r w:rsidRPr="0018202F">
        <w:rPr>
          <w:rFonts w:ascii="Arial" w:hAnsi="Arial" w:cs="Arial"/>
          <w:color w:val="002060"/>
          <w:sz w:val="22"/>
          <w:szCs w:val="22"/>
        </w:rPr>
        <w:fldChar w:fldCharType="begin"/>
      </w:r>
      <w:r w:rsidRPr="0018202F">
        <w:rPr>
          <w:rFonts w:ascii="Arial" w:hAnsi="Arial" w:cs="Arial"/>
          <w:color w:val="002060"/>
          <w:sz w:val="22"/>
          <w:szCs w:val="22"/>
        </w:rPr>
        <w:instrText xml:space="preserve"> SEQ Annex_Table_5- \* ARABIC </w:instrText>
      </w:r>
      <w:r w:rsidRPr="0018202F">
        <w:rPr>
          <w:rFonts w:ascii="Arial" w:hAnsi="Arial" w:cs="Arial"/>
          <w:color w:val="002060"/>
          <w:sz w:val="22"/>
          <w:szCs w:val="22"/>
        </w:rPr>
        <w:fldChar w:fldCharType="separate"/>
      </w:r>
      <w:r w:rsidR="00F72397">
        <w:rPr>
          <w:rFonts w:ascii="Arial" w:hAnsi="Arial" w:cs="Arial"/>
          <w:noProof/>
          <w:color w:val="002060"/>
          <w:sz w:val="22"/>
          <w:szCs w:val="22"/>
        </w:rPr>
        <w:t>1</w:t>
      </w:r>
      <w:r w:rsidRPr="0018202F">
        <w:rPr>
          <w:rFonts w:ascii="Arial" w:hAnsi="Arial" w:cs="Arial"/>
          <w:color w:val="002060"/>
          <w:sz w:val="22"/>
          <w:szCs w:val="22"/>
        </w:rPr>
        <w:fldChar w:fldCharType="end"/>
      </w:r>
      <w:r w:rsidRPr="0018202F">
        <w:rPr>
          <w:rFonts w:ascii="Arial" w:hAnsi="Arial" w:cs="Arial"/>
          <w:color w:val="002060"/>
          <w:sz w:val="22"/>
          <w:szCs w:val="22"/>
        </w:rPr>
        <w:t xml:space="preserve"> </w:t>
      </w:r>
      <w:r w:rsidR="009A66E1" w:rsidRPr="0018202F">
        <w:rPr>
          <w:rFonts w:ascii="Arial" w:hAnsi="Arial" w:cs="Arial"/>
          <w:color w:val="002060"/>
          <w:sz w:val="22"/>
          <w:szCs w:val="22"/>
        </w:rPr>
        <w:t>National Data</w:t>
      </w:r>
    </w:p>
    <w:tbl>
      <w:tblPr>
        <w:tblStyle w:val="GridTable4-Accent5"/>
        <w:tblW w:w="0" w:type="auto"/>
        <w:tblLook w:val="04A0" w:firstRow="1" w:lastRow="0" w:firstColumn="1" w:lastColumn="0" w:noHBand="0" w:noVBand="1"/>
      </w:tblPr>
      <w:tblGrid>
        <w:gridCol w:w="2080"/>
        <w:gridCol w:w="1456"/>
        <w:gridCol w:w="2966"/>
        <w:gridCol w:w="2508"/>
      </w:tblGrid>
      <w:tr w:rsidR="009A66E1" w:rsidRPr="0018202F" w:rsidTr="009A66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jc w:val="center"/>
              <w:rPr>
                <w:rFonts w:ascii="Arial" w:hAnsi="Arial" w:cs="Arial"/>
                <w:sz w:val="22"/>
                <w:szCs w:val="22"/>
              </w:rPr>
            </w:pPr>
            <w:r w:rsidRPr="0018202F">
              <w:rPr>
                <w:rFonts w:ascii="Arial" w:hAnsi="Arial" w:cs="Arial"/>
                <w:sz w:val="22"/>
                <w:szCs w:val="22"/>
              </w:rPr>
              <w:t>Source</w:t>
            </w:r>
          </w:p>
        </w:tc>
        <w:tc>
          <w:tcPr>
            <w:tcW w:w="0" w:type="auto"/>
            <w:hideMark/>
          </w:tcPr>
          <w:p w:rsidR="009A66E1" w:rsidRPr="0018202F" w:rsidRDefault="009A66E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Coverage</w:t>
            </w:r>
          </w:p>
        </w:tc>
        <w:tc>
          <w:tcPr>
            <w:tcW w:w="0" w:type="auto"/>
            <w:hideMark/>
          </w:tcPr>
          <w:p w:rsidR="009A66E1" w:rsidRPr="0018202F" w:rsidRDefault="009A66E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Variables</w:t>
            </w:r>
          </w:p>
        </w:tc>
        <w:tc>
          <w:tcPr>
            <w:tcW w:w="0" w:type="auto"/>
            <w:hideMark/>
          </w:tcPr>
          <w:p w:rsidR="009A66E1" w:rsidRPr="0018202F" w:rsidRDefault="009A66E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Notes</w:t>
            </w:r>
          </w:p>
        </w:tc>
      </w:tr>
      <w:tr w:rsidR="009A66E1" w:rsidRPr="0018202F" w:rsidTr="009A66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A66E1" w:rsidRPr="006E78E7" w:rsidRDefault="009A66E1">
            <w:pPr>
              <w:rPr>
                <w:rFonts w:ascii="Arial" w:hAnsi="Arial" w:cs="Arial"/>
                <w:sz w:val="22"/>
                <w:szCs w:val="22"/>
              </w:rPr>
            </w:pPr>
            <w:r w:rsidRPr="006E78E7">
              <w:rPr>
                <w:rStyle w:val="Strong"/>
                <w:rFonts w:ascii="Arial" w:hAnsi="Arial" w:cs="Arial"/>
                <w:sz w:val="22"/>
                <w:szCs w:val="22"/>
              </w:rPr>
              <w:t>Fisheries Administration (FiA), MAFF</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2012–2024</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Marine capture production (by province, gear); aquaculture output; vessel registration; licensing; MCS operations</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Core national dataset; annual time-series used for production and spatial analysis</w:t>
            </w:r>
          </w:p>
        </w:tc>
      </w:tr>
      <w:tr w:rsidR="009A66E1" w:rsidRPr="0018202F" w:rsidTr="009A66E1">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rPr>
                <w:rFonts w:ascii="Arial" w:hAnsi="Arial" w:cs="Arial"/>
                <w:sz w:val="22"/>
                <w:szCs w:val="22"/>
              </w:rPr>
            </w:pPr>
            <w:r w:rsidRPr="0018202F">
              <w:rPr>
                <w:rStyle w:val="Strong"/>
                <w:rFonts w:ascii="Arial" w:hAnsi="Arial" w:cs="Arial"/>
                <w:sz w:val="22"/>
                <w:szCs w:val="22"/>
              </w:rPr>
              <w:t>FiA Marine Fishing Vessel Census (2018)</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National coastal provinces</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Vessel numbers, size class, engine power, registration status</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Main fleet-structure baseline</w:t>
            </w:r>
          </w:p>
        </w:tc>
      </w:tr>
      <w:tr w:rsidR="009A66E1" w:rsidRPr="0018202F" w:rsidTr="009A66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rPr>
                <w:rFonts w:ascii="Arial" w:hAnsi="Arial" w:cs="Arial"/>
                <w:sz w:val="22"/>
                <w:szCs w:val="22"/>
              </w:rPr>
            </w:pPr>
            <w:r w:rsidRPr="0018202F">
              <w:rPr>
                <w:rStyle w:val="Strong"/>
                <w:rFonts w:ascii="Arial" w:hAnsi="Arial" w:cs="Arial"/>
                <w:sz w:val="22"/>
                <w:szCs w:val="22"/>
              </w:rPr>
              <w:t>FiA Strategic Planning Framework 2025–2034</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Policy</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Governance, management priorities</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Used for institutional interpretation</w:t>
            </w:r>
          </w:p>
        </w:tc>
      </w:tr>
      <w:tr w:rsidR="009A66E1" w:rsidRPr="0018202F" w:rsidTr="009A66E1">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rPr>
                <w:rFonts w:ascii="Arial" w:hAnsi="Arial" w:cs="Arial"/>
                <w:sz w:val="22"/>
                <w:szCs w:val="22"/>
              </w:rPr>
            </w:pPr>
            <w:r w:rsidRPr="0018202F">
              <w:rPr>
                <w:rStyle w:val="Strong"/>
                <w:rFonts w:ascii="Arial" w:hAnsi="Arial" w:cs="Arial"/>
                <w:sz w:val="22"/>
                <w:szCs w:val="22"/>
              </w:rPr>
              <w:t>National Fisheries Law (2006)</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Policy</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Legal framework</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Used for governance context</w:t>
            </w:r>
          </w:p>
        </w:tc>
      </w:tr>
    </w:tbl>
    <w:p w:rsidR="009A66E1" w:rsidRPr="0018202F" w:rsidRDefault="009A66E1" w:rsidP="009A66E1">
      <w:pPr>
        <w:rPr>
          <w:rFonts w:ascii="Arial" w:hAnsi="Arial" w:cs="Arial"/>
        </w:rPr>
      </w:pPr>
    </w:p>
    <w:p w:rsidR="009A66E1" w:rsidRPr="0018202F" w:rsidRDefault="0018202F" w:rsidP="0018202F">
      <w:pPr>
        <w:keepNext/>
        <w:spacing w:before="240" w:after="120"/>
        <w:rPr>
          <w:rFonts w:ascii="Arial" w:hAnsi="Arial" w:cs="Arial"/>
          <w:color w:val="002060"/>
          <w:sz w:val="22"/>
          <w:szCs w:val="22"/>
        </w:rPr>
      </w:pPr>
      <w:r w:rsidRPr="0018202F">
        <w:rPr>
          <w:rFonts w:ascii="Arial" w:hAnsi="Arial" w:cs="Arial"/>
          <w:color w:val="002060"/>
          <w:sz w:val="22"/>
          <w:szCs w:val="22"/>
        </w:rPr>
        <w:t>Annex Table 5-</w:t>
      </w:r>
      <w:r w:rsidRPr="0018202F">
        <w:rPr>
          <w:rFonts w:ascii="Arial" w:hAnsi="Arial" w:cs="Arial"/>
          <w:color w:val="002060"/>
          <w:sz w:val="22"/>
          <w:szCs w:val="22"/>
        </w:rPr>
        <w:fldChar w:fldCharType="begin"/>
      </w:r>
      <w:r w:rsidRPr="0018202F">
        <w:rPr>
          <w:rFonts w:ascii="Arial" w:hAnsi="Arial" w:cs="Arial"/>
          <w:color w:val="002060"/>
          <w:sz w:val="22"/>
          <w:szCs w:val="22"/>
        </w:rPr>
        <w:instrText xml:space="preserve"> SEQ Annex_Table_5- \* ARABIC </w:instrText>
      </w:r>
      <w:r w:rsidRPr="0018202F">
        <w:rPr>
          <w:rFonts w:ascii="Arial" w:hAnsi="Arial" w:cs="Arial"/>
          <w:color w:val="002060"/>
          <w:sz w:val="22"/>
          <w:szCs w:val="22"/>
        </w:rPr>
        <w:fldChar w:fldCharType="separate"/>
      </w:r>
      <w:r w:rsidR="00F72397">
        <w:rPr>
          <w:rFonts w:ascii="Arial" w:hAnsi="Arial" w:cs="Arial"/>
          <w:noProof/>
          <w:color w:val="002060"/>
          <w:sz w:val="22"/>
          <w:szCs w:val="22"/>
        </w:rPr>
        <w:t>2</w:t>
      </w:r>
      <w:r w:rsidRPr="0018202F">
        <w:rPr>
          <w:rFonts w:ascii="Arial" w:hAnsi="Arial" w:cs="Arial"/>
          <w:color w:val="002060"/>
          <w:sz w:val="22"/>
          <w:szCs w:val="22"/>
        </w:rPr>
        <w:fldChar w:fldCharType="end"/>
      </w:r>
      <w:r w:rsidRPr="0018202F">
        <w:rPr>
          <w:rFonts w:ascii="Arial" w:hAnsi="Arial" w:cs="Arial"/>
          <w:color w:val="002060"/>
          <w:sz w:val="22"/>
          <w:szCs w:val="22"/>
        </w:rPr>
        <w:t xml:space="preserve"> </w:t>
      </w:r>
      <w:r w:rsidR="009A66E1" w:rsidRPr="0018202F">
        <w:rPr>
          <w:rFonts w:ascii="Arial" w:hAnsi="Arial" w:cs="Arial"/>
          <w:color w:val="002060"/>
          <w:sz w:val="22"/>
          <w:szCs w:val="22"/>
        </w:rPr>
        <w:t>Regional &amp; International Data</w:t>
      </w:r>
    </w:p>
    <w:tbl>
      <w:tblPr>
        <w:tblStyle w:val="GridTable4-Accent5"/>
        <w:tblW w:w="0" w:type="auto"/>
        <w:tblLook w:val="04A0" w:firstRow="1" w:lastRow="0" w:firstColumn="1" w:lastColumn="0" w:noHBand="0" w:noVBand="1"/>
      </w:tblPr>
      <w:tblGrid>
        <w:gridCol w:w="2597"/>
        <w:gridCol w:w="3845"/>
        <w:gridCol w:w="2568"/>
      </w:tblGrid>
      <w:tr w:rsidR="009A66E1" w:rsidRPr="0018202F" w:rsidTr="009A66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jc w:val="center"/>
              <w:rPr>
                <w:rFonts w:ascii="Arial" w:hAnsi="Arial" w:cs="Arial"/>
                <w:sz w:val="22"/>
                <w:szCs w:val="22"/>
              </w:rPr>
            </w:pPr>
            <w:r w:rsidRPr="0018202F">
              <w:rPr>
                <w:rFonts w:ascii="Arial" w:hAnsi="Arial" w:cs="Arial"/>
                <w:sz w:val="22"/>
                <w:szCs w:val="22"/>
              </w:rPr>
              <w:t>Source</w:t>
            </w:r>
          </w:p>
        </w:tc>
        <w:tc>
          <w:tcPr>
            <w:tcW w:w="0" w:type="auto"/>
            <w:hideMark/>
          </w:tcPr>
          <w:p w:rsidR="009A66E1" w:rsidRPr="0018202F" w:rsidRDefault="009A66E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Variables</w:t>
            </w:r>
          </w:p>
        </w:tc>
        <w:tc>
          <w:tcPr>
            <w:tcW w:w="0" w:type="auto"/>
            <w:hideMark/>
          </w:tcPr>
          <w:p w:rsidR="009A66E1" w:rsidRPr="0018202F" w:rsidRDefault="009A66E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Notes</w:t>
            </w:r>
          </w:p>
        </w:tc>
      </w:tr>
      <w:tr w:rsidR="009A66E1" w:rsidRPr="0018202F" w:rsidTr="009A66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rPr>
                <w:rFonts w:ascii="Arial" w:hAnsi="Arial" w:cs="Arial"/>
                <w:b w:val="0"/>
                <w:bCs w:val="0"/>
                <w:sz w:val="22"/>
                <w:szCs w:val="22"/>
              </w:rPr>
            </w:pPr>
            <w:r w:rsidRPr="0018202F">
              <w:rPr>
                <w:rStyle w:val="Strong"/>
                <w:rFonts w:ascii="Arial" w:hAnsi="Arial" w:cs="Arial"/>
                <w:b/>
                <w:bCs/>
                <w:sz w:val="22"/>
                <w:szCs w:val="22"/>
              </w:rPr>
              <w:t>FAO FishStatJ (1950–2022)</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Capture production, aquaculture production, landed value</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Basis for long-term national trend analysis</w:t>
            </w:r>
          </w:p>
        </w:tc>
      </w:tr>
      <w:tr w:rsidR="009A66E1" w:rsidRPr="0018202F" w:rsidTr="009A66E1">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rPr>
                <w:rFonts w:ascii="Arial" w:hAnsi="Arial" w:cs="Arial"/>
                <w:sz w:val="22"/>
                <w:szCs w:val="22"/>
              </w:rPr>
            </w:pPr>
            <w:r w:rsidRPr="0018202F">
              <w:rPr>
                <w:rStyle w:val="Strong"/>
                <w:rFonts w:ascii="Arial" w:hAnsi="Arial" w:cs="Arial"/>
                <w:sz w:val="22"/>
                <w:szCs w:val="22"/>
              </w:rPr>
              <w:t>Sea Around Us (SAUP) (1950–2019)</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Reconstructed catch; stock-status plots; MTI, FiB, PPR indices; subsidy estimates</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Used for ecological and economic indicators</w:t>
            </w:r>
          </w:p>
        </w:tc>
      </w:tr>
      <w:tr w:rsidR="009A66E1" w:rsidRPr="0018202F" w:rsidTr="009A66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rPr>
                <w:rFonts w:ascii="Arial" w:hAnsi="Arial" w:cs="Arial"/>
                <w:sz w:val="22"/>
                <w:szCs w:val="22"/>
              </w:rPr>
            </w:pPr>
            <w:r w:rsidRPr="0018202F">
              <w:rPr>
                <w:rStyle w:val="Strong"/>
                <w:rFonts w:ascii="Arial" w:hAnsi="Arial" w:cs="Arial"/>
                <w:sz w:val="22"/>
                <w:szCs w:val="22"/>
              </w:rPr>
              <w:t>SEAFDEC Trawl &amp; Resource Surveys (1966–2019)</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Demersal CPUE, biomass proxies, species assemblages</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Key baseline for biomass depletion</w:t>
            </w:r>
          </w:p>
        </w:tc>
      </w:tr>
      <w:tr w:rsidR="009A66E1" w:rsidRPr="0018202F" w:rsidTr="009A66E1">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rPr>
                <w:rFonts w:ascii="Arial" w:hAnsi="Arial" w:cs="Arial"/>
                <w:sz w:val="22"/>
                <w:szCs w:val="22"/>
              </w:rPr>
            </w:pPr>
            <w:r w:rsidRPr="0018202F">
              <w:rPr>
                <w:rStyle w:val="Strong"/>
                <w:rFonts w:ascii="Arial" w:hAnsi="Arial" w:cs="Arial"/>
                <w:sz w:val="22"/>
                <w:szCs w:val="22"/>
              </w:rPr>
              <w:t>MaFReDI (2023)</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Coastal CPUE monitoring</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Complements SEAFDEC trend</w:t>
            </w:r>
          </w:p>
        </w:tc>
      </w:tr>
      <w:tr w:rsidR="009A66E1" w:rsidRPr="0018202F" w:rsidTr="009A66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rPr>
                <w:rFonts w:ascii="Arial" w:hAnsi="Arial" w:cs="Arial"/>
                <w:sz w:val="22"/>
                <w:szCs w:val="22"/>
              </w:rPr>
            </w:pPr>
            <w:r w:rsidRPr="0018202F">
              <w:rPr>
                <w:rStyle w:val="Strong"/>
                <w:rFonts w:ascii="Arial" w:hAnsi="Arial" w:cs="Arial"/>
                <w:sz w:val="22"/>
                <w:szCs w:val="22"/>
              </w:rPr>
              <w:t>Peer-reviewed literature</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Ecosystem condition (reefs, seagrass, biodiversity)</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Used for contextual validation</w:t>
            </w:r>
          </w:p>
        </w:tc>
      </w:tr>
    </w:tbl>
    <w:p w:rsidR="009A66E1" w:rsidRPr="0018202F" w:rsidRDefault="009A66E1" w:rsidP="009A66E1">
      <w:pPr>
        <w:rPr>
          <w:rFonts w:ascii="Arial" w:hAnsi="Arial" w:cs="Arial"/>
        </w:rPr>
      </w:pPr>
    </w:p>
    <w:p w:rsidR="009A66E1" w:rsidRPr="006E78E7" w:rsidRDefault="006E78E7" w:rsidP="006E78E7">
      <w:pPr>
        <w:spacing w:before="100" w:beforeAutospacing="1" w:after="100" w:afterAutospacing="1"/>
        <w:jc w:val="both"/>
        <w:rPr>
          <w:rFonts w:ascii="Arial" w:hAnsi="Arial" w:cs="Arial"/>
          <w:b/>
          <w:bCs/>
          <w:color w:val="0070C0"/>
          <w:sz w:val="22"/>
          <w:szCs w:val="22"/>
        </w:rPr>
      </w:pPr>
      <w:r w:rsidRPr="006E78E7">
        <w:rPr>
          <w:rFonts w:ascii="Arial" w:hAnsi="Arial" w:cs="Arial"/>
          <w:b/>
          <w:bCs/>
          <w:color w:val="0070C0"/>
          <w:sz w:val="22"/>
          <w:szCs w:val="22"/>
        </w:rPr>
        <w:t>Annex 5-</w:t>
      </w:r>
      <w:r w:rsidRPr="006E78E7">
        <w:rPr>
          <w:rFonts w:ascii="Arial" w:hAnsi="Arial" w:cs="Arial"/>
          <w:b/>
          <w:bCs/>
          <w:color w:val="0070C0"/>
          <w:sz w:val="22"/>
          <w:szCs w:val="22"/>
        </w:rPr>
        <w:fldChar w:fldCharType="begin"/>
      </w:r>
      <w:r w:rsidRPr="006E78E7">
        <w:rPr>
          <w:rFonts w:ascii="Arial" w:hAnsi="Arial" w:cs="Arial"/>
          <w:b/>
          <w:bCs/>
          <w:color w:val="0070C0"/>
          <w:sz w:val="22"/>
          <w:szCs w:val="22"/>
        </w:rPr>
        <w:instrText xml:space="preserve"> SEQ Annex_5- \* ARABIC </w:instrText>
      </w:r>
      <w:r w:rsidRPr="006E78E7">
        <w:rPr>
          <w:rFonts w:ascii="Arial" w:hAnsi="Arial" w:cs="Arial"/>
          <w:b/>
          <w:bCs/>
          <w:color w:val="0070C0"/>
          <w:sz w:val="22"/>
          <w:szCs w:val="22"/>
        </w:rPr>
        <w:fldChar w:fldCharType="separate"/>
      </w:r>
      <w:r w:rsidR="00F72397">
        <w:rPr>
          <w:rFonts w:ascii="Arial" w:hAnsi="Arial" w:cs="Arial"/>
          <w:b/>
          <w:bCs/>
          <w:noProof/>
          <w:color w:val="0070C0"/>
          <w:sz w:val="22"/>
          <w:szCs w:val="22"/>
        </w:rPr>
        <w:t>2</w:t>
      </w:r>
      <w:r w:rsidRPr="006E78E7">
        <w:rPr>
          <w:rFonts w:ascii="Arial" w:hAnsi="Arial" w:cs="Arial"/>
          <w:b/>
          <w:bCs/>
          <w:color w:val="0070C0"/>
          <w:sz w:val="22"/>
          <w:szCs w:val="22"/>
        </w:rPr>
        <w:fldChar w:fldCharType="end"/>
      </w:r>
      <w:r w:rsidR="009A66E1" w:rsidRPr="006E78E7">
        <w:rPr>
          <w:rFonts w:ascii="Arial" w:hAnsi="Arial" w:cs="Arial"/>
          <w:b/>
          <w:bCs/>
          <w:color w:val="0070C0"/>
          <w:sz w:val="22"/>
          <w:szCs w:val="22"/>
        </w:rPr>
        <w:t xml:space="preserve"> Indicator Metadata Tables</w:t>
      </w:r>
    </w:p>
    <w:p w:rsidR="009A66E1" w:rsidRPr="0018202F" w:rsidRDefault="009A66E1" w:rsidP="009A66E1">
      <w:pPr>
        <w:rPr>
          <w:rStyle w:val="Strong"/>
          <w:rFonts w:ascii="Arial" w:hAnsi="Arial" w:cs="Arial"/>
          <w:b w:val="0"/>
          <w:bCs w:val="0"/>
          <w:i/>
          <w:iCs/>
          <w:color w:val="0070C0"/>
          <w:sz w:val="22"/>
          <w:szCs w:val="22"/>
        </w:rPr>
      </w:pPr>
      <w:r w:rsidRPr="0018202F">
        <w:rPr>
          <w:rStyle w:val="Strong"/>
          <w:rFonts w:ascii="Arial" w:hAnsi="Arial" w:cs="Arial"/>
          <w:b w:val="0"/>
          <w:bCs w:val="0"/>
          <w:i/>
          <w:iCs/>
          <w:color w:val="0070C0"/>
          <w:sz w:val="22"/>
          <w:szCs w:val="22"/>
        </w:rPr>
        <w:t>Production Indicators</w:t>
      </w:r>
    </w:p>
    <w:p w:rsidR="009A66E1" w:rsidRPr="0018202F" w:rsidRDefault="009A66E1" w:rsidP="009A66E1">
      <w:pPr>
        <w:pStyle w:val="NormalWeb"/>
        <w:jc w:val="both"/>
        <w:rPr>
          <w:rFonts w:ascii="Arial" w:hAnsi="Arial" w:cs="Arial"/>
          <w:sz w:val="22"/>
          <w:szCs w:val="22"/>
        </w:rPr>
      </w:pPr>
      <w:r w:rsidRPr="0018202F">
        <w:rPr>
          <w:rFonts w:ascii="Arial" w:hAnsi="Arial" w:cs="Arial"/>
          <w:sz w:val="22"/>
          <w:szCs w:val="22"/>
        </w:rPr>
        <w:t>Cambodia’s fisheries comprise inland, marine and aquaculture components, together contributing significantly to food security and rural livelihoods. Inland systems dominate national catch due to the Tonle Sap–Mekong flood-pulse system, while marine production—though smaller—remains central to coastal economies. Long-term expansion of motorized fleets, increased fishing effort and gear modernization have contributed to higher landings but also heightened ecological pressures. Aquaculture has emerged as a major contributor to national production, although marine and brackish components remain modest and concentrated geographically.</w:t>
      </w:r>
    </w:p>
    <w:p w:rsidR="009A66E1" w:rsidRDefault="009A66E1" w:rsidP="009A66E1">
      <w:pPr>
        <w:pStyle w:val="NormalWeb"/>
        <w:jc w:val="both"/>
        <w:rPr>
          <w:rFonts w:ascii="Arial" w:hAnsi="Arial" w:cs="Arial"/>
          <w:sz w:val="22"/>
          <w:szCs w:val="22"/>
        </w:rPr>
      </w:pPr>
      <w:r w:rsidRPr="0018202F">
        <w:rPr>
          <w:rFonts w:ascii="Arial" w:hAnsi="Arial" w:cs="Arial"/>
          <w:sz w:val="22"/>
          <w:szCs w:val="22"/>
        </w:rPr>
        <w:t>Aquaculture has grown rapidly since the early 2000s, dominated by freshwater pond and cage culture (≈95% of output). Marine and brackish aquaculture remain limited but strategic, focusing on groupers, seabass and shellfish in Koh Kong, Preah Sihanouk and Kampot. Coastal aquaculture has recently contracted due to land constraints, disease outbreaks, salinity change and rising operational costs. Climate stress (salinity intrusion, higher water temperature) and weak biosecurity further affect productivity. Expansion potential exists but requires improved planning, hatchery capacity and environmental safeguards.</w:t>
      </w:r>
    </w:p>
    <w:p w:rsidR="0018202F" w:rsidRPr="0018202F" w:rsidRDefault="0018202F" w:rsidP="009A66E1">
      <w:pPr>
        <w:pStyle w:val="NormalWeb"/>
        <w:jc w:val="both"/>
        <w:rPr>
          <w:rFonts w:ascii="Arial" w:hAnsi="Arial" w:cs="Arial"/>
          <w:sz w:val="22"/>
          <w:szCs w:val="22"/>
        </w:rPr>
      </w:pPr>
      <w:r w:rsidRPr="0018202F">
        <w:rPr>
          <w:rFonts w:ascii="Arial" w:hAnsi="Arial" w:cs="Arial"/>
          <w:color w:val="0070C0"/>
          <w:sz w:val="22"/>
          <w:szCs w:val="22"/>
        </w:rPr>
        <w:t>Annex Table 5-</w:t>
      </w:r>
      <w:r w:rsidRPr="0018202F">
        <w:rPr>
          <w:rFonts w:ascii="Arial" w:hAnsi="Arial" w:cs="Arial"/>
          <w:color w:val="0070C0"/>
          <w:sz w:val="22"/>
          <w:szCs w:val="22"/>
        </w:rPr>
        <w:fldChar w:fldCharType="begin"/>
      </w:r>
      <w:r w:rsidRPr="0018202F">
        <w:rPr>
          <w:rFonts w:ascii="Arial" w:hAnsi="Arial" w:cs="Arial"/>
          <w:color w:val="0070C0"/>
          <w:sz w:val="22"/>
          <w:szCs w:val="22"/>
        </w:rPr>
        <w:instrText xml:space="preserve"> SEQ Annex_Table_5- \* ARABIC </w:instrText>
      </w:r>
      <w:r w:rsidRPr="0018202F">
        <w:rPr>
          <w:rFonts w:ascii="Arial" w:hAnsi="Arial" w:cs="Arial"/>
          <w:color w:val="0070C0"/>
          <w:sz w:val="22"/>
          <w:szCs w:val="22"/>
        </w:rPr>
        <w:fldChar w:fldCharType="separate"/>
      </w:r>
      <w:r w:rsidR="00F72397">
        <w:rPr>
          <w:rFonts w:ascii="Arial" w:hAnsi="Arial" w:cs="Arial"/>
          <w:noProof/>
          <w:color w:val="0070C0"/>
          <w:sz w:val="22"/>
          <w:szCs w:val="22"/>
        </w:rPr>
        <w:t>3</w:t>
      </w:r>
      <w:r w:rsidRPr="0018202F">
        <w:rPr>
          <w:rFonts w:ascii="Arial" w:hAnsi="Arial" w:cs="Arial"/>
          <w:color w:val="0070C0"/>
          <w:sz w:val="22"/>
          <w:szCs w:val="22"/>
        </w:rPr>
        <w:fldChar w:fldCharType="end"/>
      </w:r>
      <w:r>
        <w:rPr>
          <w:rFonts w:ascii="Arial" w:hAnsi="Arial" w:cs="Arial"/>
          <w:color w:val="0070C0"/>
          <w:sz w:val="22"/>
          <w:szCs w:val="22"/>
        </w:rPr>
        <w:t xml:space="preserve"> </w:t>
      </w:r>
      <w:r w:rsidRPr="0018202F">
        <w:rPr>
          <w:rFonts w:ascii="Arial" w:hAnsi="Arial" w:cs="Arial"/>
          <w:color w:val="0070C0"/>
          <w:sz w:val="22"/>
          <w:szCs w:val="22"/>
        </w:rPr>
        <w:t>Production Indicators</w:t>
      </w:r>
    </w:p>
    <w:tbl>
      <w:tblPr>
        <w:tblStyle w:val="GridTable4-Accent5"/>
        <w:tblW w:w="0" w:type="auto"/>
        <w:tblLook w:val="04A0" w:firstRow="1" w:lastRow="0" w:firstColumn="1" w:lastColumn="0" w:noHBand="0" w:noVBand="1"/>
      </w:tblPr>
      <w:tblGrid>
        <w:gridCol w:w="2202"/>
        <w:gridCol w:w="2690"/>
        <w:gridCol w:w="1314"/>
        <w:gridCol w:w="1166"/>
        <w:gridCol w:w="1638"/>
      </w:tblGrid>
      <w:tr w:rsidR="009A66E1" w:rsidRPr="0018202F" w:rsidTr="009A66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jc w:val="center"/>
              <w:rPr>
                <w:rFonts w:ascii="Arial" w:hAnsi="Arial" w:cs="Arial"/>
                <w:sz w:val="21"/>
                <w:szCs w:val="21"/>
              </w:rPr>
            </w:pPr>
            <w:r w:rsidRPr="0018202F">
              <w:rPr>
                <w:rFonts w:ascii="Arial" w:hAnsi="Arial" w:cs="Arial"/>
                <w:sz w:val="21"/>
                <w:szCs w:val="21"/>
              </w:rPr>
              <w:t>Indicator</w:t>
            </w:r>
          </w:p>
        </w:tc>
        <w:tc>
          <w:tcPr>
            <w:tcW w:w="0" w:type="auto"/>
            <w:hideMark/>
          </w:tcPr>
          <w:p w:rsidR="009A66E1" w:rsidRPr="0018202F" w:rsidRDefault="009A66E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8202F">
              <w:rPr>
                <w:rFonts w:ascii="Arial" w:hAnsi="Arial" w:cs="Arial"/>
                <w:sz w:val="21"/>
                <w:szCs w:val="21"/>
              </w:rPr>
              <w:t>Definition</w:t>
            </w:r>
          </w:p>
        </w:tc>
        <w:tc>
          <w:tcPr>
            <w:tcW w:w="0" w:type="auto"/>
            <w:hideMark/>
          </w:tcPr>
          <w:p w:rsidR="009A66E1" w:rsidRPr="0018202F" w:rsidRDefault="009A66E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8202F">
              <w:rPr>
                <w:rFonts w:ascii="Arial" w:hAnsi="Arial" w:cs="Arial"/>
                <w:sz w:val="21"/>
                <w:szCs w:val="21"/>
              </w:rPr>
              <w:t>Units</w:t>
            </w:r>
          </w:p>
        </w:tc>
        <w:tc>
          <w:tcPr>
            <w:tcW w:w="0" w:type="auto"/>
            <w:hideMark/>
          </w:tcPr>
          <w:p w:rsidR="009A66E1" w:rsidRPr="0018202F" w:rsidRDefault="009A66E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8202F">
              <w:rPr>
                <w:rFonts w:ascii="Arial" w:hAnsi="Arial" w:cs="Arial"/>
                <w:sz w:val="21"/>
                <w:szCs w:val="21"/>
              </w:rPr>
              <w:t>Data Source</w:t>
            </w:r>
          </w:p>
        </w:tc>
        <w:tc>
          <w:tcPr>
            <w:tcW w:w="0" w:type="auto"/>
            <w:hideMark/>
          </w:tcPr>
          <w:p w:rsidR="009A66E1" w:rsidRPr="0018202F" w:rsidRDefault="009A66E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8202F">
              <w:rPr>
                <w:rFonts w:ascii="Arial" w:hAnsi="Arial" w:cs="Arial"/>
                <w:sz w:val="21"/>
                <w:szCs w:val="21"/>
              </w:rPr>
              <w:t>Temporal Coverage</w:t>
            </w:r>
          </w:p>
        </w:tc>
      </w:tr>
      <w:tr w:rsidR="009A66E1" w:rsidRPr="0018202F" w:rsidTr="009A66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A66E1" w:rsidRPr="006E78E7" w:rsidRDefault="009A66E1">
            <w:pPr>
              <w:rPr>
                <w:rFonts w:ascii="Arial" w:hAnsi="Arial" w:cs="Arial"/>
                <w:sz w:val="21"/>
                <w:szCs w:val="21"/>
              </w:rPr>
            </w:pPr>
            <w:r w:rsidRPr="006E78E7">
              <w:rPr>
                <w:rFonts w:ascii="Arial" w:hAnsi="Arial" w:cs="Arial"/>
                <w:sz w:val="21"/>
                <w:szCs w:val="21"/>
              </w:rPr>
              <w:t>Total capture production</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8202F">
              <w:rPr>
                <w:rFonts w:ascii="Arial" w:hAnsi="Arial" w:cs="Arial"/>
                <w:sz w:val="21"/>
                <w:szCs w:val="21"/>
              </w:rPr>
              <w:t>Combined inland + marine capture</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8202F">
              <w:rPr>
                <w:rFonts w:ascii="Arial" w:hAnsi="Arial" w:cs="Arial"/>
                <w:sz w:val="21"/>
                <w:szCs w:val="21"/>
              </w:rPr>
              <w:t>tonnes/year</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8202F">
              <w:rPr>
                <w:rFonts w:ascii="Arial" w:hAnsi="Arial" w:cs="Arial"/>
                <w:sz w:val="21"/>
                <w:szCs w:val="21"/>
              </w:rPr>
              <w:t>FAO; FiA</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8202F">
              <w:rPr>
                <w:rFonts w:ascii="Arial" w:hAnsi="Arial" w:cs="Arial"/>
                <w:sz w:val="21"/>
                <w:szCs w:val="21"/>
              </w:rPr>
              <w:t>1950–2024</w:t>
            </w:r>
          </w:p>
        </w:tc>
      </w:tr>
      <w:tr w:rsidR="009A66E1" w:rsidRPr="0018202F" w:rsidTr="009A66E1">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rPr>
                <w:rFonts w:ascii="Arial" w:hAnsi="Arial" w:cs="Arial"/>
                <w:sz w:val="21"/>
                <w:szCs w:val="21"/>
              </w:rPr>
            </w:pPr>
            <w:r w:rsidRPr="0018202F">
              <w:rPr>
                <w:rFonts w:ascii="Arial" w:hAnsi="Arial" w:cs="Arial"/>
                <w:sz w:val="21"/>
                <w:szCs w:val="21"/>
              </w:rPr>
              <w:t>Marine capture (by province)</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8202F">
              <w:rPr>
                <w:rFonts w:ascii="Arial" w:hAnsi="Arial" w:cs="Arial"/>
                <w:sz w:val="21"/>
                <w:szCs w:val="21"/>
              </w:rPr>
              <w:t>Marine landings by coastal province</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8202F">
              <w:rPr>
                <w:rFonts w:ascii="Arial" w:hAnsi="Arial" w:cs="Arial"/>
                <w:sz w:val="21"/>
                <w:szCs w:val="21"/>
              </w:rPr>
              <w:t>tonnes/year</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8202F">
              <w:rPr>
                <w:rFonts w:ascii="Arial" w:hAnsi="Arial" w:cs="Arial"/>
                <w:sz w:val="21"/>
                <w:szCs w:val="21"/>
              </w:rPr>
              <w:t>FiA</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8202F">
              <w:rPr>
                <w:rFonts w:ascii="Arial" w:hAnsi="Arial" w:cs="Arial"/>
                <w:sz w:val="21"/>
                <w:szCs w:val="21"/>
              </w:rPr>
              <w:t>2012–2024</w:t>
            </w:r>
          </w:p>
        </w:tc>
      </w:tr>
      <w:tr w:rsidR="009A66E1" w:rsidRPr="0018202F" w:rsidTr="009A66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rPr>
                <w:rFonts w:ascii="Arial" w:hAnsi="Arial" w:cs="Arial"/>
                <w:sz w:val="21"/>
                <w:szCs w:val="21"/>
              </w:rPr>
            </w:pPr>
            <w:r w:rsidRPr="0018202F">
              <w:rPr>
                <w:rFonts w:ascii="Arial" w:hAnsi="Arial" w:cs="Arial"/>
                <w:sz w:val="21"/>
                <w:szCs w:val="21"/>
              </w:rPr>
              <w:t>Aquaculture production</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8202F">
              <w:rPr>
                <w:rFonts w:ascii="Arial" w:hAnsi="Arial" w:cs="Arial"/>
                <w:sz w:val="21"/>
                <w:szCs w:val="21"/>
              </w:rPr>
              <w:t>Freshwater, brackish, marine farmed output</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8202F">
              <w:rPr>
                <w:rFonts w:ascii="Arial" w:hAnsi="Arial" w:cs="Arial"/>
                <w:sz w:val="21"/>
                <w:szCs w:val="21"/>
              </w:rPr>
              <w:t>tonnes/year</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8202F">
              <w:rPr>
                <w:rFonts w:ascii="Arial" w:hAnsi="Arial" w:cs="Arial"/>
                <w:sz w:val="21"/>
                <w:szCs w:val="21"/>
              </w:rPr>
              <w:t>FAO; FiA</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8202F">
              <w:rPr>
                <w:rFonts w:ascii="Arial" w:hAnsi="Arial" w:cs="Arial"/>
                <w:sz w:val="21"/>
                <w:szCs w:val="21"/>
              </w:rPr>
              <w:t>1976–2024</w:t>
            </w:r>
          </w:p>
        </w:tc>
      </w:tr>
    </w:tbl>
    <w:p w:rsidR="009A66E1" w:rsidRPr="0018202F" w:rsidRDefault="009A66E1" w:rsidP="009A66E1">
      <w:pPr>
        <w:rPr>
          <w:rFonts w:ascii="Arial" w:hAnsi="Arial" w:cs="Arial"/>
        </w:rPr>
      </w:pPr>
    </w:p>
    <w:p w:rsidR="007C37D6" w:rsidRPr="006E78E7" w:rsidRDefault="006E78E7" w:rsidP="007C37D6">
      <w:pPr>
        <w:spacing w:before="100" w:beforeAutospacing="1" w:after="100" w:afterAutospacing="1"/>
        <w:jc w:val="both"/>
        <w:rPr>
          <w:rFonts w:ascii="Arial" w:hAnsi="Arial" w:cs="Arial"/>
          <w:b/>
          <w:bCs/>
          <w:color w:val="0070C0"/>
          <w:sz w:val="22"/>
          <w:szCs w:val="22"/>
        </w:rPr>
      </w:pPr>
      <w:bookmarkStart w:id="54" w:name="_Ref215232534"/>
      <w:r w:rsidRPr="006E78E7">
        <w:rPr>
          <w:rFonts w:ascii="Arial" w:hAnsi="Arial" w:cs="Arial"/>
          <w:b/>
          <w:bCs/>
          <w:color w:val="0070C0"/>
          <w:sz w:val="22"/>
          <w:szCs w:val="22"/>
        </w:rPr>
        <w:t>Annex 5-</w:t>
      </w:r>
      <w:r w:rsidRPr="006E78E7">
        <w:rPr>
          <w:rFonts w:ascii="Arial" w:hAnsi="Arial" w:cs="Arial"/>
          <w:b/>
          <w:bCs/>
          <w:color w:val="0070C0"/>
          <w:sz w:val="22"/>
          <w:szCs w:val="22"/>
        </w:rPr>
        <w:fldChar w:fldCharType="begin"/>
      </w:r>
      <w:r w:rsidRPr="006E78E7">
        <w:rPr>
          <w:rFonts w:ascii="Arial" w:hAnsi="Arial" w:cs="Arial"/>
          <w:b/>
          <w:bCs/>
          <w:color w:val="0070C0"/>
          <w:sz w:val="22"/>
          <w:szCs w:val="22"/>
        </w:rPr>
        <w:instrText xml:space="preserve"> SEQ Annex_5- \* ARABIC </w:instrText>
      </w:r>
      <w:r w:rsidRPr="006E78E7">
        <w:rPr>
          <w:rFonts w:ascii="Arial" w:hAnsi="Arial" w:cs="Arial"/>
          <w:b/>
          <w:bCs/>
          <w:color w:val="0070C0"/>
          <w:sz w:val="22"/>
          <w:szCs w:val="22"/>
        </w:rPr>
        <w:fldChar w:fldCharType="separate"/>
      </w:r>
      <w:r w:rsidR="00F72397">
        <w:rPr>
          <w:rFonts w:ascii="Arial" w:hAnsi="Arial" w:cs="Arial"/>
          <w:b/>
          <w:bCs/>
          <w:noProof/>
          <w:color w:val="0070C0"/>
          <w:sz w:val="22"/>
          <w:szCs w:val="22"/>
        </w:rPr>
        <w:t>3</w:t>
      </w:r>
      <w:r w:rsidRPr="006E78E7">
        <w:rPr>
          <w:rFonts w:ascii="Arial" w:hAnsi="Arial" w:cs="Arial"/>
          <w:b/>
          <w:bCs/>
          <w:color w:val="0070C0"/>
          <w:sz w:val="22"/>
          <w:szCs w:val="22"/>
        </w:rPr>
        <w:fldChar w:fldCharType="end"/>
      </w:r>
      <w:r w:rsidRPr="006E78E7">
        <w:rPr>
          <w:rFonts w:ascii="Arial" w:hAnsi="Arial" w:cs="Arial"/>
          <w:b/>
          <w:bCs/>
          <w:color w:val="0070C0"/>
          <w:sz w:val="22"/>
          <w:szCs w:val="22"/>
        </w:rPr>
        <w:t xml:space="preserve"> Explanatory note for </w:t>
      </w:r>
      <w:r w:rsidRPr="007C37D6">
        <w:rPr>
          <w:rFonts w:ascii="Arial" w:hAnsi="Arial" w:cs="Arial"/>
          <w:b/>
          <w:bCs/>
          <w:color w:val="0070C0"/>
          <w:sz w:val="22"/>
          <w:szCs w:val="22"/>
        </w:rPr>
        <w:t xml:space="preserve">marine catches by gear type </w:t>
      </w:r>
    </w:p>
    <w:p w:rsidR="007C37D6" w:rsidRPr="0018202F" w:rsidRDefault="007C37D6" w:rsidP="007C37D6">
      <w:pPr>
        <w:spacing w:before="100" w:beforeAutospacing="1" w:after="100" w:afterAutospacing="1"/>
        <w:jc w:val="both"/>
        <w:rPr>
          <w:rFonts w:ascii="Arial" w:hAnsi="Arial" w:cs="Arial"/>
          <w:sz w:val="22"/>
          <w:szCs w:val="22"/>
        </w:rPr>
      </w:pPr>
      <w:r w:rsidRPr="0018202F">
        <w:rPr>
          <w:rFonts w:ascii="Arial" w:hAnsi="Arial" w:cs="Arial"/>
          <w:sz w:val="22"/>
          <w:szCs w:val="22"/>
        </w:rPr>
        <w:t>Cambodia’s marine fisheries show a long-term industrialization trajectory. Gear composition indicates a transition from primarily small-scale and artisanal operations to a more mechanized, trawl-dominated sector after the mid-1980s, followed by moderate diversification with small-scale gears regaining share after 2005. The trawl share averaged 55–60% of marine catch, while purse seines averaged 30–35%. This gear composition aligns with broader regional trends in the Gulf of Thailand, where bottom-trawl and purse-seine fleets expanded rapidly and later plateaued due to overexploitation, fuel costs, and habitat degradation.</w:t>
      </w:r>
    </w:p>
    <w:p w:rsidR="007C37D6" w:rsidRPr="0018202F" w:rsidRDefault="007C37D6" w:rsidP="007C37D6">
      <w:pPr>
        <w:spacing w:before="100" w:beforeAutospacing="1" w:after="100" w:afterAutospacing="1"/>
        <w:jc w:val="both"/>
        <w:rPr>
          <w:rFonts w:ascii="Arial" w:hAnsi="Arial" w:cs="Arial"/>
          <w:sz w:val="22"/>
          <w:szCs w:val="22"/>
        </w:rPr>
      </w:pPr>
      <w:r w:rsidRPr="0018202F">
        <w:rPr>
          <w:rFonts w:ascii="Arial" w:hAnsi="Arial" w:cs="Arial"/>
          <w:b/>
          <w:bCs/>
          <w:sz w:val="22"/>
          <w:szCs w:val="22"/>
        </w:rPr>
        <w:t>Trawl fisheries (bottom trawl &amp; shrimp trawl):</w:t>
      </w:r>
      <w:r w:rsidRPr="0018202F">
        <w:rPr>
          <w:rFonts w:ascii="Arial" w:hAnsi="Arial" w:cs="Arial"/>
          <w:sz w:val="22"/>
          <w:szCs w:val="22"/>
        </w:rPr>
        <w:t xml:space="preserve"> Trawling is the dominant gear in Cambodia’s marine sector. From small beginnings in the 1960s (&lt;1,000 tonnes), trawl catch expanded with mechanization to ~71,900 tonnes (1970), surged through the 1980s–1990s to 153,700 t (1990), and peaked at ~181,000 tonnes (2002). Since the mid-2000s it has plateaued around 118,000–138,000 tonnes, consistent with capacity saturation and tighter licensing/zoning. Trawl dominance coincided with rapid sediment resuspension and benthic degradation in coastal waters, particularly in Kampot and Koh Kong, with ecological implications for demersal stock recovery.</w:t>
      </w:r>
    </w:p>
    <w:p w:rsidR="007C37D6" w:rsidRPr="0018202F" w:rsidRDefault="007C37D6" w:rsidP="007C37D6">
      <w:pPr>
        <w:spacing w:before="100" w:beforeAutospacing="1" w:after="100" w:afterAutospacing="1"/>
        <w:jc w:val="both"/>
        <w:rPr>
          <w:rFonts w:ascii="Arial" w:hAnsi="Arial" w:cs="Arial"/>
          <w:sz w:val="22"/>
          <w:szCs w:val="22"/>
        </w:rPr>
      </w:pPr>
      <w:r w:rsidRPr="0018202F">
        <w:rPr>
          <w:rFonts w:ascii="Arial" w:hAnsi="Arial" w:cs="Arial"/>
          <w:b/>
          <w:bCs/>
          <w:sz w:val="22"/>
          <w:szCs w:val="22"/>
        </w:rPr>
        <w:t xml:space="preserve">Purse-seine fisheries: </w:t>
      </w:r>
      <w:r w:rsidRPr="0018202F">
        <w:rPr>
          <w:rFonts w:ascii="Arial" w:hAnsi="Arial" w:cs="Arial"/>
          <w:sz w:val="22"/>
          <w:szCs w:val="22"/>
        </w:rPr>
        <w:t>Purse seining emerged in the mid-1960s (~10,400 t) and grew rapidly with synthetic nets and motors, climbing to ~37,100 t (early 1970s) and peaking near 191,500 t (2000) as small pelagics were heavily targeted. Since 2005, catches have moderated to ~53,000–67,000 t a year. This trend reflects both stock limitation of small pelagics and tighter FiA restrictions on encircling nets within 20 m depth zones.</w:t>
      </w:r>
    </w:p>
    <w:p w:rsidR="007C37D6" w:rsidRPr="0018202F" w:rsidRDefault="007C37D6" w:rsidP="007C37D6">
      <w:pPr>
        <w:spacing w:before="100" w:beforeAutospacing="1" w:after="100" w:afterAutospacing="1"/>
        <w:jc w:val="both"/>
        <w:rPr>
          <w:rFonts w:ascii="Arial" w:hAnsi="Arial" w:cs="Arial"/>
          <w:sz w:val="22"/>
          <w:szCs w:val="22"/>
        </w:rPr>
      </w:pPr>
      <w:r w:rsidRPr="0018202F">
        <w:rPr>
          <w:rFonts w:ascii="Arial" w:hAnsi="Arial" w:cs="Arial"/>
          <w:b/>
          <w:bCs/>
          <w:sz w:val="22"/>
          <w:szCs w:val="22"/>
        </w:rPr>
        <w:t xml:space="preserve">Small-scale gears: </w:t>
      </w:r>
      <w:r w:rsidRPr="0018202F">
        <w:rPr>
          <w:rFonts w:ascii="Arial" w:hAnsi="Arial" w:cs="Arial"/>
          <w:sz w:val="22"/>
          <w:szCs w:val="22"/>
        </w:rPr>
        <w:t>Subsistence and artisanal fishing gears (gillnets, traps, handlines) rose from ~11,000–14,000 tonnes in the 1960s–1970s to ~47,000 tonnes in the mid-1980s, then stabilized around 15,000–18,000 t after 2000—about 10% of marine landings—remaining crucial for food security in provinces such as Kep and Kampot. Although quantitatively smaller, small-scale gears underpin food security and coastal livelihoods. Their persistence signals the resilience of artisanal sectors under industrial pressure.</w:t>
      </w:r>
    </w:p>
    <w:p w:rsidR="007C37D6" w:rsidRPr="0018202F" w:rsidRDefault="007C37D6" w:rsidP="007C37D6">
      <w:pPr>
        <w:jc w:val="both"/>
        <w:rPr>
          <w:rFonts w:ascii="Arial" w:hAnsi="Arial" w:cs="Arial"/>
          <w:sz w:val="22"/>
          <w:szCs w:val="22"/>
        </w:rPr>
      </w:pPr>
      <w:r w:rsidRPr="0018202F">
        <w:rPr>
          <w:rFonts w:ascii="Arial" w:hAnsi="Arial" w:cs="Arial"/>
          <w:b/>
          <w:bCs/>
          <w:sz w:val="22"/>
          <w:szCs w:val="22"/>
        </w:rPr>
        <w:t>Other Gears (longlines, handlines, traps, and unknown):</w:t>
      </w:r>
      <w:r w:rsidRPr="0018202F">
        <w:rPr>
          <w:rFonts w:ascii="Arial" w:hAnsi="Arial" w:cs="Arial"/>
          <w:sz w:val="22"/>
          <w:szCs w:val="22"/>
        </w:rPr>
        <w:t xml:space="preserve"> Minor and variable, these gears collectively contributed less than 1% of national marine landings (e.g., 1,986 tonnes in 2019). Their presence reflects residual multi-gear operations in estuarine and reef zones, often tied to seasonal or subsistence activity.</w:t>
      </w:r>
    </w:p>
    <w:p w:rsidR="007C37D6" w:rsidRDefault="007C37D6" w:rsidP="00874FFD">
      <w:pPr>
        <w:pStyle w:val="Caption"/>
        <w:rPr>
          <w:rFonts w:ascii="Arial" w:hAnsi="Arial" w:cs="Arial"/>
          <w:color w:val="0070C0"/>
          <w:sz w:val="22"/>
          <w:szCs w:val="22"/>
        </w:rPr>
      </w:pPr>
    </w:p>
    <w:p w:rsidR="00874FFD" w:rsidRPr="0018202F" w:rsidRDefault="00874FFD" w:rsidP="00874FFD">
      <w:pPr>
        <w:pStyle w:val="Caption"/>
        <w:rPr>
          <w:rFonts w:ascii="Arial" w:hAnsi="Arial" w:cs="Arial"/>
          <w:sz w:val="22"/>
          <w:szCs w:val="22"/>
        </w:rPr>
      </w:pPr>
      <w:bookmarkStart w:id="55" w:name="_Ref215335649"/>
      <w:r w:rsidRPr="0018202F">
        <w:rPr>
          <w:rFonts w:ascii="Arial" w:hAnsi="Arial" w:cs="Arial"/>
          <w:color w:val="0070C0"/>
          <w:sz w:val="22"/>
          <w:szCs w:val="22"/>
        </w:rPr>
        <w:t>Annex Table 5-</w:t>
      </w:r>
      <w:r w:rsidRPr="0018202F">
        <w:rPr>
          <w:rFonts w:ascii="Arial" w:hAnsi="Arial" w:cs="Arial"/>
          <w:color w:val="0070C0"/>
          <w:sz w:val="22"/>
          <w:szCs w:val="22"/>
        </w:rPr>
        <w:fldChar w:fldCharType="begin"/>
      </w:r>
      <w:r w:rsidRPr="0018202F">
        <w:rPr>
          <w:rFonts w:ascii="Arial" w:hAnsi="Arial" w:cs="Arial"/>
          <w:color w:val="0070C0"/>
          <w:sz w:val="22"/>
          <w:szCs w:val="22"/>
        </w:rPr>
        <w:instrText xml:space="preserve"> SEQ Annex_Table_5- \* ARABIC </w:instrText>
      </w:r>
      <w:r w:rsidRPr="0018202F">
        <w:rPr>
          <w:rFonts w:ascii="Arial" w:hAnsi="Arial" w:cs="Arial"/>
          <w:color w:val="0070C0"/>
          <w:sz w:val="22"/>
          <w:szCs w:val="22"/>
        </w:rPr>
        <w:fldChar w:fldCharType="separate"/>
      </w:r>
      <w:r w:rsidR="00F72397">
        <w:rPr>
          <w:rFonts w:ascii="Arial" w:hAnsi="Arial" w:cs="Arial"/>
          <w:noProof/>
          <w:color w:val="0070C0"/>
          <w:sz w:val="22"/>
          <w:szCs w:val="22"/>
        </w:rPr>
        <w:t>4</w:t>
      </w:r>
      <w:r w:rsidRPr="0018202F">
        <w:rPr>
          <w:rFonts w:ascii="Arial" w:hAnsi="Arial" w:cs="Arial"/>
          <w:color w:val="0070C0"/>
          <w:sz w:val="22"/>
          <w:szCs w:val="22"/>
        </w:rPr>
        <w:fldChar w:fldCharType="end"/>
      </w:r>
      <w:bookmarkEnd w:id="54"/>
      <w:bookmarkEnd w:id="55"/>
      <w:r w:rsidRPr="0018202F">
        <w:rPr>
          <w:rFonts w:ascii="Arial" w:hAnsi="Arial" w:cs="Arial"/>
          <w:color w:val="0070C0"/>
          <w:sz w:val="22"/>
          <w:szCs w:val="22"/>
        </w:rPr>
        <w:t xml:space="preserve"> Marine Catches by Gear Type in Cambodian Waters (tonne)</w:t>
      </w:r>
    </w:p>
    <w:tbl>
      <w:tblPr>
        <w:tblStyle w:val="GridTable4-Accent5"/>
        <w:tblW w:w="8915" w:type="dxa"/>
        <w:tblLook w:val="04A0" w:firstRow="1" w:lastRow="0" w:firstColumn="1" w:lastColumn="0" w:noHBand="0" w:noVBand="1"/>
      </w:tblPr>
      <w:tblGrid>
        <w:gridCol w:w="1783"/>
        <w:gridCol w:w="1783"/>
        <w:gridCol w:w="1783"/>
        <w:gridCol w:w="1783"/>
        <w:gridCol w:w="1783"/>
      </w:tblGrid>
      <w:tr w:rsidR="00874FFD" w:rsidRPr="0018202F" w:rsidTr="00550DBE">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rPr>
                <w:rFonts w:ascii="Arial" w:hAnsi="Arial" w:cs="Arial"/>
                <w:b w:val="0"/>
                <w:bCs w:val="0"/>
                <w:sz w:val="20"/>
                <w:szCs w:val="20"/>
              </w:rPr>
            </w:pPr>
            <w:r w:rsidRPr="0018202F">
              <w:rPr>
                <w:rFonts w:ascii="Arial" w:hAnsi="Arial" w:cs="Arial"/>
                <w:sz w:val="20"/>
                <w:szCs w:val="20"/>
              </w:rPr>
              <w:t>Year</w:t>
            </w:r>
          </w:p>
        </w:tc>
        <w:tc>
          <w:tcPr>
            <w:tcW w:w="1783" w:type="dxa"/>
            <w:noWrap/>
            <w:hideMark/>
          </w:tcPr>
          <w:p w:rsidR="00874FFD" w:rsidRPr="0018202F" w:rsidRDefault="00874FF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18202F">
              <w:rPr>
                <w:rFonts w:ascii="Arial" w:hAnsi="Arial" w:cs="Arial"/>
                <w:sz w:val="20"/>
                <w:szCs w:val="20"/>
              </w:rPr>
              <w:t>Trawl</w:t>
            </w:r>
          </w:p>
        </w:tc>
        <w:tc>
          <w:tcPr>
            <w:tcW w:w="1783" w:type="dxa"/>
            <w:noWrap/>
            <w:hideMark/>
          </w:tcPr>
          <w:p w:rsidR="00874FFD" w:rsidRPr="0018202F" w:rsidRDefault="00874FF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18202F">
              <w:rPr>
                <w:rFonts w:ascii="Arial" w:hAnsi="Arial" w:cs="Arial"/>
                <w:sz w:val="20"/>
                <w:szCs w:val="20"/>
              </w:rPr>
              <w:t>Purse seine</w:t>
            </w:r>
          </w:p>
        </w:tc>
        <w:tc>
          <w:tcPr>
            <w:tcW w:w="1783" w:type="dxa"/>
            <w:noWrap/>
            <w:hideMark/>
          </w:tcPr>
          <w:p w:rsidR="00874FFD" w:rsidRPr="0018202F" w:rsidRDefault="00874FF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18202F">
              <w:rPr>
                <w:rFonts w:ascii="Arial" w:hAnsi="Arial" w:cs="Arial"/>
                <w:sz w:val="20"/>
                <w:szCs w:val="20"/>
              </w:rPr>
              <w:t xml:space="preserve">Small-scale gears </w:t>
            </w:r>
          </w:p>
        </w:tc>
        <w:tc>
          <w:tcPr>
            <w:tcW w:w="1783" w:type="dxa"/>
            <w:noWrap/>
            <w:hideMark/>
          </w:tcPr>
          <w:p w:rsidR="00874FFD" w:rsidRPr="0018202F" w:rsidRDefault="00874FF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18202F">
              <w:rPr>
                <w:rFonts w:ascii="Arial" w:hAnsi="Arial" w:cs="Arial"/>
                <w:sz w:val="20"/>
                <w:szCs w:val="20"/>
              </w:rPr>
              <w:t>Others</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1960</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15,900</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1961</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964</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26,237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2</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1962</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996</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24,180</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1963</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1,034</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17,786</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2</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1964</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1,089</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18,096</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1965</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26,479</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10,448</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11,609</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0</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1966</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35,321</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14,883</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11,926</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0</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1967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43,991</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18,814</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12,246</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0</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1968</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51,291</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20,873</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12,570</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1969</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58,958</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23,206</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12,897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1970</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71,875</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33,463</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13,227</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6</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1971</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80,486</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33,790</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13,561</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1972</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87,707</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37,123</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13,898</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7</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1973</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74,207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35,186</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14,239</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7</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1974</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71,379</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35,891</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14,582</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6</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1975</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69,967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37,889</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1,493</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7</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1976</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57,369</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32,439</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1,479</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10</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1977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67,315</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43,224</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1,465</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7</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1978</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69,154</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44,822</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1,451</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0</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1979</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64,043</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43,410</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1,435</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0</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1980</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59,144</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38,878</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11,888</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6</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1981</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74,097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53,839</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16,622</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35</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1982</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82,655</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57,700</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23,062</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111</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1983</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88,293</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71,940</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30,317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190</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1984</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87,215</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68,106</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38,579</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89</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1985</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95,021</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75,984</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47,519</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145</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1986</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107,724</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81,110</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47,775</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236</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1987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131,685</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96,714</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47,498</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543</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1988</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126,418</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99,052</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47,390</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355</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1989</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133,176</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101,253</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46,655</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460</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1990</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153,674</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108,375</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45,622</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523</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1991</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149,627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110,901</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44,231</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600</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1992</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156,208</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132,184</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42,205</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968</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1993</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156,035</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128,059</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41,608</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778</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1994</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153,105</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145,527</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40,190</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938</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1995</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158,694</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148,784</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38,439</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932</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1996</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158,521</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149,475</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36,372</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714</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1997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156,602</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148,708</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33,800</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448</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1998</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156,924</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150,390</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42,609</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575</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1999</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172,586</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183,898</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30,423</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1,305</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2000</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174,434</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191,546</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30,148</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1,448</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2001</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177,634</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173,241</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28,500</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1,434</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2002</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181,024</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177,998</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27,119</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1,130</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2003</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180,536</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168,557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24,992</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1,560</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2004</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175,633</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163,826</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27,258</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1,611</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2005</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176,611</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161,134</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24,637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1,930</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2006</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158,331</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139,535</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22,450</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1,749</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2007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152,662</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134,268</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19,854</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1,875</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2008</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96,655</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39,517</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26,085</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2,324</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2009</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104,295</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45,002</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15,442</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1,434</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2010</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92,606</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57,656</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15,677</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1,612</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2011</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114,197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66,367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15,876</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1,744</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2012</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119,516</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70,761</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16,526</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1,754</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2013</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111,572</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56,554</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16,747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1,810</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2014</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125,749</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62,512</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17,111</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1,674</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2015</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119,318</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58,021</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17,397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1,694</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2016</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118,096</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53,239</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17,334</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1,688</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2017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118,362</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53,555</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17,607</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1,714</w:t>
            </w:r>
          </w:p>
        </w:tc>
      </w:tr>
      <w:tr w:rsidR="00874FFD" w:rsidRPr="0018202F" w:rsidTr="00550DB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2018</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138,010</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67,097</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17,630</w:t>
            </w:r>
          </w:p>
        </w:tc>
        <w:tc>
          <w:tcPr>
            <w:tcW w:w="1783" w:type="dxa"/>
            <w:noWrap/>
            <w:hideMark/>
          </w:tcPr>
          <w:p w:rsidR="00874FFD" w:rsidRPr="0018202F" w:rsidRDefault="00874FF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1,972</w:t>
            </w:r>
          </w:p>
        </w:tc>
      </w:tr>
      <w:tr w:rsidR="00874FFD" w:rsidRPr="0018202F" w:rsidTr="00550DBE">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874FFD" w:rsidRPr="0018202F" w:rsidRDefault="00874FFD" w:rsidP="00550DBE">
            <w:pPr>
              <w:jc w:val="center"/>
              <w:rPr>
                <w:rFonts w:ascii="Arial" w:hAnsi="Arial" w:cs="Arial"/>
                <w:color w:val="000000"/>
                <w:sz w:val="20"/>
                <w:szCs w:val="20"/>
              </w:rPr>
            </w:pPr>
            <w:r w:rsidRPr="0018202F">
              <w:rPr>
                <w:rFonts w:ascii="Arial" w:hAnsi="Arial" w:cs="Arial"/>
                <w:color w:val="000000"/>
                <w:sz w:val="20"/>
                <w:szCs w:val="20"/>
              </w:rPr>
              <w:t>2019</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128,483</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63,634</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17,644</w:t>
            </w:r>
          </w:p>
        </w:tc>
        <w:tc>
          <w:tcPr>
            <w:tcW w:w="1783" w:type="dxa"/>
            <w:noWrap/>
            <w:hideMark/>
          </w:tcPr>
          <w:p w:rsidR="00874FFD" w:rsidRPr="0018202F" w:rsidRDefault="00874FF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8202F">
              <w:rPr>
                <w:rFonts w:ascii="Arial" w:hAnsi="Arial" w:cs="Arial"/>
                <w:color w:val="000000"/>
                <w:sz w:val="20"/>
                <w:szCs w:val="20"/>
              </w:rPr>
              <w:t>1,986</w:t>
            </w:r>
          </w:p>
        </w:tc>
      </w:tr>
    </w:tbl>
    <w:p w:rsidR="00874FFD" w:rsidRPr="0018202F" w:rsidRDefault="00874FFD" w:rsidP="00874FFD">
      <w:pPr>
        <w:rPr>
          <w:rFonts w:ascii="Arial" w:hAnsi="Arial" w:cs="Arial"/>
          <w:sz w:val="22"/>
          <w:szCs w:val="22"/>
        </w:rPr>
      </w:pPr>
      <w:r w:rsidRPr="0018202F">
        <w:rPr>
          <w:rFonts w:ascii="Arial" w:hAnsi="Arial" w:cs="Arial"/>
          <w:b/>
          <w:bCs/>
          <w:sz w:val="20"/>
          <w:szCs w:val="20"/>
        </w:rPr>
        <w:t xml:space="preserve">Source: </w:t>
      </w:r>
      <w:r w:rsidRPr="0018202F">
        <w:rPr>
          <w:rFonts w:ascii="Arial" w:hAnsi="Arial" w:cs="Arial"/>
          <w:sz w:val="20"/>
          <w:szCs w:val="20"/>
        </w:rPr>
        <w:t xml:space="preserve">Sea Around Us (SAU), 2024. Catches by Gear in the waters of Cambodia </w:t>
      </w:r>
    </w:p>
    <w:p w:rsidR="00874FFD" w:rsidRDefault="00874FFD" w:rsidP="0018202F">
      <w:pPr>
        <w:pStyle w:val="Caption"/>
        <w:rPr>
          <w:rFonts w:ascii="Arial" w:hAnsi="Arial" w:cs="Arial"/>
          <w:color w:val="0070C0"/>
          <w:sz w:val="22"/>
          <w:szCs w:val="22"/>
        </w:rPr>
      </w:pPr>
    </w:p>
    <w:p w:rsidR="0018202F" w:rsidRPr="0018202F" w:rsidRDefault="0018202F" w:rsidP="0018202F">
      <w:pPr>
        <w:pStyle w:val="Caption"/>
        <w:rPr>
          <w:rFonts w:ascii="Arial" w:hAnsi="Arial" w:cs="Arial"/>
          <w:sz w:val="22"/>
          <w:szCs w:val="22"/>
        </w:rPr>
      </w:pPr>
      <w:bookmarkStart w:id="56" w:name="_Ref215335562"/>
      <w:r w:rsidRPr="0018202F">
        <w:rPr>
          <w:rFonts w:ascii="Arial" w:hAnsi="Arial" w:cs="Arial"/>
          <w:color w:val="0070C0"/>
          <w:sz w:val="22"/>
          <w:szCs w:val="22"/>
        </w:rPr>
        <w:t>Annex Table 5-</w:t>
      </w:r>
      <w:r w:rsidRPr="0018202F">
        <w:rPr>
          <w:rFonts w:ascii="Arial" w:hAnsi="Arial" w:cs="Arial"/>
          <w:color w:val="0070C0"/>
          <w:sz w:val="22"/>
          <w:szCs w:val="22"/>
        </w:rPr>
        <w:fldChar w:fldCharType="begin"/>
      </w:r>
      <w:r w:rsidRPr="0018202F">
        <w:rPr>
          <w:rFonts w:ascii="Arial" w:hAnsi="Arial" w:cs="Arial"/>
          <w:color w:val="0070C0"/>
          <w:sz w:val="22"/>
          <w:szCs w:val="22"/>
        </w:rPr>
        <w:instrText xml:space="preserve"> SEQ Annex_Table_5- \* ARABIC </w:instrText>
      </w:r>
      <w:r w:rsidRPr="0018202F">
        <w:rPr>
          <w:rFonts w:ascii="Arial" w:hAnsi="Arial" w:cs="Arial"/>
          <w:color w:val="0070C0"/>
          <w:sz w:val="22"/>
          <w:szCs w:val="22"/>
        </w:rPr>
        <w:fldChar w:fldCharType="separate"/>
      </w:r>
      <w:r w:rsidR="00F72397">
        <w:rPr>
          <w:rFonts w:ascii="Arial" w:hAnsi="Arial" w:cs="Arial"/>
          <w:noProof/>
          <w:color w:val="0070C0"/>
          <w:sz w:val="22"/>
          <w:szCs w:val="22"/>
        </w:rPr>
        <w:t>5</w:t>
      </w:r>
      <w:r w:rsidRPr="0018202F">
        <w:rPr>
          <w:rFonts w:ascii="Arial" w:hAnsi="Arial" w:cs="Arial"/>
          <w:color w:val="0070C0"/>
          <w:sz w:val="22"/>
          <w:szCs w:val="22"/>
        </w:rPr>
        <w:fldChar w:fldCharType="end"/>
      </w:r>
      <w:bookmarkEnd w:id="56"/>
      <w:r w:rsidRPr="0018202F">
        <w:rPr>
          <w:rFonts w:ascii="Arial" w:hAnsi="Arial" w:cs="Arial"/>
          <w:color w:val="0070C0"/>
          <w:sz w:val="22"/>
          <w:szCs w:val="22"/>
        </w:rPr>
        <w:t xml:space="preserve"> Aquaculture production &amp; value (FAO). </w:t>
      </w:r>
    </w:p>
    <w:tbl>
      <w:tblPr>
        <w:tblStyle w:val="GridTable4-Accent5"/>
        <w:tblW w:w="8423" w:type="dxa"/>
        <w:tblLook w:val="04A0" w:firstRow="1" w:lastRow="0" w:firstColumn="1" w:lastColumn="0" w:noHBand="0" w:noVBand="1"/>
      </w:tblPr>
      <w:tblGrid>
        <w:gridCol w:w="722"/>
        <w:gridCol w:w="976"/>
        <w:gridCol w:w="1151"/>
        <w:gridCol w:w="917"/>
        <w:gridCol w:w="859"/>
        <w:gridCol w:w="917"/>
        <w:gridCol w:w="754"/>
        <w:gridCol w:w="976"/>
        <w:gridCol w:w="1151"/>
      </w:tblGrid>
      <w:tr w:rsidR="00874FFD" w:rsidRPr="00874FFD" w:rsidTr="00550DBE">
        <w:trPr>
          <w:cnfStyle w:val="100000000000" w:firstRow="1" w:lastRow="0" w:firstColumn="0" w:lastColumn="0" w:oddVBand="0" w:evenVBand="0" w:oddHBand="0"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722" w:type="dxa"/>
            <w:vMerge w:val="restart"/>
            <w:hideMark/>
          </w:tcPr>
          <w:p w:rsidR="0018202F" w:rsidRPr="00874FFD" w:rsidRDefault="0018202F" w:rsidP="00550DBE">
            <w:pPr>
              <w:jc w:val="center"/>
              <w:rPr>
                <w:rFonts w:ascii="Arial" w:hAnsi="Arial" w:cs="Arial"/>
                <w:b w:val="0"/>
                <w:bCs w:val="0"/>
                <w:sz w:val="20"/>
                <w:szCs w:val="20"/>
              </w:rPr>
            </w:pPr>
            <w:r w:rsidRPr="00874FFD">
              <w:rPr>
                <w:rFonts w:ascii="Arial" w:hAnsi="Arial" w:cs="Arial"/>
                <w:sz w:val="20"/>
                <w:szCs w:val="20"/>
              </w:rPr>
              <w:t>Year</w:t>
            </w:r>
          </w:p>
        </w:tc>
        <w:tc>
          <w:tcPr>
            <w:tcW w:w="2127" w:type="dxa"/>
            <w:gridSpan w:val="2"/>
            <w:hideMark/>
          </w:tcPr>
          <w:p w:rsidR="0018202F" w:rsidRPr="00874FFD" w:rsidRDefault="0018202F"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874FFD">
              <w:rPr>
                <w:rFonts w:ascii="Arial" w:hAnsi="Arial" w:cs="Arial"/>
                <w:sz w:val="20"/>
                <w:szCs w:val="20"/>
              </w:rPr>
              <w:t xml:space="preserve">Aquaculture </w:t>
            </w:r>
          </w:p>
        </w:tc>
        <w:tc>
          <w:tcPr>
            <w:tcW w:w="1776" w:type="dxa"/>
            <w:gridSpan w:val="2"/>
            <w:hideMark/>
          </w:tcPr>
          <w:p w:rsidR="0018202F" w:rsidRPr="00874FFD" w:rsidRDefault="0018202F"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874FFD">
              <w:rPr>
                <w:rFonts w:ascii="Arial" w:hAnsi="Arial" w:cs="Arial"/>
                <w:sz w:val="20"/>
                <w:szCs w:val="20"/>
              </w:rPr>
              <w:t>Marine</w:t>
            </w:r>
          </w:p>
        </w:tc>
        <w:tc>
          <w:tcPr>
            <w:tcW w:w="1671" w:type="dxa"/>
            <w:gridSpan w:val="2"/>
            <w:hideMark/>
          </w:tcPr>
          <w:p w:rsidR="0018202F" w:rsidRPr="00874FFD" w:rsidRDefault="0018202F"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874FFD">
              <w:rPr>
                <w:rFonts w:ascii="Arial" w:hAnsi="Arial" w:cs="Arial"/>
                <w:sz w:val="20"/>
                <w:szCs w:val="20"/>
              </w:rPr>
              <w:t>Brackishwater</w:t>
            </w:r>
          </w:p>
        </w:tc>
        <w:tc>
          <w:tcPr>
            <w:tcW w:w="2127" w:type="dxa"/>
            <w:gridSpan w:val="2"/>
            <w:hideMark/>
          </w:tcPr>
          <w:p w:rsidR="0018202F" w:rsidRPr="00874FFD" w:rsidRDefault="0018202F"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874FFD">
              <w:rPr>
                <w:rFonts w:ascii="Arial" w:hAnsi="Arial" w:cs="Arial"/>
                <w:sz w:val="20"/>
                <w:szCs w:val="20"/>
              </w:rPr>
              <w:t>Freshwater</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609"/>
        </w:trPr>
        <w:tc>
          <w:tcPr>
            <w:cnfStyle w:val="001000000000" w:firstRow="0" w:lastRow="0" w:firstColumn="1" w:lastColumn="0" w:oddVBand="0" w:evenVBand="0" w:oddHBand="0" w:evenHBand="0" w:firstRowFirstColumn="0" w:firstRowLastColumn="0" w:lastRowFirstColumn="0" w:lastRowLastColumn="0"/>
            <w:tcW w:w="722" w:type="dxa"/>
            <w:vMerge/>
            <w:hideMark/>
          </w:tcPr>
          <w:p w:rsidR="0018202F" w:rsidRPr="00874FFD" w:rsidRDefault="0018202F" w:rsidP="00550DBE">
            <w:pPr>
              <w:rPr>
                <w:rFonts w:ascii="Arial" w:hAnsi="Arial" w:cs="Arial"/>
                <w:b w:val="0"/>
                <w:bCs w:val="0"/>
                <w:color w:val="002060"/>
                <w:sz w:val="20"/>
                <w:szCs w:val="20"/>
              </w:rPr>
            </w:pPr>
          </w:p>
        </w:tc>
        <w:tc>
          <w:tcPr>
            <w:tcW w:w="976" w:type="dxa"/>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Tonnes - live weight</w:t>
            </w:r>
          </w:p>
        </w:tc>
        <w:tc>
          <w:tcPr>
            <w:tcW w:w="1151" w:type="dxa"/>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Value (USD 1000)</w:t>
            </w:r>
          </w:p>
        </w:tc>
        <w:tc>
          <w:tcPr>
            <w:tcW w:w="917" w:type="dxa"/>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Tonnes - live weight</w:t>
            </w:r>
          </w:p>
        </w:tc>
        <w:tc>
          <w:tcPr>
            <w:tcW w:w="859" w:type="dxa"/>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Value (USD 1000)</w:t>
            </w:r>
          </w:p>
        </w:tc>
        <w:tc>
          <w:tcPr>
            <w:tcW w:w="917" w:type="dxa"/>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Tonnes - live weight</w:t>
            </w:r>
          </w:p>
        </w:tc>
        <w:tc>
          <w:tcPr>
            <w:tcW w:w="754" w:type="dxa"/>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Value (USD 1000)</w:t>
            </w:r>
          </w:p>
        </w:tc>
        <w:tc>
          <w:tcPr>
            <w:tcW w:w="976" w:type="dxa"/>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Tonnes - live weight</w:t>
            </w:r>
          </w:p>
        </w:tc>
        <w:tc>
          <w:tcPr>
            <w:tcW w:w="1151" w:type="dxa"/>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Value (USD 1000)</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1976</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w:t>
            </w:r>
          </w:p>
        </w:tc>
        <w:tc>
          <w:tcPr>
            <w:tcW w:w="1151" w:type="dxa"/>
            <w:noWrap/>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w:t>
            </w:r>
          </w:p>
        </w:tc>
        <w:tc>
          <w:tcPr>
            <w:tcW w:w="1151" w:type="dxa"/>
            <w:noWrap/>
            <w:hideMark/>
          </w:tcPr>
          <w:p w:rsidR="0018202F" w:rsidRPr="00874FFD" w:rsidRDefault="0018202F" w:rsidP="00550DBE">
            <w:pP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1977</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11</w:t>
            </w:r>
          </w:p>
        </w:tc>
        <w:tc>
          <w:tcPr>
            <w:tcW w:w="1151" w:type="dxa"/>
            <w:noWrap/>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11</w:t>
            </w:r>
          </w:p>
        </w:tc>
        <w:tc>
          <w:tcPr>
            <w:tcW w:w="1151" w:type="dxa"/>
            <w:noWrap/>
            <w:hideMark/>
          </w:tcPr>
          <w:p w:rsidR="0018202F" w:rsidRPr="00874FFD" w:rsidRDefault="0018202F" w:rsidP="00550DBE">
            <w:pP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1978</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25</w:t>
            </w:r>
          </w:p>
        </w:tc>
        <w:tc>
          <w:tcPr>
            <w:tcW w:w="1151" w:type="dxa"/>
            <w:noWrap/>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25</w:t>
            </w:r>
          </w:p>
        </w:tc>
        <w:tc>
          <w:tcPr>
            <w:tcW w:w="1151" w:type="dxa"/>
            <w:noWrap/>
            <w:hideMark/>
          </w:tcPr>
          <w:p w:rsidR="0018202F" w:rsidRPr="00874FFD" w:rsidRDefault="0018202F" w:rsidP="00550DBE">
            <w:pP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1979</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53</w:t>
            </w:r>
          </w:p>
        </w:tc>
        <w:tc>
          <w:tcPr>
            <w:tcW w:w="1151" w:type="dxa"/>
            <w:noWrap/>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53</w:t>
            </w:r>
          </w:p>
        </w:tc>
        <w:tc>
          <w:tcPr>
            <w:tcW w:w="1151" w:type="dxa"/>
            <w:noWrap/>
            <w:hideMark/>
          </w:tcPr>
          <w:p w:rsidR="0018202F" w:rsidRPr="00874FFD" w:rsidRDefault="0018202F" w:rsidP="00550DBE">
            <w:pP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1980</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106</w:t>
            </w:r>
          </w:p>
        </w:tc>
        <w:tc>
          <w:tcPr>
            <w:tcW w:w="1151" w:type="dxa"/>
            <w:noWrap/>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106</w:t>
            </w:r>
          </w:p>
        </w:tc>
        <w:tc>
          <w:tcPr>
            <w:tcW w:w="1151" w:type="dxa"/>
            <w:noWrap/>
            <w:hideMark/>
          </w:tcPr>
          <w:p w:rsidR="0018202F" w:rsidRPr="00874FFD" w:rsidRDefault="0018202F" w:rsidP="00550DBE">
            <w:pP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1981</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240</w:t>
            </w:r>
          </w:p>
        </w:tc>
        <w:tc>
          <w:tcPr>
            <w:tcW w:w="1151" w:type="dxa"/>
            <w:noWrap/>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240</w:t>
            </w:r>
          </w:p>
        </w:tc>
        <w:tc>
          <w:tcPr>
            <w:tcW w:w="1151" w:type="dxa"/>
            <w:noWrap/>
            <w:hideMark/>
          </w:tcPr>
          <w:p w:rsidR="0018202F" w:rsidRPr="00874FFD" w:rsidRDefault="0018202F" w:rsidP="00550DBE">
            <w:pP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1982</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464</w:t>
            </w:r>
          </w:p>
        </w:tc>
        <w:tc>
          <w:tcPr>
            <w:tcW w:w="1151" w:type="dxa"/>
            <w:noWrap/>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464</w:t>
            </w:r>
          </w:p>
        </w:tc>
        <w:tc>
          <w:tcPr>
            <w:tcW w:w="1151" w:type="dxa"/>
            <w:noWrap/>
            <w:hideMark/>
          </w:tcPr>
          <w:p w:rsidR="0018202F" w:rsidRPr="00874FFD" w:rsidRDefault="0018202F" w:rsidP="00550DBE">
            <w:pP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1983</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934</w:t>
            </w:r>
          </w:p>
        </w:tc>
        <w:tc>
          <w:tcPr>
            <w:tcW w:w="1151" w:type="dxa"/>
            <w:noWrap/>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934</w:t>
            </w:r>
          </w:p>
        </w:tc>
        <w:tc>
          <w:tcPr>
            <w:tcW w:w="1151" w:type="dxa"/>
            <w:noWrap/>
            <w:hideMark/>
          </w:tcPr>
          <w:p w:rsidR="0018202F" w:rsidRPr="00874FFD" w:rsidRDefault="0018202F" w:rsidP="00550DBE">
            <w:pP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 </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1984</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1,610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2,543</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1,610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2,543</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1985</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3,000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5,005</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3,000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5,005</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1986</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2,200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3,933</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2,200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3,933</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1987</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2,500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4,757</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2,500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4,757</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1988</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4,600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9,356</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4,600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9,356</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1989</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5,538</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11,900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5,538</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11,900</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1990</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6,400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13,943</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6,400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13,943</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1991</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6,700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15,332</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6,700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15,332</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1992</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8,550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18,869</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8,550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18,869</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1993</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7,900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19,758</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500</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2,860</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7,400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16,898</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1994</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8,200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20,694</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560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3,248</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7,640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17,446</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1995</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9,511</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23,530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731</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4,240</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8,780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19,291</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1996</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9,600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23,252</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600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3,480</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9,000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19,772</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1997</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11,800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25,957</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266</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1,569</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11,534</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24,387</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1998</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14,100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28,847</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1,515</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2,764</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12,585</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26,083</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1999</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15,000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29,383</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712</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1,197</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14,288</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28,186</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2000</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14,430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28,275</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428</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656</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14,002</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27,618</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2001</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17,500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28,836</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3,500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875</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537</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1,399</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13,463</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26,562</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2002</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18,250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27,510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3,650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913</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467</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803</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14,133</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25,795</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2003</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26,300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35,726</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7,800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1,950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614</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1,131</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17,886</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32,645</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2004</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37,515</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40,935</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16,840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4,210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775</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1,285</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19,900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35,440</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2005</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44,000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49,947</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18,000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4,500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1,000</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1,707</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25,000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43,740</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2006</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41,010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62,241</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6,810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1,703</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1,400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1,968</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32,800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58,570</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2007</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35,260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62,767</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1,360</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2,027</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33,900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60,740</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2008</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40,000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70,470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1,560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3,815</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90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450</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38,350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66,205</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2009</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50,000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91,548</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1,940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4,320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95</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475</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47,965</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86,753</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2010 (a)</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60,000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112,570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2,120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5,060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100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500</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57,780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107,010</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2011</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72,000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136,850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2,500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6,000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120</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600</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69,380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130,250</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2012</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74,000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144,530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2,810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6,380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160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800</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71,030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137,350</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2013</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90,000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174,540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3,250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7,100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160</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800</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86,590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166,640</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2014</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120,055</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226,143</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4,350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9,600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170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850</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115,535</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215,693</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2015</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145,000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270,975</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3,400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8,140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170</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850</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141,430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261,985</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2016</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172,500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321,303</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9,744</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20,476</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1,053</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5,265</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161,703</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295,562</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2017</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207,500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616,770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10,150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21,540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1,070</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5,350</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196,280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589,880</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2018</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254,050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754,210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12,160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24,670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1,280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6,400</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240,610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723,140</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2019</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307,408</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924,939</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13,988</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27,824</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1,340</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6,700</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292,080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890,415</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2020</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400,400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1,209,505</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18,000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34,720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1,720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8,600</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380,680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1,166,185</w:t>
            </w:r>
          </w:p>
        </w:tc>
      </w:tr>
      <w:tr w:rsidR="00874FFD" w:rsidRPr="00874FFD" w:rsidTr="00550DBE">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2021</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348,350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1,051,925</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15,670</w:t>
            </w:r>
          </w:p>
        </w:tc>
        <w:tc>
          <w:tcPr>
            <w:tcW w:w="859"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30,220</w:t>
            </w:r>
          </w:p>
        </w:tc>
        <w:tc>
          <w:tcPr>
            <w:tcW w:w="917"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1,490</w:t>
            </w:r>
          </w:p>
        </w:tc>
        <w:tc>
          <w:tcPr>
            <w:tcW w:w="754"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7,450</w:t>
            </w:r>
          </w:p>
        </w:tc>
        <w:tc>
          <w:tcPr>
            <w:tcW w:w="976"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331,190</w:t>
            </w:r>
          </w:p>
        </w:tc>
        <w:tc>
          <w:tcPr>
            <w:tcW w:w="1151" w:type="dxa"/>
            <w:noWrap/>
            <w:hideMark/>
          </w:tcPr>
          <w:p w:rsidR="0018202F" w:rsidRPr="00874FFD" w:rsidRDefault="0018202F"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1,014,255</w:t>
            </w:r>
          </w:p>
        </w:tc>
      </w:tr>
      <w:tr w:rsidR="00874FFD" w:rsidRPr="00874FFD" w:rsidTr="00550DBE">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18202F" w:rsidRPr="00874FFD" w:rsidRDefault="0018202F" w:rsidP="00550DBE">
            <w:pPr>
              <w:jc w:val="center"/>
              <w:rPr>
                <w:rFonts w:ascii="Arial" w:hAnsi="Arial" w:cs="Arial"/>
                <w:color w:val="002060"/>
                <w:sz w:val="20"/>
                <w:szCs w:val="20"/>
              </w:rPr>
            </w:pPr>
            <w:r w:rsidRPr="00874FFD">
              <w:rPr>
                <w:rFonts w:ascii="Arial" w:hAnsi="Arial" w:cs="Arial"/>
                <w:color w:val="002060"/>
                <w:sz w:val="20"/>
                <w:szCs w:val="20"/>
              </w:rPr>
              <w:t>2022</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330,600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998,865</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14,890</w:t>
            </w:r>
          </w:p>
        </w:tc>
        <w:tc>
          <w:tcPr>
            <w:tcW w:w="859"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28,810</w:t>
            </w:r>
          </w:p>
        </w:tc>
        <w:tc>
          <w:tcPr>
            <w:tcW w:w="917"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1,400</w:t>
            </w:r>
          </w:p>
        </w:tc>
        <w:tc>
          <w:tcPr>
            <w:tcW w:w="754"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7,000</w:t>
            </w:r>
          </w:p>
        </w:tc>
        <w:tc>
          <w:tcPr>
            <w:tcW w:w="976"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314,310</w:t>
            </w:r>
          </w:p>
        </w:tc>
        <w:tc>
          <w:tcPr>
            <w:tcW w:w="1151" w:type="dxa"/>
            <w:noWrap/>
            <w:hideMark/>
          </w:tcPr>
          <w:p w:rsidR="0018202F" w:rsidRPr="00874FFD" w:rsidRDefault="0018202F"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0"/>
                <w:szCs w:val="20"/>
              </w:rPr>
            </w:pPr>
            <w:r w:rsidRPr="00874FFD">
              <w:rPr>
                <w:rFonts w:ascii="Arial" w:hAnsi="Arial" w:cs="Arial"/>
                <w:color w:val="002060"/>
                <w:sz w:val="20"/>
                <w:szCs w:val="20"/>
              </w:rPr>
              <w:t>963,055</w:t>
            </w:r>
          </w:p>
        </w:tc>
      </w:tr>
    </w:tbl>
    <w:p w:rsidR="0018202F" w:rsidRPr="00874FFD" w:rsidRDefault="0018202F" w:rsidP="0018202F">
      <w:pPr>
        <w:pStyle w:val="Caption"/>
        <w:rPr>
          <w:rFonts w:ascii="Arial" w:hAnsi="Arial" w:cs="Arial"/>
          <w:color w:val="auto"/>
          <w:sz w:val="21"/>
          <w:szCs w:val="21"/>
        </w:rPr>
      </w:pPr>
      <w:r w:rsidRPr="00874FFD">
        <w:rPr>
          <w:rFonts w:ascii="Arial" w:hAnsi="Arial" w:cs="Arial"/>
          <w:b/>
          <w:bCs/>
          <w:color w:val="auto"/>
        </w:rPr>
        <w:t xml:space="preserve">Source: </w:t>
      </w:r>
      <w:r w:rsidRPr="00874FFD">
        <w:rPr>
          <w:rFonts w:ascii="Arial" w:hAnsi="Arial" w:cs="Arial"/>
          <w:color w:val="auto"/>
        </w:rPr>
        <w:t>FAO, 2024. FishStatJ.</w:t>
      </w:r>
    </w:p>
    <w:p w:rsidR="0018202F" w:rsidRPr="0018202F" w:rsidRDefault="0018202F" w:rsidP="009A66E1">
      <w:pPr>
        <w:rPr>
          <w:rStyle w:val="Strong"/>
          <w:rFonts w:ascii="Arial" w:hAnsi="Arial" w:cs="Arial"/>
          <w:i/>
          <w:iCs/>
          <w:color w:val="0070C0"/>
          <w:sz w:val="22"/>
          <w:szCs w:val="22"/>
        </w:rPr>
      </w:pPr>
    </w:p>
    <w:p w:rsidR="009A66E1" w:rsidRPr="0018202F" w:rsidRDefault="009A66E1" w:rsidP="009A66E1">
      <w:pPr>
        <w:rPr>
          <w:rStyle w:val="Strong"/>
          <w:rFonts w:ascii="Arial" w:hAnsi="Arial" w:cs="Arial"/>
          <w:i/>
          <w:iCs/>
          <w:color w:val="0070C0"/>
          <w:sz w:val="22"/>
          <w:szCs w:val="22"/>
        </w:rPr>
      </w:pPr>
      <w:r w:rsidRPr="0018202F">
        <w:rPr>
          <w:rStyle w:val="Strong"/>
          <w:rFonts w:ascii="Arial" w:hAnsi="Arial" w:cs="Arial"/>
          <w:i/>
          <w:iCs/>
          <w:color w:val="0070C0"/>
          <w:sz w:val="22"/>
          <w:szCs w:val="22"/>
        </w:rPr>
        <w:t>B2. Ecological Indicators</w:t>
      </w:r>
    </w:p>
    <w:p w:rsidR="009A66E1" w:rsidRDefault="009A66E1" w:rsidP="0018202F">
      <w:pPr>
        <w:pStyle w:val="NormalWeb"/>
        <w:jc w:val="both"/>
        <w:rPr>
          <w:rFonts w:ascii="Arial" w:hAnsi="Arial" w:cs="Arial"/>
          <w:sz w:val="22"/>
          <w:szCs w:val="22"/>
        </w:rPr>
      </w:pPr>
      <w:r w:rsidRPr="0018202F">
        <w:rPr>
          <w:rFonts w:ascii="Arial" w:hAnsi="Arial" w:cs="Arial"/>
          <w:sz w:val="22"/>
          <w:szCs w:val="22"/>
        </w:rPr>
        <w:t>Ecosystem indicators show a persistent decline in trophic integrity and biomass. MTI trends reflect the loss of larger predatory species, while FiB signals decades of effort expansion compensated by exploitation of lower-trophic species. PPR values exceeding 2.0 during peak years indicate ecological footprints surpassing carrying capacity. CPUE declines (&gt;80% since the 1960s) suggest substantial demersal biomass depletion. Habitat degradation—mangrove loss, seagrass decline, turbidity—further constrains recovery potential. Together, these indicators describe a system under high stress and low resilience.</w:t>
      </w:r>
    </w:p>
    <w:p w:rsidR="00874FFD" w:rsidRPr="0018202F" w:rsidRDefault="00874FFD" w:rsidP="0018202F">
      <w:pPr>
        <w:pStyle w:val="NormalWeb"/>
        <w:jc w:val="both"/>
        <w:rPr>
          <w:rFonts w:ascii="Arial" w:hAnsi="Arial" w:cs="Arial"/>
          <w:sz w:val="22"/>
          <w:szCs w:val="22"/>
        </w:rPr>
      </w:pPr>
      <w:r w:rsidRPr="0018202F">
        <w:rPr>
          <w:rFonts w:ascii="Arial" w:hAnsi="Arial" w:cs="Arial"/>
          <w:color w:val="0070C0"/>
          <w:sz w:val="22"/>
          <w:szCs w:val="22"/>
        </w:rPr>
        <w:t>Annex Table 5-</w:t>
      </w:r>
      <w:r w:rsidRPr="0018202F">
        <w:rPr>
          <w:rFonts w:ascii="Arial" w:hAnsi="Arial" w:cs="Arial"/>
          <w:color w:val="0070C0"/>
          <w:sz w:val="22"/>
          <w:szCs w:val="22"/>
        </w:rPr>
        <w:fldChar w:fldCharType="begin"/>
      </w:r>
      <w:r w:rsidRPr="0018202F">
        <w:rPr>
          <w:rFonts w:ascii="Arial" w:hAnsi="Arial" w:cs="Arial"/>
          <w:color w:val="0070C0"/>
          <w:sz w:val="22"/>
          <w:szCs w:val="22"/>
        </w:rPr>
        <w:instrText xml:space="preserve"> SEQ Annex_Table_5- \* ARABIC </w:instrText>
      </w:r>
      <w:r w:rsidRPr="0018202F">
        <w:rPr>
          <w:rFonts w:ascii="Arial" w:hAnsi="Arial" w:cs="Arial"/>
          <w:color w:val="0070C0"/>
          <w:sz w:val="22"/>
          <w:szCs w:val="22"/>
        </w:rPr>
        <w:fldChar w:fldCharType="separate"/>
      </w:r>
      <w:r w:rsidR="00F72397">
        <w:rPr>
          <w:rFonts w:ascii="Arial" w:hAnsi="Arial" w:cs="Arial"/>
          <w:noProof/>
          <w:color w:val="0070C0"/>
          <w:sz w:val="22"/>
          <w:szCs w:val="22"/>
        </w:rPr>
        <w:t>6</w:t>
      </w:r>
      <w:r w:rsidRPr="0018202F">
        <w:rPr>
          <w:rFonts w:ascii="Arial" w:hAnsi="Arial" w:cs="Arial"/>
          <w:color w:val="0070C0"/>
          <w:sz w:val="22"/>
          <w:szCs w:val="22"/>
        </w:rPr>
        <w:fldChar w:fldCharType="end"/>
      </w:r>
      <w:r>
        <w:rPr>
          <w:rFonts w:ascii="Arial" w:hAnsi="Arial" w:cs="Arial"/>
          <w:color w:val="0070C0"/>
          <w:sz w:val="22"/>
          <w:szCs w:val="22"/>
        </w:rPr>
        <w:t xml:space="preserve"> </w:t>
      </w:r>
      <w:r w:rsidRPr="00874FFD">
        <w:rPr>
          <w:rFonts w:ascii="Arial" w:hAnsi="Arial" w:cs="Arial"/>
          <w:color w:val="0070C0"/>
          <w:sz w:val="22"/>
          <w:szCs w:val="22"/>
        </w:rPr>
        <w:t>Ecological Indicators</w:t>
      </w:r>
    </w:p>
    <w:tbl>
      <w:tblPr>
        <w:tblStyle w:val="GridTable4-Accent5"/>
        <w:tblW w:w="0" w:type="auto"/>
        <w:tblLook w:val="04A0" w:firstRow="1" w:lastRow="0" w:firstColumn="1" w:lastColumn="0" w:noHBand="0" w:noVBand="1"/>
      </w:tblPr>
      <w:tblGrid>
        <w:gridCol w:w="1714"/>
        <w:gridCol w:w="4554"/>
        <w:gridCol w:w="1097"/>
        <w:gridCol w:w="1645"/>
      </w:tblGrid>
      <w:tr w:rsidR="009A66E1" w:rsidRPr="0018202F" w:rsidTr="009A66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jc w:val="center"/>
              <w:rPr>
                <w:rFonts w:ascii="Arial" w:hAnsi="Arial" w:cs="Arial"/>
                <w:sz w:val="21"/>
                <w:szCs w:val="21"/>
              </w:rPr>
            </w:pPr>
            <w:r w:rsidRPr="0018202F">
              <w:rPr>
                <w:rFonts w:ascii="Arial" w:hAnsi="Arial" w:cs="Arial"/>
                <w:sz w:val="21"/>
                <w:szCs w:val="21"/>
              </w:rPr>
              <w:t>Indicator</w:t>
            </w:r>
          </w:p>
        </w:tc>
        <w:tc>
          <w:tcPr>
            <w:tcW w:w="0" w:type="auto"/>
            <w:hideMark/>
          </w:tcPr>
          <w:p w:rsidR="009A66E1" w:rsidRPr="0018202F" w:rsidRDefault="009A66E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8202F">
              <w:rPr>
                <w:rFonts w:ascii="Arial" w:hAnsi="Arial" w:cs="Arial"/>
                <w:sz w:val="21"/>
                <w:szCs w:val="21"/>
              </w:rPr>
              <w:t>Definition</w:t>
            </w:r>
          </w:p>
        </w:tc>
        <w:tc>
          <w:tcPr>
            <w:tcW w:w="0" w:type="auto"/>
            <w:hideMark/>
          </w:tcPr>
          <w:p w:rsidR="009A66E1" w:rsidRPr="0018202F" w:rsidRDefault="009A66E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8202F">
              <w:rPr>
                <w:rFonts w:ascii="Arial" w:hAnsi="Arial" w:cs="Arial"/>
                <w:sz w:val="21"/>
                <w:szCs w:val="21"/>
              </w:rPr>
              <w:t>Units</w:t>
            </w:r>
          </w:p>
        </w:tc>
        <w:tc>
          <w:tcPr>
            <w:tcW w:w="0" w:type="auto"/>
            <w:hideMark/>
          </w:tcPr>
          <w:p w:rsidR="009A66E1" w:rsidRPr="0018202F" w:rsidRDefault="009A66E1">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8202F">
              <w:rPr>
                <w:rFonts w:ascii="Arial" w:hAnsi="Arial" w:cs="Arial"/>
                <w:sz w:val="21"/>
                <w:szCs w:val="21"/>
              </w:rPr>
              <w:t>Method Source</w:t>
            </w:r>
          </w:p>
        </w:tc>
      </w:tr>
      <w:tr w:rsidR="009A66E1" w:rsidRPr="0018202F" w:rsidTr="009A66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A66E1" w:rsidRPr="00874FFD" w:rsidRDefault="009A66E1">
            <w:pPr>
              <w:rPr>
                <w:rFonts w:ascii="Arial" w:hAnsi="Arial" w:cs="Arial"/>
                <w:b w:val="0"/>
                <w:bCs w:val="0"/>
                <w:sz w:val="21"/>
                <w:szCs w:val="21"/>
              </w:rPr>
            </w:pPr>
            <w:r w:rsidRPr="00874FFD">
              <w:rPr>
                <w:rStyle w:val="Strong"/>
                <w:rFonts w:ascii="Arial" w:hAnsi="Arial" w:cs="Arial"/>
                <w:b/>
                <w:bCs/>
                <w:sz w:val="21"/>
                <w:szCs w:val="21"/>
              </w:rPr>
              <w:t>Marine Trophic Index (MTI)</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8202F">
              <w:rPr>
                <w:rFonts w:ascii="Arial" w:hAnsi="Arial" w:cs="Arial"/>
                <w:sz w:val="21"/>
                <w:szCs w:val="21"/>
              </w:rPr>
              <w:t>Mean trophic level of catch</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8202F">
              <w:rPr>
                <w:rFonts w:ascii="Arial" w:hAnsi="Arial" w:cs="Arial"/>
                <w:sz w:val="21"/>
                <w:szCs w:val="21"/>
              </w:rPr>
              <w:t>Unitless</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8202F">
              <w:rPr>
                <w:rFonts w:ascii="Arial" w:hAnsi="Arial" w:cs="Arial"/>
                <w:sz w:val="21"/>
                <w:szCs w:val="21"/>
              </w:rPr>
              <w:t>SAUP algorithm</w:t>
            </w:r>
          </w:p>
        </w:tc>
      </w:tr>
      <w:tr w:rsidR="009A66E1" w:rsidRPr="0018202F" w:rsidTr="009A66E1">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rPr>
                <w:rFonts w:ascii="Arial" w:hAnsi="Arial" w:cs="Arial"/>
                <w:sz w:val="21"/>
                <w:szCs w:val="21"/>
              </w:rPr>
            </w:pPr>
            <w:r w:rsidRPr="0018202F">
              <w:rPr>
                <w:rStyle w:val="Strong"/>
                <w:rFonts w:ascii="Arial" w:hAnsi="Arial" w:cs="Arial"/>
                <w:sz w:val="21"/>
                <w:szCs w:val="21"/>
              </w:rPr>
              <w:t>Fishing-in-Balance Index (FiB)</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8202F">
              <w:rPr>
                <w:rFonts w:ascii="Arial" w:hAnsi="Arial" w:cs="Arial"/>
                <w:sz w:val="21"/>
                <w:szCs w:val="21"/>
              </w:rPr>
              <w:t>Expansion/compensation index</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8202F">
              <w:rPr>
                <w:rFonts w:ascii="Arial" w:hAnsi="Arial" w:cs="Arial"/>
                <w:sz w:val="21"/>
                <w:szCs w:val="21"/>
              </w:rPr>
              <w:t>Unitless</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8202F">
              <w:rPr>
                <w:rFonts w:ascii="Arial" w:hAnsi="Arial" w:cs="Arial"/>
                <w:sz w:val="21"/>
                <w:szCs w:val="21"/>
              </w:rPr>
              <w:t>Pauly &amp; Christensen (1995)</w:t>
            </w:r>
          </w:p>
        </w:tc>
      </w:tr>
      <w:tr w:rsidR="009A66E1" w:rsidRPr="0018202F" w:rsidTr="009A66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rPr>
                <w:rFonts w:ascii="Arial" w:hAnsi="Arial" w:cs="Arial"/>
                <w:sz w:val="21"/>
                <w:szCs w:val="21"/>
              </w:rPr>
            </w:pPr>
            <w:r w:rsidRPr="0018202F">
              <w:rPr>
                <w:rStyle w:val="Strong"/>
                <w:rFonts w:ascii="Arial" w:hAnsi="Arial" w:cs="Arial"/>
                <w:sz w:val="21"/>
                <w:szCs w:val="21"/>
              </w:rPr>
              <w:t>Primary Production Required (PPR)</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8202F">
              <w:rPr>
                <w:rFonts w:ascii="Arial" w:hAnsi="Arial" w:cs="Arial"/>
                <w:sz w:val="21"/>
                <w:szCs w:val="21"/>
              </w:rPr>
              <w:t>PP needed to sustain fisheries</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8202F">
              <w:rPr>
                <w:rFonts w:ascii="Arial" w:hAnsi="Arial" w:cs="Arial"/>
                <w:sz w:val="21"/>
                <w:szCs w:val="21"/>
              </w:rPr>
              <w:t>Fraction of PP</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8202F">
              <w:rPr>
                <w:rFonts w:ascii="Arial" w:hAnsi="Arial" w:cs="Arial"/>
                <w:sz w:val="21"/>
                <w:szCs w:val="21"/>
              </w:rPr>
              <w:t>SAUP</w:t>
            </w:r>
          </w:p>
        </w:tc>
      </w:tr>
      <w:tr w:rsidR="009A66E1" w:rsidRPr="0018202F" w:rsidTr="009A66E1">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rPr>
                <w:rFonts w:ascii="Arial" w:hAnsi="Arial" w:cs="Arial"/>
                <w:sz w:val="21"/>
                <w:szCs w:val="21"/>
              </w:rPr>
            </w:pPr>
            <w:r w:rsidRPr="0018202F">
              <w:rPr>
                <w:rStyle w:val="Strong"/>
                <w:rFonts w:ascii="Arial" w:hAnsi="Arial" w:cs="Arial"/>
                <w:sz w:val="21"/>
                <w:szCs w:val="21"/>
              </w:rPr>
              <w:t>Stock-status plots</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8202F">
              <w:rPr>
                <w:rFonts w:ascii="Arial" w:hAnsi="Arial" w:cs="Arial"/>
                <w:sz w:val="21"/>
                <w:szCs w:val="21"/>
              </w:rPr>
              <w:t>Composition of developing/exploited/overfished/collapsed stocks</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8202F">
              <w:rPr>
                <w:rFonts w:ascii="Arial" w:hAnsi="Arial" w:cs="Arial"/>
                <w:sz w:val="21"/>
                <w:szCs w:val="21"/>
              </w:rPr>
              <w:t>%</w:t>
            </w:r>
          </w:p>
        </w:tc>
        <w:tc>
          <w:tcPr>
            <w:tcW w:w="0" w:type="auto"/>
            <w:hideMark/>
          </w:tcPr>
          <w:p w:rsidR="009A66E1" w:rsidRPr="0018202F" w:rsidRDefault="009A66E1">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8202F">
              <w:rPr>
                <w:rFonts w:ascii="Arial" w:hAnsi="Arial" w:cs="Arial"/>
                <w:sz w:val="21"/>
                <w:szCs w:val="21"/>
              </w:rPr>
              <w:t>SAUP</w:t>
            </w:r>
          </w:p>
        </w:tc>
      </w:tr>
      <w:tr w:rsidR="009A66E1" w:rsidRPr="0018202F" w:rsidTr="009A66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A66E1" w:rsidRPr="0018202F" w:rsidRDefault="009A66E1">
            <w:pPr>
              <w:rPr>
                <w:rFonts w:ascii="Arial" w:hAnsi="Arial" w:cs="Arial"/>
                <w:sz w:val="21"/>
                <w:szCs w:val="21"/>
              </w:rPr>
            </w:pPr>
            <w:r w:rsidRPr="0018202F">
              <w:rPr>
                <w:rStyle w:val="Strong"/>
                <w:rFonts w:ascii="Arial" w:hAnsi="Arial" w:cs="Arial"/>
                <w:sz w:val="21"/>
                <w:szCs w:val="21"/>
              </w:rPr>
              <w:t>CPUE (demersal)</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8202F">
              <w:rPr>
                <w:rFonts w:ascii="Arial" w:hAnsi="Arial" w:cs="Arial"/>
                <w:sz w:val="21"/>
                <w:szCs w:val="21"/>
              </w:rPr>
              <w:t>Trawl catch per unit effort</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8202F">
              <w:rPr>
                <w:rFonts w:ascii="Arial" w:hAnsi="Arial" w:cs="Arial"/>
                <w:sz w:val="21"/>
                <w:szCs w:val="21"/>
              </w:rPr>
              <w:t>kg/hour</w:t>
            </w:r>
          </w:p>
        </w:tc>
        <w:tc>
          <w:tcPr>
            <w:tcW w:w="0" w:type="auto"/>
            <w:hideMark/>
          </w:tcPr>
          <w:p w:rsidR="009A66E1" w:rsidRPr="0018202F" w:rsidRDefault="009A66E1">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8202F">
              <w:rPr>
                <w:rFonts w:ascii="Arial" w:hAnsi="Arial" w:cs="Arial"/>
                <w:sz w:val="21"/>
                <w:szCs w:val="21"/>
              </w:rPr>
              <w:t>SEAFDEC; MaFReDI</w:t>
            </w:r>
          </w:p>
        </w:tc>
      </w:tr>
    </w:tbl>
    <w:p w:rsidR="009A66E1" w:rsidRPr="0018202F" w:rsidRDefault="009A66E1" w:rsidP="009A66E1">
      <w:pPr>
        <w:rPr>
          <w:rFonts w:ascii="Arial" w:hAnsi="Arial" w:cs="Arial"/>
        </w:rPr>
      </w:pPr>
    </w:p>
    <w:p w:rsidR="00874FFD" w:rsidRPr="00874FFD" w:rsidRDefault="006E78E7" w:rsidP="00874FFD">
      <w:pPr>
        <w:rPr>
          <w:rStyle w:val="Strong"/>
          <w:rFonts w:ascii="Arial" w:hAnsi="Arial" w:cs="Arial"/>
          <w:i/>
          <w:iCs/>
          <w:color w:val="0070C0"/>
        </w:rPr>
      </w:pPr>
      <w:r w:rsidRPr="006E78E7">
        <w:rPr>
          <w:rFonts w:ascii="Arial" w:hAnsi="Arial" w:cs="Arial"/>
          <w:b/>
          <w:bCs/>
          <w:color w:val="0070C0"/>
          <w:sz w:val="22"/>
          <w:szCs w:val="22"/>
        </w:rPr>
        <w:t>Annex 5-</w:t>
      </w:r>
      <w:r w:rsidRPr="006E78E7">
        <w:rPr>
          <w:rFonts w:ascii="Arial" w:hAnsi="Arial" w:cs="Arial"/>
          <w:b/>
          <w:bCs/>
          <w:color w:val="0070C0"/>
          <w:sz w:val="22"/>
          <w:szCs w:val="22"/>
        </w:rPr>
        <w:fldChar w:fldCharType="begin"/>
      </w:r>
      <w:r w:rsidRPr="006E78E7">
        <w:rPr>
          <w:rFonts w:ascii="Arial" w:hAnsi="Arial" w:cs="Arial"/>
          <w:b/>
          <w:bCs/>
          <w:color w:val="0070C0"/>
          <w:sz w:val="22"/>
          <w:szCs w:val="22"/>
        </w:rPr>
        <w:instrText xml:space="preserve"> SEQ Annex_5- \* ARABIC </w:instrText>
      </w:r>
      <w:r w:rsidRPr="006E78E7">
        <w:rPr>
          <w:rFonts w:ascii="Arial" w:hAnsi="Arial" w:cs="Arial"/>
          <w:b/>
          <w:bCs/>
          <w:color w:val="0070C0"/>
          <w:sz w:val="22"/>
          <w:szCs w:val="22"/>
        </w:rPr>
        <w:fldChar w:fldCharType="separate"/>
      </w:r>
      <w:r w:rsidR="00F72397">
        <w:rPr>
          <w:rFonts w:ascii="Arial" w:hAnsi="Arial" w:cs="Arial"/>
          <w:b/>
          <w:bCs/>
          <w:noProof/>
          <w:color w:val="0070C0"/>
          <w:sz w:val="22"/>
          <w:szCs w:val="22"/>
        </w:rPr>
        <w:t>4</w:t>
      </w:r>
      <w:r w:rsidRPr="006E78E7">
        <w:rPr>
          <w:rFonts w:ascii="Arial" w:hAnsi="Arial" w:cs="Arial"/>
          <w:b/>
          <w:bCs/>
          <w:color w:val="0070C0"/>
          <w:sz w:val="22"/>
          <w:szCs w:val="22"/>
        </w:rPr>
        <w:fldChar w:fldCharType="end"/>
      </w:r>
      <w:r w:rsidRPr="006E78E7">
        <w:rPr>
          <w:rFonts w:ascii="Arial" w:hAnsi="Arial" w:cs="Arial"/>
          <w:b/>
          <w:bCs/>
          <w:color w:val="0070C0"/>
          <w:sz w:val="22"/>
          <w:szCs w:val="22"/>
        </w:rPr>
        <w:t xml:space="preserve"> Explanatory note </w:t>
      </w:r>
      <w:r>
        <w:rPr>
          <w:rFonts w:ascii="Arial" w:hAnsi="Arial" w:cs="Arial"/>
          <w:b/>
          <w:bCs/>
          <w:color w:val="0070C0"/>
          <w:sz w:val="22"/>
          <w:szCs w:val="22"/>
        </w:rPr>
        <w:t xml:space="preserve">for </w:t>
      </w:r>
      <w:r w:rsidR="00874FFD" w:rsidRPr="006E78E7">
        <w:rPr>
          <w:rFonts w:ascii="Arial" w:hAnsi="Arial" w:cs="Arial"/>
          <w:b/>
          <w:bCs/>
          <w:color w:val="0070C0"/>
          <w:sz w:val="22"/>
          <w:szCs w:val="22"/>
        </w:rPr>
        <w:t>Stock-status plots</w:t>
      </w:r>
    </w:p>
    <w:p w:rsidR="00874FFD" w:rsidRPr="0018202F" w:rsidRDefault="00874FFD" w:rsidP="00874FFD">
      <w:pPr>
        <w:keepNext/>
        <w:spacing w:before="100" w:beforeAutospacing="1" w:after="100" w:afterAutospacing="1"/>
        <w:jc w:val="both"/>
        <w:rPr>
          <w:rFonts w:ascii="Arial" w:hAnsi="Arial" w:cs="Arial"/>
          <w:sz w:val="22"/>
          <w:szCs w:val="22"/>
        </w:rPr>
      </w:pPr>
      <w:r w:rsidRPr="0018202F">
        <w:rPr>
          <w:rFonts w:ascii="Arial" w:hAnsi="Arial" w:cs="Arial"/>
          <w:sz w:val="22"/>
          <w:szCs w:val="22"/>
        </w:rPr>
        <w:t>Cambodia’s marine fisheries have shifted from developing to heavily exploited conditions. The shift from green (Exploited) to orange/red (Over-exploited/Collapsed) means that over time, the Cambodian catch became increasingly dependent on unhealthy stocks. This is unsustainable and signals a fishery in crisis. The rise in the number of over-exploited and collapsed stocks confirms that the problem is not isolated. The entire marine ecosystem is under severe stress, with many distinct populations unable to sustain themselves. Based on the stock-status plots show in the graphs (</w:t>
      </w:r>
      <w:r w:rsidRPr="0018202F">
        <w:rPr>
          <w:rFonts w:ascii="Arial" w:hAnsi="Arial" w:cs="Arial"/>
          <w:sz w:val="22"/>
          <w:szCs w:val="22"/>
        </w:rPr>
        <w:fldChar w:fldCharType="begin"/>
      </w:r>
      <w:r w:rsidRPr="0018202F">
        <w:rPr>
          <w:rFonts w:ascii="Arial" w:hAnsi="Arial" w:cs="Arial"/>
          <w:sz w:val="22"/>
          <w:szCs w:val="22"/>
        </w:rPr>
        <w:instrText xml:space="preserve"> REF _Ref215233906 \h </w:instrText>
      </w:r>
      <w:r>
        <w:rPr>
          <w:rFonts w:ascii="Arial" w:hAnsi="Arial" w:cs="Arial"/>
          <w:sz w:val="22"/>
          <w:szCs w:val="22"/>
        </w:rPr>
        <w:instrText xml:space="preserve"> \* MERGEFORMAT </w:instrText>
      </w:r>
      <w:r w:rsidRPr="0018202F">
        <w:rPr>
          <w:rFonts w:ascii="Arial" w:hAnsi="Arial" w:cs="Arial"/>
          <w:sz w:val="22"/>
          <w:szCs w:val="22"/>
        </w:rPr>
      </w:r>
      <w:r w:rsidRPr="0018202F">
        <w:rPr>
          <w:rFonts w:ascii="Arial" w:hAnsi="Arial" w:cs="Arial"/>
          <w:sz w:val="22"/>
          <w:szCs w:val="22"/>
        </w:rPr>
        <w:fldChar w:fldCharType="separate"/>
      </w:r>
      <w:r w:rsidR="00F72397" w:rsidRPr="00F72397">
        <w:rPr>
          <w:rFonts w:ascii="Arial" w:hAnsi="Arial" w:cs="Arial"/>
          <w:color w:val="0070C0"/>
          <w:sz w:val="21"/>
          <w:szCs w:val="21"/>
        </w:rPr>
        <w:t>Figure 5-4</w:t>
      </w:r>
      <w:r w:rsidRPr="0018202F">
        <w:rPr>
          <w:rFonts w:ascii="Arial" w:hAnsi="Arial" w:cs="Arial"/>
          <w:sz w:val="22"/>
          <w:szCs w:val="22"/>
        </w:rPr>
        <w:fldChar w:fldCharType="end"/>
      </w:r>
      <w:r w:rsidRPr="0018202F">
        <w:rPr>
          <w:rFonts w:ascii="Arial" w:hAnsi="Arial" w:cs="Arial"/>
          <w:sz w:val="22"/>
          <w:szCs w:val="22"/>
        </w:rPr>
        <w:t>), the history of Cambodian fisheries can be divided into three major phases.</w:t>
      </w:r>
    </w:p>
    <w:p w:rsidR="00874FFD" w:rsidRPr="0018202F" w:rsidRDefault="00874FFD" w:rsidP="00874FFD">
      <w:pPr>
        <w:pStyle w:val="ListParagraph"/>
        <w:numPr>
          <w:ilvl w:val="0"/>
          <w:numId w:val="18"/>
        </w:numPr>
        <w:spacing w:before="100" w:beforeAutospacing="1" w:after="100" w:afterAutospacing="1"/>
        <w:jc w:val="both"/>
        <w:rPr>
          <w:rFonts w:ascii="Arial" w:hAnsi="Arial" w:cs="Arial"/>
          <w:sz w:val="22"/>
          <w:szCs w:val="22"/>
        </w:rPr>
      </w:pPr>
      <w:r w:rsidRPr="0018202F">
        <w:rPr>
          <w:rFonts w:ascii="Arial" w:hAnsi="Arial" w:cs="Arial"/>
          <w:b/>
          <w:bCs/>
          <w:sz w:val="22"/>
          <w:szCs w:val="22"/>
        </w:rPr>
        <w:t>Phase 1 – Developing phase (1950s–early 1970s):</w:t>
      </w:r>
      <w:r w:rsidRPr="0018202F">
        <w:rPr>
          <w:rFonts w:ascii="Arial" w:hAnsi="Arial" w:cs="Arial"/>
          <w:sz w:val="22"/>
          <w:szCs w:val="22"/>
        </w:rPr>
        <w:t xml:space="preserve"> Most marine stocks were in the Developing category, meaning fishing pressure was light and potential was still largely untapped. Over 95% of total catch came from developing stocks, indicating abundant resources and low exploitation levels.</w:t>
      </w:r>
    </w:p>
    <w:p w:rsidR="00874FFD" w:rsidRPr="0018202F" w:rsidRDefault="00874FFD" w:rsidP="00874FFD">
      <w:pPr>
        <w:pStyle w:val="ListParagraph"/>
        <w:numPr>
          <w:ilvl w:val="0"/>
          <w:numId w:val="18"/>
        </w:numPr>
        <w:spacing w:before="100" w:beforeAutospacing="1" w:after="100" w:afterAutospacing="1"/>
        <w:jc w:val="both"/>
        <w:rPr>
          <w:rFonts w:ascii="Arial" w:hAnsi="Arial" w:cs="Arial"/>
          <w:sz w:val="22"/>
          <w:szCs w:val="22"/>
        </w:rPr>
      </w:pPr>
      <w:r w:rsidRPr="0018202F">
        <w:rPr>
          <w:rFonts w:ascii="Arial" w:hAnsi="Arial" w:cs="Arial"/>
          <w:b/>
          <w:bCs/>
          <w:sz w:val="22"/>
          <w:szCs w:val="22"/>
        </w:rPr>
        <w:t>Phase 2 – Exploited phase (1970s–1980s):</w:t>
      </w:r>
      <w:r w:rsidRPr="0018202F">
        <w:rPr>
          <w:rFonts w:ascii="Arial" w:hAnsi="Arial" w:cs="Arial"/>
          <w:sz w:val="22"/>
          <w:szCs w:val="22"/>
        </w:rPr>
        <w:t xml:space="preserve"> During the 1970s, the proportion of Exploited stocks rose sharply—from less than 1% in the mid-1960s to nearly 19% by 1970 and stabilizing around 10–12% through the early 1980 and —showing that fishing effort had expanded rapidly and many populations were being harvested near their sustainable limits. This period marks the transition from a largely developing fishery to one operating at full capacity.</w:t>
      </w:r>
    </w:p>
    <w:p w:rsidR="00874FFD" w:rsidRPr="0018202F" w:rsidRDefault="00874FFD" w:rsidP="00874FFD">
      <w:pPr>
        <w:pStyle w:val="ListParagraph"/>
        <w:numPr>
          <w:ilvl w:val="0"/>
          <w:numId w:val="18"/>
        </w:numPr>
        <w:spacing w:before="100" w:beforeAutospacing="1" w:after="100" w:afterAutospacing="1"/>
        <w:jc w:val="both"/>
        <w:rPr>
          <w:rFonts w:ascii="Arial" w:hAnsi="Arial" w:cs="Arial"/>
          <w:sz w:val="22"/>
          <w:szCs w:val="22"/>
        </w:rPr>
      </w:pPr>
      <w:r w:rsidRPr="0018202F">
        <w:rPr>
          <w:rFonts w:ascii="Arial" w:hAnsi="Arial" w:cs="Arial"/>
          <w:b/>
          <w:bCs/>
          <w:sz w:val="22"/>
          <w:szCs w:val="22"/>
        </w:rPr>
        <w:t>Phase 3 – Over-Exploitation and collapse phase (</w:t>
      </w:r>
      <w:r w:rsidRPr="0018202F">
        <w:rPr>
          <w:rFonts w:ascii="Arial" w:hAnsi="Arial" w:cs="Arial"/>
          <w:b/>
          <w:bCs/>
          <w:color w:val="000000" w:themeColor="text1"/>
          <w:sz w:val="22"/>
          <w:szCs w:val="22"/>
        </w:rPr>
        <w:t>~</w:t>
      </w:r>
      <w:r w:rsidRPr="0018202F">
        <w:rPr>
          <w:rFonts w:ascii="Arial" w:hAnsi="Arial" w:cs="Arial"/>
          <w:b/>
          <w:bCs/>
          <w:sz w:val="22"/>
          <w:szCs w:val="22"/>
        </w:rPr>
        <w:t>1980s–onward):</w:t>
      </w:r>
      <w:r w:rsidRPr="0018202F">
        <w:rPr>
          <w:rFonts w:ascii="Arial" w:hAnsi="Arial" w:cs="Arial"/>
          <w:sz w:val="22"/>
          <w:szCs w:val="22"/>
        </w:rPr>
        <w:t xml:space="preserve"> After 1990s, Over-exploited and Collapsed categories increased sharply while Developing stocks nearly disappeared. The share of over-exploited catches grew to about 10–15% by 2010, and collapsed stocks accounted for 5–6% by the late 2010s. Count-based indicators show that more than half of assessed stocks were already collapsed by 2018–2019. Although most landings still come from exploited demersal and pelagic species, this concentration masks widespread depletion and low recovery potential. </w:t>
      </w:r>
    </w:p>
    <w:p w:rsidR="00874FFD" w:rsidRPr="0018202F" w:rsidRDefault="00874FFD" w:rsidP="00874FFD">
      <w:pPr>
        <w:spacing w:before="100" w:beforeAutospacing="1" w:after="100" w:afterAutospacing="1"/>
        <w:jc w:val="both"/>
        <w:rPr>
          <w:rFonts w:ascii="Arial" w:hAnsi="Arial" w:cs="Arial"/>
          <w:sz w:val="22"/>
          <w:szCs w:val="22"/>
        </w:rPr>
      </w:pPr>
      <w:r w:rsidRPr="0018202F">
        <w:rPr>
          <w:rFonts w:ascii="Arial" w:hAnsi="Arial" w:cs="Arial"/>
          <w:sz w:val="22"/>
          <w:szCs w:val="22"/>
        </w:rPr>
        <w:t>Overall, the stock trajectory signals a shift from underutilization to chronic overfishing and ecosystem stress. The near absence of developing or rebuilding stocks points to limited recruitment and recovery, underscoring the need for rebuilding plans, habitat restoration, and stricter trawl and bycatch management to sustain Cambodia’s marine fisheries.</w:t>
      </w:r>
    </w:p>
    <w:p w:rsidR="00874FFD" w:rsidRPr="00874FFD" w:rsidRDefault="006E78E7" w:rsidP="00874FFD">
      <w:pPr>
        <w:rPr>
          <w:rStyle w:val="Strong"/>
          <w:rFonts w:ascii="Arial" w:hAnsi="Arial" w:cs="Arial"/>
          <w:i/>
          <w:iCs/>
          <w:color w:val="0070C0"/>
        </w:rPr>
      </w:pPr>
      <w:r w:rsidRPr="006E78E7">
        <w:rPr>
          <w:rFonts w:ascii="Arial" w:hAnsi="Arial" w:cs="Arial"/>
          <w:b/>
          <w:bCs/>
          <w:color w:val="0070C0"/>
          <w:sz w:val="22"/>
          <w:szCs w:val="22"/>
        </w:rPr>
        <w:t>Annex 5-</w:t>
      </w:r>
      <w:r w:rsidRPr="006E78E7">
        <w:rPr>
          <w:rFonts w:ascii="Arial" w:hAnsi="Arial" w:cs="Arial"/>
          <w:b/>
          <w:bCs/>
          <w:color w:val="0070C0"/>
          <w:sz w:val="22"/>
          <w:szCs w:val="22"/>
        </w:rPr>
        <w:fldChar w:fldCharType="begin"/>
      </w:r>
      <w:r w:rsidRPr="006E78E7">
        <w:rPr>
          <w:rFonts w:ascii="Arial" w:hAnsi="Arial" w:cs="Arial"/>
          <w:b/>
          <w:bCs/>
          <w:color w:val="0070C0"/>
          <w:sz w:val="22"/>
          <w:szCs w:val="22"/>
        </w:rPr>
        <w:instrText xml:space="preserve"> SEQ Annex_5- \* ARABIC </w:instrText>
      </w:r>
      <w:r w:rsidRPr="006E78E7">
        <w:rPr>
          <w:rFonts w:ascii="Arial" w:hAnsi="Arial" w:cs="Arial"/>
          <w:b/>
          <w:bCs/>
          <w:color w:val="0070C0"/>
          <w:sz w:val="22"/>
          <w:szCs w:val="22"/>
        </w:rPr>
        <w:fldChar w:fldCharType="separate"/>
      </w:r>
      <w:r w:rsidR="00F72397">
        <w:rPr>
          <w:rFonts w:ascii="Arial" w:hAnsi="Arial" w:cs="Arial"/>
          <w:b/>
          <w:bCs/>
          <w:noProof/>
          <w:color w:val="0070C0"/>
          <w:sz w:val="22"/>
          <w:szCs w:val="22"/>
        </w:rPr>
        <w:t>5</w:t>
      </w:r>
      <w:r w:rsidRPr="006E78E7">
        <w:rPr>
          <w:rFonts w:ascii="Arial" w:hAnsi="Arial" w:cs="Arial"/>
          <w:b/>
          <w:bCs/>
          <w:color w:val="0070C0"/>
          <w:sz w:val="22"/>
          <w:szCs w:val="22"/>
        </w:rPr>
        <w:fldChar w:fldCharType="end"/>
      </w:r>
      <w:r w:rsidRPr="006E78E7">
        <w:rPr>
          <w:rFonts w:ascii="Arial" w:hAnsi="Arial" w:cs="Arial"/>
          <w:b/>
          <w:bCs/>
          <w:color w:val="0070C0"/>
          <w:sz w:val="22"/>
          <w:szCs w:val="22"/>
        </w:rPr>
        <w:t xml:space="preserve"> Explanatory note </w:t>
      </w:r>
      <w:r>
        <w:rPr>
          <w:rFonts w:ascii="Arial" w:hAnsi="Arial" w:cs="Arial"/>
          <w:b/>
          <w:bCs/>
          <w:color w:val="0070C0"/>
          <w:sz w:val="22"/>
          <w:szCs w:val="22"/>
        </w:rPr>
        <w:t xml:space="preserve">for </w:t>
      </w:r>
      <w:r w:rsidR="00874FFD" w:rsidRPr="006E78E7">
        <w:rPr>
          <w:rFonts w:ascii="Arial" w:hAnsi="Arial" w:cs="Arial"/>
          <w:b/>
          <w:bCs/>
          <w:color w:val="0070C0"/>
          <w:sz w:val="22"/>
          <w:szCs w:val="22"/>
        </w:rPr>
        <w:t>Marine Trophic Index (MTI) and FiB index</w:t>
      </w:r>
    </w:p>
    <w:p w:rsidR="00874FFD" w:rsidRPr="0018202F" w:rsidRDefault="00874FFD" w:rsidP="00874FFD">
      <w:pPr>
        <w:spacing w:before="240" w:after="240"/>
        <w:jc w:val="both"/>
        <w:rPr>
          <w:rFonts w:ascii="Arial" w:hAnsi="Arial" w:cs="Arial"/>
          <w:color w:val="000000" w:themeColor="text1"/>
          <w:sz w:val="22"/>
          <w:szCs w:val="22"/>
        </w:rPr>
      </w:pPr>
      <w:r w:rsidRPr="0018202F">
        <w:rPr>
          <w:rFonts w:ascii="Arial" w:hAnsi="Arial" w:cs="Arial"/>
          <w:color w:val="000000" w:themeColor="text1"/>
          <w:sz w:val="22"/>
          <w:szCs w:val="22"/>
        </w:rPr>
        <w:t>MTI and the FiB trends, the data from SAUP –indicate that Cambodia’s marine fisheries are now operating under heavy pressure with limited capacity for recovery. Without stronger stock rebuilding, habitat protection, and effort reduction measures, the long-term sustainability of the fishery and its supporting ecosystem remains at significant risk.</w:t>
      </w:r>
    </w:p>
    <w:p w:rsidR="00874FFD" w:rsidRPr="0018202F" w:rsidRDefault="00874FFD" w:rsidP="00874FFD">
      <w:pPr>
        <w:spacing w:before="240" w:after="240"/>
        <w:jc w:val="both"/>
        <w:rPr>
          <w:rFonts w:ascii="Arial" w:hAnsi="Arial" w:cs="Arial"/>
          <w:color w:val="000000" w:themeColor="text1"/>
          <w:sz w:val="22"/>
          <w:szCs w:val="22"/>
        </w:rPr>
      </w:pPr>
      <w:r w:rsidRPr="0018202F">
        <w:rPr>
          <w:rFonts w:ascii="Arial" w:hAnsi="Arial" w:cs="Arial"/>
          <w:b/>
          <w:bCs/>
          <w:color w:val="000000" w:themeColor="text1"/>
          <w:sz w:val="22"/>
          <w:szCs w:val="22"/>
        </w:rPr>
        <w:t>The Marine Trophic Index (MTI)</w:t>
      </w:r>
      <w:r w:rsidRPr="0018202F">
        <w:rPr>
          <w:rFonts w:ascii="Arial" w:hAnsi="Arial" w:cs="Arial"/>
          <w:color w:val="000000" w:themeColor="text1"/>
          <w:sz w:val="22"/>
          <w:szCs w:val="22"/>
        </w:rPr>
        <w:t xml:space="preserve"> in Cambodian waters reflects a long-term shift from balanced to simplified marine ecosystems. Between 1950 and 1960, the MTI remained high at around 3.83, suggesting a healthy and mature food web dominated by top and mid-level predators, with limited fishing pressure. From the early 1960s to the early 1990s, however, the MTI steadily declined, reaching 3.47 by 1992, indicating progressive depletion of large predatory fish and an increasing focus on smaller, lower-trophic-level species. This trend represents a clear case of “fishing down the marine food web.” From the 1990s onward, the MTI became more volatile but remained lower, generally fluctuating between 3.50 and 3.57, with a slight improvement after 2010. This instability suggests an ecosystem increasingly reliant on short-lived and lower-trophic species, such as small pelagics and invertebrates. The recent mild increase may be associated with management interventions, improved enforcement, and reduced illegal, unreported, and unregulated (IUU) fishing activity in Cambodian waters. Overall, the long-term MTI decline demonstrates a reduction in ecosystem complexity and resilience, making the marine system more vulnerable to climatic and anthropogenic stressors.</w:t>
      </w:r>
    </w:p>
    <w:p w:rsidR="00874FFD" w:rsidRPr="0018202F" w:rsidRDefault="00874FFD" w:rsidP="00874FFD">
      <w:pPr>
        <w:spacing w:before="240" w:after="240"/>
        <w:jc w:val="both"/>
        <w:rPr>
          <w:rFonts w:ascii="Arial" w:hAnsi="Arial" w:cs="Arial"/>
          <w:color w:val="000000" w:themeColor="text1"/>
          <w:sz w:val="22"/>
          <w:szCs w:val="22"/>
        </w:rPr>
      </w:pPr>
      <w:r w:rsidRPr="0018202F">
        <w:rPr>
          <w:rFonts w:ascii="Arial" w:hAnsi="Arial" w:cs="Arial"/>
          <w:b/>
          <w:bCs/>
          <w:color w:val="000000" w:themeColor="text1"/>
          <w:sz w:val="22"/>
          <w:szCs w:val="22"/>
        </w:rPr>
        <w:t xml:space="preserve">The Fishing-in-Balance (FiB) Index </w:t>
      </w:r>
      <w:r w:rsidRPr="0018202F">
        <w:rPr>
          <w:rFonts w:ascii="Arial" w:hAnsi="Arial" w:cs="Arial"/>
          <w:color w:val="000000" w:themeColor="text1"/>
          <w:sz w:val="22"/>
          <w:szCs w:val="22"/>
        </w:rPr>
        <w:t xml:space="preserve">presents a complementary narrative. During the 1950s, FiB values were near zero, reflecting a fishery in equilibrium with the ecosystem. The index then rose rapidly from the 1960s to the early 2000s, peaking at 2.97 in 2002, even as MTI declined. This combination indicates “fishing through the food web,” where total catches were maintained by expanding fishing effort and targeting smaller, lower-trophic species to compensate for the loss of higher predators. After 2008, the FiB index dropped sharply—down to 2.08 by 2010—and remained volatile thereafter. This decline signals that the expansion strategy had reached its ecological limit: the marine ecosystem could no longer sustain high catches, even from lower levels of the food chain. </w:t>
      </w:r>
    </w:p>
    <w:p w:rsidR="00874FFD" w:rsidRPr="00874FFD" w:rsidRDefault="00874FFD" w:rsidP="00874FFD">
      <w:pPr>
        <w:spacing w:before="240" w:after="240"/>
        <w:jc w:val="both"/>
        <w:rPr>
          <w:rFonts w:ascii="Arial" w:hAnsi="Arial" w:cs="Arial"/>
          <w:sz w:val="22"/>
          <w:szCs w:val="22"/>
        </w:rPr>
      </w:pPr>
      <w:r w:rsidRPr="0018202F">
        <w:rPr>
          <w:rFonts w:ascii="Arial" w:hAnsi="Arial" w:cs="Arial"/>
          <w:color w:val="000000" w:themeColor="text1"/>
          <w:sz w:val="22"/>
          <w:szCs w:val="22"/>
        </w:rPr>
        <w:t>Therefore, the data strongly indicates that the ecological health of Cambodian waters has </w:t>
      </w:r>
      <w:r w:rsidRPr="0018202F">
        <w:rPr>
          <w:rFonts w:ascii="Arial" w:hAnsi="Arial" w:cs="Arial"/>
          <w:b/>
          <w:bCs/>
          <w:color w:val="000000" w:themeColor="text1"/>
          <w:sz w:val="22"/>
          <w:szCs w:val="22"/>
        </w:rPr>
        <w:t>significantly declined</w:t>
      </w:r>
      <w:r w:rsidRPr="0018202F">
        <w:rPr>
          <w:rFonts w:ascii="Arial" w:hAnsi="Arial" w:cs="Arial"/>
          <w:color w:val="000000" w:themeColor="text1"/>
          <w:sz w:val="22"/>
          <w:szCs w:val="22"/>
        </w:rPr>
        <w:t> over the past 70 years. The marine ecosystem has been fundamentally altered by fishing pressure. The recent volatility in the indices, especially the sharp drop in FiB, is a red flag. It suggests that the current level of fishing effort may be unsustainable, and the long-term health of the fishery and the ecosystem it depends on is at risk without significant management interventions aimed at rebuilding fish stocks and restoring ecosystem balance.</w:t>
      </w:r>
    </w:p>
    <w:p w:rsidR="00874FFD" w:rsidRPr="006E78E7" w:rsidRDefault="006E78E7" w:rsidP="00625EB8">
      <w:r w:rsidRPr="006E78E7">
        <w:rPr>
          <w:rFonts w:ascii="Arial" w:hAnsi="Arial" w:cs="Arial"/>
          <w:b/>
          <w:bCs/>
          <w:color w:val="0070C0"/>
          <w:sz w:val="22"/>
          <w:szCs w:val="22"/>
        </w:rPr>
        <w:t>Annex 5-</w:t>
      </w:r>
      <w:r w:rsidRPr="006E78E7">
        <w:rPr>
          <w:rFonts w:ascii="Arial" w:hAnsi="Arial" w:cs="Arial"/>
          <w:b/>
          <w:bCs/>
          <w:color w:val="0070C0"/>
          <w:sz w:val="22"/>
          <w:szCs w:val="22"/>
        </w:rPr>
        <w:fldChar w:fldCharType="begin"/>
      </w:r>
      <w:r w:rsidRPr="006E78E7">
        <w:rPr>
          <w:rFonts w:ascii="Arial" w:hAnsi="Arial" w:cs="Arial"/>
          <w:b/>
          <w:bCs/>
          <w:color w:val="0070C0"/>
          <w:sz w:val="22"/>
          <w:szCs w:val="22"/>
        </w:rPr>
        <w:instrText xml:space="preserve"> SEQ Annex_5- \* ARABIC </w:instrText>
      </w:r>
      <w:r w:rsidRPr="006E78E7">
        <w:rPr>
          <w:rFonts w:ascii="Arial" w:hAnsi="Arial" w:cs="Arial"/>
          <w:b/>
          <w:bCs/>
          <w:color w:val="0070C0"/>
          <w:sz w:val="22"/>
          <w:szCs w:val="22"/>
        </w:rPr>
        <w:fldChar w:fldCharType="separate"/>
      </w:r>
      <w:r w:rsidR="00F72397">
        <w:rPr>
          <w:rFonts w:ascii="Arial" w:hAnsi="Arial" w:cs="Arial"/>
          <w:b/>
          <w:bCs/>
          <w:noProof/>
          <w:color w:val="0070C0"/>
          <w:sz w:val="22"/>
          <w:szCs w:val="22"/>
        </w:rPr>
        <w:t>6</w:t>
      </w:r>
      <w:r w:rsidRPr="006E78E7">
        <w:rPr>
          <w:rFonts w:ascii="Arial" w:hAnsi="Arial" w:cs="Arial"/>
          <w:b/>
          <w:bCs/>
          <w:color w:val="0070C0"/>
          <w:sz w:val="22"/>
          <w:szCs w:val="22"/>
        </w:rPr>
        <w:fldChar w:fldCharType="end"/>
      </w:r>
      <w:r w:rsidRPr="006E78E7">
        <w:rPr>
          <w:rFonts w:ascii="Arial" w:hAnsi="Arial" w:cs="Arial"/>
          <w:b/>
          <w:bCs/>
          <w:color w:val="0070C0"/>
          <w:sz w:val="22"/>
          <w:szCs w:val="22"/>
        </w:rPr>
        <w:t xml:space="preserve"> Explanatory note </w:t>
      </w:r>
      <w:r>
        <w:rPr>
          <w:rFonts w:ascii="Arial" w:hAnsi="Arial" w:cs="Arial"/>
          <w:b/>
          <w:bCs/>
          <w:color w:val="0070C0"/>
          <w:sz w:val="22"/>
          <w:szCs w:val="22"/>
        </w:rPr>
        <w:t xml:space="preserve">for </w:t>
      </w:r>
      <w:r w:rsidR="00874FFD" w:rsidRPr="006E78E7">
        <w:rPr>
          <w:rFonts w:ascii="Arial" w:hAnsi="Arial" w:cs="Arial"/>
          <w:b/>
          <w:bCs/>
          <w:color w:val="0070C0"/>
          <w:sz w:val="22"/>
          <w:szCs w:val="22"/>
        </w:rPr>
        <w:t>Number of marine fishing vessels</w:t>
      </w:r>
    </w:p>
    <w:p w:rsidR="00874FFD" w:rsidRPr="0018202F" w:rsidRDefault="00874FFD" w:rsidP="00874FFD">
      <w:pPr>
        <w:spacing w:before="240" w:after="240"/>
        <w:jc w:val="both"/>
        <w:rPr>
          <w:rFonts w:ascii="Arial" w:hAnsi="Arial" w:cs="Arial"/>
          <w:sz w:val="22"/>
          <w:szCs w:val="22"/>
        </w:rPr>
      </w:pPr>
      <w:r w:rsidRPr="0018202F">
        <w:rPr>
          <w:rFonts w:ascii="Arial" w:hAnsi="Arial" w:cs="Arial"/>
          <w:sz w:val="22"/>
          <w:szCs w:val="22"/>
        </w:rPr>
        <w:t>FiA conducted a marine fishing vessel census in 2018 to gather data on the characteristics of the fishing fleet. The census provides a foundational dataset used for various monitoring and management purposes, but specific statistics from the final report, such as the total number of vessels, are not immediately available in the provided search results. The census recorded 7,552 marine fishing vessels across its four coastal provinces, reflecting a predominantly small- to medium-scale fleet structure. The majority of vessels (about 53 %) were classified as small-scale (&lt; 12 m), while 47% fell within the medium-scale range (12–24m). Only 10 vessels exceeded 24 m, highlighting the limited presence of large industrial craft in national waters. The census showed strong geographic concentration: Koh Kong accounted for 45 % of all vessels (3,396 units), followed by Preah Sihanouk (33 %, 2,523 units), Kampot (14 %, 1,039 units), and Kep (8 %, 594 units). Koh Kong’s predominance reflects its extensive coastal area and long-standing trawl and gill-net fleets, while Preah Sihanouk’s share corresponds to its role as Cambodia’s principal marine landing hub and industrial port. Kampot and Kep, by contrast, remain more artisanal and seasonally active, focusing on crab, squid, and small-pelagic fisheries.</w:t>
      </w:r>
    </w:p>
    <w:p w:rsidR="00874FFD" w:rsidRPr="0018202F" w:rsidRDefault="00874FFD" w:rsidP="00874FFD">
      <w:pPr>
        <w:spacing w:before="240" w:after="240"/>
        <w:jc w:val="both"/>
        <w:rPr>
          <w:rFonts w:ascii="Arial" w:hAnsi="Arial" w:cs="Arial"/>
          <w:sz w:val="22"/>
          <w:szCs w:val="22"/>
        </w:rPr>
      </w:pPr>
      <w:r w:rsidRPr="0018202F">
        <w:rPr>
          <w:rFonts w:ascii="Arial" w:hAnsi="Arial" w:cs="Arial"/>
          <w:b/>
          <w:bCs/>
          <w:sz w:val="22"/>
          <w:szCs w:val="22"/>
        </w:rPr>
        <w:t>Fleet characteristics by size and power:</w:t>
      </w:r>
      <w:r w:rsidRPr="0018202F">
        <w:rPr>
          <w:rFonts w:ascii="Arial" w:hAnsi="Arial" w:cs="Arial"/>
          <w:sz w:val="22"/>
          <w:szCs w:val="22"/>
        </w:rPr>
        <w:t xml:space="preserve"> Vessel classification by engine power confirms the small-scale character of the fleet: approximately 6,699 vessels (89 %) were under 50 HP, with only a small minority exceeding 90 HP. This pattern suggests limited offshore capability and strong dependence on coastal and inshore fishing grounds. The few higher-horsepower vessels (181–540 HP) are mainly trawlers and purse-seiners operating from Koh Kong and Preah Sihanouk.</w:t>
      </w:r>
    </w:p>
    <w:p w:rsidR="00874FFD" w:rsidRPr="0018202F" w:rsidRDefault="00874FFD" w:rsidP="00874FFD">
      <w:pPr>
        <w:spacing w:before="240" w:after="240"/>
        <w:jc w:val="both"/>
        <w:rPr>
          <w:rFonts w:ascii="Arial" w:hAnsi="Arial" w:cs="Arial"/>
          <w:sz w:val="22"/>
          <w:szCs w:val="22"/>
        </w:rPr>
      </w:pPr>
      <w:r w:rsidRPr="0018202F">
        <w:rPr>
          <w:rFonts w:ascii="Arial" w:hAnsi="Arial" w:cs="Arial"/>
          <w:b/>
          <w:bCs/>
          <w:sz w:val="22"/>
          <w:szCs w:val="22"/>
        </w:rPr>
        <w:t>Registration and management:</w:t>
      </w:r>
      <w:r w:rsidRPr="0018202F">
        <w:rPr>
          <w:rFonts w:ascii="Arial" w:hAnsi="Arial" w:cs="Arial"/>
          <w:sz w:val="22"/>
          <w:szCs w:val="22"/>
        </w:rPr>
        <w:t xml:space="preserve"> Of the 7,552 vessels enumerated, 97% were non-registered, and only 3% held valid registration. This extremely low compliance rate underscores persistent governance challenges, including inadequate enforcement capacity, outdated vessel records, and the prevalence of informal operations. The predominance of unregistered craft complicates management of fishing effort and hinders the implementation of licensing and monitoring systems essential for sustainable fisheries management.</w:t>
      </w:r>
    </w:p>
    <w:p w:rsidR="00874FFD" w:rsidRPr="0018202F" w:rsidRDefault="00874FFD" w:rsidP="00874FFD">
      <w:pPr>
        <w:spacing w:before="240" w:after="240"/>
        <w:jc w:val="both"/>
        <w:rPr>
          <w:rFonts w:ascii="Arial" w:hAnsi="Arial" w:cs="Arial"/>
          <w:sz w:val="22"/>
          <w:szCs w:val="22"/>
        </w:rPr>
      </w:pPr>
      <w:r w:rsidRPr="0018202F">
        <w:rPr>
          <w:rFonts w:ascii="Arial" w:hAnsi="Arial" w:cs="Arial"/>
          <w:sz w:val="22"/>
          <w:szCs w:val="22"/>
        </w:rPr>
        <w:t>Indeed, the 2018 census provides the first comprehensive snapshot of Cambodia’s marine fleet, revealing a sector dominated by small-engine, non-registered vessels clustered in Koh Kong and Preah Sihanouk. While this structure supports local livelihoods and employment, it also poses significant management and sustainability concerns. The combination of high vessel density, limited registration, and low engine power reinforces the need for targeted governance reforms, particularly vessel licensing, gear regulation, and enforcement coordination among coastal provinces.</w:t>
      </w:r>
    </w:p>
    <w:p w:rsidR="00874FFD" w:rsidRPr="0018202F" w:rsidRDefault="00874FFD" w:rsidP="00874FFD">
      <w:pPr>
        <w:pStyle w:val="Caption"/>
        <w:rPr>
          <w:rFonts w:ascii="Arial" w:hAnsi="Arial" w:cs="Arial"/>
          <w:color w:val="0070C0"/>
          <w:sz w:val="22"/>
          <w:szCs w:val="22"/>
        </w:rPr>
      </w:pPr>
      <w:r w:rsidRPr="0018202F">
        <w:rPr>
          <w:rFonts w:ascii="Arial" w:hAnsi="Arial" w:cs="Arial"/>
          <w:color w:val="0070C0"/>
          <w:sz w:val="22"/>
          <w:szCs w:val="22"/>
        </w:rPr>
        <w:t>Annex Table 5-</w:t>
      </w:r>
      <w:r w:rsidRPr="0018202F">
        <w:rPr>
          <w:rFonts w:ascii="Arial" w:hAnsi="Arial" w:cs="Arial"/>
          <w:color w:val="0070C0"/>
          <w:sz w:val="22"/>
          <w:szCs w:val="22"/>
        </w:rPr>
        <w:fldChar w:fldCharType="begin"/>
      </w:r>
      <w:r w:rsidRPr="0018202F">
        <w:rPr>
          <w:rFonts w:ascii="Arial" w:hAnsi="Arial" w:cs="Arial"/>
          <w:color w:val="0070C0"/>
          <w:sz w:val="22"/>
          <w:szCs w:val="22"/>
        </w:rPr>
        <w:instrText xml:space="preserve"> SEQ Annex_Table_5- \* ARABIC </w:instrText>
      </w:r>
      <w:r w:rsidRPr="0018202F">
        <w:rPr>
          <w:rFonts w:ascii="Arial" w:hAnsi="Arial" w:cs="Arial"/>
          <w:color w:val="0070C0"/>
          <w:sz w:val="22"/>
          <w:szCs w:val="22"/>
        </w:rPr>
        <w:fldChar w:fldCharType="separate"/>
      </w:r>
      <w:r w:rsidR="00F72397">
        <w:rPr>
          <w:rFonts w:ascii="Arial" w:hAnsi="Arial" w:cs="Arial"/>
          <w:noProof/>
          <w:color w:val="0070C0"/>
          <w:sz w:val="22"/>
          <w:szCs w:val="22"/>
        </w:rPr>
        <w:t>7</w:t>
      </w:r>
      <w:r w:rsidRPr="0018202F">
        <w:rPr>
          <w:rFonts w:ascii="Arial" w:hAnsi="Arial" w:cs="Arial"/>
          <w:color w:val="0070C0"/>
          <w:sz w:val="22"/>
          <w:szCs w:val="22"/>
        </w:rPr>
        <w:fldChar w:fldCharType="end"/>
      </w:r>
      <w:r>
        <w:rPr>
          <w:rFonts w:ascii="Arial" w:hAnsi="Arial" w:cs="Arial"/>
          <w:color w:val="0070C0"/>
          <w:sz w:val="22"/>
          <w:szCs w:val="22"/>
        </w:rPr>
        <w:t xml:space="preserve"> </w:t>
      </w:r>
      <w:r w:rsidRPr="0018202F">
        <w:rPr>
          <w:rFonts w:ascii="Arial" w:hAnsi="Arial" w:cs="Arial"/>
          <w:color w:val="0070C0"/>
          <w:sz w:val="22"/>
          <w:szCs w:val="22"/>
        </w:rPr>
        <w:t>Number of Marine Fishing Vessels: Large, Medium and Small Scale</w:t>
      </w:r>
    </w:p>
    <w:tbl>
      <w:tblPr>
        <w:tblStyle w:val="GridTable4-Accent5"/>
        <w:tblW w:w="8961" w:type="dxa"/>
        <w:tblLook w:val="04A0" w:firstRow="1" w:lastRow="0" w:firstColumn="1" w:lastColumn="0" w:noHBand="0" w:noVBand="1"/>
      </w:tblPr>
      <w:tblGrid>
        <w:gridCol w:w="3127"/>
        <w:gridCol w:w="1309"/>
        <w:gridCol w:w="1477"/>
        <w:gridCol w:w="1035"/>
        <w:gridCol w:w="844"/>
        <w:gridCol w:w="1169"/>
      </w:tblGrid>
      <w:tr w:rsidR="00874FFD" w:rsidRPr="0018202F" w:rsidTr="007C37D6">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rsidR="00874FFD" w:rsidRPr="0018202F" w:rsidRDefault="00874FFD" w:rsidP="00550DBE">
            <w:pPr>
              <w:rPr>
                <w:rFonts w:ascii="Arial" w:hAnsi="Arial" w:cs="Arial"/>
                <w:sz w:val="22"/>
                <w:szCs w:val="22"/>
              </w:rPr>
            </w:pPr>
            <w:r w:rsidRPr="0018202F">
              <w:rPr>
                <w:rFonts w:ascii="Arial" w:hAnsi="Arial" w:cs="Arial"/>
                <w:sz w:val="22"/>
                <w:szCs w:val="22"/>
              </w:rPr>
              <w:t>Vessel Type (Ranking m)</w:t>
            </w:r>
          </w:p>
        </w:tc>
        <w:tc>
          <w:tcPr>
            <w:tcW w:w="1309" w:type="dxa"/>
            <w:hideMark/>
          </w:tcPr>
          <w:p w:rsidR="00874FFD" w:rsidRPr="0018202F" w:rsidRDefault="00874FFD" w:rsidP="00550DBE">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Koh Kong</w:t>
            </w:r>
          </w:p>
        </w:tc>
        <w:tc>
          <w:tcPr>
            <w:tcW w:w="1477" w:type="dxa"/>
            <w:hideMark/>
          </w:tcPr>
          <w:p w:rsidR="00874FFD" w:rsidRPr="0018202F" w:rsidRDefault="00874FFD" w:rsidP="00550DBE">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Preah Sihanouk</w:t>
            </w:r>
          </w:p>
        </w:tc>
        <w:tc>
          <w:tcPr>
            <w:tcW w:w="1035" w:type="dxa"/>
            <w:hideMark/>
          </w:tcPr>
          <w:p w:rsidR="00874FFD" w:rsidRPr="0018202F" w:rsidRDefault="00874FFD" w:rsidP="00550DBE">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Kampot</w:t>
            </w:r>
          </w:p>
        </w:tc>
        <w:tc>
          <w:tcPr>
            <w:tcW w:w="844" w:type="dxa"/>
            <w:hideMark/>
          </w:tcPr>
          <w:p w:rsidR="00874FFD" w:rsidRPr="0018202F" w:rsidRDefault="00874FFD" w:rsidP="00550DBE">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Kep</w:t>
            </w:r>
          </w:p>
        </w:tc>
        <w:tc>
          <w:tcPr>
            <w:tcW w:w="1169" w:type="dxa"/>
            <w:hideMark/>
          </w:tcPr>
          <w:p w:rsidR="00874FFD" w:rsidRPr="0018202F" w:rsidRDefault="00874FFD" w:rsidP="00550DBE">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Total</w:t>
            </w:r>
          </w:p>
        </w:tc>
      </w:tr>
      <w:tr w:rsidR="00874FFD" w:rsidRPr="0018202F" w:rsidTr="007C37D6">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0" w:type="auto"/>
            <w:hideMark/>
          </w:tcPr>
          <w:p w:rsidR="00874FFD" w:rsidRPr="0018202F" w:rsidRDefault="00874FFD" w:rsidP="00550DBE">
            <w:pPr>
              <w:rPr>
                <w:rFonts w:ascii="Arial" w:hAnsi="Arial" w:cs="Arial"/>
                <w:b w:val="0"/>
                <w:bCs w:val="0"/>
                <w:sz w:val="22"/>
                <w:szCs w:val="22"/>
              </w:rPr>
            </w:pPr>
            <w:r w:rsidRPr="0018202F">
              <w:rPr>
                <w:rFonts w:ascii="Arial" w:hAnsi="Arial" w:cs="Arial"/>
                <w:b w:val="0"/>
                <w:bCs w:val="0"/>
                <w:sz w:val="22"/>
                <w:szCs w:val="22"/>
              </w:rPr>
              <w:t>Large Scale (≥ 24 m)</w:t>
            </w:r>
          </w:p>
        </w:tc>
        <w:tc>
          <w:tcPr>
            <w:tcW w:w="1309" w:type="dxa"/>
            <w:hideMark/>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10</w:t>
            </w:r>
          </w:p>
        </w:tc>
        <w:tc>
          <w:tcPr>
            <w:tcW w:w="1477" w:type="dxa"/>
            <w:hideMark/>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1035" w:type="dxa"/>
            <w:hideMark/>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844" w:type="dxa"/>
            <w:hideMark/>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1169" w:type="dxa"/>
            <w:hideMark/>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10</w:t>
            </w:r>
          </w:p>
        </w:tc>
      </w:tr>
      <w:tr w:rsidR="00874FFD" w:rsidRPr="0018202F" w:rsidTr="007C37D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rsidR="00874FFD" w:rsidRPr="0018202F" w:rsidRDefault="00874FFD" w:rsidP="00550DBE">
            <w:pPr>
              <w:rPr>
                <w:rFonts w:ascii="Arial" w:hAnsi="Arial" w:cs="Arial"/>
                <w:b w:val="0"/>
                <w:bCs w:val="0"/>
                <w:sz w:val="22"/>
                <w:szCs w:val="22"/>
              </w:rPr>
            </w:pPr>
            <w:r w:rsidRPr="0018202F">
              <w:rPr>
                <w:rFonts w:ascii="Arial" w:hAnsi="Arial" w:cs="Arial"/>
                <w:b w:val="0"/>
                <w:bCs w:val="0"/>
                <w:sz w:val="22"/>
                <w:szCs w:val="22"/>
              </w:rPr>
              <w:t>Medium Scale (12 ≤ 24)</w:t>
            </w:r>
          </w:p>
        </w:tc>
        <w:tc>
          <w:tcPr>
            <w:tcW w:w="1309" w:type="dxa"/>
            <w:hideMark/>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962</w:t>
            </w:r>
          </w:p>
        </w:tc>
        <w:tc>
          <w:tcPr>
            <w:tcW w:w="1477" w:type="dxa"/>
            <w:hideMark/>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1,545</w:t>
            </w:r>
          </w:p>
        </w:tc>
        <w:tc>
          <w:tcPr>
            <w:tcW w:w="1035" w:type="dxa"/>
            <w:hideMark/>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629</w:t>
            </w:r>
          </w:p>
        </w:tc>
        <w:tc>
          <w:tcPr>
            <w:tcW w:w="844" w:type="dxa"/>
            <w:hideMark/>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367</w:t>
            </w:r>
          </w:p>
        </w:tc>
        <w:tc>
          <w:tcPr>
            <w:tcW w:w="1169" w:type="dxa"/>
            <w:hideMark/>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3,512</w:t>
            </w:r>
          </w:p>
        </w:tc>
      </w:tr>
      <w:tr w:rsidR="00874FFD" w:rsidRPr="0018202F" w:rsidTr="007C37D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rsidR="00874FFD" w:rsidRPr="0018202F" w:rsidRDefault="00874FFD" w:rsidP="00550DBE">
            <w:pPr>
              <w:rPr>
                <w:rFonts w:ascii="Arial" w:hAnsi="Arial" w:cs="Arial"/>
                <w:b w:val="0"/>
                <w:bCs w:val="0"/>
                <w:sz w:val="22"/>
                <w:szCs w:val="22"/>
              </w:rPr>
            </w:pPr>
            <w:r w:rsidRPr="0018202F">
              <w:rPr>
                <w:rFonts w:ascii="Arial" w:hAnsi="Arial" w:cs="Arial"/>
                <w:b w:val="0"/>
                <w:bCs w:val="0"/>
                <w:sz w:val="22"/>
                <w:szCs w:val="22"/>
              </w:rPr>
              <w:t>Small Scale (&lt; 12 m)</w:t>
            </w:r>
          </w:p>
        </w:tc>
        <w:tc>
          <w:tcPr>
            <w:tcW w:w="1309" w:type="dxa"/>
            <w:hideMark/>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2,424</w:t>
            </w:r>
          </w:p>
        </w:tc>
        <w:tc>
          <w:tcPr>
            <w:tcW w:w="1477" w:type="dxa"/>
            <w:hideMark/>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978</w:t>
            </w:r>
          </w:p>
        </w:tc>
        <w:tc>
          <w:tcPr>
            <w:tcW w:w="1035" w:type="dxa"/>
            <w:hideMark/>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410</w:t>
            </w:r>
          </w:p>
        </w:tc>
        <w:tc>
          <w:tcPr>
            <w:tcW w:w="844" w:type="dxa"/>
            <w:hideMark/>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227</w:t>
            </w:r>
          </w:p>
        </w:tc>
        <w:tc>
          <w:tcPr>
            <w:tcW w:w="1169" w:type="dxa"/>
            <w:hideMark/>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4,030</w:t>
            </w:r>
          </w:p>
        </w:tc>
      </w:tr>
      <w:tr w:rsidR="00874FFD" w:rsidRPr="0018202F" w:rsidTr="007C37D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rsidR="00874FFD" w:rsidRPr="0018202F" w:rsidRDefault="00874FFD" w:rsidP="00550DBE">
            <w:pPr>
              <w:rPr>
                <w:rFonts w:ascii="Arial" w:hAnsi="Arial" w:cs="Arial"/>
                <w:sz w:val="22"/>
                <w:szCs w:val="22"/>
              </w:rPr>
            </w:pPr>
            <w:r w:rsidRPr="0018202F">
              <w:rPr>
                <w:rStyle w:val="Strong"/>
                <w:rFonts w:ascii="Arial" w:hAnsi="Arial" w:cs="Arial"/>
                <w:b/>
                <w:bCs/>
                <w:sz w:val="22"/>
                <w:szCs w:val="22"/>
              </w:rPr>
              <w:t>Total</w:t>
            </w:r>
          </w:p>
        </w:tc>
        <w:tc>
          <w:tcPr>
            <w:tcW w:w="1309" w:type="dxa"/>
            <w:hideMark/>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3,396</w:t>
            </w:r>
          </w:p>
        </w:tc>
        <w:tc>
          <w:tcPr>
            <w:tcW w:w="1477"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2,523</w:t>
            </w:r>
          </w:p>
        </w:tc>
        <w:tc>
          <w:tcPr>
            <w:tcW w:w="1035"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1,039</w:t>
            </w:r>
          </w:p>
        </w:tc>
        <w:tc>
          <w:tcPr>
            <w:tcW w:w="844"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594</w:t>
            </w:r>
          </w:p>
        </w:tc>
        <w:tc>
          <w:tcPr>
            <w:tcW w:w="1169"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Fonts w:ascii="Arial" w:hAnsi="Arial" w:cs="Arial"/>
                <w:b/>
                <w:bCs/>
                <w:sz w:val="22"/>
                <w:szCs w:val="22"/>
              </w:rPr>
              <w:t>7552</w:t>
            </w:r>
          </w:p>
        </w:tc>
      </w:tr>
      <w:tr w:rsidR="007C37D6" w:rsidRPr="0018202F" w:rsidTr="007C37D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shd w:val="clear" w:color="auto" w:fill="9CC2E5" w:themeFill="accent5" w:themeFillTint="99"/>
          </w:tcPr>
          <w:p w:rsidR="00874FFD" w:rsidRPr="007C37D6" w:rsidRDefault="00874FFD" w:rsidP="00550DBE">
            <w:pPr>
              <w:rPr>
                <w:rFonts w:ascii="Arial" w:hAnsi="Arial" w:cs="Arial"/>
                <w:color w:val="FFFFFF" w:themeColor="background1"/>
                <w:sz w:val="22"/>
                <w:szCs w:val="22"/>
              </w:rPr>
            </w:pPr>
            <w:r w:rsidRPr="007C37D6">
              <w:rPr>
                <w:rFonts w:ascii="Arial" w:hAnsi="Arial" w:cs="Arial"/>
                <w:color w:val="FFFFFF" w:themeColor="background1"/>
                <w:sz w:val="22"/>
                <w:szCs w:val="22"/>
              </w:rPr>
              <w:t>Type of Engine Power (HP)</w:t>
            </w:r>
          </w:p>
        </w:tc>
        <w:tc>
          <w:tcPr>
            <w:tcW w:w="1309" w:type="dxa"/>
            <w:shd w:val="clear" w:color="auto" w:fill="9CC2E5" w:themeFill="accent5" w:themeFillTint="99"/>
          </w:tcPr>
          <w:p w:rsidR="00874FFD" w:rsidRPr="007C37D6"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r w:rsidRPr="007C37D6">
              <w:rPr>
                <w:rFonts w:ascii="Arial" w:hAnsi="Arial" w:cs="Arial"/>
                <w:b/>
                <w:bCs/>
                <w:color w:val="FFFFFF" w:themeColor="background1"/>
                <w:sz w:val="22"/>
                <w:szCs w:val="22"/>
              </w:rPr>
              <w:t>Koh Kong</w:t>
            </w:r>
          </w:p>
        </w:tc>
        <w:tc>
          <w:tcPr>
            <w:tcW w:w="1477" w:type="dxa"/>
            <w:shd w:val="clear" w:color="auto" w:fill="9CC2E5" w:themeFill="accent5" w:themeFillTint="99"/>
          </w:tcPr>
          <w:p w:rsidR="00874FFD" w:rsidRPr="007C37D6"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r w:rsidRPr="007C37D6">
              <w:rPr>
                <w:rFonts w:ascii="Arial" w:hAnsi="Arial" w:cs="Arial"/>
                <w:b/>
                <w:bCs/>
                <w:color w:val="FFFFFF" w:themeColor="background1"/>
                <w:sz w:val="22"/>
                <w:szCs w:val="22"/>
              </w:rPr>
              <w:t>Preah Sihanouk</w:t>
            </w:r>
          </w:p>
        </w:tc>
        <w:tc>
          <w:tcPr>
            <w:tcW w:w="1035" w:type="dxa"/>
            <w:shd w:val="clear" w:color="auto" w:fill="9CC2E5" w:themeFill="accent5" w:themeFillTint="99"/>
          </w:tcPr>
          <w:p w:rsidR="00874FFD" w:rsidRPr="007C37D6"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r w:rsidRPr="007C37D6">
              <w:rPr>
                <w:rFonts w:ascii="Arial" w:hAnsi="Arial" w:cs="Arial"/>
                <w:b/>
                <w:bCs/>
                <w:color w:val="FFFFFF" w:themeColor="background1"/>
                <w:sz w:val="22"/>
                <w:szCs w:val="22"/>
              </w:rPr>
              <w:t>Kampot</w:t>
            </w:r>
          </w:p>
        </w:tc>
        <w:tc>
          <w:tcPr>
            <w:tcW w:w="844" w:type="dxa"/>
            <w:shd w:val="clear" w:color="auto" w:fill="9CC2E5" w:themeFill="accent5" w:themeFillTint="99"/>
          </w:tcPr>
          <w:p w:rsidR="00874FFD" w:rsidRPr="007C37D6"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r w:rsidRPr="007C37D6">
              <w:rPr>
                <w:rFonts w:ascii="Arial" w:hAnsi="Arial" w:cs="Arial"/>
                <w:b/>
                <w:bCs/>
                <w:color w:val="FFFFFF" w:themeColor="background1"/>
                <w:sz w:val="22"/>
                <w:szCs w:val="22"/>
              </w:rPr>
              <w:t>Kep</w:t>
            </w:r>
          </w:p>
        </w:tc>
        <w:tc>
          <w:tcPr>
            <w:tcW w:w="1169" w:type="dxa"/>
            <w:shd w:val="clear" w:color="auto" w:fill="9CC2E5" w:themeFill="accent5" w:themeFillTint="99"/>
          </w:tcPr>
          <w:p w:rsidR="00874FFD" w:rsidRPr="007C37D6"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r w:rsidRPr="007C37D6">
              <w:rPr>
                <w:rFonts w:ascii="Arial" w:hAnsi="Arial" w:cs="Arial"/>
                <w:b/>
                <w:bCs/>
                <w:color w:val="FFFFFF" w:themeColor="background1"/>
                <w:sz w:val="22"/>
                <w:szCs w:val="22"/>
              </w:rPr>
              <w:t>Total</w:t>
            </w:r>
          </w:p>
        </w:tc>
      </w:tr>
      <w:tr w:rsidR="00874FFD" w:rsidRPr="0018202F" w:rsidTr="007C37D6">
        <w:trPr>
          <w:trHeight w:val="315"/>
        </w:trPr>
        <w:tc>
          <w:tcPr>
            <w:cnfStyle w:val="001000000000" w:firstRow="0" w:lastRow="0" w:firstColumn="1" w:lastColumn="0" w:oddVBand="0" w:evenVBand="0" w:oddHBand="0" w:evenHBand="0" w:firstRowFirstColumn="0" w:firstRowLastColumn="0" w:lastRowFirstColumn="0" w:lastRowLastColumn="0"/>
            <w:tcW w:w="0" w:type="auto"/>
          </w:tcPr>
          <w:p w:rsidR="00874FFD" w:rsidRPr="0018202F" w:rsidRDefault="00874FFD" w:rsidP="00550DBE">
            <w:pPr>
              <w:rPr>
                <w:rFonts w:ascii="Arial" w:hAnsi="Arial" w:cs="Arial"/>
                <w:b w:val="0"/>
                <w:bCs w:val="0"/>
                <w:sz w:val="22"/>
                <w:szCs w:val="22"/>
              </w:rPr>
            </w:pPr>
            <w:r w:rsidRPr="0018202F">
              <w:rPr>
                <w:rFonts w:ascii="Arial" w:hAnsi="Arial" w:cs="Arial"/>
                <w:b w:val="0"/>
                <w:bCs w:val="0"/>
                <w:sz w:val="22"/>
                <w:szCs w:val="22"/>
              </w:rPr>
              <w:t>&lt; 50</w:t>
            </w:r>
          </w:p>
        </w:tc>
        <w:tc>
          <w:tcPr>
            <w:tcW w:w="1309"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2,967</w:t>
            </w:r>
          </w:p>
        </w:tc>
        <w:tc>
          <w:tcPr>
            <w:tcW w:w="1477"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2,115</w:t>
            </w:r>
          </w:p>
        </w:tc>
        <w:tc>
          <w:tcPr>
            <w:tcW w:w="1035"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1,028</w:t>
            </w:r>
          </w:p>
        </w:tc>
        <w:tc>
          <w:tcPr>
            <w:tcW w:w="844"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589</w:t>
            </w:r>
          </w:p>
        </w:tc>
        <w:tc>
          <w:tcPr>
            <w:tcW w:w="1169"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6,699</w:t>
            </w:r>
          </w:p>
        </w:tc>
      </w:tr>
      <w:tr w:rsidR="00874FFD" w:rsidRPr="0018202F" w:rsidTr="007C37D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rsidR="00874FFD" w:rsidRPr="0018202F" w:rsidRDefault="00874FFD" w:rsidP="00550DBE">
            <w:pPr>
              <w:rPr>
                <w:rFonts w:ascii="Arial" w:hAnsi="Arial" w:cs="Arial"/>
                <w:b w:val="0"/>
                <w:bCs w:val="0"/>
                <w:sz w:val="22"/>
                <w:szCs w:val="22"/>
              </w:rPr>
            </w:pPr>
            <w:r w:rsidRPr="0018202F">
              <w:rPr>
                <w:rFonts w:ascii="Arial" w:hAnsi="Arial" w:cs="Arial"/>
                <w:b w:val="0"/>
                <w:bCs w:val="0"/>
                <w:sz w:val="22"/>
                <w:szCs w:val="22"/>
              </w:rPr>
              <w:t>51 – 90</w:t>
            </w:r>
          </w:p>
        </w:tc>
        <w:tc>
          <w:tcPr>
            <w:tcW w:w="1309"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157</w:t>
            </w:r>
          </w:p>
        </w:tc>
        <w:tc>
          <w:tcPr>
            <w:tcW w:w="1477"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110</w:t>
            </w:r>
          </w:p>
        </w:tc>
        <w:tc>
          <w:tcPr>
            <w:tcW w:w="1035"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7</w:t>
            </w:r>
          </w:p>
        </w:tc>
        <w:tc>
          <w:tcPr>
            <w:tcW w:w="844"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7</w:t>
            </w:r>
          </w:p>
        </w:tc>
        <w:tc>
          <w:tcPr>
            <w:tcW w:w="1169"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279</w:t>
            </w:r>
          </w:p>
        </w:tc>
      </w:tr>
      <w:tr w:rsidR="00874FFD" w:rsidRPr="0018202F" w:rsidTr="007C37D6">
        <w:trPr>
          <w:trHeight w:val="315"/>
        </w:trPr>
        <w:tc>
          <w:tcPr>
            <w:cnfStyle w:val="001000000000" w:firstRow="0" w:lastRow="0" w:firstColumn="1" w:lastColumn="0" w:oddVBand="0" w:evenVBand="0" w:oddHBand="0" w:evenHBand="0" w:firstRowFirstColumn="0" w:firstRowLastColumn="0" w:lastRowFirstColumn="0" w:lastRowLastColumn="0"/>
            <w:tcW w:w="0" w:type="auto"/>
          </w:tcPr>
          <w:p w:rsidR="00874FFD" w:rsidRPr="0018202F" w:rsidRDefault="00874FFD" w:rsidP="00550DBE">
            <w:pPr>
              <w:rPr>
                <w:rFonts w:ascii="Arial" w:hAnsi="Arial" w:cs="Arial"/>
                <w:b w:val="0"/>
                <w:bCs w:val="0"/>
                <w:sz w:val="22"/>
                <w:szCs w:val="22"/>
              </w:rPr>
            </w:pPr>
            <w:r w:rsidRPr="0018202F">
              <w:rPr>
                <w:rFonts w:ascii="Arial" w:hAnsi="Arial" w:cs="Arial"/>
                <w:b w:val="0"/>
                <w:bCs w:val="0"/>
                <w:sz w:val="22"/>
                <w:szCs w:val="22"/>
              </w:rPr>
              <w:t>91 – 180</w:t>
            </w:r>
          </w:p>
        </w:tc>
        <w:tc>
          <w:tcPr>
            <w:tcW w:w="1309"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179</w:t>
            </w:r>
          </w:p>
        </w:tc>
        <w:tc>
          <w:tcPr>
            <w:tcW w:w="1477"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257</w:t>
            </w:r>
          </w:p>
        </w:tc>
        <w:tc>
          <w:tcPr>
            <w:tcW w:w="1035"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4</w:t>
            </w:r>
          </w:p>
        </w:tc>
        <w:tc>
          <w:tcPr>
            <w:tcW w:w="844"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1169"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440</w:t>
            </w:r>
          </w:p>
        </w:tc>
      </w:tr>
      <w:tr w:rsidR="00874FFD" w:rsidRPr="0018202F" w:rsidTr="007C37D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rsidR="00874FFD" w:rsidRPr="0018202F" w:rsidRDefault="00874FFD" w:rsidP="00550DBE">
            <w:pPr>
              <w:rPr>
                <w:rFonts w:ascii="Arial" w:hAnsi="Arial" w:cs="Arial"/>
                <w:b w:val="0"/>
                <w:bCs w:val="0"/>
                <w:sz w:val="22"/>
                <w:szCs w:val="22"/>
              </w:rPr>
            </w:pPr>
            <w:r w:rsidRPr="0018202F">
              <w:rPr>
                <w:rFonts w:ascii="Arial" w:hAnsi="Arial" w:cs="Arial"/>
                <w:b w:val="0"/>
                <w:bCs w:val="0"/>
                <w:sz w:val="22"/>
                <w:szCs w:val="22"/>
              </w:rPr>
              <w:t>181 – 270</w:t>
            </w:r>
          </w:p>
        </w:tc>
        <w:tc>
          <w:tcPr>
            <w:tcW w:w="1309"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57</w:t>
            </w:r>
          </w:p>
        </w:tc>
        <w:tc>
          <w:tcPr>
            <w:tcW w:w="1477"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26</w:t>
            </w:r>
          </w:p>
        </w:tc>
        <w:tc>
          <w:tcPr>
            <w:tcW w:w="1035"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844"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1169"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83</w:t>
            </w:r>
          </w:p>
        </w:tc>
      </w:tr>
      <w:tr w:rsidR="00874FFD" w:rsidRPr="0018202F" w:rsidTr="007C37D6">
        <w:trPr>
          <w:trHeight w:val="315"/>
        </w:trPr>
        <w:tc>
          <w:tcPr>
            <w:cnfStyle w:val="001000000000" w:firstRow="0" w:lastRow="0" w:firstColumn="1" w:lastColumn="0" w:oddVBand="0" w:evenVBand="0" w:oddHBand="0" w:evenHBand="0" w:firstRowFirstColumn="0" w:firstRowLastColumn="0" w:lastRowFirstColumn="0" w:lastRowLastColumn="0"/>
            <w:tcW w:w="0" w:type="auto"/>
          </w:tcPr>
          <w:p w:rsidR="00874FFD" w:rsidRPr="0018202F" w:rsidRDefault="00874FFD" w:rsidP="00550DBE">
            <w:pPr>
              <w:rPr>
                <w:rFonts w:ascii="Arial" w:hAnsi="Arial" w:cs="Arial"/>
                <w:b w:val="0"/>
                <w:bCs w:val="0"/>
                <w:sz w:val="22"/>
                <w:szCs w:val="22"/>
              </w:rPr>
            </w:pPr>
            <w:r w:rsidRPr="0018202F">
              <w:rPr>
                <w:rFonts w:ascii="Arial" w:hAnsi="Arial" w:cs="Arial"/>
                <w:b w:val="0"/>
                <w:bCs w:val="0"/>
                <w:sz w:val="22"/>
                <w:szCs w:val="22"/>
              </w:rPr>
              <w:t>271 – 540</w:t>
            </w:r>
          </w:p>
        </w:tc>
        <w:tc>
          <w:tcPr>
            <w:tcW w:w="1309"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36</w:t>
            </w:r>
          </w:p>
        </w:tc>
        <w:tc>
          <w:tcPr>
            <w:tcW w:w="1477"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15</w:t>
            </w:r>
          </w:p>
        </w:tc>
        <w:tc>
          <w:tcPr>
            <w:tcW w:w="1035"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844"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1169"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51</w:t>
            </w:r>
          </w:p>
        </w:tc>
      </w:tr>
      <w:tr w:rsidR="00874FFD" w:rsidRPr="0018202F" w:rsidTr="007C37D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rsidR="00874FFD" w:rsidRPr="0018202F" w:rsidRDefault="00874FFD" w:rsidP="00550DBE">
            <w:pPr>
              <w:rPr>
                <w:rFonts w:ascii="Arial" w:hAnsi="Arial" w:cs="Arial"/>
                <w:sz w:val="22"/>
                <w:szCs w:val="22"/>
              </w:rPr>
            </w:pPr>
            <w:r w:rsidRPr="0018202F">
              <w:rPr>
                <w:rStyle w:val="Strong"/>
                <w:rFonts w:ascii="Arial" w:hAnsi="Arial" w:cs="Arial"/>
                <w:b/>
                <w:bCs/>
                <w:sz w:val="22"/>
                <w:szCs w:val="22"/>
              </w:rPr>
              <w:t>Total</w:t>
            </w:r>
          </w:p>
        </w:tc>
        <w:tc>
          <w:tcPr>
            <w:tcW w:w="1309"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3,396</w:t>
            </w:r>
          </w:p>
        </w:tc>
        <w:tc>
          <w:tcPr>
            <w:tcW w:w="1477"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2,523</w:t>
            </w:r>
          </w:p>
        </w:tc>
        <w:tc>
          <w:tcPr>
            <w:tcW w:w="1035"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1,039</w:t>
            </w:r>
          </w:p>
        </w:tc>
        <w:tc>
          <w:tcPr>
            <w:tcW w:w="844"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594</w:t>
            </w:r>
          </w:p>
        </w:tc>
        <w:tc>
          <w:tcPr>
            <w:tcW w:w="1169"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18202F">
              <w:rPr>
                <w:rFonts w:ascii="Arial" w:hAnsi="Arial" w:cs="Arial"/>
                <w:b/>
                <w:bCs/>
                <w:sz w:val="22"/>
                <w:szCs w:val="22"/>
              </w:rPr>
              <w:t>7552</w:t>
            </w:r>
          </w:p>
        </w:tc>
      </w:tr>
      <w:tr w:rsidR="00874FFD" w:rsidRPr="0018202F" w:rsidTr="007C37D6">
        <w:trPr>
          <w:trHeight w:val="315"/>
        </w:trPr>
        <w:tc>
          <w:tcPr>
            <w:cnfStyle w:val="001000000000" w:firstRow="0" w:lastRow="0" w:firstColumn="1" w:lastColumn="0" w:oddVBand="0" w:evenVBand="0" w:oddHBand="0" w:evenHBand="0" w:firstRowFirstColumn="0" w:firstRowLastColumn="0" w:lastRowFirstColumn="0" w:lastRowLastColumn="0"/>
            <w:tcW w:w="0" w:type="auto"/>
            <w:shd w:val="clear" w:color="auto" w:fill="9CC2E5" w:themeFill="accent5" w:themeFillTint="99"/>
          </w:tcPr>
          <w:p w:rsidR="00874FFD" w:rsidRPr="007C37D6" w:rsidRDefault="00874FFD" w:rsidP="00550DBE">
            <w:pPr>
              <w:rPr>
                <w:rFonts w:ascii="Arial" w:hAnsi="Arial" w:cs="Arial"/>
                <w:color w:val="FFFFFF" w:themeColor="background1"/>
                <w:sz w:val="22"/>
                <w:szCs w:val="22"/>
              </w:rPr>
            </w:pPr>
            <w:r w:rsidRPr="007C37D6">
              <w:rPr>
                <w:rFonts w:ascii="Arial" w:hAnsi="Arial" w:cs="Arial"/>
                <w:color w:val="FFFFFF" w:themeColor="background1"/>
                <w:sz w:val="22"/>
                <w:szCs w:val="22"/>
              </w:rPr>
              <w:t>Type of Engine Power (HP)</w:t>
            </w:r>
          </w:p>
        </w:tc>
        <w:tc>
          <w:tcPr>
            <w:tcW w:w="1309" w:type="dxa"/>
            <w:shd w:val="clear" w:color="auto" w:fill="9CC2E5" w:themeFill="accent5" w:themeFillTint="99"/>
          </w:tcPr>
          <w:p w:rsidR="00874FFD" w:rsidRPr="007C37D6"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7C37D6">
              <w:rPr>
                <w:rFonts w:ascii="Arial" w:hAnsi="Arial" w:cs="Arial"/>
                <w:b/>
                <w:bCs/>
                <w:color w:val="FFFFFF" w:themeColor="background1"/>
                <w:sz w:val="22"/>
                <w:szCs w:val="22"/>
              </w:rPr>
              <w:t>Koh Kong</w:t>
            </w:r>
          </w:p>
        </w:tc>
        <w:tc>
          <w:tcPr>
            <w:tcW w:w="1477" w:type="dxa"/>
            <w:shd w:val="clear" w:color="auto" w:fill="9CC2E5" w:themeFill="accent5" w:themeFillTint="99"/>
          </w:tcPr>
          <w:p w:rsidR="00874FFD" w:rsidRPr="007C37D6"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7C37D6">
              <w:rPr>
                <w:rFonts w:ascii="Arial" w:hAnsi="Arial" w:cs="Arial"/>
                <w:b/>
                <w:bCs/>
                <w:color w:val="FFFFFF" w:themeColor="background1"/>
                <w:sz w:val="22"/>
                <w:szCs w:val="22"/>
              </w:rPr>
              <w:t>Preah Sihanouk</w:t>
            </w:r>
          </w:p>
        </w:tc>
        <w:tc>
          <w:tcPr>
            <w:tcW w:w="1035" w:type="dxa"/>
            <w:shd w:val="clear" w:color="auto" w:fill="9CC2E5" w:themeFill="accent5" w:themeFillTint="99"/>
          </w:tcPr>
          <w:p w:rsidR="00874FFD" w:rsidRPr="007C37D6"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7C37D6">
              <w:rPr>
                <w:rFonts w:ascii="Arial" w:hAnsi="Arial" w:cs="Arial"/>
                <w:b/>
                <w:bCs/>
                <w:color w:val="FFFFFF" w:themeColor="background1"/>
                <w:sz w:val="22"/>
                <w:szCs w:val="22"/>
              </w:rPr>
              <w:t>Kampot</w:t>
            </w:r>
          </w:p>
        </w:tc>
        <w:tc>
          <w:tcPr>
            <w:tcW w:w="844" w:type="dxa"/>
            <w:shd w:val="clear" w:color="auto" w:fill="9CC2E5" w:themeFill="accent5" w:themeFillTint="99"/>
          </w:tcPr>
          <w:p w:rsidR="00874FFD" w:rsidRPr="007C37D6"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7C37D6">
              <w:rPr>
                <w:rFonts w:ascii="Arial" w:hAnsi="Arial" w:cs="Arial"/>
                <w:b/>
                <w:bCs/>
                <w:color w:val="FFFFFF" w:themeColor="background1"/>
                <w:sz w:val="22"/>
                <w:szCs w:val="22"/>
              </w:rPr>
              <w:t>Kep</w:t>
            </w:r>
          </w:p>
        </w:tc>
        <w:tc>
          <w:tcPr>
            <w:tcW w:w="1169" w:type="dxa"/>
            <w:shd w:val="clear" w:color="auto" w:fill="9CC2E5" w:themeFill="accent5" w:themeFillTint="99"/>
          </w:tcPr>
          <w:p w:rsidR="00874FFD" w:rsidRPr="007C37D6"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7C37D6">
              <w:rPr>
                <w:rFonts w:ascii="Arial" w:hAnsi="Arial" w:cs="Arial"/>
                <w:b/>
                <w:bCs/>
                <w:color w:val="FFFFFF" w:themeColor="background1"/>
                <w:sz w:val="22"/>
                <w:szCs w:val="22"/>
              </w:rPr>
              <w:t>Total</w:t>
            </w:r>
          </w:p>
        </w:tc>
      </w:tr>
      <w:tr w:rsidR="00874FFD" w:rsidRPr="0018202F" w:rsidTr="007C37D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rsidR="00874FFD" w:rsidRPr="0018202F" w:rsidRDefault="00874FFD" w:rsidP="00550DBE">
            <w:pPr>
              <w:rPr>
                <w:rFonts w:ascii="Arial" w:hAnsi="Arial" w:cs="Arial"/>
                <w:b w:val="0"/>
                <w:bCs w:val="0"/>
                <w:sz w:val="22"/>
                <w:szCs w:val="22"/>
              </w:rPr>
            </w:pPr>
            <w:r w:rsidRPr="0018202F">
              <w:rPr>
                <w:rFonts w:ascii="Arial" w:hAnsi="Arial" w:cs="Arial"/>
                <w:b w:val="0"/>
                <w:bCs w:val="0"/>
                <w:sz w:val="22"/>
                <w:szCs w:val="22"/>
              </w:rPr>
              <w:t>&lt; 50</w:t>
            </w:r>
          </w:p>
        </w:tc>
        <w:tc>
          <w:tcPr>
            <w:tcW w:w="1309"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2,967</w:t>
            </w:r>
          </w:p>
        </w:tc>
        <w:tc>
          <w:tcPr>
            <w:tcW w:w="1477"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2,115</w:t>
            </w:r>
          </w:p>
        </w:tc>
        <w:tc>
          <w:tcPr>
            <w:tcW w:w="1035"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1,028</w:t>
            </w:r>
          </w:p>
        </w:tc>
        <w:tc>
          <w:tcPr>
            <w:tcW w:w="844"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589</w:t>
            </w:r>
          </w:p>
        </w:tc>
        <w:tc>
          <w:tcPr>
            <w:tcW w:w="1169"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6,699</w:t>
            </w:r>
          </w:p>
        </w:tc>
      </w:tr>
      <w:tr w:rsidR="00874FFD" w:rsidRPr="0018202F" w:rsidTr="007C37D6">
        <w:trPr>
          <w:trHeight w:val="315"/>
        </w:trPr>
        <w:tc>
          <w:tcPr>
            <w:cnfStyle w:val="001000000000" w:firstRow="0" w:lastRow="0" w:firstColumn="1" w:lastColumn="0" w:oddVBand="0" w:evenVBand="0" w:oddHBand="0" w:evenHBand="0" w:firstRowFirstColumn="0" w:firstRowLastColumn="0" w:lastRowFirstColumn="0" w:lastRowLastColumn="0"/>
            <w:tcW w:w="0" w:type="auto"/>
          </w:tcPr>
          <w:p w:rsidR="00874FFD" w:rsidRPr="0018202F" w:rsidRDefault="00874FFD" w:rsidP="00550DBE">
            <w:pPr>
              <w:rPr>
                <w:rFonts w:ascii="Arial" w:hAnsi="Arial" w:cs="Arial"/>
                <w:b w:val="0"/>
                <w:bCs w:val="0"/>
                <w:sz w:val="22"/>
                <w:szCs w:val="22"/>
              </w:rPr>
            </w:pPr>
            <w:r w:rsidRPr="0018202F">
              <w:rPr>
                <w:rFonts w:ascii="Arial" w:hAnsi="Arial" w:cs="Arial"/>
                <w:b w:val="0"/>
                <w:bCs w:val="0"/>
                <w:sz w:val="22"/>
                <w:szCs w:val="22"/>
              </w:rPr>
              <w:t>51 – 90</w:t>
            </w:r>
          </w:p>
        </w:tc>
        <w:tc>
          <w:tcPr>
            <w:tcW w:w="1309"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157</w:t>
            </w:r>
          </w:p>
        </w:tc>
        <w:tc>
          <w:tcPr>
            <w:tcW w:w="1477"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110</w:t>
            </w:r>
          </w:p>
        </w:tc>
        <w:tc>
          <w:tcPr>
            <w:tcW w:w="1035"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7</w:t>
            </w:r>
          </w:p>
        </w:tc>
        <w:tc>
          <w:tcPr>
            <w:tcW w:w="844"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7</w:t>
            </w:r>
          </w:p>
        </w:tc>
        <w:tc>
          <w:tcPr>
            <w:tcW w:w="1169"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279</w:t>
            </w:r>
          </w:p>
        </w:tc>
      </w:tr>
      <w:tr w:rsidR="00874FFD" w:rsidRPr="0018202F" w:rsidTr="007C37D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rsidR="00874FFD" w:rsidRPr="0018202F" w:rsidRDefault="00874FFD" w:rsidP="00550DBE">
            <w:pPr>
              <w:rPr>
                <w:rFonts w:ascii="Arial" w:hAnsi="Arial" w:cs="Arial"/>
                <w:b w:val="0"/>
                <w:bCs w:val="0"/>
                <w:sz w:val="22"/>
                <w:szCs w:val="22"/>
              </w:rPr>
            </w:pPr>
            <w:r w:rsidRPr="0018202F">
              <w:rPr>
                <w:rFonts w:ascii="Arial" w:hAnsi="Arial" w:cs="Arial"/>
                <w:b w:val="0"/>
                <w:bCs w:val="0"/>
                <w:sz w:val="22"/>
                <w:szCs w:val="22"/>
              </w:rPr>
              <w:t>91 – 180</w:t>
            </w:r>
          </w:p>
        </w:tc>
        <w:tc>
          <w:tcPr>
            <w:tcW w:w="1309"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179</w:t>
            </w:r>
          </w:p>
        </w:tc>
        <w:tc>
          <w:tcPr>
            <w:tcW w:w="1477"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257</w:t>
            </w:r>
          </w:p>
        </w:tc>
        <w:tc>
          <w:tcPr>
            <w:tcW w:w="1035"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4</w:t>
            </w:r>
          </w:p>
        </w:tc>
        <w:tc>
          <w:tcPr>
            <w:tcW w:w="844"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1169"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440</w:t>
            </w:r>
          </w:p>
        </w:tc>
      </w:tr>
      <w:tr w:rsidR="00874FFD" w:rsidRPr="0018202F" w:rsidTr="007C37D6">
        <w:trPr>
          <w:trHeight w:val="315"/>
        </w:trPr>
        <w:tc>
          <w:tcPr>
            <w:cnfStyle w:val="001000000000" w:firstRow="0" w:lastRow="0" w:firstColumn="1" w:lastColumn="0" w:oddVBand="0" w:evenVBand="0" w:oddHBand="0" w:evenHBand="0" w:firstRowFirstColumn="0" w:firstRowLastColumn="0" w:lastRowFirstColumn="0" w:lastRowLastColumn="0"/>
            <w:tcW w:w="0" w:type="auto"/>
          </w:tcPr>
          <w:p w:rsidR="00874FFD" w:rsidRPr="0018202F" w:rsidRDefault="00874FFD" w:rsidP="00550DBE">
            <w:pPr>
              <w:rPr>
                <w:rFonts w:ascii="Arial" w:hAnsi="Arial" w:cs="Arial"/>
                <w:b w:val="0"/>
                <w:bCs w:val="0"/>
                <w:sz w:val="22"/>
                <w:szCs w:val="22"/>
              </w:rPr>
            </w:pPr>
            <w:r w:rsidRPr="0018202F">
              <w:rPr>
                <w:rFonts w:ascii="Arial" w:hAnsi="Arial" w:cs="Arial"/>
                <w:b w:val="0"/>
                <w:bCs w:val="0"/>
                <w:sz w:val="22"/>
                <w:szCs w:val="22"/>
              </w:rPr>
              <w:t>181 – 270</w:t>
            </w:r>
          </w:p>
        </w:tc>
        <w:tc>
          <w:tcPr>
            <w:tcW w:w="1309"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57</w:t>
            </w:r>
          </w:p>
        </w:tc>
        <w:tc>
          <w:tcPr>
            <w:tcW w:w="1477"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26</w:t>
            </w:r>
          </w:p>
        </w:tc>
        <w:tc>
          <w:tcPr>
            <w:tcW w:w="1035"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844"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1169"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83</w:t>
            </w:r>
          </w:p>
        </w:tc>
      </w:tr>
      <w:tr w:rsidR="00874FFD" w:rsidRPr="0018202F" w:rsidTr="007C37D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rsidR="00874FFD" w:rsidRPr="0018202F" w:rsidRDefault="00874FFD" w:rsidP="00550DBE">
            <w:pPr>
              <w:rPr>
                <w:rFonts w:ascii="Arial" w:hAnsi="Arial" w:cs="Arial"/>
                <w:b w:val="0"/>
                <w:bCs w:val="0"/>
                <w:sz w:val="22"/>
                <w:szCs w:val="22"/>
              </w:rPr>
            </w:pPr>
            <w:r w:rsidRPr="0018202F">
              <w:rPr>
                <w:rFonts w:ascii="Arial" w:hAnsi="Arial" w:cs="Arial"/>
                <w:b w:val="0"/>
                <w:bCs w:val="0"/>
                <w:sz w:val="22"/>
                <w:szCs w:val="22"/>
              </w:rPr>
              <w:t>271 – 540</w:t>
            </w:r>
          </w:p>
        </w:tc>
        <w:tc>
          <w:tcPr>
            <w:tcW w:w="1309"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36</w:t>
            </w:r>
          </w:p>
        </w:tc>
        <w:tc>
          <w:tcPr>
            <w:tcW w:w="1477"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15</w:t>
            </w:r>
          </w:p>
        </w:tc>
        <w:tc>
          <w:tcPr>
            <w:tcW w:w="1035"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844"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1169"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51</w:t>
            </w:r>
          </w:p>
        </w:tc>
      </w:tr>
      <w:tr w:rsidR="00874FFD" w:rsidRPr="0018202F" w:rsidTr="007C37D6">
        <w:trPr>
          <w:trHeight w:val="315"/>
        </w:trPr>
        <w:tc>
          <w:tcPr>
            <w:cnfStyle w:val="001000000000" w:firstRow="0" w:lastRow="0" w:firstColumn="1" w:lastColumn="0" w:oddVBand="0" w:evenVBand="0" w:oddHBand="0" w:evenHBand="0" w:firstRowFirstColumn="0" w:firstRowLastColumn="0" w:lastRowFirstColumn="0" w:lastRowLastColumn="0"/>
            <w:tcW w:w="0" w:type="auto"/>
          </w:tcPr>
          <w:p w:rsidR="00874FFD" w:rsidRPr="0018202F" w:rsidRDefault="00874FFD" w:rsidP="00550DBE">
            <w:pPr>
              <w:rPr>
                <w:rFonts w:ascii="Arial" w:hAnsi="Arial" w:cs="Arial"/>
                <w:sz w:val="22"/>
                <w:szCs w:val="22"/>
              </w:rPr>
            </w:pPr>
            <w:r w:rsidRPr="0018202F">
              <w:rPr>
                <w:rStyle w:val="Strong"/>
                <w:rFonts w:ascii="Arial" w:hAnsi="Arial" w:cs="Arial"/>
                <w:b/>
                <w:bCs/>
                <w:sz w:val="22"/>
                <w:szCs w:val="22"/>
              </w:rPr>
              <w:t>Total</w:t>
            </w:r>
          </w:p>
        </w:tc>
        <w:tc>
          <w:tcPr>
            <w:tcW w:w="1309"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3,396</w:t>
            </w:r>
          </w:p>
        </w:tc>
        <w:tc>
          <w:tcPr>
            <w:tcW w:w="1477"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2,523</w:t>
            </w:r>
          </w:p>
        </w:tc>
        <w:tc>
          <w:tcPr>
            <w:tcW w:w="1035"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1,039</w:t>
            </w:r>
          </w:p>
        </w:tc>
        <w:tc>
          <w:tcPr>
            <w:tcW w:w="844"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Style w:val="Strong"/>
                <w:rFonts w:ascii="Arial" w:hAnsi="Arial" w:cs="Arial"/>
                <w:sz w:val="22"/>
                <w:szCs w:val="22"/>
              </w:rPr>
              <w:t>594</w:t>
            </w:r>
          </w:p>
        </w:tc>
        <w:tc>
          <w:tcPr>
            <w:tcW w:w="1169"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18202F">
              <w:rPr>
                <w:rFonts w:ascii="Arial" w:hAnsi="Arial" w:cs="Arial"/>
                <w:b/>
                <w:bCs/>
                <w:sz w:val="22"/>
                <w:szCs w:val="22"/>
              </w:rPr>
              <w:t>7552</w:t>
            </w:r>
          </w:p>
        </w:tc>
      </w:tr>
      <w:tr w:rsidR="007C37D6" w:rsidRPr="0018202F" w:rsidTr="007C37D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shd w:val="clear" w:color="auto" w:fill="9CC2E5" w:themeFill="accent5" w:themeFillTint="99"/>
          </w:tcPr>
          <w:p w:rsidR="00874FFD" w:rsidRPr="007C37D6" w:rsidRDefault="00874FFD" w:rsidP="00550DBE">
            <w:pPr>
              <w:rPr>
                <w:rFonts w:ascii="Arial" w:hAnsi="Arial" w:cs="Arial"/>
                <w:color w:val="FFFFFF" w:themeColor="background1"/>
                <w:sz w:val="22"/>
                <w:szCs w:val="22"/>
              </w:rPr>
            </w:pPr>
            <w:r w:rsidRPr="007C37D6">
              <w:rPr>
                <w:rFonts w:ascii="Arial" w:hAnsi="Arial" w:cs="Arial"/>
                <w:color w:val="FFFFFF" w:themeColor="background1"/>
                <w:sz w:val="22"/>
                <w:szCs w:val="22"/>
              </w:rPr>
              <w:t>Registration Status</w:t>
            </w:r>
          </w:p>
        </w:tc>
        <w:tc>
          <w:tcPr>
            <w:tcW w:w="1309" w:type="dxa"/>
            <w:shd w:val="clear" w:color="auto" w:fill="9CC2E5" w:themeFill="accent5" w:themeFillTint="99"/>
          </w:tcPr>
          <w:p w:rsidR="00874FFD" w:rsidRPr="007C37D6"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r w:rsidRPr="007C37D6">
              <w:rPr>
                <w:rFonts w:ascii="Arial" w:hAnsi="Arial" w:cs="Arial"/>
                <w:b/>
                <w:bCs/>
                <w:color w:val="FFFFFF" w:themeColor="background1"/>
                <w:sz w:val="22"/>
                <w:szCs w:val="22"/>
              </w:rPr>
              <w:t>Koh Kong</w:t>
            </w:r>
          </w:p>
        </w:tc>
        <w:tc>
          <w:tcPr>
            <w:tcW w:w="1477" w:type="dxa"/>
            <w:shd w:val="clear" w:color="auto" w:fill="9CC2E5" w:themeFill="accent5" w:themeFillTint="99"/>
          </w:tcPr>
          <w:p w:rsidR="00874FFD" w:rsidRPr="007C37D6"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r w:rsidRPr="007C37D6">
              <w:rPr>
                <w:rFonts w:ascii="Arial" w:hAnsi="Arial" w:cs="Arial"/>
                <w:b/>
                <w:bCs/>
                <w:color w:val="FFFFFF" w:themeColor="background1"/>
                <w:sz w:val="22"/>
                <w:szCs w:val="22"/>
              </w:rPr>
              <w:t>Preah Sihanouk</w:t>
            </w:r>
          </w:p>
        </w:tc>
        <w:tc>
          <w:tcPr>
            <w:tcW w:w="1035" w:type="dxa"/>
            <w:shd w:val="clear" w:color="auto" w:fill="9CC2E5" w:themeFill="accent5" w:themeFillTint="99"/>
          </w:tcPr>
          <w:p w:rsidR="00874FFD" w:rsidRPr="007C37D6"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r w:rsidRPr="007C37D6">
              <w:rPr>
                <w:rFonts w:ascii="Arial" w:hAnsi="Arial" w:cs="Arial"/>
                <w:b/>
                <w:bCs/>
                <w:color w:val="FFFFFF" w:themeColor="background1"/>
                <w:sz w:val="22"/>
                <w:szCs w:val="22"/>
              </w:rPr>
              <w:t>Kampot</w:t>
            </w:r>
          </w:p>
        </w:tc>
        <w:tc>
          <w:tcPr>
            <w:tcW w:w="844" w:type="dxa"/>
            <w:shd w:val="clear" w:color="auto" w:fill="9CC2E5" w:themeFill="accent5" w:themeFillTint="99"/>
          </w:tcPr>
          <w:p w:rsidR="00874FFD" w:rsidRPr="007C37D6"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r w:rsidRPr="007C37D6">
              <w:rPr>
                <w:rFonts w:ascii="Arial" w:hAnsi="Arial" w:cs="Arial"/>
                <w:b/>
                <w:bCs/>
                <w:color w:val="FFFFFF" w:themeColor="background1"/>
                <w:sz w:val="22"/>
                <w:szCs w:val="22"/>
              </w:rPr>
              <w:t>Kep</w:t>
            </w:r>
          </w:p>
        </w:tc>
        <w:tc>
          <w:tcPr>
            <w:tcW w:w="1169" w:type="dxa"/>
            <w:shd w:val="clear" w:color="auto" w:fill="9CC2E5" w:themeFill="accent5" w:themeFillTint="99"/>
          </w:tcPr>
          <w:p w:rsidR="00874FFD" w:rsidRPr="007C37D6"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r w:rsidRPr="007C37D6">
              <w:rPr>
                <w:rFonts w:ascii="Arial" w:hAnsi="Arial" w:cs="Arial"/>
                <w:b/>
                <w:bCs/>
                <w:color w:val="FFFFFF" w:themeColor="background1"/>
                <w:sz w:val="22"/>
                <w:szCs w:val="22"/>
              </w:rPr>
              <w:t xml:space="preserve">Total </w:t>
            </w:r>
            <w:r w:rsidRPr="007C37D6">
              <w:rPr>
                <w:rFonts w:ascii="Arial" w:hAnsi="Arial" w:cs="Arial"/>
                <w:b/>
                <w:bCs/>
                <w:color w:val="FFFFFF" w:themeColor="background1"/>
              </w:rPr>
              <w:t>(%)</w:t>
            </w:r>
          </w:p>
        </w:tc>
      </w:tr>
      <w:tr w:rsidR="00874FFD" w:rsidRPr="0018202F" w:rsidTr="007C37D6">
        <w:trPr>
          <w:trHeight w:val="315"/>
        </w:trPr>
        <w:tc>
          <w:tcPr>
            <w:cnfStyle w:val="001000000000" w:firstRow="0" w:lastRow="0" w:firstColumn="1" w:lastColumn="0" w:oddVBand="0" w:evenVBand="0" w:oddHBand="0" w:evenHBand="0" w:firstRowFirstColumn="0" w:firstRowLastColumn="0" w:lastRowFirstColumn="0" w:lastRowLastColumn="0"/>
            <w:tcW w:w="0" w:type="auto"/>
          </w:tcPr>
          <w:p w:rsidR="00874FFD" w:rsidRPr="0018202F" w:rsidRDefault="00874FFD" w:rsidP="00550DBE">
            <w:pPr>
              <w:rPr>
                <w:rFonts w:ascii="Arial" w:hAnsi="Arial" w:cs="Arial"/>
                <w:b w:val="0"/>
                <w:bCs w:val="0"/>
                <w:sz w:val="22"/>
                <w:szCs w:val="22"/>
              </w:rPr>
            </w:pPr>
            <w:r w:rsidRPr="0018202F">
              <w:rPr>
                <w:rFonts w:ascii="Arial" w:hAnsi="Arial" w:cs="Arial"/>
                <w:b w:val="0"/>
                <w:bCs w:val="0"/>
                <w:sz w:val="22"/>
                <w:szCs w:val="22"/>
              </w:rPr>
              <w:t>Non-Registered</w:t>
            </w:r>
          </w:p>
        </w:tc>
        <w:tc>
          <w:tcPr>
            <w:tcW w:w="1309"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3,217</w:t>
            </w:r>
          </w:p>
        </w:tc>
        <w:tc>
          <w:tcPr>
            <w:tcW w:w="1477"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2,469</w:t>
            </w:r>
          </w:p>
        </w:tc>
        <w:tc>
          <w:tcPr>
            <w:tcW w:w="1035"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1,039</w:t>
            </w:r>
          </w:p>
        </w:tc>
        <w:tc>
          <w:tcPr>
            <w:tcW w:w="844"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593</w:t>
            </w:r>
          </w:p>
        </w:tc>
        <w:tc>
          <w:tcPr>
            <w:tcW w:w="1169"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Fonts w:ascii="Arial" w:hAnsi="Arial" w:cs="Arial"/>
                <w:sz w:val="22"/>
                <w:szCs w:val="22"/>
              </w:rPr>
              <w:t xml:space="preserve">7,318 </w:t>
            </w:r>
            <w:r w:rsidRPr="0018202F">
              <w:rPr>
                <w:rFonts w:ascii="Arial" w:hAnsi="Arial" w:cs="Arial"/>
              </w:rPr>
              <w:t>(79%)</w:t>
            </w:r>
            <w:r w:rsidRPr="0018202F">
              <w:rPr>
                <w:rFonts w:ascii="Arial" w:hAnsi="Arial" w:cs="Arial"/>
                <w:sz w:val="22"/>
                <w:szCs w:val="22"/>
              </w:rPr>
              <w:t xml:space="preserve"> </w:t>
            </w:r>
          </w:p>
        </w:tc>
      </w:tr>
      <w:tr w:rsidR="00874FFD" w:rsidRPr="0018202F" w:rsidTr="007C37D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rsidR="00874FFD" w:rsidRPr="0018202F" w:rsidRDefault="00874FFD" w:rsidP="00550DBE">
            <w:pPr>
              <w:rPr>
                <w:rFonts w:ascii="Arial" w:hAnsi="Arial" w:cs="Arial"/>
                <w:b w:val="0"/>
                <w:bCs w:val="0"/>
                <w:sz w:val="22"/>
                <w:szCs w:val="22"/>
              </w:rPr>
            </w:pPr>
            <w:r w:rsidRPr="0018202F">
              <w:rPr>
                <w:rFonts w:ascii="Arial" w:hAnsi="Arial" w:cs="Arial"/>
                <w:b w:val="0"/>
                <w:bCs w:val="0"/>
                <w:sz w:val="22"/>
                <w:szCs w:val="22"/>
              </w:rPr>
              <w:t>Registered</w:t>
            </w:r>
          </w:p>
        </w:tc>
        <w:tc>
          <w:tcPr>
            <w:tcW w:w="1309"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191</w:t>
            </w:r>
          </w:p>
        </w:tc>
        <w:tc>
          <w:tcPr>
            <w:tcW w:w="1477"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41</w:t>
            </w:r>
          </w:p>
        </w:tc>
        <w:tc>
          <w:tcPr>
            <w:tcW w:w="1035"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2</w:t>
            </w:r>
          </w:p>
        </w:tc>
        <w:tc>
          <w:tcPr>
            <w:tcW w:w="844"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0</w:t>
            </w:r>
          </w:p>
        </w:tc>
        <w:tc>
          <w:tcPr>
            <w:tcW w:w="1169" w:type="dxa"/>
          </w:tcPr>
          <w:p w:rsidR="00874FFD" w:rsidRPr="0018202F" w:rsidRDefault="00874FF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8202F">
              <w:rPr>
                <w:rFonts w:ascii="Arial" w:hAnsi="Arial" w:cs="Arial"/>
                <w:sz w:val="22"/>
                <w:szCs w:val="22"/>
              </w:rPr>
              <w:t xml:space="preserve">234 </w:t>
            </w:r>
            <w:r w:rsidRPr="0018202F">
              <w:rPr>
                <w:rFonts w:ascii="Arial" w:hAnsi="Arial" w:cs="Arial"/>
              </w:rPr>
              <w:t>(3%)</w:t>
            </w:r>
          </w:p>
        </w:tc>
      </w:tr>
      <w:tr w:rsidR="00874FFD" w:rsidRPr="0018202F" w:rsidTr="007C37D6">
        <w:trPr>
          <w:trHeight w:val="315"/>
        </w:trPr>
        <w:tc>
          <w:tcPr>
            <w:cnfStyle w:val="001000000000" w:firstRow="0" w:lastRow="0" w:firstColumn="1" w:lastColumn="0" w:oddVBand="0" w:evenVBand="0" w:oddHBand="0" w:evenHBand="0" w:firstRowFirstColumn="0" w:firstRowLastColumn="0" w:lastRowFirstColumn="0" w:lastRowLastColumn="0"/>
            <w:tcW w:w="0" w:type="auto"/>
          </w:tcPr>
          <w:p w:rsidR="00874FFD" w:rsidRPr="0018202F" w:rsidRDefault="00874FFD" w:rsidP="00550DBE">
            <w:pPr>
              <w:rPr>
                <w:rFonts w:ascii="Arial" w:hAnsi="Arial" w:cs="Arial"/>
                <w:b w:val="0"/>
                <w:bCs w:val="0"/>
                <w:sz w:val="22"/>
                <w:szCs w:val="22"/>
              </w:rPr>
            </w:pPr>
            <w:r w:rsidRPr="0018202F">
              <w:rPr>
                <w:rStyle w:val="Strong"/>
                <w:rFonts w:ascii="Arial" w:hAnsi="Arial" w:cs="Arial"/>
                <w:b/>
                <w:bCs/>
                <w:sz w:val="22"/>
                <w:szCs w:val="22"/>
              </w:rPr>
              <w:t>Total</w:t>
            </w:r>
          </w:p>
        </w:tc>
        <w:tc>
          <w:tcPr>
            <w:tcW w:w="1309"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Style w:val="Strong"/>
                <w:rFonts w:ascii="Arial" w:hAnsi="Arial" w:cs="Arial"/>
                <w:sz w:val="22"/>
                <w:szCs w:val="22"/>
              </w:rPr>
              <w:t>3,408</w:t>
            </w:r>
          </w:p>
        </w:tc>
        <w:tc>
          <w:tcPr>
            <w:tcW w:w="1477"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Style w:val="Strong"/>
                <w:rFonts w:ascii="Arial" w:hAnsi="Arial" w:cs="Arial"/>
                <w:sz w:val="22"/>
                <w:szCs w:val="22"/>
              </w:rPr>
              <w:t>2,510</w:t>
            </w:r>
          </w:p>
        </w:tc>
        <w:tc>
          <w:tcPr>
            <w:tcW w:w="1035"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Style w:val="Strong"/>
                <w:rFonts w:ascii="Arial" w:hAnsi="Arial" w:cs="Arial"/>
                <w:sz w:val="22"/>
                <w:szCs w:val="22"/>
              </w:rPr>
              <w:t>1,041</w:t>
            </w:r>
          </w:p>
        </w:tc>
        <w:tc>
          <w:tcPr>
            <w:tcW w:w="844"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Style w:val="Strong"/>
                <w:rFonts w:ascii="Arial" w:hAnsi="Arial" w:cs="Arial"/>
                <w:sz w:val="22"/>
                <w:szCs w:val="22"/>
              </w:rPr>
              <w:t>593</w:t>
            </w:r>
          </w:p>
        </w:tc>
        <w:tc>
          <w:tcPr>
            <w:tcW w:w="1169" w:type="dxa"/>
          </w:tcPr>
          <w:p w:rsidR="00874FFD" w:rsidRPr="0018202F" w:rsidRDefault="00874FF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18202F">
              <w:rPr>
                <w:rStyle w:val="Strong"/>
                <w:rFonts w:ascii="Arial" w:hAnsi="Arial" w:cs="Arial"/>
                <w:sz w:val="22"/>
                <w:szCs w:val="22"/>
              </w:rPr>
              <w:t>7,552</w:t>
            </w:r>
          </w:p>
        </w:tc>
      </w:tr>
    </w:tbl>
    <w:p w:rsidR="00874FFD" w:rsidRPr="0018202F" w:rsidRDefault="00874FFD" w:rsidP="00874FFD">
      <w:pPr>
        <w:jc w:val="both"/>
        <w:rPr>
          <w:rFonts w:ascii="Arial" w:hAnsi="Arial" w:cs="Arial"/>
          <w:sz w:val="20"/>
          <w:szCs w:val="20"/>
        </w:rPr>
      </w:pPr>
      <w:r w:rsidRPr="0018202F">
        <w:rPr>
          <w:rFonts w:ascii="Arial" w:hAnsi="Arial" w:cs="Arial"/>
          <w:b/>
          <w:bCs/>
          <w:sz w:val="20"/>
          <w:szCs w:val="20"/>
        </w:rPr>
        <w:t>Source:</w:t>
      </w:r>
      <w:r w:rsidRPr="0018202F">
        <w:rPr>
          <w:rFonts w:ascii="Arial" w:hAnsi="Arial" w:cs="Arial"/>
          <w:sz w:val="20"/>
          <w:szCs w:val="20"/>
        </w:rPr>
        <w:t xml:space="preserve"> FiA, MAFF. Marine Fishing Vessel and Licensing Database.</w:t>
      </w:r>
    </w:p>
    <w:p w:rsidR="00874FFD" w:rsidRDefault="00874FFD" w:rsidP="0018202F">
      <w:pPr>
        <w:pStyle w:val="Caption"/>
        <w:rPr>
          <w:rFonts w:ascii="Arial" w:hAnsi="Arial" w:cs="Arial"/>
          <w:b/>
          <w:bCs/>
          <w:color w:val="0070C0"/>
          <w:sz w:val="22"/>
          <w:szCs w:val="22"/>
        </w:rPr>
      </w:pPr>
    </w:p>
    <w:p w:rsidR="009A66E1" w:rsidRPr="006E78E7" w:rsidRDefault="006E78E7" w:rsidP="0018202F">
      <w:pPr>
        <w:pStyle w:val="Caption"/>
        <w:rPr>
          <w:rFonts w:ascii="Arial" w:hAnsi="Arial" w:cs="Arial"/>
          <w:b/>
          <w:bCs/>
          <w:i w:val="0"/>
          <w:iCs w:val="0"/>
          <w:color w:val="0070C0"/>
          <w:sz w:val="22"/>
          <w:szCs w:val="22"/>
        </w:rPr>
      </w:pPr>
      <w:r w:rsidRPr="006E78E7">
        <w:rPr>
          <w:rFonts w:ascii="Arial" w:hAnsi="Arial" w:cs="Arial"/>
          <w:b/>
          <w:bCs/>
          <w:i w:val="0"/>
          <w:iCs w:val="0"/>
          <w:color w:val="0070C0"/>
          <w:sz w:val="22"/>
          <w:szCs w:val="22"/>
        </w:rPr>
        <w:t>Annex 5-</w:t>
      </w:r>
      <w:r w:rsidRPr="006E78E7">
        <w:rPr>
          <w:rFonts w:ascii="Arial" w:hAnsi="Arial" w:cs="Arial"/>
          <w:b/>
          <w:bCs/>
          <w:i w:val="0"/>
          <w:iCs w:val="0"/>
          <w:color w:val="0070C0"/>
          <w:sz w:val="22"/>
          <w:szCs w:val="22"/>
        </w:rPr>
        <w:fldChar w:fldCharType="begin"/>
      </w:r>
      <w:r w:rsidRPr="006E78E7">
        <w:rPr>
          <w:rFonts w:ascii="Arial" w:hAnsi="Arial" w:cs="Arial"/>
          <w:b/>
          <w:bCs/>
          <w:i w:val="0"/>
          <w:iCs w:val="0"/>
          <w:color w:val="0070C0"/>
          <w:sz w:val="22"/>
          <w:szCs w:val="22"/>
        </w:rPr>
        <w:instrText xml:space="preserve"> SEQ Annex_5- \* ARABIC </w:instrText>
      </w:r>
      <w:r w:rsidRPr="006E78E7">
        <w:rPr>
          <w:rFonts w:ascii="Arial" w:hAnsi="Arial" w:cs="Arial"/>
          <w:b/>
          <w:bCs/>
          <w:i w:val="0"/>
          <w:iCs w:val="0"/>
          <w:color w:val="0070C0"/>
          <w:sz w:val="22"/>
          <w:szCs w:val="22"/>
        </w:rPr>
        <w:fldChar w:fldCharType="separate"/>
      </w:r>
      <w:r w:rsidR="00F72397">
        <w:rPr>
          <w:rFonts w:ascii="Arial" w:hAnsi="Arial" w:cs="Arial"/>
          <w:b/>
          <w:bCs/>
          <w:i w:val="0"/>
          <w:iCs w:val="0"/>
          <w:noProof/>
          <w:color w:val="0070C0"/>
          <w:sz w:val="22"/>
          <w:szCs w:val="22"/>
        </w:rPr>
        <w:t>7</w:t>
      </w:r>
      <w:r w:rsidRPr="006E78E7">
        <w:rPr>
          <w:rFonts w:ascii="Arial" w:hAnsi="Arial" w:cs="Arial"/>
          <w:b/>
          <w:bCs/>
          <w:i w:val="0"/>
          <w:iCs w:val="0"/>
          <w:color w:val="0070C0"/>
          <w:sz w:val="22"/>
          <w:szCs w:val="22"/>
        </w:rPr>
        <w:fldChar w:fldCharType="end"/>
      </w:r>
      <w:r w:rsidR="00874FFD" w:rsidRPr="006E78E7">
        <w:rPr>
          <w:rFonts w:ascii="Arial" w:hAnsi="Arial" w:cs="Arial"/>
          <w:b/>
          <w:bCs/>
          <w:i w:val="0"/>
          <w:iCs w:val="0"/>
          <w:color w:val="0070C0"/>
          <w:sz w:val="22"/>
          <w:szCs w:val="22"/>
        </w:rPr>
        <w:t xml:space="preserve"> Assessment methods (by indicator)</w:t>
      </w:r>
    </w:p>
    <w:p w:rsidR="009A66E1" w:rsidRPr="006E78E7" w:rsidRDefault="006E78E7" w:rsidP="00625EB8">
      <w:pPr>
        <w:rPr>
          <w:rStyle w:val="Strong"/>
          <w:rFonts w:ascii="Arial" w:hAnsi="Arial" w:cs="Arial"/>
          <w:i/>
          <w:iCs/>
          <w:color w:val="0070C0"/>
          <w:sz w:val="22"/>
          <w:szCs w:val="22"/>
        </w:rPr>
      </w:pPr>
      <w:r w:rsidRPr="006E78E7">
        <w:rPr>
          <w:rStyle w:val="Strong"/>
          <w:rFonts w:ascii="Arial" w:hAnsi="Arial" w:cs="Arial"/>
          <w:i/>
          <w:iCs/>
          <w:color w:val="0070C0"/>
          <w:sz w:val="22"/>
          <w:szCs w:val="22"/>
        </w:rPr>
        <w:t>A.</w:t>
      </w:r>
      <w:r w:rsidR="009A66E1" w:rsidRPr="006E78E7">
        <w:rPr>
          <w:rStyle w:val="Strong"/>
          <w:rFonts w:ascii="Arial" w:hAnsi="Arial" w:cs="Arial"/>
          <w:i/>
          <w:iCs/>
          <w:color w:val="0070C0"/>
          <w:sz w:val="22"/>
          <w:szCs w:val="22"/>
        </w:rPr>
        <w:t xml:space="preserve"> Production &amp; Value Indicators</w:t>
      </w:r>
    </w:p>
    <w:p w:rsidR="009A66E1" w:rsidRPr="006E78E7" w:rsidRDefault="009A66E1" w:rsidP="009A66E1">
      <w:pPr>
        <w:pStyle w:val="NormalWeb"/>
        <w:numPr>
          <w:ilvl w:val="0"/>
          <w:numId w:val="58"/>
        </w:numPr>
        <w:rPr>
          <w:rFonts w:ascii="Arial" w:hAnsi="Arial" w:cs="Arial"/>
          <w:sz w:val="22"/>
          <w:szCs w:val="22"/>
        </w:rPr>
      </w:pPr>
      <w:r w:rsidRPr="006E78E7">
        <w:rPr>
          <w:rStyle w:val="Strong"/>
          <w:rFonts w:ascii="Arial" w:hAnsi="Arial" w:cs="Arial"/>
          <w:sz w:val="22"/>
          <w:szCs w:val="22"/>
        </w:rPr>
        <w:t>Trend detection:</w:t>
      </w:r>
    </w:p>
    <w:p w:rsidR="009A66E1" w:rsidRPr="006E78E7" w:rsidRDefault="009A66E1" w:rsidP="009A66E1">
      <w:pPr>
        <w:pStyle w:val="NormalWeb"/>
        <w:numPr>
          <w:ilvl w:val="1"/>
          <w:numId w:val="58"/>
        </w:numPr>
        <w:rPr>
          <w:rFonts w:ascii="Arial" w:hAnsi="Arial" w:cs="Arial"/>
          <w:sz w:val="22"/>
          <w:szCs w:val="22"/>
        </w:rPr>
      </w:pPr>
      <w:r w:rsidRPr="006E78E7">
        <w:rPr>
          <w:rFonts w:ascii="Arial" w:hAnsi="Arial" w:cs="Arial"/>
          <w:sz w:val="22"/>
          <w:szCs w:val="22"/>
        </w:rPr>
        <w:t>CAGR and decadal comparison</w:t>
      </w:r>
    </w:p>
    <w:p w:rsidR="009A66E1" w:rsidRPr="006E78E7" w:rsidRDefault="009A66E1" w:rsidP="009A66E1">
      <w:pPr>
        <w:pStyle w:val="NormalWeb"/>
        <w:numPr>
          <w:ilvl w:val="1"/>
          <w:numId w:val="58"/>
        </w:numPr>
        <w:rPr>
          <w:rFonts w:ascii="Arial" w:hAnsi="Arial" w:cs="Arial"/>
          <w:sz w:val="22"/>
          <w:szCs w:val="22"/>
        </w:rPr>
      </w:pPr>
      <w:r w:rsidRPr="006E78E7">
        <w:rPr>
          <w:rFonts w:ascii="Arial" w:hAnsi="Arial" w:cs="Arial"/>
          <w:sz w:val="22"/>
          <w:szCs w:val="22"/>
        </w:rPr>
        <w:t>Baseline periods: 1960s, 1990s, 2010s</w:t>
      </w:r>
    </w:p>
    <w:p w:rsidR="009A66E1" w:rsidRPr="006E78E7" w:rsidRDefault="009A66E1" w:rsidP="009A66E1">
      <w:pPr>
        <w:pStyle w:val="NormalWeb"/>
        <w:numPr>
          <w:ilvl w:val="0"/>
          <w:numId w:val="58"/>
        </w:numPr>
        <w:rPr>
          <w:rFonts w:ascii="Arial" w:hAnsi="Arial" w:cs="Arial"/>
          <w:sz w:val="22"/>
          <w:szCs w:val="22"/>
        </w:rPr>
      </w:pPr>
      <w:r w:rsidRPr="006E78E7">
        <w:rPr>
          <w:rStyle w:val="Strong"/>
          <w:rFonts w:ascii="Arial" w:hAnsi="Arial" w:cs="Arial"/>
          <w:sz w:val="22"/>
          <w:szCs w:val="22"/>
        </w:rPr>
        <w:t>Normalization:</w:t>
      </w:r>
    </w:p>
    <w:p w:rsidR="009A66E1" w:rsidRPr="006E78E7" w:rsidRDefault="009A66E1" w:rsidP="009A66E1">
      <w:pPr>
        <w:pStyle w:val="NormalWeb"/>
        <w:numPr>
          <w:ilvl w:val="1"/>
          <w:numId w:val="58"/>
        </w:numPr>
        <w:rPr>
          <w:rFonts w:ascii="Arial" w:hAnsi="Arial" w:cs="Arial"/>
          <w:sz w:val="22"/>
          <w:szCs w:val="22"/>
        </w:rPr>
      </w:pPr>
      <w:r w:rsidRPr="006E78E7">
        <w:rPr>
          <w:rFonts w:ascii="Arial" w:hAnsi="Arial" w:cs="Arial"/>
          <w:sz w:val="22"/>
          <w:szCs w:val="22"/>
        </w:rPr>
        <w:t>Harmonised FAO &amp; FiA series</w:t>
      </w:r>
    </w:p>
    <w:p w:rsidR="009A66E1" w:rsidRPr="006E78E7" w:rsidRDefault="009A66E1" w:rsidP="009A66E1">
      <w:pPr>
        <w:pStyle w:val="NormalWeb"/>
        <w:numPr>
          <w:ilvl w:val="0"/>
          <w:numId w:val="58"/>
        </w:numPr>
        <w:rPr>
          <w:rFonts w:ascii="Arial" w:hAnsi="Arial" w:cs="Arial"/>
          <w:sz w:val="22"/>
          <w:szCs w:val="22"/>
        </w:rPr>
      </w:pPr>
      <w:r w:rsidRPr="006E78E7">
        <w:rPr>
          <w:rStyle w:val="Strong"/>
          <w:rFonts w:ascii="Arial" w:hAnsi="Arial" w:cs="Arial"/>
          <w:sz w:val="22"/>
          <w:szCs w:val="22"/>
        </w:rPr>
        <w:t>Spatial breakdown:</w:t>
      </w:r>
    </w:p>
    <w:p w:rsidR="009A66E1" w:rsidRPr="006E78E7" w:rsidRDefault="009A66E1" w:rsidP="009A66E1">
      <w:pPr>
        <w:pStyle w:val="NormalWeb"/>
        <w:numPr>
          <w:ilvl w:val="1"/>
          <w:numId w:val="58"/>
        </w:numPr>
        <w:rPr>
          <w:rFonts w:ascii="Arial" w:hAnsi="Arial" w:cs="Arial"/>
          <w:sz w:val="22"/>
          <w:szCs w:val="22"/>
        </w:rPr>
      </w:pPr>
      <w:r w:rsidRPr="006E78E7">
        <w:rPr>
          <w:rFonts w:ascii="Arial" w:hAnsi="Arial" w:cs="Arial"/>
          <w:sz w:val="22"/>
          <w:szCs w:val="22"/>
        </w:rPr>
        <w:t>4 coastal provinces</w:t>
      </w:r>
    </w:p>
    <w:p w:rsidR="009A66E1" w:rsidRPr="006E78E7" w:rsidRDefault="009A66E1" w:rsidP="009A66E1">
      <w:pPr>
        <w:pStyle w:val="NormalWeb"/>
        <w:numPr>
          <w:ilvl w:val="1"/>
          <w:numId w:val="58"/>
        </w:numPr>
        <w:rPr>
          <w:rFonts w:ascii="Arial" w:hAnsi="Arial" w:cs="Arial"/>
          <w:sz w:val="22"/>
          <w:szCs w:val="22"/>
        </w:rPr>
      </w:pPr>
      <w:r w:rsidRPr="006E78E7">
        <w:rPr>
          <w:rFonts w:ascii="Arial" w:hAnsi="Arial" w:cs="Arial"/>
          <w:sz w:val="22"/>
          <w:szCs w:val="22"/>
        </w:rPr>
        <w:t>Marine share of national capture</w:t>
      </w:r>
    </w:p>
    <w:p w:rsidR="009A66E1" w:rsidRPr="006E78E7" w:rsidRDefault="006E78E7" w:rsidP="00625EB8">
      <w:pPr>
        <w:rPr>
          <w:rStyle w:val="Strong"/>
          <w:rFonts w:ascii="Arial" w:hAnsi="Arial" w:cs="Arial"/>
          <w:i/>
          <w:iCs/>
          <w:color w:val="0070C0"/>
          <w:sz w:val="22"/>
          <w:szCs w:val="22"/>
        </w:rPr>
      </w:pPr>
      <w:r w:rsidRPr="006E78E7">
        <w:rPr>
          <w:rStyle w:val="Strong"/>
          <w:rFonts w:ascii="Arial" w:hAnsi="Arial" w:cs="Arial"/>
          <w:i/>
          <w:iCs/>
          <w:color w:val="0070C0"/>
          <w:sz w:val="22"/>
          <w:szCs w:val="22"/>
        </w:rPr>
        <w:t>B.</w:t>
      </w:r>
      <w:r w:rsidR="009A66E1" w:rsidRPr="006E78E7">
        <w:rPr>
          <w:rStyle w:val="Strong"/>
          <w:rFonts w:ascii="Arial" w:hAnsi="Arial" w:cs="Arial"/>
          <w:i/>
          <w:iCs/>
          <w:color w:val="0070C0"/>
          <w:sz w:val="22"/>
          <w:szCs w:val="22"/>
        </w:rPr>
        <w:t xml:space="preserve"> Ecological Indicators</w:t>
      </w:r>
    </w:p>
    <w:p w:rsidR="009A66E1" w:rsidRPr="006E78E7" w:rsidRDefault="009A66E1" w:rsidP="00625EB8">
      <w:pPr>
        <w:adjustRightInd w:val="0"/>
        <w:snapToGrid w:val="0"/>
        <w:spacing w:before="240"/>
        <w:rPr>
          <w:i/>
          <w:iCs/>
          <w:color w:val="0070C0"/>
          <w:sz w:val="22"/>
          <w:szCs w:val="22"/>
        </w:rPr>
      </w:pPr>
      <w:r w:rsidRPr="006E78E7">
        <w:rPr>
          <w:rStyle w:val="Strong"/>
          <w:rFonts w:ascii="Arial" w:hAnsi="Arial" w:cs="Arial"/>
          <w:b w:val="0"/>
          <w:bCs w:val="0"/>
          <w:i/>
          <w:iCs/>
          <w:color w:val="0070C0"/>
          <w:sz w:val="22"/>
          <w:szCs w:val="22"/>
        </w:rPr>
        <w:t>Marine Trophic Index (MTI)</w:t>
      </w:r>
    </w:p>
    <w:p w:rsidR="009A66E1" w:rsidRPr="006E78E7" w:rsidRDefault="009A66E1" w:rsidP="009A66E1">
      <w:pPr>
        <w:pStyle w:val="NormalWeb"/>
        <w:numPr>
          <w:ilvl w:val="0"/>
          <w:numId w:val="59"/>
        </w:numPr>
        <w:rPr>
          <w:rFonts w:ascii="Arial" w:hAnsi="Arial" w:cs="Arial"/>
          <w:sz w:val="22"/>
          <w:szCs w:val="22"/>
        </w:rPr>
      </w:pPr>
      <w:r w:rsidRPr="006E78E7">
        <w:rPr>
          <w:rFonts w:ascii="Arial" w:hAnsi="Arial" w:cs="Arial"/>
          <w:sz w:val="22"/>
          <w:szCs w:val="22"/>
        </w:rPr>
        <w:t>Computed from SAUP species–trophic-level data</w:t>
      </w:r>
    </w:p>
    <w:p w:rsidR="009A66E1" w:rsidRPr="006E78E7" w:rsidRDefault="009A66E1" w:rsidP="009A66E1">
      <w:pPr>
        <w:pStyle w:val="NormalWeb"/>
        <w:numPr>
          <w:ilvl w:val="0"/>
          <w:numId w:val="59"/>
        </w:numPr>
        <w:rPr>
          <w:rFonts w:ascii="Arial" w:hAnsi="Arial" w:cs="Arial"/>
          <w:sz w:val="22"/>
          <w:szCs w:val="22"/>
        </w:rPr>
      </w:pPr>
      <w:r w:rsidRPr="006E78E7">
        <w:rPr>
          <w:rFonts w:ascii="Arial" w:hAnsi="Arial" w:cs="Arial"/>
          <w:sz w:val="22"/>
          <w:szCs w:val="22"/>
        </w:rPr>
        <w:t>Interpreted as proxy for ecosystem complexity and predator loss</w:t>
      </w:r>
    </w:p>
    <w:p w:rsidR="009A66E1" w:rsidRPr="006E78E7" w:rsidRDefault="009A66E1" w:rsidP="00625EB8">
      <w:pPr>
        <w:adjustRightInd w:val="0"/>
        <w:snapToGrid w:val="0"/>
        <w:spacing w:before="240"/>
        <w:rPr>
          <w:rStyle w:val="Strong"/>
          <w:i/>
          <w:iCs/>
          <w:color w:val="0070C0"/>
          <w:sz w:val="22"/>
          <w:szCs w:val="22"/>
        </w:rPr>
      </w:pPr>
      <w:r w:rsidRPr="006E78E7">
        <w:rPr>
          <w:rStyle w:val="Strong"/>
          <w:rFonts w:ascii="Arial" w:hAnsi="Arial" w:cs="Arial"/>
          <w:b w:val="0"/>
          <w:bCs w:val="0"/>
          <w:i/>
          <w:iCs/>
          <w:color w:val="0070C0"/>
          <w:sz w:val="22"/>
          <w:szCs w:val="22"/>
        </w:rPr>
        <w:t>Fishing-in-Balance (FiB)</w:t>
      </w:r>
    </w:p>
    <w:p w:rsidR="009A66E1" w:rsidRPr="006E78E7" w:rsidRDefault="009A66E1" w:rsidP="009A66E1">
      <w:pPr>
        <w:pStyle w:val="NormalWeb"/>
        <w:numPr>
          <w:ilvl w:val="0"/>
          <w:numId w:val="60"/>
        </w:numPr>
        <w:rPr>
          <w:rFonts w:ascii="Arial" w:hAnsi="Arial" w:cs="Arial"/>
          <w:sz w:val="22"/>
          <w:szCs w:val="22"/>
        </w:rPr>
      </w:pPr>
      <w:r w:rsidRPr="006E78E7">
        <w:rPr>
          <w:rFonts w:ascii="Arial" w:hAnsi="Arial" w:cs="Arial"/>
          <w:sz w:val="22"/>
          <w:szCs w:val="22"/>
        </w:rPr>
        <w:t>FiB = log(Ct / (C</w:t>
      </w:r>
      <w:r w:rsidRPr="006E78E7">
        <w:rPr>
          <w:rFonts w:ascii="Cambria Math" w:hAnsi="Cambria Math" w:cs="Cambria Math"/>
          <w:sz w:val="22"/>
          <w:szCs w:val="22"/>
        </w:rPr>
        <w:t>₀</w:t>
      </w:r>
      <w:r w:rsidRPr="006E78E7">
        <w:rPr>
          <w:rFonts w:ascii="Arial" w:hAnsi="Arial" w:cs="Arial"/>
          <w:sz w:val="22"/>
          <w:szCs w:val="22"/>
        </w:rPr>
        <w:t xml:space="preserve"> × TE^(TL</w:t>
      </w:r>
      <w:r w:rsidRPr="006E78E7">
        <w:rPr>
          <w:rFonts w:ascii="Cambria Math" w:hAnsi="Cambria Math" w:cs="Cambria Math"/>
          <w:sz w:val="22"/>
          <w:szCs w:val="22"/>
        </w:rPr>
        <w:t>₀</w:t>
      </w:r>
      <w:r w:rsidRPr="006E78E7">
        <w:rPr>
          <w:rFonts w:ascii="Arial" w:hAnsi="Arial" w:cs="Arial"/>
          <w:sz w:val="22"/>
          <w:szCs w:val="22"/>
        </w:rPr>
        <w:t>–TLt)))</w:t>
      </w:r>
    </w:p>
    <w:p w:rsidR="009A66E1" w:rsidRPr="006E78E7" w:rsidRDefault="009A66E1" w:rsidP="009A66E1">
      <w:pPr>
        <w:pStyle w:val="NormalWeb"/>
        <w:numPr>
          <w:ilvl w:val="0"/>
          <w:numId w:val="60"/>
        </w:numPr>
        <w:rPr>
          <w:rFonts w:ascii="Arial" w:hAnsi="Arial" w:cs="Arial"/>
          <w:sz w:val="22"/>
          <w:szCs w:val="22"/>
        </w:rPr>
      </w:pPr>
      <w:r w:rsidRPr="006E78E7">
        <w:rPr>
          <w:rFonts w:ascii="Arial" w:hAnsi="Arial" w:cs="Arial"/>
          <w:sz w:val="22"/>
          <w:szCs w:val="22"/>
        </w:rPr>
        <w:t>Indicates “fishing through/exhausting the food web”</w:t>
      </w:r>
    </w:p>
    <w:p w:rsidR="009A66E1" w:rsidRPr="006E78E7" w:rsidRDefault="009A66E1" w:rsidP="00625EB8">
      <w:pPr>
        <w:adjustRightInd w:val="0"/>
        <w:snapToGrid w:val="0"/>
        <w:spacing w:before="240"/>
        <w:rPr>
          <w:rStyle w:val="Strong"/>
          <w:i/>
          <w:iCs/>
          <w:color w:val="0070C0"/>
          <w:sz w:val="22"/>
          <w:szCs w:val="22"/>
        </w:rPr>
      </w:pPr>
      <w:r w:rsidRPr="006E78E7">
        <w:rPr>
          <w:rStyle w:val="Strong"/>
          <w:rFonts w:ascii="Arial" w:hAnsi="Arial" w:cs="Arial"/>
          <w:b w:val="0"/>
          <w:bCs w:val="0"/>
          <w:i/>
          <w:iCs/>
          <w:color w:val="0070C0"/>
          <w:sz w:val="22"/>
          <w:szCs w:val="22"/>
        </w:rPr>
        <w:t>Primary Production Required (PPR)</w:t>
      </w:r>
    </w:p>
    <w:p w:rsidR="009A66E1" w:rsidRPr="006E78E7" w:rsidRDefault="009A66E1" w:rsidP="009A66E1">
      <w:pPr>
        <w:pStyle w:val="NormalWeb"/>
        <w:numPr>
          <w:ilvl w:val="0"/>
          <w:numId w:val="61"/>
        </w:numPr>
        <w:rPr>
          <w:rFonts w:ascii="Arial" w:hAnsi="Arial" w:cs="Arial"/>
          <w:sz w:val="22"/>
          <w:szCs w:val="22"/>
        </w:rPr>
      </w:pPr>
      <w:r w:rsidRPr="006E78E7">
        <w:rPr>
          <w:rFonts w:ascii="Arial" w:hAnsi="Arial" w:cs="Arial"/>
          <w:sz w:val="22"/>
          <w:szCs w:val="22"/>
        </w:rPr>
        <w:t>PPR = Σ (Catch × PPR coefficient)</w:t>
      </w:r>
    </w:p>
    <w:p w:rsidR="009A66E1" w:rsidRPr="006E78E7" w:rsidRDefault="009A66E1" w:rsidP="009A66E1">
      <w:pPr>
        <w:pStyle w:val="NormalWeb"/>
        <w:numPr>
          <w:ilvl w:val="0"/>
          <w:numId w:val="61"/>
        </w:numPr>
        <w:rPr>
          <w:rFonts w:ascii="Arial" w:hAnsi="Arial" w:cs="Arial"/>
          <w:sz w:val="22"/>
          <w:szCs w:val="22"/>
        </w:rPr>
      </w:pPr>
      <w:r w:rsidRPr="006E78E7">
        <w:rPr>
          <w:rFonts w:ascii="Arial" w:hAnsi="Arial" w:cs="Arial"/>
          <w:sz w:val="22"/>
          <w:szCs w:val="22"/>
        </w:rPr>
        <w:t>Interpreted as ecological footprint vs. carrying capacity</w:t>
      </w:r>
    </w:p>
    <w:p w:rsidR="009A66E1" w:rsidRPr="006E78E7" w:rsidRDefault="009A66E1" w:rsidP="00625EB8">
      <w:pPr>
        <w:adjustRightInd w:val="0"/>
        <w:snapToGrid w:val="0"/>
        <w:spacing w:before="240"/>
        <w:rPr>
          <w:rStyle w:val="Strong"/>
          <w:i/>
          <w:iCs/>
          <w:color w:val="0070C0"/>
          <w:sz w:val="22"/>
          <w:szCs w:val="22"/>
        </w:rPr>
      </w:pPr>
      <w:r w:rsidRPr="006E78E7">
        <w:rPr>
          <w:rStyle w:val="Strong"/>
          <w:rFonts w:ascii="Arial" w:hAnsi="Arial" w:cs="Arial"/>
          <w:b w:val="0"/>
          <w:bCs w:val="0"/>
          <w:i/>
          <w:iCs/>
          <w:color w:val="0070C0"/>
          <w:sz w:val="22"/>
          <w:szCs w:val="22"/>
        </w:rPr>
        <w:t>CPUE (Biomass Proxy)</w:t>
      </w:r>
    </w:p>
    <w:p w:rsidR="009A66E1" w:rsidRPr="006E78E7" w:rsidRDefault="009A66E1" w:rsidP="009A66E1">
      <w:pPr>
        <w:pStyle w:val="NormalWeb"/>
        <w:numPr>
          <w:ilvl w:val="0"/>
          <w:numId w:val="62"/>
        </w:numPr>
        <w:rPr>
          <w:rFonts w:ascii="Arial" w:hAnsi="Arial" w:cs="Arial"/>
          <w:sz w:val="22"/>
          <w:szCs w:val="22"/>
        </w:rPr>
      </w:pPr>
      <w:r w:rsidRPr="006E78E7">
        <w:rPr>
          <w:rFonts w:ascii="Arial" w:hAnsi="Arial" w:cs="Arial"/>
          <w:sz w:val="22"/>
          <w:szCs w:val="22"/>
        </w:rPr>
        <w:t>Standardized trawl-survey CPUE compared across decades</w:t>
      </w:r>
    </w:p>
    <w:p w:rsidR="009A66E1" w:rsidRPr="006E78E7" w:rsidRDefault="009A66E1" w:rsidP="009A66E1">
      <w:pPr>
        <w:pStyle w:val="NormalWeb"/>
        <w:numPr>
          <w:ilvl w:val="0"/>
          <w:numId w:val="62"/>
        </w:numPr>
        <w:rPr>
          <w:rFonts w:ascii="Arial" w:hAnsi="Arial" w:cs="Arial"/>
          <w:sz w:val="22"/>
          <w:szCs w:val="22"/>
        </w:rPr>
      </w:pPr>
      <w:r w:rsidRPr="006E78E7">
        <w:rPr>
          <w:rFonts w:ascii="Arial" w:hAnsi="Arial" w:cs="Arial"/>
          <w:sz w:val="22"/>
          <w:szCs w:val="22"/>
        </w:rPr>
        <w:t>Interpreted as index of demersal fishable biomass</w:t>
      </w:r>
    </w:p>
    <w:p w:rsidR="009A66E1" w:rsidRPr="006E78E7" w:rsidRDefault="009A66E1" w:rsidP="00625EB8">
      <w:pPr>
        <w:adjustRightInd w:val="0"/>
        <w:snapToGrid w:val="0"/>
        <w:spacing w:before="240"/>
        <w:rPr>
          <w:rStyle w:val="Strong"/>
          <w:i/>
          <w:iCs/>
          <w:color w:val="0070C0"/>
          <w:sz w:val="22"/>
          <w:szCs w:val="22"/>
        </w:rPr>
      </w:pPr>
      <w:r w:rsidRPr="006E78E7">
        <w:rPr>
          <w:rStyle w:val="Strong"/>
          <w:rFonts w:ascii="Arial" w:hAnsi="Arial" w:cs="Arial"/>
          <w:b w:val="0"/>
          <w:bCs w:val="0"/>
          <w:i/>
          <w:iCs/>
          <w:color w:val="0070C0"/>
          <w:sz w:val="22"/>
          <w:szCs w:val="22"/>
        </w:rPr>
        <w:t>Stock-Status Plots</w:t>
      </w:r>
    </w:p>
    <w:p w:rsidR="009A66E1" w:rsidRPr="006E78E7" w:rsidRDefault="009A66E1" w:rsidP="009A66E1">
      <w:pPr>
        <w:pStyle w:val="NormalWeb"/>
        <w:numPr>
          <w:ilvl w:val="0"/>
          <w:numId w:val="63"/>
        </w:numPr>
        <w:rPr>
          <w:rFonts w:ascii="Arial" w:hAnsi="Arial" w:cs="Arial"/>
          <w:sz w:val="22"/>
          <w:szCs w:val="22"/>
        </w:rPr>
      </w:pPr>
      <w:r w:rsidRPr="006E78E7">
        <w:rPr>
          <w:rFonts w:ascii="Arial" w:hAnsi="Arial" w:cs="Arial"/>
          <w:sz w:val="22"/>
          <w:szCs w:val="22"/>
        </w:rPr>
        <w:t>Categorization: developing / exploited / overexploited / collapsed</w:t>
      </w:r>
    </w:p>
    <w:p w:rsidR="009A66E1" w:rsidRPr="006E78E7" w:rsidRDefault="009A66E1" w:rsidP="009A66E1">
      <w:pPr>
        <w:pStyle w:val="NormalWeb"/>
        <w:numPr>
          <w:ilvl w:val="0"/>
          <w:numId w:val="63"/>
        </w:numPr>
        <w:rPr>
          <w:rFonts w:ascii="Arial" w:hAnsi="Arial" w:cs="Arial"/>
          <w:sz w:val="22"/>
          <w:szCs w:val="22"/>
        </w:rPr>
      </w:pPr>
      <w:r w:rsidRPr="006E78E7">
        <w:rPr>
          <w:rFonts w:ascii="Arial" w:hAnsi="Arial" w:cs="Arial"/>
          <w:sz w:val="22"/>
          <w:szCs w:val="22"/>
        </w:rPr>
        <w:t>Tracks long-term shift in stock health</w:t>
      </w:r>
    </w:p>
    <w:p w:rsidR="009A66E1" w:rsidRPr="006E78E7" w:rsidRDefault="006E78E7" w:rsidP="00625EB8">
      <w:pPr>
        <w:rPr>
          <w:rStyle w:val="Strong"/>
          <w:rFonts w:ascii="Arial" w:hAnsi="Arial" w:cs="Arial"/>
          <w:i/>
          <w:iCs/>
          <w:color w:val="0070C0"/>
          <w:sz w:val="22"/>
          <w:szCs w:val="22"/>
        </w:rPr>
      </w:pPr>
      <w:r w:rsidRPr="006E78E7">
        <w:rPr>
          <w:rStyle w:val="Strong"/>
          <w:rFonts w:ascii="Arial" w:hAnsi="Arial" w:cs="Arial"/>
          <w:i/>
          <w:iCs/>
          <w:color w:val="0070C0"/>
          <w:sz w:val="22"/>
          <w:szCs w:val="22"/>
        </w:rPr>
        <w:t>C.</w:t>
      </w:r>
      <w:r w:rsidR="009A66E1" w:rsidRPr="006E78E7">
        <w:rPr>
          <w:rStyle w:val="Strong"/>
          <w:rFonts w:ascii="Arial" w:hAnsi="Arial" w:cs="Arial"/>
          <w:i/>
          <w:iCs/>
          <w:color w:val="0070C0"/>
          <w:sz w:val="22"/>
          <w:szCs w:val="22"/>
        </w:rPr>
        <w:t xml:space="preserve"> Fleet, Gear &amp; Economic Indicators</w:t>
      </w:r>
    </w:p>
    <w:p w:rsidR="009A66E1" w:rsidRPr="006E78E7" w:rsidRDefault="009A66E1" w:rsidP="009A66E1">
      <w:pPr>
        <w:pStyle w:val="NormalWeb"/>
        <w:numPr>
          <w:ilvl w:val="0"/>
          <w:numId w:val="64"/>
        </w:numPr>
        <w:rPr>
          <w:rFonts w:ascii="Arial" w:hAnsi="Arial" w:cs="Arial"/>
          <w:sz w:val="22"/>
          <w:szCs w:val="22"/>
        </w:rPr>
      </w:pPr>
      <w:r w:rsidRPr="006E78E7">
        <w:rPr>
          <w:rStyle w:val="Strong"/>
          <w:rFonts w:ascii="Arial" w:hAnsi="Arial" w:cs="Arial"/>
          <w:sz w:val="22"/>
          <w:szCs w:val="22"/>
        </w:rPr>
        <w:t>Fleet capacity:</w:t>
      </w:r>
      <w:r w:rsidRPr="006E78E7">
        <w:rPr>
          <w:rFonts w:ascii="Arial" w:hAnsi="Arial" w:cs="Arial"/>
          <w:sz w:val="22"/>
          <w:szCs w:val="22"/>
        </w:rPr>
        <w:t xml:space="preserve"> number × engine class × registration share</w:t>
      </w:r>
    </w:p>
    <w:p w:rsidR="009A66E1" w:rsidRPr="006E78E7" w:rsidRDefault="009A66E1" w:rsidP="009A66E1">
      <w:pPr>
        <w:pStyle w:val="NormalWeb"/>
        <w:numPr>
          <w:ilvl w:val="0"/>
          <w:numId w:val="64"/>
        </w:numPr>
        <w:rPr>
          <w:rFonts w:ascii="Arial" w:hAnsi="Arial" w:cs="Arial"/>
          <w:sz w:val="22"/>
          <w:szCs w:val="22"/>
        </w:rPr>
      </w:pPr>
      <w:r w:rsidRPr="006E78E7">
        <w:rPr>
          <w:rStyle w:val="Strong"/>
          <w:rFonts w:ascii="Arial" w:hAnsi="Arial" w:cs="Arial"/>
          <w:sz w:val="22"/>
          <w:szCs w:val="22"/>
        </w:rPr>
        <w:t>Gear pressure:</w:t>
      </w:r>
      <w:r w:rsidRPr="006E78E7">
        <w:rPr>
          <w:rFonts w:ascii="Arial" w:hAnsi="Arial" w:cs="Arial"/>
          <w:sz w:val="22"/>
          <w:szCs w:val="22"/>
        </w:rPr>
        <w:t xml:space="preserve"> trawl %; purse-seine %; small-scale contribution</w:t>
      </w:r>
    </w:p>
    <w:p w:rsidR="009A66E1" w:rsidRPr="006E78E7" w:rsidRDefault="009A66E1" w:rsidP="009A66E1">
      <w:pPr>
        <w:pStyle w:val="NormalWeb"/>
        <w:numPr>
          <w:ilvl w:val="0"/>
          <w:numId w:val="64"/>
        </w:numPr>
        <w:rPr>
          <w:rFonts w:ascii="Arial" w:hAnsi="Arial" w:cs="Arial"/>
          <w:sz w:val="22"/>
          <w:szCs w:val="22"/>
        </w:rPr>
      </w:pPr>
      <w:r w:rsidRPr="006E78E7">
        <w:rPr>
          <w:rStyle w:val="Strong"/>
          <w:rFonts w:ascii="Arial" w:hAnsi="Arial" w:cs="Arial"/>
          <w:sz w:val="22"/>
          <w:szCs w:val="22"/>
        </w:rPr>
        <w:t>Subsidy incentives:</w:t>
      </w:r>
      <w:r w:rsidRPr="006E78E7">
        <w:rPr>
          <w:rFonts w:ascii="Arial" w:hAnsi="Arial" w:cs="Arial"/>
          <w:sz w:val="22"/>
          <w:szCs w:val="22"/>
        </w:rPr>
        <w:t xml:space="preserve"> capacity-enhancing vs. management-support ratio</w:t>
      </w:r>
    </w:p>
    <w:p w:rsidR="009A66E1" w:rsidRPr="006E78E7" w:rsidRDefault="006E78E7" w:rsidP="00625EB8">
      <w:pPr>
        <w:rPr>
          <w:rStyle w:val="Strong"/>
          <w:rFonts w:ascii="Arial" w:hAnsi="Arial" w:cs="Arial"/>
          <w:i/>
          <w:iCs/>
          <w:color w:val="0070C0"/>
          <w:sz w:val="22"/>
          <w:szCs w:val="22"/>
        </w:rPr>
      </w:pPr>
      <w:r w:rsidRPr="006E78E7">
        <w:rPr>
          <w:rStyle w:val="Strong"/>
          <w:rFonts w:ascii="Arial" w:hAnsi="Arial" w:cs="Arial"/>
          <w:i/>
          <w:iCs/>
          <w:color w:val="0070C0"/>
          <w:sz w:val="22"/>
          <w:szCs w:val="22"/>
        </w:rPr>
        <w:t>D</w:t>
      </w:r>
      <w:r w:rsidR="009A66E1" w:rsidRPr="006E78E7">
        <w:rPr>
          <w:rStyle w:val="Strong"/>
          <w:rFonts w:ascii="Arial" w:hAnsi="Arial" w:cs="Arial"/>
          <w:i/>
          <w:iCs/>
          <w:color w:val="0070C0"/>
          <w:sz w:val="22"/>
          <w:szCs w:val="22"/>
        </w:rPr>
        <w:t xml:space="preserve"> Cross-Linkage Analysis</w:t>
      </w:r>
    </w:p>
    <w:p w:rsidR="009A66E1" w:rsidRPr="006E78E7" w:rsidRDefault="009A66E1" w:rsidP="009A66E1">
      <w:pPr>
        <w:pStyle w:val="NormalWeb"/>
        <w:rPr>
          <w:rFonts w:ascii="Arial" w:hAnsi="Arial" w:cs="Arial"/>
          <w:sz w:val="22"/>
          <w:szCs w:val="22"/>
        </w:rPr>
      </w:pPr>
      <w:r w:rsidRPr="006E78E7">
        <w:rPr>
          <w:rFonts w:ascii="Arial" w:hAnsi="Arial" w:cs="Arial"/>
          <w:sz w:val="22"/>
          <w:szCs w:val="22"/>
        </w:rPr>
        <w:t>Indicators were interpreted together to assess:</w:t>
      </w:r>
    </w:p>
    <w:p w:rsidR="009A66E1" w:rsidRPr="006E78E7" w:rsidRDefault="009A66E1" w:rsidP="009A66E1">
      <w:pPr>
        <w:pStyle w:val="NormalWeb"/>
        <w:numPr>
          <w:ilvl w:val="0"/>
          <w:numId w:val="65"/>
        </w:numPr>
        <w:rPr>
          <w:rFonts w:ascii="Arial" w:hAnsi="Arial" w:cs="Arial"/>
          <w:sz w:val="22"/>
          <w:szCs w:val="22"/>
        </w:rPr>
      </w:pPr>
      <w:r w:rsidRPr="006E78E7">
        <w:rPr>
          <w:rFonts w:ascii="Arial" w:hAnsi="Arial" w:cs="Arial"/>
          <w:sz w:val="22"/>
          <w:szCs w:val="22"/>
        </w:rPr>
        <w:t>ecological–economic decoupling</w:t>
      </w:r>
    </w:p>
    <w:p w:rsidR="009A66E1" w:rsidRPr="006E78E7" w:rsidRDefault="009A66E1" w:rsidP="009A66E1">
      <w:pPr>
        <w:pStyle w:val="NormalWeb"/>
        <w:numPr>
          <w:ilvl w:val="0"/>
          <w:numId w:val="65"/>
        </w:numPr>
        <w:rPr>
          <w:rFonts w:ascii="Arial" w:hAnsi="Arial" w:cs="Arial"/>
          <w:sz w:val="22"/>
          <w:szCs w:val="22"/>
        </w:rPr>
      </w:pPr>
      <w:r w:rsidRPr="006E78E7">
        <w:rPr>
          <w:rFonts w:ascii="Arial" w:hAnsi="Arial" w:cs="Arial"/>
          <w:sz w:val="22"/>
          <w:szCs w:val="22"/>
        </w:rPr>
        <w:t>habitat–fleet interactions</w:t>
      </w:r>
    </w:p>
    <w:p w:rsidR="009A66E1" w:rsidRPr="006E78E7" w:rsidRDefault="009A66E1" w:rsidP="009A66E1">
      <w:pPr>
        <w:pStyle w:val="NormalWeb"/>
        <w:numPr>
          <w:ilvl w:val="0"/>
          <w:numId w:val="65"/>
        </w:numPr>
        <w:rPr>
          <w:rFonts w:ascii="Arial" w:hAnsi="Arial" w:cs="Arial"/>
          <w:sz w:val="22"/>
          <w:szCs w:val="22"/>
        </w:rPr>
      </w:pPr>
      <w:r w:rsidRPr="006E78E7">
        <w:rPr>
          <w:rFonts w:ascii="Arial" w:hAnsi="Arial" w:cs="Arial"/>
          <w:sz w:val="22"/>
          <w:szCs w:val="22"/>
        </w:rPr>
        <w:t>transboundary footprint (foreign fleets in PPR patterns)</w:t>
      </w:r>
    </w:p>
    <w:p w:rsidR="007B68A5" w:rsidRPr="006E78E7" w:rsidRDefault="009A66E1" w:rsidP="00625EB8">
      <w:pPr>
        <w:pStyle w:val="NormalWeb"/>
        <w:numPr>
          <w:ilvl w:val="0"/>
          <w:numId w:val="65"/>
        </w:numPr>
        <w:rPr>
          <w:rFonts w:ascii="Arial" w:hAnsi="Arial" w:cs="Arial"/>
          <w:sz w:val="22"/>
          <w:szCs w:val="22"/>
        </w:rPr>
      </w:pPr>
      <w:r w:rsidRPr="006E78E7">
        <w:rPr>
          <w:rFonts w:ascii="Arial" w:hAnsi="Arial" w:cs="Arial"/>
          <w:sz w:val="22"/>
          <w:szCs w:val="22"/>
        </w:rPr>
        <w:t>combined climate–fishing pressures</w:t>
      </w:r>
    </w:p>
    <w:sectPr w:rsidR="007B68A5" w:rsidRPr="006E78E7" w:rsidSect="00F97CC4">
      <w:footerReference w:type="default" r:id="rId33"/>
      <w:pgSz w:w="11900" w:h="16840"/>
      <w:pgMar w:top="1440" w:right="1440" w:bottom="1440" w:left="1440" w:header="720" w:footer="1134"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D0D0F" w:rsidRDefault="008D0D0F" w:rsidP="00F97CC4">
      <w:r>
        <w:separator/>
      </w:r>
    </w:p>
  </w:endnote>
  <w:endnote w:type="continuationSeparator" w:id="0">
    <w:p w:rsidR="008D0D0F" w:rsidRDefault="008D0D0F" w:rsidP="00F97C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404AF" w:rsidRDefault="003404AF" w:rsidP="00452AF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28549171"/>
      <w:docPartObj>
        <w:docPartGallery w:val="Page Numbers (Bottom of Page)"/>
        <w:docPartUnique/>
      </w:docPartObj>
    </w:sdtPr>
    <w:sdtContent>
      <w:p w:rsidR="00F97CC4" w:rsidRDefault="00F97CC4" w:rsidP="00B4456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rsidR="00F97CC4" w:rsidRDefault="00F97CC4" w:rsidP="00F97CC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D0D0F" w:rsidRDefault="008D0D0F" w:rsidP="00F97CC4">
      <w:r>
        <w:separator/>
      </w:r>
    </w:p>
  </w:footnote>
  <w:footnote w:type="continuationSeparator" w:id="0">
    <w:p w:rsidR="008D0D0F" w:rsidRDefault="008D0D0F" w:rsidP="00F97C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15A69"/>
    <w:multiLevelType w:val="multilevel"/>
    <w:tmpl w:val="899C98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B43119"/>
    <w:multiLevelType w:val="multilevel"/>
    <w:tmpl w:val="9CDE5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8C2C68"/>
    <w:multiLevelType w:val="multilevel"/>
    <w:tmpl w:val="7D800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DC0C36"/>
    <w:multiLevelType w:val="hybridMultilevel"/>
    <w:tmpl w:val="287697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5E671A3"/>
    <w:multiLevelType w:val="multilevel"/>
    <w:tmpl w:val="9BD26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0653FB"/>
    <w:multiLevelType w:val="multilevel"/>
    <w:tmpl w:val="20581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A44E07"/>
    <w:multiLevelType w:val="multilevel"/>
    <w:tmpl w:val="602E2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B47447"/>
    <w:multiLevelType w:val="multilevel"/>
    <w:tmpl w:val="10F6F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F001AFB"/>
    <w:multiLevelType w:val="multilevel"/>
    <w:tmpl w:val="7B0860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0425AA3"/>
    <w:multiLevelType w:val="multilevel"/>
    <w:tmpl w:val="BB6EE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5A50CE9"/>
    <w:multiLevelType w:val="multilevel"/>
    <w:tmpl w:val="D0B06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64F7AF0"/>
    <w:multiLevelType w:val="multilevel"/>
    <w:tmpl w:val="2AC64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68C22AF"/>
    <w:multiLevelType w:val="multilevel"/>
    <w:tmpl w:val="A4F48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95057CD"/>
    <w:multiLevelType w:val="multilevel"/>
    <w:tmpl w:val="1BF85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B8030E9"/>
    <w:multiLevelType w:val="multilevel"/>
    <w:tmpl w:val="0952E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D5575F5"/>
    <w:multiLevelType w:val="multilevel"/>
    <w:tmpl w:val="3092DA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DB54FF3"/>
    <w:multiLevelType w:val="multilevel"/>
    <w:tmpl w:val="CCF21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1ED3ED8"/>
    <w:multiLevelType w:val="multilevel"/>
    <w:tmpl w:val="3EC0C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2C4777B"/>
    <w:multiLevelType w:val="multilevel"/>
    <w:tmpl w:val="D292D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5671E16"/>
    <w:multiLevelType w:val="multilevel"/>
    <w:tmpl w:val="BBBA57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57F39A3"/>
    <w:multiLevelType w:val="hybridMultilevel"/>
    <w:tmpl w:val="CBFAC5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5881B76"/>
    <w:multiLevelType w:val="multilevel"/>
    <w:tmpl w:val="509AB0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5B95CF7"/>
    <w:multiLevelType w:val="multilevel"/>
    <w:tmpl w:val="9934CC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7286D09"/>
    <w:multiLevelType w:val="multilevel"/>
    <w:tmpl w:val="8020D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859113D"/>
    <w:multiLevelType w:val="multilevel"/>
    <w:tmpl w:val="06F43A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BB9112A"/>
    <w:multiLevelType w:val="multilevel"/>
    <w:tmpl w:val="43688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D3345FC"/>
    <w:multiLevelType w:val="multilevel"/>
    <w:tmpl w:val="0AC82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01269D7"/>
    <w:multiLevelType w:val="multilevel"/>
    <w:tmpl w:val="43209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0FB3B5D"/>
    <w:multiLevelType w:val="hybridMultilevel"/>
    <w:tmpl w:val="3DD6B9A6"/>
    <w:lvl w:ilvl="0" w:tplc="6F326C4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15B2D16"/>
    <w:multiLevelType w:val="multilevel"/>
    <w:tmpl w:val="B79C6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59A102D"/>
    <w:multiLevelType w:val="multilevel"/>
    <w:tmpl w:val="6B728556"/>
    <w:lvl w:ilvl="0">
      <w:start w:val="5"/>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35E3732F"/>
    <w:multiLevelType w:val="multilevel"/>
    <w:tmpl w:val="55F8A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6424213"/>
    <w:multiLevelType w:val="hybridMultilevel"/>
    <w:tmpl w:val="04DCE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AB871C0"/>
    <w:multiLevelType w:val="hybridMultilevel"/>
    <w:tmpl w:val="392476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CE72ED7"/>
    <w:multiLevelType w:val="multilevel"/>
    <w:tmpl w:val="5C3A7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E743530"/>
    <w:multiLevelType w:val="multilevel"/>
    <w:tmpl w:val="72E2D4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F1F4D1F"/>
    <w:multiLevelType w:val="multilevel"/>
    <w:tmpl w:val="CDE8D1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0C335A2"/>
    <w:multiLevelType w:val="hybridMultilevel"/>
    <w:tmpl w:val="9C304E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12B5EB9"/>
    <w:multiLevelType w:val="multilevel"/>
    <w:tmpl w:val="77AA3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CD0087A"/>
    <w:multiLevelType w:val="multilevel"/>
    <w:tmpl w:val="CE760A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083767A"/>
    <w:multiLevelType w:val="multilevel"/>
    <w:tmpl w:val="09984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5E0329B"/>
    <w:multiLevelType w:val="multilevel"/>
    <w:tmpl w:val="3C02A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6AA0A0D"/>
    <w:multiLevelType w:val="multilevel"/>
    <w:tmpl w:val="6C94D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968303D"/>
    <w:multiLevelType w:val="multilevel"/>
    <w:tmpl w:val="7D1E7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9AF4EEC"/>
    <w:multiLevelType w:val="multilevel"/>
    <w:tmpl w:val="CD5CE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A0778D1"/>
    <w:multiLevelType w:val="multilevel"/>
    <w:tmpl w:val="910C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5EE94A5B"/>
    <w:multiLevelType w:val="multilevel"/>
    <w:tmpl w:val="6EF04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0642BDB"/>
    <w:multiLevelType w:val="hybridMultilevel"/>
    <w:tmpl w:val="74044A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23842CD"/>
    <w:multiLevelType w:val="multilevel"/>
    <w:tmpl w:val="CB90F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A422401"/>
    <w:multiLevelType w:val="multilevel"/>
    <w:tmpl w:val="CD1C6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A9F2FD1"/>
    <w:multiLevelType w:val="multilevel"/>
    <w:tmpl w:val="9ECEB384"/>
    <w:lvl w:ilvl="0">
      <w:start w:val="1"/>
      <w:numFmt w:val="decimal"/>
      <w:pStyle w:val="Heading1"/>
      <w:lvlText w:val="%1."/>
      <w:lvlJc w:val="left"/>
      <w:pPr>
        <w:ind w:left="360" w:hanging="360"/>
      </w:pPr>
      <w:rPr>
        <w:rFonts w:hint="default"/>
      </w:rPr>
    </w:lvl>
    <w:lvl w:ilvl="1">
      <w:start w:val="1"/>
      <w:numFmt w:val="decimal"/>
      <w:lvlText w:val="%1.%2."/>
      <w:lvlJc w:val="left"/>
      <w:pPr>
        <w:ind w:left="720" w:hanging="720"/>
      </w:pPr>
      <w:rPr>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51" w15:restartNumberingAfterBreak="0">
    <w:nsid w:val="6AAA3E35"/>
    <w:multiLevelType w:val="multilevel"/>
    <w:tmpl w:val="74D48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6AAC0FEE"/>
    <w:multiLevelType w:val="hybridMultilevel"/>
    <w:tmpl w:val="9154A5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B71262C"/>
    <w:multiLevelType w:val="multilevel"/>
    <w:tmpl w:val="3E9A2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BED27F9"/>
    <w:multiLevelType w:val="multilevel"/>
    <w:tmpl w:val="51F22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6CD90D16"/>
    <w:multiLevelType w:val="multilevel"/>
    <w:tmpl w:val="93F82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D5D46DA"/>
    <w:multiLevelType w:val="multilevel"/>
    <w:tmpl w:val="AE14DC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D814C95"/>
    <w:multiLevelType w:val="multilevel"/>
    <w:tmpl w:val="8384B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6DCA1C97"/>
    <w:multiLevelType w:val="multilevel"/>
    <w:tmpl w:val="1AB63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DF5111A"/>
    <w:multiLevelType w:val="multilevel"/>
    <w:tmpl w:val="ACE42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74B16CC8"/>
    <w:multiLevelType w:val="multilevel"/>
    <w:tmpl w:val="E1A62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74FA773D"/>
    <w:multiLevelType w:val="multilevel"/>
    <w:tmpl w:val="4762E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77A41585"/>
    <w:multiLevelType w:val="multilevel"/>
    <w:tmpl w:val="8CFC27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79B9794E"/>
    <w:multiLevelType w:val="multilevel"/>
    <w:tmpl w:val="D186C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7A4F6F04"/>
    <w:multiLevelType w:val="multilevel"/>
    <w:tmpl w:val="83388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7E2A5A25"/>
    <w:multiLevelType w:val="multilevel"/>
    <w:tmpl w:val="ED965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75812791">
    <w:abstractNumId w:val="50"/>
  </w:num>
  <w:num w:numId="2" w16cid:durableId="462045094">
    <w:abstractNumId w:val="14"/>
  </w:num>
  <w:num w:numId="3" w16cid:durableId="1564750422">
    <w:abstractNumId w:val="6"/>
  </w:num>
  <w:num w:numId="4" w16cid:durableId="774909332">
    <w:abstractNumId w:val="40"/>
  </w:num>
  <w:num w:numId="5" w16cid:durableId="602034811">
    <w:abstractNumId w:val="36"/>
  </w:num>
  <w:num w:numId="6" w16cid:durableId="911815548">
    <w:abstractNumId w:val="56"/>
  </w:num>
  <w:num w:numId="7" w16cid:durableId="956374845">
    <w:abstractNumId w:val="39"/>
  </w:num>
  <w:num w:numId="8" w16cid:durableId="967007792">
    <w:abstractNumId w:val="19"/>
  </w:num>
  <w:num w:numId="9" w16cid:durableId="1032800508">
    <w:abstractNumId w:val="23"/>
  </w:num>
  <w:num w:numId="10" w16cid:durableId="718554058">
    <w:abstractNumId w:val="16"/>
  </w:num>
  <w:num w:numId="11" w16cid:durableId="1990550748">
    <w:abstractNumId w:val="42"/>
  </w:num>
  <w:num w:numId="12" w16cid:durableId="1658877331">
    <w:abstractNumId w:val="17"/>
  </w:num>
  <w:num w:numId="13" w16cid:durableId="93284446">
    <w:abstractNumId w:val="46"/>
  </w:num>
  <w:num w:numId="14" w16cid:durableId="520125972">
    <w:abstractNumId w:val="48"/>
  </w:num>
  <w:num w:numId="15" w16cid:durableId="2069724662">
    <w:abstractNumId w:val="13"/>
  </w:num>
  <w:num w:numId="16" w16cid:durableId="1311011781">
    <w:abstractNumId w:val="20"/>
  </w:num>
  <w:num w:numId="17" w16cid:durableId="11038094">
    <w:abstractNumId w:val="28"/>
  </w:num>
  <w:num w:numId="18" w16cid:durableId="1160265821">
    <w:abstractNumId w:val="47"/>
  </w:num>
  <w:num w:numId="19" w16cid:durableId="1168250196">
    <w:abstractNumId w:val="24"/>
  </w:num>
  <w:num w:numId="20" w16cid:durableId="1073235938">
    <w:abstractNumId w:val="64"/>
  </w:num>
  <w:num w:numId="21" w16cid:durableId="1446189600">
    <w:abstractNumId w:val="61"/>
  </w:num>
  <w:num w:numId="22" w16cid:durableId="123274631">
    <w:abstractNumId w:val="33"/>
  </w:num>
  <w:num w:numId="23" w16cid:durableId="1180700496">
    <w:abstractNumId w:val="43"/>
  </w:num>
  <w:num w:numId="24" w16cid:durableId="2134864418">
    <w:abstractNumId w:val="10"/>
  </w:num>
  <w:num w:numId="25" w16cid:durableId="939797297">
    <w:abstractNumId w:val="45"/>
  </w:num>
  <w:num w:numId="26" w16cid:durableId="1743944980">
    <w:abstractNumId w:val="25"/>
  </w:num>
  <w:num w:numId="27" w16cid:durableId="1910573516">
    <w:abstractNumId w:val="35"/>
  </w:num>
  <w:num w:numId="28" w16cid:durableId="1100636240">
    <w:abstractNumId w:val="21"/>
  </w:num>
  <w:num w:numId="29" w16cid:durableId="1994334313">
    <w:abstractNumId w:val="29"/>
  </w:num>
  <w:num w:numId="30" w16cid:durableId="1901476704">
    <w:abstractNumId w:val="22"/>
  </w:num>
  <w:num w:numId="31" w16cid:durableId="116217363">
    <w:abstractNumId w:val="2"/>
  </w:num>
  <w:num w:numId="32" w16cid:durableId="753207599">
    <w:abstractNumId w:val="3"/>
  </w:num>
  <w:num w:numId="33" w16cid:durableId="1930579359">
    <w:abstractNumId w:val="5"/>
  </w:num>
  <w:num w:numId="34" w16cid:durableId="1240601152">
    <w:abstractNumId w:val="15"/>
  </w:num>
  <w:num w:numId="35" w16cid:durableId="2056926844">
    <w:abstractNumId w:val="44"/>
  </w:num>
  <w:num w:numId="36" w16cid:durableId="1603024893">
    <w:abstractNumId w:val="1"/>
  </w:num>
  <w:num w:numId="37" w16cid:durableId="474034179">
    <w:abstractNumId w:val="26"/>
  </w:num>
  <w:num w:numId="38" w16cid:durableId="1502506777">
    <w:abstractNumId w:val="9"/>
  </w:num>
  <w:num w:numId="39" w16cid:durableId="1396466013">
    <w:abstractNumId w:val="41"/>
  </w:num>
  <w:num w:numId="40" w16cid:durableId="488984812">
    <w:abstractNumId w:val="55"/>
  </w:num>
  <w:num w:numId="41" w16cid:durableId="807362716">
    <w:abstractNumId w:val="38"/>
  </w:num>
  <w:num w:numId="42" w16cid:durableId="1191643277">
    <w:abstractNumId w:val="12"/>
  </w:num>
  <w:num w:numId="43" w16cid:durableId="272589471">
    <w:abstractNumId w:val="58"/>
  </w:num>
  <w:num w:numId="44" w16cid:durableId="1989356159">
    <w:abstractNumId w:val="49"/>
  </w:num>
  <w:num w:numId="45" w16cid:durableId="1780220791">
    <w:abstractNumId w:val="60"/>
  </w:num>
  <w:num w:numId="46" w16cid:durableId="285430291">
    <w:abstractNumId w:val="52"/>
  </w:num>
  <w:num w:numId="47" w16cid:durableId="1210190592">
    <w:abstractNumId w:val="32"/>
  </w:num>
  <w:num w:numId="48" w16cid:durableId="164177133">
    <w:abstractNumId w:val="37"/>
  </w:num>
  <w:num w:numId="49" w16cid:durableId="1889341587">
    <w:abstractNumId w:val="51"/>
  </w:num>
  <w:num w:numId="50" w16cid:durableId="328293935">
    <w:abstractNumId w:val="4"/>
  </w:num>
  <w:num w:numId="51" w16cid:durableId="1363551595">
    <w:abstractNumId w:val="7"/>
  </w:num>
  <w:num w:numId="52" w16cid:durableId="966469984">
    <w:abstractNumId w:val="27"/>
  </w:num>
  <w:num w:numId="53" w16cid:durableId="103771755">
    <w:abstractNumId w:val="0"/>
  </w:num>
  <w:num w:numId="54" w16cid:durableId="424542270">
    <w:abstractNumId w:val="34"/>
  </w:num>
  <w:num w:numId="55" w16cid:durableId="625084445">
    <w:abstractNumId w:val="57"/>
  </w:num>
  <w:num w:numId="56" w16cid:durableId="841315137">
    <w:abstractNumId w:val="65"/>
  </w:num>
  <w:num w:numId="57" w16cid:durableId="1791051314">
    <w:abstractNumId w:val="54"/>
  </w:num>
  <w:num w:numId="58" w16cid:durableId="1613633066">
    <w:abstractNumId w:val="8"/>
  </w:num>
  <w:num w:numId="59" w16cid:durableId="1741054100">
    <w:abstractNumId w:val="59"/>
  </w:num>
  <w:num w:numId="60" w16cid:durableId="352877183">
    <w:abstractNumId w:val="53"/>
  </w:num>
  <w:num w:numId="61" w16cid:durableId="1721442642">
    <w:abstractNumId w:val="31"/>
  </w:num>
  <w:num w:numId="62" w16cid:durableId="216861757">
    <w:abstractNumId w:val="62"/>
  </w:num>
  <w:num w:numId="63" w16cid:durableId="1040396227">
    <w:abstractNumId w:val="18"/>
  </w:num>
  <w:num w:numId="64" w16cid:durableId="299261758">
    <w:abstractNumId w:val="63"/>
  </w:num>
  <w:num w:numId="65" w16cid:durableId="1836797032">
    <w:abstractNumId w:val="11"/>
  </w:num>
  <w:num w:numId="66" w16cid:durableId="157065715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9"/>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3AA0"/>
    <w:rsid w:val="00000793"/>
    <w:rsid w:val="00020114"/>
    <w:rsid w:val="00021960"/>
    <w:rsid w:val="00041A5B"/>
    <w:rsid w:val="00042D24"/>
    <w:rsid w:val="00047399"/>
    <w:rsid w:val="00084AFC"/>
    <w:rsid w:val="000A4371"/>
    <w:rsid w:val="000C6290"/>
    <w:rsid w:val="001005EF"/>
    <w:rsid w:val="00102B9C"/>
    <w:rsid w:val="00107981"/>
    <w:rsid w:val="00111FEC"/>
    <w:rsid w:val="00125149"/>
    <w:rsid w:val="00130A33"/>
    <w:rsid w:val="00130FEA"/>
    <w:rsid w:val="00146746"/>
    <w:rsid w:val="0016005B"/>
    <w:rsid w:val="001804DB"/>
    <w:rsid w:val="0018202F"/>
    <w:rsid w:val="001A7D95"/>
    <w:rsid w:val="001B183A"/>
    <w:rsid w:val="001C18D7"/>
    <w:rsid w:val="001D0099"/>
    <w:rsid w:val="001D2742"/>
    <w:rsid w:val="001F1107"/>
    <w:rsid w:val="001F341D"/>
    <w:rsid w:val="001F3939"/>
    <w:rsid w:val="00203004"/>
    <w:rsid w:val="002032EE"/>
    <w:rsid w:val="00223AEE"/>
    <w:rsid w:val="002270E6"/>
    <w:rsid w:val="0024724C"/>
    <w:rsid w:val="00251EEB"/>
    <w:rsid w:val="002544C7"/>
    <w:rsid w:val="00271136"/>
    <w:rsid w:val="002A01B7"/>
    <w:rsid w:val="002C15D9"/>
    <w:rsid w:val="002D0252"/>
    <w:rsid w:val="002E577B"/>
    <w:rsid w:val="003404AF"/>
    <w:rsid w:val="00347D71"/>
    <w:rsid w:val="003518C4"/>
    <w:rsid w:val="00357EC2"/>
    <w:rsid w:val="00367745"/>
    <w:rsid w:val="00370CC1"/>
    <w:rsid w:val="0037763E"/>
    <w:rsid w:val="00385994"/>
    <w:rsid w:val="00387EAC"/>
    <w:rsid w:val="00394761"/>
    <w:rsid w:val="00397C4F"/>
    <w:rsid w:val="00397F3D"/>
    <w:rsid w:val="003A68FA"/>
    <w:rsid w:val="003B0C6D"/>
    <w:rsid w:val="003B443F"/>
    <w:rsid w:val="003B46A9"/>
    <w:rsid w:val="003B50E6"/>
    <w:rsid w:val="003C4632"/>
    <w:rsid w:val="003F56EC"/>
    <w:rsid w:val="00401504"/>
    <w:rsid w:val="00402BCE"/>
    <w:rsid w:val="00430F3F"/>
    <w:rsid w:val="00436327"/>
    <w:rsid w:val="0044676B"/>
    <w:rsid w:val="004570F7"/>
    <w:rsid w:val="0046714E"/>
    <w:rsid w:val="004702E1"/>
    <w:rsid w:val="00477E6D"/>
    <w:rsid w:val="00494388"/>
    <w:rsid w:val="004A0B60"/>
    <w:rsid w:val="004B5504"/>
    <w:rsid w:val="00581FFA"/>
    <w:rsid w:val="005B3D05"/>
    <w:rsid w:val="005B4484"/>
    <w:rsid w:val="005C6871"/>
    <w:rsid w:val="0061407C"/>
    <w:rsid w:val="00625EB8"/>
    <w:rsid w:val="00675BBC"/>
    <w:rsid w:val="006771C0"/>
    <w:rsid w:val="00677D1E"/>
    <w:rsid w:val="00677F18"/>
    <w:rsid w:val="00687F99"/>
    <w:rsid w:val="00695251"/>
    <w:rsid w:val="00696C92"/>
    <w:rsid w:val="006A0186"/>
    <w:rsid w:val="006B24EC"/>
    <w:rsid w:val="006C1E7F"/>
    <w:rsid w:val="006D151E"/>
    <w:rsid w:val="006D1C18"/>
    <w:rsid w:val="006D4D25"/>
    <w:rsid w:val="006E394A"/>
    <w:rsid w:val="006E78E7"/>
    <w:rsid w:val="006F60F7"/>
    <w:rsid w:val="00712F61"/>
    <w:rsid w:val="00713E8A"/>
    <w:rsid w:val="00724FCD"/>
    <w:rsid w:val="00740174"/>
    <w:rsid w:val="007449CA"/>
    <w:rsid w:val="007531D2"/>
    <w:rsid w:val="0075776D"/>
    <w:rsid w:val="00761122"/>
    <w:rsid w:val="0077616A"/>
    <w:rsid w:val="007B4C17"/>
    <w:rsid w:val="007B68A5"/>
    <w:rsid w:val="007C1E33"/>
    <w:rsid w:val="007C37D6"/>
    <w:rsid w:val="007C6769"/>
    <w:rsid w:val="007E1D4B"/>
    <w:rsid w:val="007E3AA0"/>
    <w:rsid w:val="008108E0"/>
    <w:rsid w:val="008274D2"/>
    <w:rsid w:val="00835AB9"/>
    <w:rsid w:val="008425F3"/>
    <w:rsid w:val="00857B85"/>
    <w:rsid w:val="0087060A"/>
    <w:rsid w:val="00874FFD"/>
    <w:rsid w:val="008931B0"/>
    <w:rsid w:val="0089726A"/>
    <w:rsid w:val="00897660"/>
    <w:rsid w:val="008C3616"/>
    <w:rsid w:val="008C39A2"/>
    <w:rsid w:val="008C4A4A"/>
    <w:rsid w:val="008D0D0F"/>
    <w:rsid w:val="008D473D"/>
    <w:rsid w:val="008D53F6"/>
    <w:rsid w:val="008D65C8"/>
    <w:rsid w:val="008F2864"/>
    <w:rsid w:val="009061E3"/>
    <w:rsid w:val="009155D8"/>
    <w:rsid w:val="00917CAC"/>
    <w:rsid w:val="009218D5"/>
    <w:rsid w:val="00926E25"/>
    <w:rsid w:val="00946189"/>
    <w:rsid w:val="009524C8"/>
    <w:rsid w:val="00956510"/>
    <w:rsid w:val="00985468"/>
    <w:rsid w:val="009878AD"/>
    <w:rsid w:val="009902CB"/>
    <w:rsid w:val="009A2C7C"/>
    <w:rsid w:val="009A66E1"/>
    <w:rsid w:val="009B3740"/>
    <w:rsid w:val="009D4420"/>
    <w:rsid w:val="009F78B8"/>
    <w:rsid w:val="00A01A67"/>
    <w:rsid w:val="00A36BBD"/>
    <w:rsid w:val="00A65FDD"/>
    <w:rsid w:val="00A74302"/>
    <w:rsid w:val="00A802C9"/>
    <w:rsid w:val="00AB2A61"/>
    <w:rsid w:val="00AB71C4"/>
    <w:rsid w:val="00AC5059"/>
    <w:rsid w:val="00AE4E74"/>
    <w:rsid w:val="00AE6FF1"/>
    <w:rsid w:val="00AF0555"/>
    <w:rsid w:val="00AF6E52"/>
    <w:rsid w:val="00AF7A89"/>
    <w:rsid w:val="00B20DB5"/>
    <w:rsid w:val="00B43925"/>
    <w:rsid w:val="00B6063C"/>
    <w:rsid w:val="00B60714"/>
    <w:rsid w:val="00B62193"/>
    <w:rsid w:val="00B77666"/>
    <w:rsid w:val="00B97C9A"/>
    <w:rsid w:val="00B97EFB"/>
    <w:rsid w:val="00BD104B"/>
    <w:rsid w:val="00BF79A7"/>
    <w:rsid w:val="00C33964"/>
    <w:rsid w:val="00C4045E"/>
    <w:rsid w:val="00C61DC2"/>
    <w:rsid w:val="00C70103"/>
    <w:rsid w:val="00C76C03"/>
    <w:rsid w:val="00C855D5"/>
    <w:rsid w:val="00CB1100"/>
    <w:rsid w:val="00CB1C60"/>
    <w:rsid w:val="00CB43D3"/>
    <w:rsid w:val="00CC3866"/>
    <w:rsid w:val="00CC4895"/>
    <w:rsid w:val="00CD08F6"/>
    <w:rsid w:val="00CD2053"/>
    <w:rsid w:val="00CD62B3"/>
    <w:rsid w:val="00CE2AE5"/>
    <w:rsid w:val="00CE50E0"/>
    <w:rsid w:val="00CE63AC"/>
    <w:rsid w:val="00D00C95"/>
    <w:rsid w:val="00D05186"/>
    <w:rsid w:val="00D06327"/>
    <w:rsid w:val="00D107E0"/>
    <w:rsid w:val="00D14DBA"/>
    <w:rsid w:val="00D17953"/>
    <w:rsid w:val="00D202D3"/>
    <w:rsid w:val="00D40FCC"/>
    <w:rsid w:val="00D504C1"/>
    <w:rsid w:val="00DA1B14"/>
    <w:rsid w:val="00DA47BA"/>
    <w:rsid w:val="00DA76F1"/>
    <w:rsid w:val="00DB57B9"/>
    <w:rsid w:val="00DB5E57"/>
    <w:rsid w:val="00DD495E"/>
    <w:rsid w:val="00DD56DF"/>
    <w:rsid w:val="00DE7EFC"/>
    <w:rsid w:val="00E04572"/>
    <w:rsid w:val="00E0545C"/>
    <w:rsid w:val="00E06BEC"/>
    <w:rsid w:val="00E10CBE"/>
    <w:rsid w:val="00E20208"/>
    <w:rsid w:val="00E22C03"/>
    <w:rsid w:val="00E34AE5"/>
    <w:rsid w:val="00E554B1"/>
    <w:rsid w:val="00E67FD4"/>
    <w:rsid w:val="00E735F6"/>
    <w:rsid w:val="00E75964"/>
    <w:rsid w:val="00E81C45"/>
    <w:rsid w:val="00E905DE"/>
    <w:rsid w:val="00E920B7"/>
    <w:rsid w:val="00EA0880"/>
    <w:rsid w:val="00EA430A"/>
    <w:rsid w:val="00EC7D7C"/>
    <w:rsid w:val="00EF2400"/>
    <w:rsid w:val="00EF2F4F"/>
    <w:rsid w:val="00F07F36"/>
    <w:rsid w:val="00F12007"/>
    <w:rsid w:val="00F1518F"/>
    <w:rsid w:val="00F15AD9"/>
    <w:rsid w:val="00F220CD"/>
    <w:rsid w:val="00F25B4D"/>
    <w:rsid w:val="00F3081E"/>
    <w:rsid w:val="00F622F0"/>
    <w:rsid w:val="00F653C4"/>
    <w:rsid w:val="00F72397"/>
    <w:rsid w:val="00F840AA"/>
    <w:rsid w:val="00F97CC4"/>
    <w:rsid w:val="00FB697D"/>
    <w:rsid w:val="00FC098E"/>
    <w:rsid w:val="00FC6B27"/>
    <w:rsid w:val="00FF2355"/>
    <w:rsid w:val="00FF40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FF4F03-712C-AF4D-83C8-32519AC8BF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B6063C"/>
    <w:rPr>
      <w:rFonts w:ascii="Times New Roman" w:eastAsia="Times New Roman" w:hAnsi="Times New Roman" w:cs="Times New Roman"/>
      <w:kern w:val="0"/>
      <w14:ligatures w14:val="none"/>
    </w:rPr>
  </w:style>
  <w:style w:type="paragraph" w:styleId="Heading1">
    <w:name w:val="heading 1"/>
    <w:basedOn w:val="Normal"/>
    <w:next w:val="Normal"/>
    <w:link w:val="Heading1Char"/>
    <w:autoRedefine/>
    <w:uiPriority w:val="9"/>
    <w:qFormat/>
    <w:rsid w:val="003B0C6D"/>
    <w:pPr>
      <w:keepNext/>
      <w:numPr>
        <w:numId w:val="1"/>
      </w:numPr>
      <w:outlineLvl w:val="0"/>
    </w:pPr>
    <w:rPr>
      <w:rFonts w:ascii="Calibri" w:eastAsiaTheme="majorEastAsia" w:hAnsi="Calibri"/>
      <w:b/>
      <w:bCs/>
      <w:sz w:val="28"/>
      <w:szCs w:val="28"/>
    </w:rPr>
  </w:style>
  <w:style w:type="paragraph" w:styleId="Heading2">
    <w:name w:val="heading 2"/>
    <w:basedOn w:val="Normal"/>
    <w:link w:val="Heading2Char"/>
    <w:uiPriority w:val="9"/>
    <w:qFormat/>
    <w:rsid w:val="007E3AA0"/>
    <w:pPr>
      <w:spacing w:before="100" w:beforeAutospacing="1" w:after="100" w:afterAutospacing="1"/>
      <w:outlineLvl w:val="1"/>
    </w:pPr>
    <w:rPr>
      <w:b/>
      <w:bCs/>
      <w:sz w:val="36"/>
      <w:szCs w:val="36"/>
    </w:rPr>
  </w:style>
  <w:style w:type="paragraph" w:styleId="Heading3">
    <w:name w:val="heading 3"/>
    <w:basedOn w:val="Normal"/>
    <w:link w:val="Heading3Char"/>
    <w:uiPriority w:val="9"/>
    <w:qFormat/>
    <w:rsid w:val="007E3AA0"/>
    <w:pPr>
      <w:spacing w:before="100" w:beforeAutospacing="1" w:after="100" w:afterAutospacing="1"/>
      <w:outlineLvl w:val="2"/>
    </w:pPr>
    <w:rPr>
      <w:b/>
      <w:bCs/>
      <w:sz w:val="27"/>
      <w:szCs w:val="27"/>
    </w:rPr>
  </w:style>
  <w:style w:type="paragraph" w:styleId="Heading4">
    <w:name w:val="heading 4"/>
    <w:basedOn w:val="Normal"/>
    <w:link w:val="Heading4Char"/>
    <w:uiPriority w:val="9"/>
    <w:qFormat/>
    <w:rsid w:val="007E3AA0"/>
    <w:pPr>
      <w:spacing w:before="100" w:beforeAutospacing="1" w:after="100" w:afterAutospacing="1"/>
      <w:outlineLvl w:val="3"/>
    </w:pPr>
    <w:rPr>
      <w:b/>
      <w:bCs/>
    </w:rPr>
  </w:style>
  <w:style w:type="paragraph" w:styleId="Heading5">
    <w:name w:val="heading 5"/>
    <w:basedOn w:val="Normal"/>
    <w:next w:val="Normal"/>
    <w:link w:val="Heading5Char"/>
    <w:uiPriority w:val="9"/>
    <w:semiHidden/>
    <w:unhideWhenUsed/>
    <w:qFormat/>
    <w:rsid w:val="00DE7EFC"/>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C6D"/>
    <w:rPr>
      <w:rFonts w:ascii="Calibri" w:eastAsiaTheme="majorEastAsia" w:hAnsi="Calibri" w:cs="Times New Roman"/>
      <w:b/>
      <w:bCs/>
      <w:sz w:val="28"/>
      <w:szCs w:val="28"/>
    </w:rPr>
  </w:style>
  <w:style w:type="character" w:customStyle="1" w:styleId="Heading2Char">
    <w:name w:val="Heading 2 Char"/>
    <w:basedOn w:val="DefaultParagraphFont"/>
    <w:link w:val="Heading2"/>
    <w:uiPriority w:val="9"/>
    <w:rsid w:val="007E3AA0"/>
    <w:rPr>
      <w:rFonts w:ascii="Times New Roman" w:eastAsia="Times New Roman" w:hAnsi="Times New Roman" w:cs="Times New Roman"/>
      <w:b/>
      <w:bCs/>
      <w:kern w:val="0"/>
      <w:sz w:val="36"/>
      <w:szCs w:val="36"/>
      <w14:ligatures w14:val="none"/>
    </w:rPr>
  </w:style>
  <w:style w:type="character" w:customStyle="1" w:styleId="Heading3Char">
    <w:name w:val="Heading 3 Char"/>
    <w:basedOn w:val="DefaultParagraphFont"/>
    <w:link w:val="Heading3"/>
    <w:uiPriority w:val="9"/>
    <w:rsid w:val="007E3AA0"/>
    <w:rPr>
      <w:rFonts w:ascii="Times New Roman" w:eastAsia="Times New Roman" w:hAnsi="Times New Roman" w:cs="Times New Roman"/>
      <w:b/>
      <w:bCs/>
      <w:kern w:val="0"/>
      <w:sz w:val="27"/>
      <w:szCs w:val="27"/>
      <w14:ligatures w14:val="none"/>
    </w:rPr>
  </w:style>
  <w:style w:type="character" w:customStyle="1" w:styleId="Heading4Char">
    <w:name w:val="Heading 4 Char"/>
    <w:basedOn w:val="DefaultParagraphFont"/>
    <w:link w:val="Heading4"/>
    <w:uiPriority w:val="9"/>
    <w:rsid w:val="007E3AA0"/>
    <w:rPr>
      <w:rFonts w:ascii="Times New Roman" w:eastAsia="Times New Roman" w:hAnsi="Times New Roman" w:cs="Times New Roman"/>
      <w:b/>
      <w:bCs/>
      <w:kern w:val="0"/>
      <w14:ligatures w14:val="none"/>
    </w:rPr>
  </w:style>
  <w:style w:type="paragraph" w:styleId="NormalWeb">
    <w:name w:val="Normal (Web)"/>
    <w:basedOn w:val="Normal"/>
    <w:uiPriority w:val="99"/>
    <w:unhideWhenUsed/>
    <w:rsid w:val="007E3AA0"/>
    <w:pPr>
      <w:spacing w:before="100" w:beforeAutospacing="1" w:after="100" w:afterAutospacing="1"/>
    </w:pPr>
  </w:style>
  <w:style w:type="character" w:styleId="Strong">
    <w:name w:val="Strong"/>
    <w:basedOn w:val="DefaultParagraphFont"/>
    <w:uiPriority w:val="22"/>
    <w:qFormat/>
    <w:rsid w:val="007E3AA0"/>
    <w:rPr>
      <w:b/>
      <w:bCs/>
    </w:rPr>
  </w:style>
  <w:style w:type="character" w:customStyle="1" w:styleId="relative">
    <w:name w:val="relative"/>
    <w:basedOn w:val="DefaultParagraphFont"/>
    <w:rsid w:val="007E3AA0"/>
  </w:style>
  <w:style w:type="paragraph" w:customStyle="1" w:styleId="not-prose">
    <w:name w:val="not-prose"/>
    <w:basedOn w:val="Normal"/>
    <w:rsid w:val="007E3AA0"/>
    <w:pPr>
      <w:spacing w:before="100" w:beforeAutospacing="1" w:after="100" w:afterAutospacing="1"/>
    </w:pPr>
  </w:style>
  <w:style w:type="character" w:styleId="Emphasis">
    <w:name w:val="Emphasis"/>
    <w:basedOn w:val="DefaultParagraphFont"/>
    <w:uiPriority w:val="20"/>
    <w:qFormat/>
    <w:rsid w:val="00713E8A"/>
    <w:rPr>
      <w:i/>
      <w:iCs/>
    </w:rPr>
  </w:style>
  <w:style w:type="character" w:styleId="Hyperlink">
    <w:name w:val="Hyperlink"/>
    <w:basedOn w:val="DefaultParagraphFont"/>
    <w:uiPriority w:val="99"/>
    <w:unhideWhenUsed/>
    <w:rsid w:val="00713E8A"/>
    <w:rPr>
      <w:color w:val="0000FF"/>
      <w:u w:val="single"/>
    </w:rPr>
  </w:style>
  <w:style w:type="character" w:styleId="UnresolvedMention">
    <w:name w:val="Unresolved Mention"/>
    <w:basedOn w:val="DefaultParagraphFont"/>
    <w:uiPriority w:val="99"/>
    <w:rsid w:val="001F1107"/>
    <w:rPr>
      <w:color w:val="605E5C"/>
      <w:shd w:val="clear" w:color="auto" w:fill="E1DFDD"/>
    </w:rPr>
  </w:style>
  <w:style w:type="paragraph" w:styleId="Caption">
    <w:name w:val="caption"/>
    <w:basedOn w:val="Normal"/>
    <w:next w:val="Normal"/>
    <w:uiPriority w:val="35"/>
    <w:unhideWhenUsed/>
    <w:qFormat/>
    <w:rsid w:val="007E1D4B"/>
    <w:pPr>
      <w:spacing w:after="200"/>
    </w:pPr>
    <w:rPr>
      <w:i/>
      <w:iCs/>
      <w:color w:val="44546A" w:themeColor="text2"/>
      <w:sz w:val="18"/>
      <w:szCs w:val="18"/>
    </w:rPr>
  </w:style>
  <w:style w:type="character" w:styleId="FollowedHyperlink">
    <w:name w:val="FollowedHyperlink"/>
    <w:basedOn w:val="DefaultParagraphFont"/>
    <w:uiPriority w:val="99"/>
    <w:semiHidden/>
    <w:unhideWhenUsed/>
    <w:rsid w:val="00A65FDD"/>
    <w:rPr>
      <w:color w:val="954F72" w:themeColor="followedHyperlink"/>
      <w:u w:val="single"/>
    </w:rPr>
  </w:style>
  <w:style w:type="table" w:styleId="GridTable1Light-Accent5">
    <w:name w:val="Grid Table 1 Light Accent 5"/>
    <w:basedOn w:val="TableNormal"/>
    <w:uiPriority w:val="46"/>
    <w:rsid w:val="00CD2053"/>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paragraph" w:styleId="ListParagraph">
    <w:name w:val="List Paragraph"/>
    <w:basedOn w:val="Normal"/>
    <w:uiPriority w:val="34"/>
    <w:qFormat/>
    <w:rsid w:val="00CC4895"/>
    <w:pPr>
      <w:ind w:left="720"/>
      <w:contextualSpacing/>
    </w:pPr>
  </w:style>
  <w:style w:type="paragraph" w:styleId="Header">
    <w:name w:val="header"/>
    <w:basedOn w:val="Normal"/>
    <w:link w:val="HeaderChar"/>
    <w:uiPriority w:val="99"/>
    <w:unhideWhenUsed/>
    <w:rsid w:val="00F97CC4"/>
    <w:pPr>
      <w:tabs>
        <w:tab w:val="center" w:pos="4680"/>
        <w:tab w:val="right" w:pos="9360"/>
      </w:tabs>
    </w:pPr>
  </w:style>
  <w:style w:type="character" w:customStyle="1" w:styleId="HeaderChar">
    <w:name w:val="Header Char"/>
    <w:basedOn w:val="DefaultParagraphFont"/>
    <w:link w:val="Header"/>
    <w:uiPriority w:val="99"/>
    <w:rsid w:val="00F97CC4"/>
    <w:rPr>
      <w:rFonts w:ascii="Times New Roman" w:eastAsia="Times New Roman" w:hAnsi="Times New Roman" w:cs="Times New Roman"/>
      <w:kern w:val="0"/>
      <w14:ligatures w14:val="none"/>
    </w:rPr>
  </w:style>
  <w:style w:type="paragraph" w:styleId="Footer">
    <w:name w:val="footer"/>
    <w:basedOn w:val="Normal"/>
    <w:link w:val="FooterChar"/>
    <w:uiPriority w:val="99"/>
    <w:unhideWhenUsed/>
    <w:rsid w:val="00F97CC4"/>
    <w:pPr>
      <w:tabs>
        <w:tab w:val="center" w:pos="4680"/>
        <w:tab w:val="right" w:pos="9360"/>
      </w:tabs>
    </w:pPr>
  </w:style>
  <w:style w:type="character" w:customStyle="1" w:styleId="FooterChar">
    <w:name w:val="Footer Char"/>
    <w:basedOn w:val="DefaultParagraphFont"/>
    <w:link w:val="Footer"/>
    <w:uiPriority w:val="99"/>
    <w:rsid w:val="00F97CC4"/>
    <w:rPr>
      <w:rFonts w:ascii="Times New Roman" w:eastAsia="Times New Roman" w:hAnsi="Times New Roman" w:cs="Times New Roman"/>
      <w:kern w:val="0"/>
      <w14:ligatures w14:val="none"/>
    </w:rPr>
  </w:style>
  <w:style w:type="character" w:styleId="PageNumber">
    <w:name w:val="page number"/>
    <w:basedOn w:val="DefaultParagraphFont"/>
    <w:uiPriority w:val="99"/>
    <w:semiHidden/>
    <w:unhideWhenUsed/>
    <w:rsid w:val="00F97CC4"/>
  </w:style>
  <w:style w:type="character" w:customStyle="1" w:styleId="ng-binding">
    <w:name w:val="ng-binding"/>
    <w:basedOn w:val="DefaultParagraphFont"/>
    <w:rsid w:val="007B4C17"/>
  </w:style>
  <w:style w:type="table" w:styleId="GridTable1Light-Accent1">
    <w:name w:val="Grid Table 1 Light Accent 1"/>
    <w:basedOn w:val="TableNormal"/>
    <w:uiPriority w:val="46"/>
    <w:rsid w:val="008C4A4A"/>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GridTable2-Accent1">
    <w:name w:val="Grid Table 2 Accent 1"/>
    <w:basedOn w:val="TableNormal"/>
    <w:uiPriority w:val="47"/>
    <w:rsid w:val="0046714E"/>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Heading5Char">
    <w:name w:val="Heading 5 Char"/>
    <w:basedOn w:val="DefaultParagraphFont"/>
    <w:link w:val="Heading5"/>
    <w:uiPriority w:val="9"/>
    <w:semiHidden/>
    <w:rsid w:val="00DE7EFC"/>
    <w:rPr>
      <w:rFonts w:asciiTheme="majorHAnsi" w:eastAsiaTheme="majorEastAsia" w:hAnsiTheme="majorHAnsi" w:cstheme="majorBidi"/>
      <w:color w:val="2F5496" w:themeColor="accent1" w:themeShade="BF"/>
      <w:kern w:val="0"/>
      <w14:ligatures w14:val="none"/>
    </w:rPr>
  </w:style>
  <w:style w:type="paragraph" w:styleId="TOCHeading">
    <w:name w:val="TOC Heading"/>
    <w:basedOn w:val="Heading1"/>
    <w:next w:val="Normal"/>
    <w:uiPriority w:val="39"/>
    <w:unhideWhenUsed/>
    <w:qFormat/>
    <w:rsid w:val="006771C0"/>
    <w:pPr>
      <w:keepLines/>
      <w:numPr>
        <w:numId w:val="0"/>
      </w:numPr>
      <w:spacing w:before="480" w:line="276" w:lineRule="auto"/>
      <w:outlineLvl w:val="9"/>
    </w:pPr>
    <w:rPr>
      <w:rFonts w:asciiTheme="majorHAnsi" w:hAnsiTheme="majorHAnsi" w:cstheme="majorBidi"/>
      <w:color w:val="2F5496" w:themeColor="accent1" w:themeShade="BF"/>
    </w:rPr>
  </w:style>
  <w:style w:type="paragraph" w:styleId="TOC1">
    <w:name w:val="toc 1"/>
    <w:basedOn w:val="Normal"/>
    <w:next w:val="Normal"/>
    <w:autoRedefine/>
    <w:uiPriority w:val="39"/>
    <w:unhideWhenUsed/>
    <w:rsid w:val="006771C0"/>
    <w:pPr>
      <w:spacing w:before="120"/>
    </w:pPr>
    <w:rPr>
      <w:rFonts w:asciiTheme="minorHAnsi" w:hAnsiTheme="minorHAnsi" w:cstheme="minorHAnsi"/>
      <w:b/>
      <w:bCs/>
      <w:i/>
      <w:iCs/>
    </w:rPr>
  </w:style>
  <w:style w:type="paragraph" w:styleId="TOC2">
    <w:name w:val="toc 2"/>
    <w:basedOn w:val="Normal"/>
    <w:next w:val="Normal"/>
    <w:autoRedefine/>
    <w:uiPriority w:val="39"/>
    <w:unhideWhenUsed/>
    <w:rsid w:val="006771C0"/>
    <w:pPr>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unhideWhenUsed/>
    <w:rsid w:val="006771C0"/>
    <w:pPr>
      <w:ind w:left="480"/>
    </w:pPr>
    <w:rPr>
      <w:rFonts w:asciiTheme="minorHAnsi" w:hAnsiTheme="minorHAnsi" w:cstheme="minorHAnsi"/>
      <w:sz w:val="20"/>
      <w:szCs w:val="20"/>
    </w:rPr>
  </w:style>
  <w:style w:type="paragraph" w:styleId="TOC4">
    <w:name w:val="toc 4"/>
    <w:basedOn w:val="Normal"/>
    <w:next w:val="Normal"/>
    <w:autoRedefine/>
    <w:uiPriority w:val="39"/>
    <w:semiHidden/>
    <w:unhideWhenUsed/>
    <w:rsid w:val="006771C0"/>
    <w:pPr>
      <w:ind w:left="720"/>
    </w:pPr>
    <w:rPr>
      <w:rFonts w:asciiTheme="minorHAnsi" w:hAnsiTheme="minorHAnsi" w:cstheme="minorHAnsi"/>
      <w:sz w:val="20"/>
      <w:szCs w:val="20"/>
    </w:rPr>
  </w:style>
  <w:style w:type="paragraph" w:styleId="TOC5">
    <w:name w:val="toc 5"/>
    <w:basedOn w:val="Normal"/>
    <w:next w:val="Normal"/>
    <w:autoRedefine/>
    <w:uiPriority w:val="39"/>
    <w:semiHidden/>
    <w:unhideWhenUsed/>
    <w:rsid w:val="006771C0"/>
    <w:pPr>
      <w:ind w:left="960"/>
    </w:pPr>
    <w:rPr>
      <w:rFonts w:asciiTheme="minorHAnsi" w:hAnsiTheme="minorHAnsi" w:cstheme="minorHAnsi"/>
      <w:sz w:val="20"/>
      <w:szCs w:val="20"/>
    </w:rPr>
  </w:style>
  <w:style w:type="paragraph" w:styleId="TOC6">
    <w:name w:val="toc 6"/>
    <w:basedOn w:val="Normal"/>
    <w:next w:val="Normal"/>
    <w:autoRedefine/>
    <w:uiPriority w:val="39"/>
    <w:semiHidden/>
    <w:unhideWhenUsed/>
    <w:rsid w:val="006771C0"/>
    <w:pPr>
      <w:ind w:left="1200"/>
    </w:pPr>
    <w:rPr>
      <w:rFonts w:asciiTheme="minorHAnsi" w:hAnsiTheme="minorHAnsi" w:cstheme="minorHAnsi"/>
      <w:sz w:val="20"/>
      <w:szCs w:val="20"/>
    </w:rPr>
  </w:style>
  <w:style w:type="paragraph" w:styleId="TOC7">
    <w:name w:val="toc 7"/>
    <w:basedOn w:val="Normal"/>
    <w:next w:val="Normal"/>
    <w:autoRedefine/>
    <w:uiPriority w:val="39"/>
    <w:semiHidden/>
    <w:unhideWhenUsed/>
    <w:rsid w:val="006771C0"/>
    <w:pPr>
      <w:ind w:left="1440"/>
    </w:pPr>
    <w:rPr>
      <w:rFonts w:asciiTheme="minorHAnsi" w:hAnsiTheme="minorHAnsi" w:cstheme="minorHAnsi"/>
      <w:sz w:val="20"/>
      <w:szCs w:val="20"/>
    </w:rPr>
  </w:style>
  <w:style w:type="paragraph" w:styleId="TOC8">
    <w:name w:val="toc 8"/>
    <w:basedOn w:val="Normal"/>
    <w:next w:val="Normal"/>
    <w:autoRedefine/>
    <w:uiPriority w:val="39"/>
    <w:semiHidden/>
    <w:unhideWhenUsed/>
    <w:rsid w:val="006771C0"/>
    <w:pPr>
      <w:ind w:left="1680"/>
    </w:pPr>
    <w:rPr>
      <w:rFonts w:asciiTheme="minorHAnsi" w:hAnsiTheme="minorHAnsi" w:cstheme="minorHAnsi"/>
      <w:sz w:val="20"/>
      <w:szCs w:val="20"/>
    </w:rPr>
  </w:style>
  <w:style w:type="paragraph" w:styleId="TOC9">
    <w:name w:val="toc 9"/>
    <w:basedOn w:val="Normal"/>
    <w:next w:val="Normal"/>
    <w:autoRedefine/>
    <w:uiPriority w:val="39"/>
    <w:semiHidden/>
    <w:unhideWhenUsed/>
    <w:rsid w:val="006771C0"/>
    <w:pPr>
      <w:ind w:left="1920"/>
    </w:pPr>
    <w:rPr>
      <w:rFonts w:asciiTheme="minorHAnsi" w:hAnsiTheme="minorHAnsi" w:cstheme="minorHAnsi"/>
      <w:sz w:val="20"/>
      <w:szCs w:val="20"/>
    </w:rPr>
  </w:style>
  <w:style w:type="paragraph" w:styleId="TableofFigures">
    <w:name w:val="table of figures"/>
    <w:basedOn w:val="Normal"/>
    <w:next w:val="Normal"/>
    <w:uiPriority w:val="99"/>
    <w:unhideWhenUsed/>
    <w:rsid w:val="00E0545C"/>
  </w:style>
  <w:style w:type="table" w:styleId="GridTable4-Accent5">
    <w:name w:val="Grid Table 4 Accent 5"/>
    <w:basedOn w:val="TableNormal"/>
    <w:uiPriority w:val="49"/>
    <w:rsid w:val="008108E0"/>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775209">
      <w:bodyDiv w:val="1"/>
      <w:marLeft w:val="0"/>
      <w:marRight w:val="0"/>
      <w:marTop w:val="0"/>
      <w:marBottom w:val="0"/>
      <w:divBdr>
        <w:top w:val="none" w:sz="0" w:space="0" w:color="auto"/>
        <w:left w:val="none" w:sz="0" w:space="0" w:color="auto"/>
        <w:bottom w:val="none" w:sz="0" w:space="0" w:color="auto"/>
        <w:right w:val="none" w:sz="0" w:space="0" w:color="auto"/>
      </w:divBdr>
      <w:divsChild>
        <w:div w:id="1489128562">
          <w:marLeft w:val="0"/>
          <w:marRight w:val="0"/>
          <w:marTop w:val="0"/>
          <w:marBottom w:val="0"/>
          <w:divBdr>
            <w:top w:val="none" w:sz="0" w:space="0" w:color="auto"/>
            <w:left w:val="none" w:sz="0" w:space="0" w:color="auto"/>
            <w:bottom w:val="none" w:sz="0" w:space="0" w:color="auto"/>
            <w:right w:val="none" w:sz="0" w:space="0" w:color="auto"/>
          </w:divBdr>
          <w:divsChild>
            <w:div w:id="534150382">
              <w:marLeft w:val="0"/>
              <w:marRight w:val="0"/>
              <w:marTop w:val="0"/>
              <w:marBottom w:val="0"/>
              <w:divBdr>
                <w:top w:val="none" w:sz="0" w:space="0" w:color="auto"/>
                <w:left w:val="none" w:sz="0" w:space="0" w:color="auto"/>
                <w:bottom w:val="none" w:sz="0" w:space="0" w:color="auto"/>
                <w:right w:val="none" w:sz="0" w:space="0" w:color="auto"/>
              </w:divBdr>
            </w:div>
          </w:divsChild>
        </w:div>
        <w:div w:id="871646650">
          <w:marLeft w:val="0"/>
          <w:marRight w:val="0"/>
          <w:marTop w:val="0"/>
          <w:marBottom w:val="0"/>
          <w:divBdr>
            <w:top w:val="none" w:sz="0" w:space="0" w:color="auto"/>
            <w:left w:val="none" w:sz="0" w:space="0" w:color="auto"/>
            <w:bottom w:val="none" w:sz="0" w:space="0" w:color="auto"/>
            <w:right w:val="none" w:sz="0" w:space="0" w:color="auto"/>
          </w:divBdr>
          <w:divsChild>
            <w:div w:id="874540968">
              <w:marLeft w:val="0"/>
              <w:marRight w:val="0"/>
              <w:marTop w:val="0"/>
              <w:marBottom w:val="0"/>
              <w:divBdr>
                <w:top w:val="none" w:sz="0" w:space="0" w:color="auto"/>
                <w:left w:val="none" w:sz="0" w:space="0" w:color="auto"/>
                <w:bottom w:val="none" w:sz="0" w:space="0" w:color="auto"/>
                <w:right w:val="none" w:sz="0" w:space="0" w:color="auto"/>
              </w:divBdr>
            </w:div>
          </w:divsChild>
        </w:div>
        <w:div w:id="1919365527">
          <w:marLeft w:val="0"/>
          <w:marRight w:val="0"/>
          <w:marTop w:val="0"/>
          <w:marBottom w:val="0"/>
          <w:divBdr>
            <w:top w:val="none" w:sz="0" w:space="0" w:color="auto"/>
            <w:left w:val="none" w:sz="0" w:space="0" w:color="auto"/>
            <w:bottom w:val="none" w:sz="0" w:space="0" w:color="auto"/>
            <w:right w:val="none" w:sz="0" w:space="0" w:color="auto"/>
          </w:divBdr>
          <w:divsChild>
            <w:div w:id="1359117327">
              <w:marLeft w:val="0"/>
              <w:marRight w:val="0"/>
              <w:marTop w:val="0"/>
              <w:marBottom w:val="0"/>
              <w:divBdr>
                <w:top w:val="none" w:sz="0" w:space="0" w:color="auto"/>
                <w:left w:val="none" w:sz="0" w:space="0" w:color="auto"/>
                <w:bottom w:val="none" w:sz="0" w:space="0" w:color="auto"/>
                <w:right w:val="none" w:sz="0" w:space="0" w:color="auto"/>
              </w:divBdr>
            </w:div>
          </w:divsChild>
        </w:div>
        <w:div w:id="1545755929">
          <w:marLeft w:val="0"/>
          <w:marRight w:val="0"/>
          <w:marTop w:val="0"/>
          <w:marBottom w:val="0"/>
          <w:divBdr>
            <w:top w:val="none" w:sz="0" w:space="0" w:color="auto"/>
            <w:left w:val="none" w:sz="0" w:space="0" w:color="auto"/>
            <w:bottom w:val="none" w:sz="0" w:space="0" w:color="auto"/>
            <w:right w:val="none" w:sz="0" w:space="0" w:color="auto"/>
          </w:divBdr>
          <w:divsChild>
            <w:div w:id="1487816735">
              <w:marLeft w:val="0"/>
              <w:marRight w:val="0"/>
              <w:marTop w:val="0"/>
              <w:marBottom w:val="0"/>
              <w:divBdr>
                <w:top w:val="none" w:sz="0" w:space="0" w:color="auto"/>
                <w:left w:val="none" w:sz="0" w:space="0" w:color="auto"/>
                <w:bottom w:val="none" w:sz="0" w:space="0" w:color="auto"/>
                <w:right w:val="none" w:sz="0" w:space="0" w:color="auto"/>
              </w:divBdr>
            </w:div>
          </w:divsChild>
        </w:div>
        <w:div w:id="1004016288">
          <w:marLeft w:val="0"/>
          <w:marRight w:val="0"/>
          <w:marTop w:val="0"/>
          <w:marBottom w:val="0"/>
          <w:divBdr>
            <w:top w:val="none" w:sz="0" w:space="0" w:color="auto"/>
            <w:left w:val="none" w:sz="0" w:space="0" w:color="auto"/>
            <w:bottom w:val="none" w:sz="0" w:space="0" w:color="auto"/>
            <w:right w:val="none" w:sz="0" w:space="0" w:color="auto"/>
          </w:divBdr>
          <w:divsChild>
            <w:div w:id="1629506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36382">
      <w:bodyDiv w:val="1"/>
      <w:marLeft w:val="0"/>
      <w:marRight w:val="0"/>
      <w:marTop w:val="0"/>
      <w:marBottom w:val="0"/>
      <w:divBdr>
        <w:top w:val="none" w:sz="0" w:space="0" w:color="auto"/>
        <w:left w:val="none" w:sz="0" w:space="0" w:color="auto"/>
        <w:bottom w:val="none" w:sz="0" w:space="0" w:color="auto"/>
        <w:right w:val="none" w:sz="0" w:space="0" w:color="auto"/>
      </w:divBdr>
    </w:div>
    <w:div w:id="132986086">
      <w:bodyDiv w:val="1"/>
      <w:marLeft w:val="0"/>
      <w:marRight w:val="0"/>
      <w:marTop w:val="0"/>
      <w:marBottom w:val="0"/>
      <w:divBdr>
        <w:top w:val="none" w:sz="0" w:space="0" w:color="auto"/>
        <w:left w:val="none" w:sz="0" w:space="0" w:color="auto"/>
        <w:bottom w:val="none" w:sz="0" w:space="0" w:color="auto"/>
        <w:right w:val="none" w:sz="0" w:space="0" w:color="auto"/>
      </w:divBdr>
    </w:div>
    <w:div w:id="217206522">
      <w:bodyDiv w:val="1"/>
      <w:marLeft w:val="0"/>
      <w:marRight w:val="0"/>
      <w:marTop w:val="0"/>
      <w:marBottom w:val="0"/>
      <w:divBdr>
        <w:top w:val="none" w:sz="0" w:space="0" w:color="auto"/>
        <w:left w:val="none" w:sz="0" w:space="0" w:color="auto"/>
        <w:bottom w:val="none" w:sz="0" w:space="0" w:color="auto"/>
        <w:right w:val="none" w:sz="0" w:space="0" w:color="auto"/>
      </w:divBdr>
    </w:div>
    <w:div w:id="301928372">
      <w:bodyDiv w:val="1"/>
      <w:marLeft w:val="0"/>
      <w:marRight w:val="0"/>
      <w:marTop w:val="0"/>
      <w:marBottom w:val="0"/>
      <w:divBdr>
        <w:top w:val="none" w:sz="0" w:space="0" w:color="auto"/>
        <w:left w:val="none" w:sz="0" w:space="0" w:color="auto"/>
        <w:bottom w:val="none" w:sz="0" w:space="0" w:color="auto"/>
        <w:right w:val="none" w:sz="0" w:space="0" w:color="auto"/>
      </w:divBdr>
    </w:div>
    <w:div w:id="424418534">
      <w:bodyDiv w:val="1"/>
      <w:marLeft w:val="0"/>
      <w:marRight w:val="0"/>
      <w:marTop w:val="0"/>
      <w:marBottom w:val="0"/>
      <w:divBdr>
        <w:top w:val="none" w:sz="0" w:space="0" w:color="auto"/>
        <w:left w:val="none" w:sz="0" w:space="0" w:color="auto"/>
        <w:bottom w:val="none" w:sz="0" w:space="0" w:color="auto"/>
        <w:right w:val="none" w:sz="0" w:space="0" w:color="auto"/>
      </w:divBdr>
    </w:div>
    <w:div w:id="502474377">
      <w:bodyDiv w:val="1"/>
      <w:marLeft w:val="0"/>
      <w:marRight w:val="0"/>
      <w:marTop w:val="0"/>
      <w:marBottom w:val="0"/>
      <w:divBdr>
        <w:top w:val="none" w:sz="0" w:space="0" w:color="auto"/>
        <w:left w:val="none" w:sz="0" w:space="0" w:color="auto"/>
        <w:bottom w:val="none" w:sz="0" w:space="0" w:color="auto"/>
        <w:right w:val="none" w:sz="0" w:space="0" w:color="auto"/>
      </w:divBdr>
    </w:div>
    <w:div w:id="572084799">
      <w:bodyDiv w:val="1"/>
      <w:marLeft w:val="0"/>
      <w:marRight w:val="0"/>
      <w:marTop w:val="0"/>
      <w:marBottom w:val="0"/>
      <w:divBdr>
        <w:top w:val="none" w:sz="0" w:space="0" w:color="auto"/>
        <w:left w:val="none" w:sz="0" w:space="0" w:color="auto"/>
        <w:bottom w:val="none" w:sz="0" w:space="0" w:color="auto"/>
        <w:right w:val="none" w:sz="0" w:space="0" w:color="auto"/>
      </w:divBdr>
    </w:div>
    <w:div w:id="592786963">
      <w:bodyDiv w:val="1"/>
      <w:marLeft w:val="0"/>
      <w:marRight w:val="0"/>
      <w:marTop w:val="0"/>
      <w:marBottom w:val="0"/>
      <w:divBdr>
        <w:top w:val="none" w:sz="0" w:space="0" w:color="auto"/>
        <w:left w:val="none" w:sz="0" w:space="0" w:color="auto"/>
        <w:bottom w:val="none" w:sz="0" w:space="0" w:color="auto"/>
        <w:right w:val="none" w:sz="0" w:space="0" w:color="auto"/>
      </w:divBdr>
    </w:div>
    <w:div w:id="614479781">
      <w:bodyDiv w:val="1"/>
      <w:marLeft w:val="0"/>
      <w:marRight w:val="0"/>
      <w:marTop w:val="0"/>
      <w:marBottom w:val="0"/>
      <w:divBdr>
        <w:top w:val="none" w:sz="0" w:space="0" w:color="auto"/>
        <w:left w:val="none" w:sz="0" w:space="0" w:color="auto"/>
        <w:bottom w:val="none" w:sz="0" w:space="0" w:color="auto"/>
        <w:right w:val="none" w:sz="0" w:space="0" w:color="auto"/>
      </w:divBdr>
    </w:div>
    <w:div w:id="618071048">
      <w:bodyDiv w:val="1"/>
      <w:marLeft w:val="0"/>
      <w:marRight w:val="0"/>
      <w:marTop w:val="0"/>
      <w:marBottom w:val="0"/>
      <w:divBdr>
        <w:top w:val="none" w:sz="0" w:space="0" w:color="auto"/>
        <w:left w:val="none" w:sz="0" w:space="0" w:color="auto"/>
        <w:bottom w:val="none" w:sz="0" w:space="0" w:color="auto"/>
        <w:right w:val="none" w:sz="0" w:space="0" w:color="auto"/>
      </w:divBdr>
    </w:div>
    <w:div w:id="623969096">
      <w:bodyDiv w:val="1"/>
      <w:marLeft w:val="0"/>
      <w:marRight w:val="0"/>
      <w:marTop w:val="0"/>
      <w:marBottom w:val="0"/>
      <w:divBdr>
        <w:top w:val="none" w:sz="0" w:space="0" w:color="auto"/>
        <w:left w:val="none" w:sz="0" w:space="0" w:color="auto"/>
        <w:bottom w:val="none" w:sz="0" w:space="0" w:color="auto"/>
        <w:right w:val="none" w:sz="0" w:space="0" w:color="auto"/>
      </w:divBdr>
    </w:div>
    <w:div w:id="682705530">
      <w:bodyDiv w:val="1"/>
      <w:marLeft w:val="0"/>
      <w:marRight w:val="0"/>
      <w:marTop w:val="0"/>
      <w:marBottom w:val="0"/>
      <w:divBdr>
        <w:top w:val="none" w:sz="0" w:space="0" w:color="auto"/>
        <w:left w:val="none" w:sz="0" w:space="0" w:color="auto"/>
        <w:bottom w:val="none" w:sz="0" w:space="0" w:color="auto"/>
        <w:right w:val="none" w:sz="0" w:space="0" w:color="auto"/>
      </w:divBdr>
    </w:div>
    <w:div w:id="743993292">
      <w:bodyDiv w:val="1"/>
      <w:marLeft w:val="0"/>
      <w:marRight w:val="0"/>
      <w:marTop w:val="0"/>
      <w:marBottom w:val="0"/>
      <w:divBdr>
        <w:top w:val="none" w:sz="0" w:space="0" w:color="auto"/>
        <w:left w:val="none" w:sz="0" w:space="0" w:color="auto"/>
        <w:bottom w:val="none" w:sz="0" w:space="0" w:color="auto"/>
        <w:right w:val="none" w:sz="0" w:space="0" w:color="auto"/>
      </w:divBdr>
    </w:div>
    <w:div w:id="756363736">
      <w:bodyDiv w:val="1"/>
      <w:marLeft w:val="0"/>
      <w:marRight w:val="0"/>
      <w:marTop w:val="0"/>
      <w:marBottom w:val="0"/>
      <w:divBdr>
        <w:top w:val="none" w:sz="0" w:space="0" w:color="auto"/>
        <w:left w:val="none" w:sz="0" w:space="0" w:color="auto"/>
        <w:bottom w:val="none" w:sz="0" w:space="0" w:color="auto"/>
        <w:right w:val="none" w:sz="0" w:space="0" w:color="auto"/>
      </w:divBdr>
    </w:div>
    <w:div w:id="812332985">
      <w:bodyDiv w:val="1"/>
      <w:marLeft w:val="0"/>
      <w:marRight w:val="0"/>
      <w:marTop w:val="0"/>
      <w:marBottom w:val="0"/>
      <w:divBdr>
        <w:top w:val="none" w:sz="0" w:space="0" w:color="auto"/>
        <w:left w:val="none" w:sz="0" w:space="0" w:color="auto"/>
        <w:bottom w:val="none" w:sz="0" w:space="0" w:color="auto"/>
        <w:right w:val="none" w:sz="0" w:space="0" w:color="auto"/>
      </w:divBdr>
    </w:div>
    <w:div w:id="844201023">
      <w:bodyDiv w:val="1"/>
      <w:marLeft w:val="0"/>
      <w:marRight w:val="0"/>
      <w:marTop w:val="0"/>
      <w:marBottom w:val="0"/>
      <w:divBdr>
        <w:top w:val="none" w:sz="0" w:space="0" w:color="auto"/>
        <w:left w:val="none" w:sz="0" w:space="0" w:color="auto"/>
        <w:bottom w:val="none" w:sz="0" w:space="0" w:color="auto"/>
        <w:right w:val="none" w:sz="0" w:space="0" w:color="auto"/>
      </w:divBdr>
    </w:div>
    <w:div w:id="854416384">
      <w:bodyDiv w:val="1"/>
      <w:marLeft w:val="0"/>
      <w:marRight w:val="0"/>
      <w:marTop w:val="0"/>
      <w:marBottom w:val="0"/>
      <w:divBdr>
        <w:top w:val="none" w:sz="0" w:space="0" w:color="auto"/>
        <w:left w:val="none" w:sz="0" w:space="0" w:color="auto"/>
        <w:bottom w:val="none" w:sz="0" w:space="0" w:color="auto"/>
        <w:right w:val="none" w:sz="0" w:space="0" w:color="auto"/>
      </w:divBdr>
    </w:div>
    <w:div w:id="862211701">
      <w:bodyDiv w:val="1"/>
      <w:marLeft w:val="0"/>
      <w:marRight w:val="0"/>
      <w:marTop w:val="0"/>
      <w:marBottom w:val="0"/>
      <w:divBdr>
        <w:top w:val="none" w:sz="0" w:space="0" w:color="auto"/>
        <w:left w:val="none" w:sz="0" w:space="0" w:color="auto"/>
        <w:bottom w:val="none" w:sz="0" w:space="0" w:color="auto"/>
        <w:right w:val="none" w:sz="0" w:space="0" w:color="auto"/>
      </w:divBdr>
    </w:div>
    <w:div w:id="915553958">
      <w:bodyDiv w:val="1"/>
      <w:marLeft w:val="0"/>
      <w:marRight w:val="0"/>
      <w:marTop w:val="0"/>
      <w:marBottom w:val="0"/>
      <w:divBdr>
        <w:top w:val="none" w:sz="0" w:space="0" w:color="auto"/>
        <w:left w:val="none" w:sz="0" w:space="0" w:color="auto"/>
        <w:bottom w:val="none" w:sz="0" w:space="0" w:color="auto"/>
        <w:right w:val="none" w:sz="0" w:space="0" w:color="auto"/>
      </w:divBdr>
    </w:div>
    <w:div w:id="952400485">
      <w:bodyDiv w:val="1"/>
      <w:marLeft w:val="0"/>
      <w:marRight w:val="0"/>
      <w:marTop w:val="0"/>
      <w:marBottom w:val="0"/>
      <w:divBdr>
        <w:top w:val="none" w:sz="0" w:space="0" w:color="auto"/>
        <w:left w:val="none" w:sz="0" w:space="0" w:color="auto"/>
        <w:bottom w:val="none" w:sz="0" w:space="0" w:color="auto"/>
        <w:right w:val="none" w:sz="0" w:space="0" w:color="auto"/>
      </w:divBdr>
    </w:div>
    <w:div w:id="962736167">
      <w:bodyDiv w:val="1"/>
      <w:marLeft w:val="0"/>
      <w:marRight w:val="0"/>
      <w:marTop w:val="0"/>
      <w:marBottom w:val="0"/>
      <w:divBdr>
        <w:top w:val="none" w:sz="0" w:space="0" w:color="auto"/>
        <w:left w:val="none" w:sz="0" w:space="0" w:color="auto"/>
        <w:bottom w:val="none" w:sz="0" w:space="0" w:color="auto"/>
        <w:right w:val="none" w:sz="0" w:space="0" w:color="auto"/>
      </w:divBdr>
    </w:div>
    <w:div w:id="983659755">
      <w:bodyDiv w:val="1"/>
      <w:marLeft w:val="0"/>
      <w:marRight w:val="0"/>
      <w:marTop w:val="0"/>
      <w:marBottom w:val="0"/>
      <w:divBdr>
        <w:top w:val="none" w:sz="0" w:space="0" w:color="auto"/>
        <w:left w:val="none" w:sz="0" w:space="0" w:color="auto"/>
        <w:bottom w:val="none" w:sz="0" w:space="0" w:color="auto"/>
        <w:right w:val="none" w:sz="0" w:space="0" w:color="auto"/>
      </w:divBdr>
    </w:div>
    <w:div w:id="992443189">
      <w:bodyDiv w:val="1"/>
      <w:marLeft w:val="0"/>
      <w:marRight w:val="0"/>
      <w:marTop w:val="0"/>
      <w:marBottom w:val="0"/>
      <w:divBdr>
        <w:top w:val="none" w:sz="0" w:space="0" w:color="auto"/>
        <w:left w:val="none" w:sz="0" w:space="0" w:color="auto"/>
        <w:bottom w:val="none" w:sz="0" w:space="0" w:color="auto"/>
        <w:right w:val="none" w:sz="0" w:space="0" w:color="auto"/>
      </w:divBdr>
    </w:div>
    <w:div w:id="1039358786">
      <w:bodyDiv w:val="1"/>
      <w:marLeft w:val="0"/>
      <w:marRight w:val="0"/>
      <w:marTop w:val="0"/>
      <w:marBottom w:val="0"/>
      <w:divBdr>
        <w:top w:val="none" w:sz="0" w:space="0" w:color="auto"/>
        <w:left w:val="none" w:sz="0" w:space="0" w:color="auto"/>
        <w:bottom w:val="none" w:sz="0" w:space="0" w:color="auto"/>
        <w:right w:val="none" w:sz="0" w:space="0" w:color="auto"/>
      </w:divBdr>
    </w:div>
    <w:div w:id="1106458530">
      <w:bodyDiv w:val="1"/>
      <w:marLeft w:val="0"/>
      <w:marRight w:val="0"/>
      <w:marTop w:val="0"/>
      <w:marBottom w:val="0"/>
      <w:divBdr>
        <w:top w:val="none" w:sz="0" w:space="0" w:color="auto"/>
        <w:left w:val="none" w:sz="0" w:space="0" w:color="auto"/>
        <w:bottom w:val="none" w:sz="0" w:space="0" w:color="auto"/>
        <w:right w:val="none" w:sz="0" w:space="0" w:color="auto"/>
      </w:divBdr>
    </w:div>
    <w:div w:id="1108937124">
      <w:bodyDiv w:val="1"/>
      <w:marLeft w:val="0"/>
      <w:marRight w:val="0"/>
      <w:marTop w:val="0"/>
      <w:marBottom w:val="0"/>
      <w:divBdr>
        <w:top w:val="none" w:sz="0" w:space="0" w:color="auto"/>
        <w:left w:val="none" w:sz="0" w:space="0" w:color="auto"/>
        <w:bottom w:val="none" w:sz="0" w:space="0" w:color="auto"/>
        <w:right w:val="none" w:sz="0" w:space="0" w:color="auto"/>
      </w:divBdr>
    </w:div>
    <w:div w:id="1121459476">
      <w:bodyDiv w:val="1"/>
      <w:marLeft w:val="0"/>
      <w:marRight w:val="0"/>
      <w:marTop w:val="0"/>
      <w:marBottom w:val="0"/>
      <w:divBdr>
        <w:top w:val="none" w:sz="0" w:space="0" w:color="auto"/>
        <w:left w:val="none" w:sz="0" w:space="0" w:color="auto"/>
        <w:bottom w:val="none" w:sz="0" w:space="0" w:color="auto"/>
        <w:right w:val="none" w:sz="0" w:space="0" w:color="auto"/>
      </w:divBdr>
    </w:div>
    <w:div w:id="1155029928">
      <w:bodyDiv w:val="1"/>
      <w:marLeft w:val="0"/>
      <w:marRight w:val="0"/>
      <w:marTop w:val="0"/>
      <w:marBottom w:val="0"/>
      <w:divBdr>
        <w:top w:val="none" w:sz="0" w:space="0" w:color="auto"/>
        <w:left w:val="none" w:sz="0" w:space="0" w:color="auto"/>
        <w:bottom w:val="none" w:sz="0" w:space="0" w:color="auto"/>
        <w:right w:val="none" w:sz="0" w:space="0" w:color="auto"/>
      </w:divBdr>
    </w:div>
    <w:div w:id="1181168139">
      <w:bodyDiv w:val="1"/>
      <w:marLeft w:val="0"/>
      <w:marRight w:val="0"/>
      <w:marTop w:val="0"/>
      <w:marBottom w:val="0"/>
      <w:divBdr>
        <w:top w:val="none" w:sz="0" w:space="0" w:color="auto"/>
        <w:left w:val="none" w:sz="0" w:space="0" w:color="auto"/>
        <w:bottom w:val="none" w:sz="0" w:space="0" w:color="auto"/>
        <w:right w:val="none" w:sz="0" w:space="0" w:color="auto"/>
      </w:divBdr>
    </w:div>
    <w:div w:id="1183661968">
      <w:bodyDiv w:val="1"/>
      <w:marLeft w:val="0"/>
      <w:marRight w:val="0"/>
      <w:marTop w:val="0"/>
      <w:marBottom w:val="0"/>
      <w:divBdr>
        <w:top w:val="none" w:sz="0" w:space="0" w:color="auto"/>
        <w:left w:val="none" w:sz="0" w:space="0" w:color="auto"/>
        <w:bottom w:val="none" w:sz="0" w:space="0" w:color="auto"/>
        <w:right w:val="none" w:sz="0" w:space="0" w:color="auto"/>
      </w:divBdr>
    </w:div>
    <w:div w:id="1260065309">
      <w:bodyDiv w:val="1"/>
      <w:marLeft w:val="0"/>
      <w:marRight w:val="0"/>
      <w:marTop w:val="0"/>
      <w:marBottom w:val="0"/>
      <w:divBdr>
        <w:top w:val="none" w:sz="0" w:space="0" w:color="auto"/>
        <w:left w:val="none" w:sz="0" w:space="0" w:color="auto"/>
        <w:bottom w:val="none" w:sz="0" w:space="0" w:color="auto"/>
        <w:right w:val="none" w:sz="0" w:space="0" w:color="auto"/>
      </w:divBdr>
    </w:div>
    <w:div w:id="1283224027">
      <w:bodyDiv w:val="1"/>
      <w:marLeft w:val="0"/>
      <w:marRight w:val="0"/>
      <w:marTop w:val="0"/>
      <w:marBottom w:val="0"/>
      <w:divBdr>
        <w:top w:val="none" w:sz="0" w:space="0" w:color="auto"/>
        <w:left w:val="none" w:sz="0" w:space="0" w:color="auto"/>
        <w:bottom w:val="none" w:sz="0" w:space="0" w:color="auto"/>
        <w:right w:val="none" w:sz="0" w:space="0" w:color="auto"/>
      </w:divBdr>
    </w:div>
    <w:div w:id="1295334354">
      <w:bodyDiv w:val="1"/>
      <w:marLeft w:val="0"/>
      <w:marRight w:val="0"/>
      <w:marTop w:val="0"/>
      <w:marBottom w:val="0"/>
      <w:divBdr>
        <w:top w:val="none" w:sz="0" w:space="0" w:color="auto"/>
        <w:left w:val="none" w:sz="0" w:space="0" w:color="auto"/>
        <w:bottom w:val="none" w:sz="0" w:space="0" w:color="auto"/>
        <w:right w:val="none" w:sz="0" w:space="0" w:color="auto"/>
      </w:divBdr>
    </w:div>
    <w:div w:id="1306548965">
      <w:bodyDiv w:val="1"/>
      <w:marLeft w:val="0"/>
      <w:marRight w:val="0"/>
      <w:marTop w:val="0"/>
      <w:marBottom w:val="0"/>
      <w:divBdr>
        <w:top w:val="none" w:sz="0" w:space="0" w:color="auto"/>
        <w:left w:val="none" w:sz="0" w:space="0" w:color="auto"/>
        <w:bottom w:val="none" w:sz="0" w:space="0" w:color="auto"/>
        <w:right w:val="none" w:sz="0" w:space="0" w:color="auto"/>
      </w:divBdr>
    </w:div>
    <w:div w:id="1309751409">
      <w:bodyDiv w:val="1"/>
      <w:marLeft w:val="0"/>
      <w:marRight w:val="0"/>
      <w:marTop w:val="0"/>
      <w:marBottom w:val="0"/>
      <w:divBdr>
        <w:top w:val="none" w:sz="0" w:space="0" w:color="auto"/>
        <w:left w:val="none" w:sz="0" w:space="0" w:color="auto"/>
        <w:bottom w:val="none" w:sz="0" w:space="0" w:color="auto"/>
        <w:right w:val="none" w:sz="0" w:space="0" w:color="auto"/>
      </w:divBdr>
    </w:div>
    <w:div w:id="1332029116">
      <w:bodyDiv w:val="1"/>
      <w:marLeft w:val="0"/>
      <w:marRight w:val="0"/>
      <w:marTop w:val="0"/>
      <w:marBottom w:val="0"/>
      <w:divBdr>
        <w:top w:val="none" w:sz="0" w:space="0" w:color="auto"/>
        <w:left w:val="none" w:sz="0" w:space="0" w:color="auto"/>
        <w:bottom w:val="none" w:sz="0" w:space="0" w:color="auto"/>
        <w:right w:val="none" w:sz="0" w:space="0" w:color="auto"/>
      </w:divBdr>
    </w:div>
    <w:div w:id="1352730888">
      <w:bodyDiv w:val="1"/>
      <w:marLeft w:val="0"/>
      <w:marRight w:val="0"/>
      <w:marTop w:val="0"/>
      <w:marBottom w:val="0"/>
      <w:divBdr>
        <w:top w:val="none" w:sz="0" w:space="0" w:color="auto"/>
        <w:left w:val="none" w:sz="0" w:space="0" w:color="auto"/>
        <w:bottom w:val="none" w:sz="0" w:space="0" w:color="auto"/>
        <w:right w:val="none" w:sz="0" w:space="0" w:color="auto"/>
      </w:divBdr>
    </w:div>
    <w:div w:id="1449545124">
      <w:bodyDiv w:val="1"/>
      <w:marLeft w:val="0"/>
      <w:marRight w:val="0"/>
      <w:marTop w:val="0"/>
      <w:marBottom w:val="0"/>
      <w:divBdr>
        <w:top w:val="none" w:sz="0" w:space="0" w:color="auto"/>
        <w:left w:val="none" w:sz="0" w:space="0" w:color="auto"/>
        <w:bottom w:val="none" w:sz="0" w:space="0" w:color="auto"/>
        <w:right w:val="none" w:sz="0" w:space="0" w:color="auto"/>
      </w:divBdr>
    </w:div>
    <w:div w:id="1548182532">
      <w:bodyDiv w:val="1"/>
      <w:marLeft w:val="0"/>
      <w:marRight w:val="0"/>
      <w:marTop w:val="0"/>
      <w:marBottom w:val="0"/>
      <w:divBdr>
        <w:top w:val="none" w:sz="0" w:space="0" w:color="auto"/>
        <w:left w:val="none" w:sz="0" w:space="0" w:color="auto"/>
        <w:bottom w:val="none" w:sz="0" w:space="0" w:color="auto"/>
        <w:right w:val="none" w:sz="0" w:space="0" w:color="auto"/>
      </w:divBdr>
    </w:div>
    <w:div w:id="1629890897">
      <w:bodyDiv w:val="1"/>
      <w:marLeft w:val="0"/>
      <w:marRight w:val="0"/>
      <w:marTop w:val="0"/>
      <w:marBottom w:val="0"/>
      <w:divBdr>
        <w:top w:val="none" w:sz="0" w:space="0" w:color="auto"/>
        <w:left w:val="none" w:sz="0" w:space="0" w:color="auto"/>
        <w:bottom w:val="none" w:sz="0" w:space="0" w:color="auto"/>
        <w:right w:val="none" w:sz="0" w:space="0" w:color="auto"/>
      </w:divBdr>
    </w:div>
    <w:div w:id="1638534644">
      <w:bodyDiv w:val="1"/>
      <w:marLeft w:val="0"/>
      <w:marRight w:val="0"/>
      <w:marTop w:val="0"/>
      <w:marBottom w:val="0"/>
      <w:divBdr>
        <w:top w:val="none" w:sz="0" w:space="0" w:color="auto"/>
        <w:left w:val="none" w:sz="0" w:space="0" w:color="auto"/>
        <w:bottom w:val="none" w:sz="0" w:space="0" w:color="auto"/>
        <w:right w:val="none" w:sz="0" w:space="0" w:color="auto"/>
      </w:divBdr>
    </w:div>
    <w:div w:id="1650792164">
      <w:bodyDiv w:val="1"/>
      <w:marLeft w:val="0"/>
      <w:marRight w:val="0"/>
      <w:marTop w:val="0"/>
      <w:marBottom w:val="0"/>
      <w:divBdr>
        <w:top w:val="none" w:sz="0" w:space="0" w:color="auto"/>
        <w:left w:val="none" w:sz="0" w:space="0" w:color="auto"/>
        <w:bottom w:val="none" w:sz="0" w:space="0" w:color="auto"/>
        <w:right w:val="none" w:sz="0" w:space="0" w:color="auto"/>
      </w:divBdr>
    </w:div>
    <w:div w:id="1653756745">
      <w:bodyDiv w:val="1"/>
      <w:marLeft w:val="0"/>
      <w:marRight w:val="0"/>
      <w:marTop w:val="0"/>
      <w:marBottom w:val="0"/>
      <w:divBdr>
        <w:top w:val="none" w:sz="0" w:space="0" w:color="auto"/>
        <w:left w:val="none" w:sz="0" w:space="0" w:color="auto"/>
        <w:bottom w:val="none" w:sz="0" w:space="0" w:color="auto"/>
        <w:right w:val="none" w:sz="0" w:space="0" w:color="auto"/>
      </w:divBdr>
    </w:div>
    <w:div w:id="1658919055">
      <w:bodyDiv w:val="1"/>
      <w:marLeft w:val="0"/>
      <w:marRight w:val="0"/>
      <w:marTop w:val="0"/>
      <w:marBottom w:val="0"/>
      <w:divBdr>
        <w:top w:val="none" w:sz="0" w:space="0" w:color="auto"/>
        <w:left w:val="none" w:sz="0" w:space="0" w:color="auto"/>
        <w:bottom w:val="none" w:sz="0" w:space="0" w:color="auto"/>
        <w:right w:val="none" w:sz="0" w:space="0" w:color="auto"/>
      </w:divBdr>
    </w:div>
    <w:div w:id="1790119957">
      <w:bodyDiv w:val="1"/>
      <w:marLeft w:val="0"/>
      <w:marRight w:val="0"/>
      <w:marTop w:val="0"/>
      <w:marBottom w:val="0"/>
      <w:divBdr>
        <w:top w:val="none" w:sz="0" w:space="0" w:color="auto"/>
        <w:left w:val="none" w:sz="0" w:space="0" w:color="auto"/>
        <w:bottom w:val="none" w:sz="0" w:space="0" w:color="auto"/>
        <w:right w:val="none" w:sz="0" w:space="0" w:color="auto"/>
      </w:divBdr>
    </w:div>
    <w:div w:id="1825273969">
      <w:bodyDiv w:val="1"/>
      <w:marLeft w:val="0"/>
      <w:marRight w:val="0"/>
      <w:marTop w:val="0"/>
      <w:marBottom w:val="0"/>
      <w:divBdr>
        <w:top w:val="none" w:sz="0" w:space="0" w:color="auto"/>
        <w:left w:val="none" w:sz="0" w:space="0" w:color="auto"/>
        <w:bottom w:val="none" w:sz="0" w:space="0" w:color="auto"/>
        <w:right w:val="none" w:sz="0" w:space="0" w:color="auto"/>
      </w:divBdr>
    </w:div>
    <w:div w:id="1848474877">
      <w:bodyDiv w:val="1"/>
      <w:marLeft w:val="0"/>
      <w:marRight w:val="0"/>
      <w:marTop w:val="0"/>
      <w:marBottom w:val="0"/>
      <w:divBdr>
        <w:top w:val="none" w:sz="0" w:space="0" w:color="auto"/>
        <w:left w:val="none" w:sz="0" w:space="0" w:color="auto"/>
        <w:bottom w:val="none" w:sz="0" w:space="0" w:color="auto"/>
        <w:right w:val="none" w:sz="0" w:space="0" w:color="auto"/>
      </w:divBdr>
    </w:div>
    <w:div w:id="1986469508">
      <w:bodyDiv w:val="1"/>
      <w:marLeft w:val="0"/>
      <w:marRight w:val="0"/>
      <w:marTop w:val="0"/>
      <w:marBottom w:val="0"/>
      <w:divBdr>
        <w:top w:val="none" w:sz="0" w:space="0" w:color="auto"/>
        <w:left w:val="none" w:sz="0" w:space="0" w:color="auto"/>
        <w:bottom w:val="none" w:sz="0" w:space="0" w:color="auto"/>
        <w:right w:val="none" w:sz="0" w:space="0" w:color="auto"/>
      </w:divBdr>
    </w:div>
    <w:div w:id="1988853384">
      <w:bodyDiv w:val="1"/>
      <w:marLeft w:val="0"/>
      <w:marRight w:val="0"/>
      <w:marTop w:val="0"/>
      <w:marBottom w:val="0"/>
      <w:divBdr>
        <w:top w:val="none" w:sz="0" w:space="0" w:color="auto"/>
        <w:left w:val="none" w:sz="0" w:space="0" w:color="auto"/>
        <w:bottom w:val="none" w:sz="0" w:space="0" w:color="auto"/>
        <w:right w:val="none" w:sz="0" w:space="0" w:color="auto"/>
      </w:divBdr>
    </w:div>
    <w:div w:id="2046103510">
      <w:bodyDiv w:val="1"/>
      <w:marLeft w:val="0"/>
      <w:marRight w:val="0"/>
      <w:marTop w:val="0"/>
      <w:marBottom w:val="0"/>
      <w:divBdr>
        <w:top w:val="none" w:sz="0" w:space="0" w:color="auto"/>
        <w:left w:val="none" w:sz="0" w:space="0" w:color="auto"/>
        <w:bottom w:val="none" w:sz="0" w:space="0" w:color="auto"/>
        <w:right w:val="none" w:sz="0" w:space="0" w:color="auto"/>
      </w:divBdr>
    </w:div>
    <w:div w:id="2067875381">
      <w:bodyDiv w:val="1"/>
      <w:marLeft w:val="0"/>
      <w:marRight w:val="0"/>
      <w:marTop w:val="0"/>
      <w:marBottom w:val="0"/>
      <w:divBdr>
        <w:top w:val="none" w:sz="0" w:space="0" w:color="auto"/>
        <w:left w:val="none" w:sz="0" w:space="0" w:color="auto"/>
        <w:bottom w:val="none" w:sz="0" w:space="0" w:color="auto"/>
        <w:right w:val="none" w:sz="0" w:space="0" w:color="auto"/>
      </w:divBdr>
    </w:div>
    <w:div w:id="2090692374">
      <w:bodyDiv w:val="1"/>
      <w:marLeft w:val="0"/>
      <w:marRight w:val="0"/>
      <w:marTop w:val="0"/>
      <w:marBottom w:val="0"/>
      <w:divBdr>
        <w:top w:val="none" w:sz="0" w:space="0" w:color="auto"/>
        <w:left w:val="none" w:sz="0" w:space="0" w:color="auto"/>
        <w:bottom w:val="none" w:sz="0" w:space="0" w:color="auto"/>
        <w:right w:val="none" w:sz="0" w:space="0" w:color="auto"/>
      </w:divBdr>
    </w:div>
    <w:div w:id="2104103259">
      <w:bodyDiv w:val="1"/>
      <w:marLeft w:val="0"/>
      <w:marRight w:val="0"/>
      <w:marTop w:val="0"/>
      <w:marBottom w:val="0"/>
      <w:divBdr>
        <w:top w:val="none" w:sz="0" w:space="0" w:color="auto"/>
        <w:left w:val="none" w:sz="0" w:space="0" w:color="auto"/>
        <w:bottom w:val="none" w:sz="0" w:space="0" w:color="auto"/>
        <w:right w:val="none" w:sz="0" w:space="0" w:color="auto"/>
      </w:divBdr>
    </w:div>
    <w:div w:id="21178650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seaaroundus.org/data/" TargetMode="External"/><Relationship Id="rId18" Type="http://schemas.openxmlformats.org/officeDocument/2006/relationships/hyperlink" Target="https://www.fao.org/3/ca8637en/ca8637en.pdf" TargetMode="External"/><Relationship Id="rId26" Type="http://schemas.openxmlformats.org/officeDocument/2006/relationships/hyperlink" Target="https://doi.org/10.1111/gcb.13831" TargetMode="External"/><Relationship Id="rId3" Type="http://schemas.openxmlformats.org/officeDocument/2006/relationships/styles" Target="styles.xml"/><Relationship Id="rId21" Type="http://schemas.openxmlformats.org/officeDocument/2006/relationships/hyperlink" Target="https://doi.org/10.5751/ES-11053-240318"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doi.org/10.1126/science.aag2331" TargetMode="External"/><Relationship Id="rId25" Type="http://schemas.openxmlformats.org/officeDocument/2006/relationships/hyperlink" Target="https://doi.org/10.1016/j.gfs.2021.100468"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fao.org/3/I9705EN/i9705en.pdf" TargetMode="External"/><Relationship Id="rId20" Type="http://schemas.openxmlformats.org/officeDocument/2006/relationships/hyperlink" Target="https://www.fao.org/sofia" TargetMode="External"/><Relationship Id="rId29" Type="http://schemas.openxmlformats.org/officeDocument/2006/relationships/hyperlink" Target="https://www.seaaroundus.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s://www.giz.de/de/downloads/giz2023-en-study-cambodia-climate-nutrition-social-security.pdf" TargetMode="External"/><Relationship Id="rId32" Type="http://schemas.openxmlformats.org/officeDocument/2006/relationships/hyperlink" Target="https://aciar.gov.au"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www.maff.gov.kh/fia/systemdetail/8Rf4C8IQAq?lang=en" TargetMode="External"/><Relationship Id="rId28" Type="http://schemas.openxmlformats.org/officeDocument/2006/relationships/hyperlink" Target="https://www.seaaroundus.org/data/" TargetMode="External"/><Relationship Id="rId10" Type="http://schemas.openxmlformats.org/officeDocument/2006/relationships/image" Target="media/image1.png"/><Relationship Id="rId19" Type="http://schemas.openxmlformats.org/officeDocument/2006/relationships/hyperlink" Target="https://www.fao.org/fishery/en/statistics/software/fishstatj" TargetMode="External"/><Relationship Id="rId31" Type="http://schemas.openxmlformats.org/officeDocument/2006/relationships/hyperlink" Target="https://www.seafdec.org"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3.png"/><Relationship Id="rId22" Type="http://schemas.openxmlformats.org/officeDocument/2006/relationships/hyperlink" Target="https://fia.maff.gov.kh/fimsfrontend/article/1" TargetMode="External"/><Relationship Id="rId27" Type="http://schemas.openxmlformats.org/officeDocument/2006/relationships/hyperlink" Target="http://www.seaaroundus.org" TargetMode="External"/><Relationship Id="rId30" Type="http://schemas.openxmlformats.org/officeDocument/2006/relationships/hyperlink" Target="http://map.seafdec.org/gotseed2/abstract/ab-Fisheries%20Resource%20Survey%20in%20the%20Gulf%20of%20Thialand%20off%20Thailand%20and%20Cambodia%20by%20Using%20Bottom%20Trawl.pdf" TargetMode="External"/><Relationship Id="rId35" Type="http://schemas.openxmlformats.org/officeDocument/2006/relationships/theme" Target="theme/theme1.xml"/><Relationship Id="rId8"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Users/chhunvireak/Documents/1.%20Consultantcy/2025/%20TDA/Cambodia/100-30%20N-TDA%20Fisheries/Comments_NTDA_Cambodia-Fish-indicator/TDA-Fishery%20Indocator_KH_24Aug25%20(Final%20for%20submit)-ss%20comment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chhunvireak/Documents/1.%20Consultantcy/2025/%20TDA/Cambodia/100-30%20N-TDA%20Fisheries/TDA-Fishery%20Indocator_KH_24Aug25%20%5bFinal%20for%20submit).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Sheet1!$B$5</c:f>
              <c:strCache>
                <c:ptCount val="1"/>
                <c:pt idx="0">
                  <c:v>Total Annual Catch  </c:v>
                </c:pt>
              </c:strCache>
            </c:strRef>
          </c:tx>
          <c:spPr>
            <a:ln w="28575" cap="rnd">
              <a:solidFill>
                <a:schemeClr val="accent1"/>
              </a:solidFill>
              <a:round/>
            </a:ln>
            <a:effectLst/>
          </c:spPr>
          <c:marker>
            <c:symbol val="none"/>
          </c:marker>
          <c:cat>
            <c:numRef>
              <c:f>Sheet1!$A$6:$A$68</c:f>
              <c:numCache>
                <c:formatCode>General</c:formatCode>
                <c:ptCount val="6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numCache>
            </c:numRef>
          </c:cat>
          <c:val>
            <c:numRef>
              <c:f>Sheet1!$B$6:$B$68</c:f>
              <c:numCache>
                <c:formatCode>#,##0</c:formatCode>
                <c:ptCount val="63"/>
                <c:pt idx="0">
                  <c:v>35000</c:v>
                </c:pt>
                <c:pt idx="1">
                  <c:v>45000</c:v>
                </c:pt>
                <c:pt idx="2">
                  <c:v>45000</c:v>
                </c:pt>
                <c:pt idx="3">
                  <c:v>40000</c:v>
                </c:pt>
                <c:pt idx="4">
                  <c:v>40000</c:v>
                </c:pt>
                <c:pt idx="5">
                  <c:v>45000</c:v>
                </c:pt>
                <c:pt idx="6">
                  <c:v>45000</c:v>
                </c:pt>
                <c:pt idx="7">
                  <c:v>50000</c:v>
                </c:pt>
                <c:pt idx="8">
                  <c:v>50000</c:v>
                </c:pt>
                <c:pt idx="9">
                  <c:v>52000</c:v>
                </c:pt>
                <c:pt idx="10">
                  <c:v>52200</c:v>
                </c:pt>
                <c:pt idx="11">
                  <c:v>77100</c:v>
                </c:pt>
                <c:pt idx="12">
                  <c:v>87100</c:v>
                </c:pt>
                <c:pt idx="13">
                  <c:v>84700</c:v>
                </c:pt>
                <c:pt idx="14">
                  <c:v>84700</c:v>
                </c:pt>
                <c:pt idx="15">
                  <c:v>84700</c:v>
                </c:pt>
                <c:pt idx="16">
                  <c:v>84700</c:v>
                </c:pt>
                <c:pt idx="17">
                  <c:v>84700</c:v>
                </c:pt>
                <c:pt idx="18">
                  <c:v>40900</c:v>
                </c:pt>
                <c:pt idx="19">
                  <c:v>30000</c:v>
                </c:pt>
                <c:pt idx="20">
                  <c:v>19600</c:v>
                </c:pt>
                <c:pt idx="21">
                  <c:v>51354</c:v>
                </c:pt>
                <c:pt idx="22">
                  <c:v>68251</c:v>
                </c:pt>
                <c:pt idx="23">
                  <c:v>67227</c:v>
                </c:pt>
                <c:pt idx="24">
                  <c:v>62814</c:v>
                </c:pt>
                <c:pt idx="25">
                  <c:v>67578</c:v>
                </c:pt>
                <c:pt idx="26">
                  <c:v>71451</c:v>
                </c:pt>
                <c:pt idx="27">
                  <c:v>79724</c:v>
                </c:pt>
                <c:pt idx="28">
                  <c:v>82296</c:v>
                </c:pt>
                <c:pt idx="29">
                  <c:v>76646</c:v>
                </c:pt>
                <c:pt idx="30">
                  <c:v>105027</c:v>
                </c:pt>
                <c:pt idx="31">
                  <c:v>111154</c:v>
                </c:pt>
                <c:pt idx="32">
                  <c:v>102678</c:v>
                </c:pt>
                <c:pt idx="33">
                  <c:v>101069</c:v>
                </c:pt>
                <c:pt idx="34">
                  <c:v>95054</c:v>
                </c:pt>
                <c:pt idx="35">
                  <c:v>103000</c:v>
                </c:pt>
                <c:pt idx="36">
                  <c:v>94710</c:v>
                </c:pt>
                <c:pt idx="37">
                  <c:v>102800</c:v>
                </c:pt>
                <c:pt idx="38">
                  <c:v>107900</c:v>
                </c:pt>
                <c:pt idx="39">
                  <c:v>269156</c:v>
                </c:pt>
                <c:pt idx="40">
                  <c:v>281619.51</c:v>
                </c:pt>
                <c:pt idx="41">
                  <c:v>427000.01</c:v>
                </c:pt>
                <c:pt idx="42">
                  <c:v>406150.01</c:v>
                </c:pt>
                <c:pt idx="43">
                  <c:v>363500</c:v>
                </c:pt>
                <c:pt idx="44">
                  <c:v>305800</c:v>
                </c:pt>
                <c:pt idx="45">
                  <c:v>381000</c:v>
                </c:pt>
                <c:pt idx="46">
                  <c:v>482500</c:v>
                </c:pt>
                <c:pt idx="47">
                  <c:v>458500</c:v>
                </c:pt>
                <c:pt idx="48">
                  <c:v>431000</c:v>
                </c:pt>
                <c:pt idx="49">
                  <c:v>465000</c:v>
                </c:pt>
                <c:pt idx="50">
                  <c:v>490000.01</c:v>
                </c:pt>
                <c:pt idx="51">
                  <c:v>536000</c:v>
                </c:pt>
                <c:pt idx="52">
                  <c:v>607999.99</c:v>
                </c:pt>
                <c:pt idx="53">
                  <c:v>638000</c:v>
                </c:pt>
                <c:pt idx="54">
                  <c:v>625255</c:v>
                </c:pt>
                <c:pt idx="55">
                  <c:v>608405.01</c:v>
                </c:pt>
                <c:pt idx="56">
                  <c:v>629950</c:v>
                </c:pt>
                <c:pt idx="57">
                  <c:v>648820</c:v>
                </c:pt>
                <c:pt idx="58">
                  <c:v>656105.01</c:v>
                </c:pt>
                <c:pt idx="59">
                  <c:v>601100.01</c:v>
                </c:pt>
                <c:pt idx="60">
                  <c:v>535900</c:v>
                </c:pt>
                <c:pt idx="61">
                  <c:v>508049.99</c:v>
                </c:pt>
                <c:pt idx="62">
                  <c:v>533450</c:v>
                </c:pt>
              </c:numCache>
            </c:numRef>
          </c:val>
          <c:smooth val="0"/>
          <c:extLst>
            <c:ext xmlns:c16="http://schemas.microsoft.com/office/drawing/2014/chart" uri="{C3380CC4-5D6E-409C-BE32-E72D297353CC}">
              <c16:uniqueId val="{00000000-504D-7449-B0C0-958894F4F92B}"/>
            </c:ext>
          </c:extLst>
        </c:ser>
        <c:ser>
          <c:idx val="1"/>
          <c:order val="1"/>
          <c:tx>
            <c:strRef>
              <c:f>Sheet1!$C$5</c:f>
              <c:strCache>
                <c:ptCount val="1"/>
                <c:pt idx="0">
                  <c:v>Marine Fisheris</c:v>
                </c:pt>
              </c:strCache>
            </c:strRef>
          </c:tx>
          <c:spPr>
            <a:ln w="28575" cap="rnd">
              <a:solidFill>
                <a:schemeClr val="accent2"/>
              </a:solidFill>
              <a:round/>
            </a:ln>
            <a:effectLst/>
          </c:spPr>
          <c:marker>
            <c:symbol val="none"/>
          </c:marker>
          <c:cat>
            <c:numRef>
              <c:f>Sheet1!$A$6:$A$68</c:f>
              <c:numCache>
                <c:formatCode>General</c:formatCode>
                <c:ptCount val="6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numCache>
            </c:numRef>
          </c:cat>
          <c:val>
            <c:numRef>
              <c:f>Sheet1!$C$6:$C$68</c:f>
              <c:numCache>
                <c:formatCode>#,##0</c:formatCode>
                <c:ptCount val="63"/>
                <c:pt idx="0">
                  <c:v>5900</c:v>
                </c:pt>
                <c:pt idx="1">
                  <c:v>15900</c:v>
                </c:pt>
                <c:pt idx="2">
                  <c:v>13500</c:v>
                </c:pt>
                <c:pt idx="3">
                  <c:v>6800</c:v>
                </c:pt>
                <c:pt idx="4">
                  <c:v>6800</c:v>
                </c:pt>
                <c:pt idx="5">
                  <c:v>7600</c:v>
                </c:pt>
                <c:pt idx="6">
                  <c:v>7600</c:v>
                </c:pt>
                <c:pt idx="7">
                  <c:v>8500</c:v>
                </c:pt>
                <c:pt idx="8">
                  <c:v>8500</c:v>
                </c:pt>
                <c:pt idx="9">
                  <c:v>8800</c:v>
                </c:pt>
                <c:pt idx="10">
                  <c:v>20200</c:v>
                </c:pt>
                <c:pt idx="11">
                  <c:v>22000</c:v>
                </c:pt>
                <c:pt idx="12">
                  <c:v>21000</c:v>
                </c:pt>
                <c:pt idx="13">
                  <c:v>10800</c:v>
                </c:pt>
                <c:pt idx="14">
                  <c:v>10800</c:v>
                </c:pt>
                <c:pt idx="15">
                  <c:v>10800</c:v>
                </c:pt>
                <c:pt idx="16">
                  <c:v>10800</c:v>
                </c:pt>
                <c:pt idx="17">
                  <c:v>10800</c:v>
                </c:pt>
                <c:pt idx="18">
                  <c:v>10800</c:v>
                </c:pt>
                <c:pt idx="19">
                  <c:v>8000</c:v>
                </c:pt>
                <c:pt idx="20">
                  <c:v>1200</c:v>
                </c:pt>
                <c:pt idx="21">
                  <c:v>814</c:v>
                </c:pt>
                <c:pt idx="22">
                  <c:v>3015</c:v>
                </c:pt>
                <c:pt idx="23">
                  <c:v>9444</c:v>
                </c:pt>
                <c:pt idx="24">
                  <c:v>7721</c:v>
                </c:pt>
                <c:pt idx="25">
                  <c:v>11178</c:v>
                </c:pt>
                <c:pt idx="26">
                  <c:v>7247</c:v>
                </c:pt>
                <c:pt idx="27">
                  <c:v>17567</c:v>
                </c:pt>
                <c:pt idx="28">
                  <c:v>21096</c:v>
                </c:pt>
                <c:pt idx="29">
                  <c:v>26146</c:v>
                </c:pt>
                <c:pt idx="30">
                  <c:v>39927</c:v>
                </c:pt>
                <c:pt idx="31">
                  <c:v>36454</c:v>
                </c:pt>
                <c:pt idx="32">
                  <c:v>33778</c:v>
                </c:pt>
                <c:pt idx="33">
                  <c:v>33169</c:v>
                </c:pt>
                <c:pt idx="34">
                  <c:v>30054</c:v>
                </c:pt>
                <c:pt idx="35">
                  <c:v>30500</c:v>
                </c:pt>
                <c:pt idx="36">
                  <c:v>31200</c:v>
                </c:pt>
                <c:pt idx="37">
                  <c:v>29800</c:v>
                </c:pt>
                <c:pt idx="38">
                  <c:v>32200</c:v>
                </c:pt>
                <c:pt idx="39">
                  <c:v>38156</c:v>
                </c:pt>
                <c:pt idx="40">
                  <c:v>36019.51</c:v>
                </c:pt>
                <c:pt idx="41">
                  <c:v>42000.009999999995</c:v>
                </c:pt>
                <c:pt idx="42">
                  <c:v>45850.01</c:v>
                </c:pt>
                <c:pt idx="43">
                  <c:v>54750</c:v>
                </c:pt>
                <c:pt idx="44">
                  <c:v>55800</c:v>
                </c:pt>
                <c:pt idx="45">
                  <c:v>60000</c:v>
                </c:pt>
                <c:pt idx="46">
                  <c:v>60500</c:v>
                </c:pt>
                <c:pt idx="47">
                  <c:v>63500</c:v>
                </c:pt>
                <c:pt idx="48">
                  <c:v>66000</c:v>
                </c:pt>
                <c:pt idx="49">
                  <c:v>75000</c:v>
                </c:pt>
                <c:pt idx="50">
                  <c:v>85000.010000000009</c:v>
                </c:pt>
                <c:pt idx="51">
                  <c:v>90999.999999999985</c:v>
                </c:pt>
                <c:pt idx="52">
                  <c:v>98999.989999999991</c:v>
                </c:pt>
                <c:pt idx="53">
                  <c:v>110000</c:v>
                </c:pt>
                <c:pt idx="54">
                  <c:v>120250</c:v>
                </c:pt>
                <c:pt idx="55">
                  <c:v>120500.01</c:v>
                </c:pt>
                <c:pt idx="56">
                  <c:v>120600</c:v>
                </c:pt>
                <c:pt idx="57">
                  <c:v>121025</c:v>
                </c:pt>
                <c:pt idx="58">
                  <c:v>121100.01000000001</c:v>
                </c:pt>
                <c:pt idx="59">
                  <c:v>122250.01000000001</c:v>
                </c:pt>
                <c:pt idx="60">
                  <c:v>122700</c:v>
                </c:pt>
                <c:pt idx="61">
                  <c:v>124999.98999999999</c:v>
                </c:pt>
                <c:pt idx="62">
                  <c:v>131245</c:v>
                </c:pt>
              </c:numCache>
            </c:numRef>
          </c:val>
          <c:smooth val="0"/>
          <c:extLst>
            <c:ext xmlns:c16="http://schemas.microsoft.com/office/drawing/2014/chart" uri="{C3380CC4-5D6E-409C-BE32-E72D297353CC}">
              <c16:uniqueId val="{00000001-504D-7449-B0C0-958894F4F92B}"/>
            </c:ext>
          </c:extLst>
        </c:ser>
        <c:ser>
          <c:idx val="2"/>
          <c:order val="2"/>
          <c:tx>
            <c:strRef>
              <c:f>Sheet1!$D$5</c:f>
              <c:strCache>
                <c:ptCount val="1"/>
                <c:pt idx="0">
                  <c:v>Inland Fisheries</c:v>
                </c:pt>
              </c:strCache>
            </c:strRef>
          </c:tx>
          <c:spPr>
            <a:ln w="28575" cap="rnd">
              <a:solidFill>
                <a:schemeClr val="accent3"/>
              </a:solidFill>
              <a:round/>
            </a:ln>
            <a:effectLst/>
          </c:spPr>
          <c:marker>
            <c:symbol val="none"/>
          </c:marker>
          <c:cat>
            <c:numRef>
              <c:f>Sheet1!$A$6:$A$68</c:f>
              <c:numCache>
                <c:formatCode>General</c:formatCode>
                <c:ptCount val="6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numCache>
            </c:numRef>
          </c:cat>
          <c:val>
            <c:numRef>
              <c:f>Sheet1!$D$6:$D$68</c:f>
              <c:numCache>
                <c:formatCode>#,##0</c:formatCode>
                <c:ptCount val="63"/>
                <c:pt idx="0">
                  <c:v>29100</c:v>
                </c:pt>
                <c:pt idx="1">
                  <c:v>29100</c:v>
                </c:pt>
                <c:pt idx="2">
                  <c:v>31500</c:v>
                </c:pt>
                <c:pt idx="3">
                  <c:v>33200</c:v>
                </c:pt>
                <c:pt idx="4">
                  <c:v>33200</c:v>
                </c:pt>
                <c:pt idx="5">
                  <c:v>37400</c:v>
                </c:pt>
                <c:pt idx="6">
                  <c:v>37400</c:v>
                </c:pt>
                <c:pt idx="7">
                  <c:v>41500</c:v>
                </c:pt>
                <c:pt idx="8">
                  <c:v>41500</c:v>
                </c:pt>
                <c:pt idx="9">
                  <c:v>43200</c:v>
                </c:pt>
                <c:pt idx="10">
                  <c:v>32000</c:v>
                </c:pt>
                <c:pt idx="11">
                  <c:v>55100</c:v>
                </c:pt>
                <c:pt idx="12">
                  <c:v>66100</c:v>
                </c:pt>
                <c:pt idx="13">
                  <c:v>73900</c:v>
                </c:pt>
                <c:pt idx="14">
                  <c:v>73900</c:v>
                </c:pt>
                <c:pt idx="15">
                  <c:v>73900</c:v>
                </c:pt>
                <c:pt idx="16">
                  <c:v>73900</c:v>
                </c:pt>
                <c:pt idx="17">
                  <c:v>73900</c:v>
                </c:pt>
                <c:pt idx="18">
                  <c:v>30100</c:v>
                </c:pt>
                <c:pt idx="19">
                  <c:v>22000</c:v>
                </c:pt>
                <c:pt idx="20">
                  <c:v>18400</c:v>
                </c:pt>
                <c:pt idx="21">
                  <c:v>50540</c:v>
                </c:pt>
                <c:pt idx="22">
                  <c:v>65236</c:v>
                </c:pt>
                <c:pt idx="23">
                  <c:v>57783</c:v>
                </c:pt>
                <c:pt idx="24">
                  <c:v>55093</c:v>
                </c:pt>
                <c:pt idx="25">
                  <c:v>56400</c:v>
                </c:pt>
                <c:pt idx="26">
                  <c:v>64204</c:v>
                </c:pt>
                <c:pt idx="27">
                  <c:v>62157</c:v>
                </c:pt>
                <c:pt idx="28">
                  <c:v>61200</c:v>
                </c:pt>
                <c:pt idx="29">
                  <c:v>50500</c:v>
                </c:pt>
                <c:pt idx="30">
                  <c:v>65100</c:v>
                </c:pt>
                <c:pt idx="31">
                  <c:v>74700</c:v>
                </c:pt>
                <c:pt idx="32">
                  <c:v>68900</c:v>
                </c:pt>
                <c:pt idx="33">
                  <c:v>67900</c:v>
                </c:pt>
                <c:pt idx="34">
                  <c:v>65000</c:v>
                </c:pt>
                <c:pt idx="35">
                  <c:v>72500</c:v>
                </c:pt>
                <c:pt idx="36">
                  <c:v>63510</c:v>
                </c:pt>
                <c:pt idx="37">
                  <c:v>73000</c:v>
                </c:pt>
                <c:pt idx="38">
                  <c:v>75700</c:v>
                </c:pt>
                <c:pt idx="39">
                  <c:v>231000</c:v>
                </c:pt>
                <c:pt idx="40">
                  <c:v>245600</c:v>
                </c:pt>
                <c:pt idx="41">
                  <c:v>385000</c:v>
                </c:pt>
                <c:pt idx="42">
                  <c:v>360300</c:v>
                </c:pt>
                <c:pt idx="43">
                  <c:v>308750</c:v>
                </c:pt>
                <c:pt idx="44">
                  <c:v>250000</c:v>
                </c:pt>
                <c:pt idx="45">
                  <c:v>321000</c:v>
                </c:pt>
                <c:pt idx="46">
                  <c:v>422000</c:v>
                </c:pt>
                <c:pt idx="47">
                  <c:v>395000</c:v>
                </c:pt>
                <c:pt idx="48">
                  <c:v>365000</c:v>
                </c:pt>
                <c:pt idx="49">
                  <c:v>390000</c:v>
                </c:pt>
                <c:pt idx="50">
                  <c:v>405000</c:v>
                </c:pt>
                <c:pt idx="51">
                  <c:v>445000</c:v>
                </c:pt>
                <c:pt idx="52">
                  <c:v>509000</c:v>
                </c:pt>
                <c:pt idx="53">
                  <c:v>528000</c:v>
                </c:pt>
                <c:pt idx="54">
                  <c:v>505005</c:v>
                </c:pt>
                <c:pt idx="55">
                  <c:v>487905</c:v>
                </c:pt>
                <c:pt idx="56">
                  <c:v>509350</c:v>
                </c:pt>
                <c:pt idx="57">
                  <c:v>527795</c:v>
                </c:pt>
                <c:pt idx="58">
                  <c:v>535005</c:v>
                </c:pt>
                <c:pt idx="59">
                  <c:v>478850</c:v>
                </c:pt>
                <c:pt idx="60">
                  <c:v>413200</c:v>
                </c:pt>
                <c:pt idx="61">
                  <c:v>383050</c:v>
                </c:pt>
                <c:pt idx="62">
                  <c:v>402205</c:v>
                </c:pt>
              </c:numCache>
            </c:numRef>
          </c:val>
          <c:smooth val="0"/>
          <c:extLst>
            <c:ext xmlns:c16="http://schemas.microsoft.com/office/drawing/2014/chart" uri="{C3380CC4-5D6E-409C-BE32-E72D297353CC}">
              <c16:uniqueId val="{00000002-504D-7449-B0C0-958894F4F92B}"/>
            </c:ext>
          </c:extLst>
        </c:ser>
        <c:dLbls>
          <c:showLegendKey val="0"/>
          <c:showVal val="0"/>
          <c:showCatName val="0"/>
          <c:showSerName val="0"/>
          <c:showPercent val="0"/>
          <c:showBubbleSize val="0"/>
        </c:dLbls>
        <c:smooth val="0"/>
        <c:axId val="662509727"/>
        <c:axId val="679053343"/>
      </c:lineChart>
      <c:catAx>
        <c:axId val="6625097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79053343"/>
        <c:crosses val="autoZero"/>
        <c:auto val="1"/>
        <c:lblAlgn val="ctr"/>
        <c:lblOffset val="100"/>
        <c:noMultiLvlLbl val="0"/>
      </c:catAx>
      <c:valAx>
        <c:axId val="67905334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Annual catch (tonnes)</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62509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panose="020B0604020202020204" pitchFamily="34" charset="0"/>
          <a:cs typeface="Arial" panose="020B060402020202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Sheet3!$C$12</c:f>
              <c:strCache>
                <c:ptCount val="1"/>
                <c:pt idx="0">
                  <c:v>Coastal province</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Sheet3!$B$13:$B$17</c:f>
              <c:numCache>
                <c:formatCode>General</c:formatCode>
                <c:ptCount val="5"/>
                <c:pt idx="0">
                  <c:v>2020</c:v>
                </c:pt>
                <c:pt idx="1">
                  <c:v>2021</c:v>
                </c:pt>
                <c:pt idx="2">
                  <c:v>2022</c:v>
                </c:pt>
                <c:pt idx="3">
                  <c:v>2023</c:v>
                </c:pt>
                <c:pt idx="4">
                  <c:v>2024</c:v>
                </c:pt>
              </c:numCache>
            </c:numRef>
          </c:cat>
          <c:val>
            <c:numRef>
              <c:f>Sheet3!$C$13:$C$17</c:f>
              <c:numCache>
                <c:formatCode>#,##0</c:formatCode>
                <c:ptCount val="5"/>
                <c:pt idx="0">
                  <c:v>35460</c:v>
                </c:pt>
                <c:pt idx="1">
                  <c:v>30859</c:v>
                </c:pt>
                <c:pt idx="2">
                  <c:v>25136</c:v>
                </c:pt>
                <c:pt idx="3">
                  <c:v>13540</c:v>
                </c:pt>
                <c:pt idx="4">
                  <c:v>16499</c:v>
                </c:pt>
              </c:numCache>
            </c:numRef>
          </c:val>
          <c:smooth val="0"/>
          <c:extLst>
            <c:ext xmlns:c16="http://schemas.microsoft.com/office/drawing/2014/chart" uri="{C3380CC4-5D6E-409C-BE32-E72D297353CC}">
              <c16:uniqueId val="{00000000-9A3A-6A4C-B1D1-2C3115DBBC03}"/>
            </c:ext>
          </c:extLst>
        </c:ser>
        <c:ser>
          <c:idx val="1"/>
          <c:order val="1"/>
          <c:tx>
            <c:strRef>
              <c:f>Sheet3!$D$12</c:f>
              <c:strCache>
                <c:ptCount val="1"/>
                <c:pt idx="0">
                  <c:v>Kep</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Sheet3!$B$13:$B$17</c:f>
              <c:numCache>
                <c:formatCode>General</c:formatCode>
                <c:ptCount val="5"/>
                <c:pt idx="0">
                  <c:v>2020</c:v>
                </c:pt>
                <c:pt idx="1">
                  <c:v>2021</c:v>
                </c:pt>
                <c:pt idx="2">
                  <c:v>2022</c:v>
                </c:pt>
                <c:pt idx="3">
                  <c:v>2023</c:v>
                </c:pt>
                <c:pt idx="4">
                  <c:v>2024</c:v>
                </c:pt>
              </c:numCache>
            </c:numRef>
          </c:cat>
          <c:val>
            <c:numRef>
              <c:f>Sheet3!$D$13:$D$17</c:f>
              <c:numCache>
                <c:formatCode>#,##0</c:formatCode>
                <c:ptCount val="5"/>
                <c:pt idx="0">
                  <c:v>180</c:v>
                </c:pt>
                <c:pt idx="1">
                  <c:v>160</c:v>
                </c:pt>
                <c:pt idx="2">
                  <c:v>180</c:v>
                </c:pt>
                <c:pt idx="3">
                  <c:v>200</c:v>
                </c:pt>
                <c:pt idx="4">
                  <c:v>204</c:v>
                </c:pt>
              </c:numCache>
            </c:numRef>
          </c:val>
          <c:smooth val="0"/>
          <c:extLst>
            <c:ext xmlns:c16="http://schemas.microsoft.com/office/drawing/2014/chart" uri="{C3380CC4-5D6E-409C-BE32-E72D297353CC}">
              <c16:uniqueId val="{00000001-9A3A-6A4C-B1D1-2C3115DBBC03}"/>
            </c:ext>
          </c:extLst>
        </c:ser>
        <c:ser>
          <c:idx val="2"/>
          <c:order val="2"/>
          <c:tx>
            <c:strRef>
              <c:f>Sheet3!$E$12</c:f>
              <c:strCache>
                <c:ptCount val="1"/>
                <c:pt idx="0">
                  <c:v>Kampot</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Sheet3!$B$13:$B$17</c:f>
              <c:numCache>
                <c:formatCode>General</c:formatCode>
                <c:ptCount val="5"/>
                <c:pt idx="0">
                  <c:v>2020</c:v>
                </c:pt>
                <c:pt idx="1">
                  <c:v>2021</c:v>
                </c:pt>
                <c:pt idx="2">
                  <c:v>2022</c:v>
                </c:pt>
                <c:pt idx="3">
                  <c:v>2023</c:v>
                </c:pt>
                <c:pt idx="4">
                  <c:v>2024</c:v>
                </c:pt>
              </c:numCache>
            </c:numRef>
          </c:cat>
          <c:val>
            <c:numRef>
              <c:f>Sheet3!$E$13:$E$17</c:f>
              <c:numCache>
                <c:formatCode>#,##0</c:formatCode>
                <c:ptCount val="5"/>
                <c:pt idx="0">
                  <c:v>6640</c:v>
                </c:pt>
                <c:pt idx="1">
                  <c:v>5780</c:v>
                </c:pt>
                <c:pt idx="2">
                  <c:v>4855</c:v>
                </c:pt>
                <c:pt idx="3">
                  <c:v>2700</c:v>
                </c:pt>
                <c:pt idx="4">
                  <c:v>1734</c:v>
                </c:pt>
              </c:numCache>
            </c:numRef>
          </c:val>
          <c:smooth val="0"/>
          <c:extLst>
            <c:ext xmlns:c16="http://schemas.microsoft.com/office/drawing/2014/chart" uri="{C3380CC4-5D6E-409C-BE32-E72D297353CC}">
              <c16:uniqueId val="{00000002-9A3A-6A4C-B1D1-2C3115DBBC03}"/>
            </c:ext>
          </c:extLst>
        </c:ser>
        <c:ser>
          <c:idx val="3"/>
          <c:order val="3"/>
          <c:tx>
            <c:strRef>
              <c:f>Sheet3!$F$12</c:f>
              <c:strCache>
                <c:ptCount val="1"/>
                <c:pt idx="0">
                  <c:v>Preah Sihanouk</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Sheet3!$B$13:$B$17</c:f>
              <c:numCache>
                <c:formatCode>General</c:formatCode>
                <c:ptCount val="5"/>
                <c:pt idx="0">
                  <c:v>2020</c:v>
                </c:pt>
                <c:pt idx="1">
                  <c:v>2021</c:v>
                </c:pt>
                <c:pt idx="2">
                  <c:v>2022</c:v>
                </c:pt>
                <c:pt idx="3">
                  <c:v>2023</c:v>
                </c:pt>
                <c:pt idx="4">
                  <c:v>2024</c:v>
                </c:pt>
              </c:numCache>
            </c:numRef>
          </c:cat>
          <c:val>
            <c:numRef>
              <c:f>Sheet3!$F$13:$F$17</c:f>
              <c:numCache>
                <c:formatCode>#,##0</c:formatCode>
                <c:ptCount val="5"/>
                <c:pt idx="0">
                  <c:v>10930</c:v>
                </c:pt>
                <c:pt idx="1">
                  <c:v>9509</c:v>
                </c:pt>
                <c:pt idx="2">
                  <c:v>7721</c:v>
                </c:pt>
                <c:pt idx="3">
                  <c:v>3300</c:v>
                </c:pt>
                <c:pt idx="4">
                  <c:v>3366</c:v>
                </c:pt>
              </c:numCache>
            </c:numRef>
          </c:val>
          <c:smooth val="0"/>
          <c:extLst>
            <c:ext xmlns:c16="http://schemas.microsoft.com/office/drawing/2014/chart" uri="{C3380CC4-5D6E-409C-BE32-E72D297353CC}">
              <c16:uniqueId val="{00000003-9A3A-6A4C-B1D1-2C3115DBBC03}"/>
            </c:ext>
          </c:extLst>
        </c:ser>
        <c:ser>
          <c:idx val="4"/>
          <c:order val="4"/>
          <c:tx>
            <c:strRef>
              <c:f>Sheet3!$G$12</c:f>
              <c:strCache>
                <c:ptCount val="1"/>
                <c:pt idx="0">
                  <c:v>Koh Kong</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Sheet3!$B$13:$B$17</c:f>
              <c:numCache>
                <c:formatCode>General</c:formatCode>
                <c:ptCount val="5"/>
                <c:pt idx="0">
                  <c:v>2020</c:v>
                </c:pt>
                <c:pt idx="1">
                  <c:v>2021</c:v>
                </c:pt>
                <c:pt idx="2">
                  <c:v>2022</c:v>
                </c:pt>
                <c:pt idx="3">
                  <c:v>2023</c:v>
                </c:pt>
                <c:pt idx="4">
                  <c:v>2024</c:v>
                </c:pt>
              </c:numCache>
            </c:numRef>
          </c:cat>
          <c:val>
            <c:numRef>
              <c:f>Sheet3!$G$13:$G$17</c:f>
              <c:numCache>
                <c:formatCode>#,##0</c:formatCode>
                <c:ptCount val="5"/>
                <c:pt idx="0">
                  <c:v>17710</c:v>
                </c:pt>
                <c:pt idx="1">
                  <c:v>15410</c:v>
                </c:pt>
                <c:pt idx="2">
                  <c:v>12380</c:v>
                </c:pt>
                <c:pt idx="3">
                  <c:v>7340</c:v>
                </c:pt>
                <c:pt idx="4">
                  <c:v>11195</c:v>
                </c:pt>
              </c:numCache>
            </c:numRef>
          </c:val>
          <c:smooth val="0"/>
          <c:extLst>
            <c:ext xmlns:c16="http://schemas.microsoft.com/office/drawing/2014/chart" uri="{C3380CC4-5D6E-409C-BE32-E72D297353CC}">
              <c16:uniqueId val="{00000004-9A3A-6A4C-B1D1-2C3115DBBC03}"/>
            </c:ext>
          </c:extLst>
        </c:ser>
        <c:dLbls>
          <c:showLegendKey val="0"/>
          <c:showVal val="0"/>
          <c:showCatName val="0"/>
          <c:showSerName val="0"/>
          <c:showPercent val="0"/>
          <c:showBubbleSize val="0"/>
        </c:dLbls>
        <c:marker val="1"/>
        <c:smooth val="0"/>
        <c:axId val="658355999"/>
        <c:axId val="657811359"/>
      </c:lineChart>
      <c:catAx>
        <c:axId val="65835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57811359"/>
        <c:crosses val="autoZero"/>
        <c:auto val="1"/>
        <c:lblAlgn val="ctr"/>
        <c:lblOffset val="100"/>
        <c:noMultiLvlLbl val="0"/>
      </c:catAx>
      <c:valAx>
        <c:axId val="65781135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Aquaculture production (tonne)</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583559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panose="020B0604020202020204" pitchFamily="34" charset="0"/>
          <a:cs typeface="Arial" panose="020B0604020202020204"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C644EE-E571-5841-AC6E-F56DDE0992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11658</Words>
  <Characters>73568</Characters>
  <Application>Microsoft Office Word</Application>
  <DocSecurity>0</DocSecurity>
  <Lines>2299</Lines>
  <Paragraphs>1078</Paragraphs>
  <ScaleCrop>false</ScaleCrop>
  <HeadingPairs>
    <vt:vector size="4" baseType="variant">
      <vt:variant>
        <vt:lpstr>Title</vt:lpstr>
      </vt:variant>
      <vt:variant>
        <vt:i4>1</vt:i4>
      </vt:variant>
      <vt:variant>
        <vt:lpstr>Headings</vt:lpstr>
      </vt:variant>
      <vt:variant>
        <vt:i4>19</vt:i4>
      </vt:variant>
    </vt:vector>
  </HeadingPairs>
  <TitlesOfParts>
    <vt:vector size="20" baseType="lpstr">
      <vt:lpstr/>
      <vt:lpstr>5. Fish, Fisheries and Aquaculture</vt:lpstr>
      <vt:lpstr>    5.1 Key Findings</vt:lpstr>
      <vt:lpstr>    5.2 Current Status of Fisheries and Ecosystem Health</vt:lpstr>
      <vt:lpstr>        5.2.1 Current Status of Fisheries</vt:lpstr>
      <vt:lpstr>        5.2.2 Current Status of Ecosystem-health</vt:lpstr>
      <vt:lpstr>    5.3 Discussion and Conclusions</vt:lpstr>
      <vt:lpstr>        5.3.1 Transboundary problems, issues and risk assessment</vt:lpstr>
      <vt:lpstr>        5.3.2 Climate-change impacts and interactions with other TDA components</vt:lpstr>
      <vt:lpstr>        5.3.3 Current governance to address fisheries problems</vt:lpstr>
      <vt:lpstr>        5.3.4 Recommended priority actions (including regional cooperation)</vt:lpstr>
      <vt:lpstr>    5.4 Methodology and Analysis</vt:lpstr>
      <vt:lpstr>        5.4.1 Data Sources and Integration</vt:lpstr>
      <vt:lpstr>        5.4.2 Indicator Framework</vt:lpstr>
      <vt:lpstr>        Spatial and Temporal Assessment</vt:lpstr>
      <vt:lpstr>        Ecosystem–Economic Linkages</vt:lpstr>
      <vt:lpstr>        Data Gaps and Limitations</vt:lpstr>
      <vt:lpstr>    Glossary </vt:lpstr>
      <vt:lpstr>    References</vt:lpstr>
      <vt:lpstr>    Annex 5</vt:lpstr>
    </vt:vector>
  </TitlesOfParts>
  <Company/>
  <LinksUpToDate>false</LinksUpToDate>
  <CharactersWithSpaces>84148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Chhun Vireak</dc:creator>
  <cp:keywords/>
  <dc:description/>
  <cp:lastModifiedBy>Chhun Vireak</cp:lastModifiedBy>
  <cp:revision>3</cp:revision>
  <cp:lastPrinted>2025-12-21T10:54:00Z</cp:lastPrinted>
  <dcterms:created xsi:type="dcterms:W3CDTF">2025-12-21T10:54:00Z</dcterms:created>
  <dcterms:modified xsi:type="dcterms:W3CDTF">2025-12-21T10:54:00Z</dcterms:modified>
</cp:coreProperties>
</file>